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2DD4D" w14:textId="44FBB3E6" w:rsidR="004D7AC0" w:rsidRDefault="00EE643E" w:rsidP="004D7AC0">
      <w:pPr>
        <w:jc w:val="center"/>
      </w:pPr>
      <w:r>
        <w:rPr>
          <w:noProof/>
        </w:rPr>
        <w:drawing>
          <wp:inline distT="0" distB="0" distL="0" distR="0" wp14:anchorId="07314CA2" wp14:editId="0955A0AC">
            <wp:extent cx="1457528" cy="1219370"/>
            <wp:effectExtent l="0" t="0" r="9525" b="0"/>
            <wp:docPr id="5" name="Picture 5" descr="EESC_logo_letter_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EESC_logo_letter_HR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528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AC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982DE48" wp14:editId="4027768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2DE54" w14:textId="77777777" w:rsidR="004D7AC0" w:rsidRPr="00260E65" w:rsidRDefault="004D7AC0" w:rsidP="004D7A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2DE4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4982DE54" w14:textId="77777777" w:rsidR="004D7AC0" w:rsidRPr="00260E65" w:rsidRDefault="004D7AC0" w:rsidP="004D7AC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HR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82DD4E" w14:textId="77777777" w:rsidR="004D7AC0" w:rsidRDefault="004D7AC0" w:rsidP="004D7AC0"/>
    <w:p w14:paraId="4982DD4F" w14:textId="583AC3F3" w:rsidR="004D7AC0" w:rsidRDefault="004D7AC0" w:rsidP="004D7AC0">
      <w:pPr>
        <w:jc w:val="right"/>
      </w:pPr>
      <w:r>
        <w:t>Bruxelles, 17. prosinca 2025.</w:t>
      </w:r>
    </w:p>
    <w:p w14:paraId="4982DD50" w14:textId="77777777" w:rsidR="004D7AC0" w:rsidRDefault="004D7AC0" w:rsidP="004D7AC0"/>
    <w:p w14:paraId="4982DD51" w14:textId="77777777" w:rsidR="004D7AC0" w:rsidRDefault="004D7AC0" w:rsidP="004D7AC0"/>
    <w:p w14:paraId="4982DD52" w14:textId="77777777" w:rsidR="004D7AC0" w:rsidRDefault="004D7AC0" w:rsidP="004D7AC0"/>
    <w:tbl>
      <w:tblPr>
        <w:tblW w:w="0" w:type="auto"/>
        <w:tblLook w:val="04A0" w:firstRow="1" w:lastRow="0" w:firstColumn="1" w:lastColumn="0" w:noHBand="0" w:noVBand="1"/>
      </w:tblPr>
      <w:tblGrid>
        <w:gridCol w:w="9073"/>
      </w:tblGrid>
      <w:tr w:rsidR="004D7AC0" w14:paraId="4982DD59" w14:textId="77777777" w:rsidTr="00600C84">
        <w:tc>
          <w:tcPr>
            <w:tcW w:w="9289" w:type="dxa"/>
            <w:tcBorders>
              <w:bottom w:val="double" w:sz="4" w:space="0" w:color="auto"/>
            </w:tcBorders>
          </w:tcPr>
          <w:p w14:paraId="4982DD53" w14:textId="02802AB8" w:rsidR="003066BE" w:rsidRDefault="00340927" w:rsidP="00600C8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601. PLENARNO ZASJEDANJE</w:t>
            </w:r>
          </w:p>
          <w:p w14:paraId="4982DD54" w14:textId="77777777" w:rsidR="003066BE" w:rsidRDefault="003066BE" w:rsidP="00600C84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4982DD55" w14:textId="2F334972" w:rsidR="003066BE" w:rsidRDefault="00340927" w:rsidP="00600C8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3.i 4. prosinca 2025.</w:t>
            </w:r>
          </w:p>
          <w:p w14:paraId="4982DD56" w14:textId="77777777" w:rsidR="003066BE" w:rsidRDefault="003066BE" w:rsidP="00600C84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4982DD57" w14:textId="5A35E792" w:rsidR="004D7AC0" w:rsidRPr="0081153B" w:rsidRDefault="00754027" w:rsidP="00600C84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SAŽETAK USVOJENIH MIŠLJENJA, REZOLUCIJA I INFORMATIVNIH/EVALUACIJSKIH IZVJEŠĆA</w:t>
            </w:r>
          </w:p>
          <w:p w14:paraId="4982DD58" w14:textId="77777777" w:rsidR="004D7AC0" w:rsidRDefault="004D7AC0" w:rsidP="00600C84">
            <w:pPr>
              <w:snapToGrid w:val="0"/>
            </w:pPr>
          </w:p>
        </w:tc>
      </w:tr>
      <w:tr w:rsidR="004D7AC0" w14:paraId="4982DD5F" w14:textId="77777777" w:rsidTr="00600C84">
        <w:tc>
          <w:tcPr>
            <w:tcW w:w="9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2DD5A" w14:textId="0C0FF99D" w:rsidR="004D7AC0" w:rsidRPr="0081153B" w:rsidRDefault="004D7AC0" w:rsidP="00600C84">
            <w:pPr>
              <w:snapToGrid w:val="0"/>
              <w:jc w:val="center"/>
            </w:pPr>
            <w:r>
              <w:t>Ovaj dokument dostupan je na svim službenim jezicima Europske unije</w:t>
            </w:r>
            <w:r>
              <w:br/>
              <w:t>na internetskim stranicama EGSO-a:</w:t>
            </w:r>
            <w:r>
              <w:br/>
            </w:r>
            <w:r>
              <w:br/>
            </w:r>
            <w:hyperlink r:id="rId12" w:history="1">
              <w:r>
                <w:rPr>
                  <w:rStyle w:val="Hyperlink"/>
                </w:rPr>
                <w:t>https://www.eesc.europa.eu/hr/our-work/opinions-information-reports/plenary-session-summaries</w:t>
              </w:r>
            </w:hyperlink>
          </w:p>
          <w:p w14:paraId="4982DD5B" w14:textId="77777777" w:rsidR="004D7AC0" w:rsidRPr="0081153B" w:rsidRDefault="004D7AC0" w:rsidP="00600C84">
            <w:pPr>
              <w:snapToGrid w:val="0"/>
              <w:jc w:val="center"/>
            </w:pPr>
          </w:p>
          <w:p w14:paraId="4982DD5C" w14:textId="77777777" w:rsidR="004D7AC0" w:rsidRPr="0081153B" w:rsidRDefault="004D7AC0" w:rsidP="00600C84">
            <w:pPr>
              <w:snapToGrid w:val="0"/>
              <w:jc w:val="center"/>
              <w:rPr>
                <w:rFonts w:eastAsia="SimSun"/>
              </w:rPr>
            </w:pPr>
          </w:p>
          <w:p w14:paraId="4982DD5D" w14:textId="77777777" w:rsidR="004D7AC0" w:rsidRPr="00044561" w:rsidRDefault="004D7AC0" w:rsidP="00600C84">
            <w:pPr>
              <w:snapToGrid w:val="0"/>
              <w:jc w:val="center"/>
            </w:pPr>
            <w:r>
              <w:t>Navedenim mišljenjima možete pristupiti na internetu putem tražilice EGSO-a:</w:t>
            </w:r>
            <w:r>
              <w:br/>
            </w:r>
            <w:r>
              <w:br/>
            </w:r>
            <w:hyperlink r:id="rId13" w:history="1">
              <w:r>
                <w:rPr>
                  <w:rStyle w:val="Hyperlink"/>
                </w:rPr>
                <w:t>https://dmsearch.eesc.europa.eu/search/opinion</w:t>
              </w:r>
            </w:hyperlink>
          </w:p>
          <w:p w14:paraId="4982DD5E" w14:textId="77777777" w:rsidR="004D7AC0" w:rsidRPr="00044561" w:rsidRDefault="004D7AC0" w:rsidP="00600C84">
            <w:pPr>
              <w:snapToGrid w:val="0"/>
              <w:jc w:val="center"/>
            </w:pPr>
          </w:p>
        </w:tc>
      </w:tr>
    </w:tbl>
    <w:p w14:paraId="4982DD60" w14:textId="77777777" w:rsidR="004D7AC0" w:rsidRDefault="004D7AC0" w:rsidP="004D7AC0"/>
    <w:p w14:paraId="4982DD61" w14:textId="77777777" w:rsidR="004D7AC0" w:rsidRDefault="004D7AC0" w:rsidP="004D7AC0"/>
    <w:p w14:paraId="4982DD62" w14:textId="77777777" w:rsidR="004D7AC0" w:rsidRDefault="004D7AC0" w:rsidP="004D7AC0">
      <w:pPr>
        <w:sectPr w:rsidR="004D7AC0" w:rsidSect="00EE6F0B">
          <w:footerReference w:type="default" r:id="rId14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4982DD63" w14:textId="77777777" w:rsidR="004D7AC0" w:rsidRPr="00A81AFE" w:rsidRDefault="004D7AC0" w:rsidP="004D7AC0">
      <w:pPr>
        <w:rPr>
          <w:b/>
        </w:rPr>
      </w:pPr>
      <w:r>
        <w:rPr>
          <w:b/>
        </w:rPr>
        <w:lastRenderedPageBreak/>
        <w:t>Sadržaj: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-170074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982DD64" w14:textId="77777777" w:rsidR="004D7AC0" w:rsidRPr="00A81AFE" w:rsidRDefault="004D7AC0" w:rsidP="004D7AC0">
          <w:pPr>
            <w:pStyle w:val="TOCHeading"/>
            <w:rPr>
              <w:rFonts w:ascii="Times New Roman" w:hAnsi="Times New Roman" w:cs="Times New Roman"/>
              <w:color w:val="auto"/>
              <w:sz w:val="22"/>
              <w:szCs w:val="22"/>
            </w:rPr>
          </w:pPr>
        </w:p>
        <w:p w14:paraId="337F4905" w14:textId="4704B881" w:rsidR="00EE643E" w:rsidRDefault="004D7AC0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879499" w:history="1">
            <w:r w:rsidR="00EE643E" w:rsidRPr="00350226">
              <w:rPr>
                <w:rStyle w:val="Hyperlink"/>
                <w:b/>
                <w:noProof/>
              </w:rPr>
              <w:t>1.</w:t>
            </w:r>
            <w:r w:rsidR="00EE643E">
              <w:rPr>
                <w:rFonts w:asciiTheme="minorHAnsi" w:eastAsiaTheme="minorEastAsia" w:hAnsiTheme="minorHAnsi" w:cstheme="minorBidi"/>
                <w:noProof/>
                <w:lang w:val="en-GB" w:eastAsia="en-GB"/>
              </w:rPr>
              <w:tab/>
            </w:r>
            <w:r w:rsidR="00EE643E" w:rsidRPr="00350226">
              <w:rPr>
                <w:rStyle w:val="Hyperlink"/>
                <w:b/>
                <w:noProof/>
              </w:rPr>
              <w:t>STRUČNA SKUPINA ZA EKONOMSKU I MONETARNU UNIJU TE EKONOMSKU I SOCIJALNU KOHEZIJU</w:t>
            </w:r>
            <w:r w:rsidR="00EE643E">
              <w:rPr>
                <w:noProof/>
                <w:webHidden/>
              </w:rPr>
              <w:tab/>
            </w:r>
            <w:r w:rsidR="00EE643E">
              <w:rPr>
                <w:noProof/>
                <w:webHidden/>
              </w:rPr>
              <w:fldChar w:fldCharType="begin"/>
            </w:r>
            <w:r w:rsidR="00EE643E">
              <w:rPr>
                <w:noProof/>
                <w:webHidden/>
              </w:rPr>
              <w:instrText xml:space="preserve"> PAGEREF _Toc216879499 \h </w:instrText>
            </w:r>
            <w:r w:rsidR="00EE643E">
              <w:rPr>
                <w:noProof/>
                <w:webHidden/>
              </w:rPr>
            </w:r>
            <w:r w:rsidR="00EE643E">
              <w:rPr>
                <w:noProof/>
                <w:webHidden/>
              </w:rPr>
              <w:fldChar w:fldCharType="separate"/>
            </w:r>
            <w:r w:rsidR="00EE643E">
              <w:rPr>
                <w:noProof/>
                <w:webHidden/>
              </w:rPr>
              <w:t>3</w:t>
            </w:r>
            <w:r w:rsidR="00EE643E">
              <w:rPr>
                <w:noProof/>
                <w:webHidden/>
              </w:rPr>
              <w:fldChar w:fldCharType="end"/>
            </w:r>
          </w:hyperlink>
        </w:p>
        <w:p w14:paraId="35210555" w14:textId="3131421C" w:rsidR="00EE643E" w:rsidRDefault="00A00905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216879500" w:history="1">
            <w:r w:rsidR="00EE643E" w:rsidRPr="00350226">
              <w:rPr>
                <w:rStyle w:val="Hyperlink"/>
                <w:b/>
                <w:noProof/>
              </w:rPr>
              <w:t>2.</w:t>
            </w:r>
            <w:r w:rsidR="00EE643E">
              <w:rPr>
                <w:rFonts w:asciiTheme="minorHAnsi" w:eastAsiaTheme="minorEastAsia" w:hAnsiTheme="minorHAnsi" w:cstheme="minorBidi"/>
                <w:noProof/>
                <w:lang w:val="en-GB" w:eastAsia="en-GB"/>
              </w:rPr>
              <w:tab/>
            </w:r>
            <w:r w:rsidR="00EE643E" w:rsidRPr="00350226">
              <w:rPr>
                <w:rStyle w:val="Hyperlink"/>
                <w:b/>
                <w:noProof/>
              </w:rPr>
              <w:t>STRUČNA SKUPINA ZA ZAPOŠLJAVANJE, SOCIJALNA PITANJA I GRAĐANSTVO</w:t>
            </w:r>
            <w:r w:rsidR="00EE643E">
              <w:rPr>
                <w:noProof/>
                <w:webHidden/>
              </w:rPr>
              <w:tab/>
            </w:r>
            <w:r w:rsidR="00EE643E">
              <w:rPr>
                <w:noProof/>
                <w:webHidden/>
              </w:rPr>
              <w:tab/>
            </w:r>
            <w:r w:rsidR="00EE643E">
              <w:rPr>
                <w:noProof/>
                <w:webHidden/>
              </w:rPr>
              <w:tab/>
            </w:r>
            <w:r w:rsidR="00EE643E">
              <w:rPr>
                <w:noProof/>
                <w:webHidden/>
              </w:rPr>
              <w:fldChar w:fldCharType="begin"/>
            </w:r>
            <w:r w:rsidR="00EE643E">
              <w:rPr>
                <w:noProof/>
                <w:webHidden/>
              </w:rPr>
              <w:instrText xml:space="preserve"> PAGEREF _Toc216879500 \h </w:instrText>
            </w:r>
            <w:r w:rsidR="00EE643E">
              <w:rPr>
                <w:noProof/>
                <w:webHidden/>
              </w:rPr>
            </w:r>
            <w:r w:rsidR="00EE643E">
              <w:rPr>
                <w:noProof/>
                <w:webHidden/>
              </w:rPr>
              <w:fldChar w:fldCharType="separate"/>
            </w:r>
            <w:r w:rsidR="00EE643E">
              <w:rPr>
                <w:noProof/>
                <w:webHidden/>
              </w:rPr>
              <w:t>6</w:t>
            </w:r>
            <w:r w:rsidR="00EE643E">
              <w:rPr>
                <w:noProof/>
                <w:webHidden/>
              </w:rPr>
              <w:fldChar w:fldCharType="end"/>
            </w:r>
          </w:hyperlink>
        </w:p>
        <w:p w14:paraId="46B46029" w14:textId="2DFD9F77" w:rsidR="00EE643E" w:rsidRDefault="00A00905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216879505" w:history="1">
            <w:r w:rsidR="00EE643E" w:rsidRPr="00350226">
              <w:rPr>
                <w:rStyle w:val="Hyperlink"/>
                <w:b/>
                <w:noProof/>
              </w:rPr>
              <w:t>3.</w:t>
            </w:r>
            <w:r w:rsidR="00EE643E">
              <w:rPr>
                <w:rFonts w:asciiTheme="minorHAnsi" w:eastAsiaTheme="minorEastAsia" w:hAnsiTheme="minorHAnsi" w:cstheme="minorBidi"/>
                <w:noProof/>
                <w:lang w:val="en-GB" w:eastAsia="en-GB"/>
              </w:rPr>
              <w:tab/>
            </w:r>
            <w:r w:rsidR="00EE643E" w:rsidRPr="00350226">
              <w:rPr>
                <w:rStyle w:val="Hyperlink"/>
                <w:b/>
                <w:noProof/>
              </w:rPr>
              <w:t>STRUČNA SKUPINA ZA PROMET, ENERGIJU, INFRASTRUKTURU I INFORMACIJSKO DRUŠTVO</w:t>
            </w:r>
            <w:r w:rsidR="00EE643E">
              <w:rPr>
                <w:noProof/>
                <w:webHidden/>
              </w:rPr>
              <w:tab/>
            </w:r>
            <w:r w:rsidR="00EE643E">
              <w:rPr>
                <w:noProof/>
                <w:webHidden/>
              </w:rPr>
              <w:fldChar w:fldCharType="begin"/>
            </w:r>
            <w:r w:rsidR="00EE643E">
              <w:rPr>
                <w:noProof/>
                <w:webHidden/>
              </w:rPr>
              <w:instrText xml:space="preserve"> PAGEREF _Toc216879505 \h </w:instrText>
            </w:r>
            <w:r w:rsidR="00EE643E">
              <w:rPr>
                <w:noProof/>
                <w:webHidden/>
              </w:rPr>
            </w:r>
            <w:r w:rsidR="00EE643E">
              <w:rPr>
                <w:noProof/>
                <w:webHidden/>
              </w:rPr>
              <w:fldChar w:fldCharType="separate"/>
            </w:r>
            <w:r w:rsidR="00EE643E">
              <w:rPr>
                <w:noProof/>
                <w:webHidden/>
              </w:rPr>
              <w:t>9</w:t>
            </w:r>
            <w:r w:rsidR="00EE643E">
              <w:rPr>
                <w:noProof/>
                <w:webHidden/>
              </w:rPr>
              <w:fldChar w:fldCharType="end"/>
            </w:r>
          </w:hyperlink>
        </w:p>
        <w:p w14:paraId="10D9D273" w14:textId="0720AD95" w:rsidR="00EE643E" w:rsidRDefault="00A00905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216879506" w:history="1">
            <w:r w:rsidR="00EE643E" w:rsidRPr="00350226">
              <w:rPr>
                <w:rStyle w:val="Hyperlink"/>
                <w:b/>
                <w:noProof/>
              </w:rPr>
              <w:t>4.</w:t>
            </w:r>
            <w:r w:rsidR="00EE643E">
              <w:rPr>
                <w:rFonts w:asciiTheme="minorHAnsi" w:eastAsiaTheme="minorEastAsia" w:hAnsiTheme="minorHAnsi" w:cstheme="minorBidi"/>
                <w:noProof/>
                <w:lang w:val="en-GB" w:eastAsia="en-GB"/>
              </w:rPr>
              <w:tab/>
            </w:r>
            <w:r w:rsidR="00EE643E" w:rsidRPr="00350226">
              <w:rPr>
                <w:rStyle w:val="Hyperlink"/>
                <w:b/>
                <w:noProof/>
              </w:rPr>
              <w:t>JEDINSTVENO TRŽIŠTE, PROIZVODNJA I POTROŠNJA</w:t>
            </w:r>
            <w:r w:rsidR="00EE643E">
              <w:rPr>
                <w:noProof/>
                <w:webHidden/>
              </w:rPr>
              <w:tab/>
            </w:r>
            <w:r w:rsidR="00EE643E">
              <w:rPr>
                <w:noProof/>
                <w:webHidden/>
              </w:rPr>
              <w:fldChar w:fldCharType="begin"/>
            </w:r>
            <w:r w:rsidR="00EE643E">
              <w:rPr>
                <w:noProof/>
                <w:webHidden/>
              </w:rPr>
              <w:instrText xml:space="preserve"> PAGEREF _Toc216879506 \h </w:instrText>
            </w:r>
            <w:r w:rsidR="00EE643E">
              <w:rPr>
                <w:noProof/>
                <w:webHidden/>
              </w:rPr>
            </w:r>
            <w:r w:rsidR="00EE643E">
              <w:rPr>
                <w:noProof/>
                <w:webHidden/>
              </w:rPr>
              <w:fldChar w:fldCharType="separate"/>
            </w:r>
            <w:r w:rsidR="00EE643E">
              <w:rPr>
                <w:noProof/>
                <w:webHidden/>
              </w:rPr>
              <w:t>12</w:t>
            </w:r>
            <w:r w:rsidR="00EE643E">
              <w:rPr>
                <w:noProof/>
                <w:webHidden/>
              </w:rPr>
              <w:fldChar w:fldCharType="end"/>
            </w:r>
          </w:hyperlink>
        </w:p>
        <w:p w14:paraId="0F6B392E" w14:textId="75CF4F90" w:rsidR="00EE643E" w:rsidRDefault="00A00905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216879507" w:history="1">
            <w:r w:rsidR="00EE643E" w:rsidRPr="00350226">
              <w:rPr>
                <w:rStyle w:val="Hyperlink"/>
                <w:b/>
                <w:noProof/>
              </w:rPr>
              <w:t>5.</w:t>
            </w:r>
            <w:r w:rsidR="00EE643E">
              <w:rPr>
                <w:rFonts w:asciiTheme="minorHAnsi" w:eastAsiaTheme="minorEastAsia" w:hAnsiTheme="minorHAnsi" w:cstheme="minorBidi"/>
                <w:noProof/>
                <w:lang w:val="en-GB" w:eastAsia="en-GB"/>
              </w:rPr>
              <w:tab/>
            </w:r>
            <w:r w:rsidR="00EE643E" w:rsidRPr="00350226">
              <w:rPr>
                <w:rStyle w:val="Hyperlink"/>
                <w:b/>
                <w:noProof/>
              </w:rPr>
              <w:t>STRUČNA SKUPINA ZA POLJOPRIVREDU, RURALNI RAZVOJ I OKOLIŠ</w:t>
            </w:r>
            <w:r w:rsidR="00EE643E">
              <w:rPr>
                <w:noProof/>
                <w:webHidden/>
              </w:rPr>
              <w:tab/>
            </w:r>
            <w:r w:rsidR="00EE643E">
              <w:rPr>
                <w:noProof/>
                <w:webHidden/>
              </w:rPr>
              <w:fldChar w:fldCharType="begin"/>
            </w:r>
            <w:r w:rsidR="00EE643E">
              <w:rPr>
                <w:noProof/>
                <w:webHidden/>
              </w:rPr>
              <w:instrText xml:space="preserve"> PAGEREF _Toc216879507 \h </w:instrText>
            </w:r>
            <w:r w:rsidR="00EE643E">
              <w:rPr>
                <w:noProof/>
                <w:webHidden/>
              </w:rPr>
            </w:r>
            <w:r w:rsidR="00EE643E">
              <w:rPr>
                <w:noProof/>
                <w:webHidden/>
              </w:rPr>
              <w:fldChar w:fldCharType="separate"/>
            </w:r>
            <w:r w:rsidR="00EE643E">
              <w:rPr>
                <w:noProof/>
                <w:webHidden/>
              </w:rPr>
              <w:t>16</w:t>
            </w:r>
            <w:r w:rsidR="00EE643E">
              <w:rPr>
                <w:noProof/>
                <w:webHidden/>
              </w:rPr>
              <w:fldChar w:fldCharType="end"/>
            </w:r>
          </w:hyperlink>
        </w:p>
        <w:p w14:paraId="1F7D646B" w14:textId="36B59F4B" w:rsidR="00EE643E" w:rsidRDefault="00A00905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216879508" w:history="1">
            <w:r w:rsidR="00EE643E" w:rsidRPr="00350226">
              <w:rPr>
                <w:rStyle w:val="Hyperlink"/>
                <w:b/>
                <w:noProof/>
              </w:rPr>
              <w:t>6.</w:t>
            </w:r>
            <w:r w:rsidR="00EE643E">
              <w:rPr>
                <w:rFonts w:asciiTheme="minorHAnsi" w:eastAsiaTheme="minorEastAsia" w:hAnsiTheme="minorHAnsi" w:cstheme="minorBidi"/>
                <w:noProof/>
                <w:lang w:val="en-GB" w:eastAsia="en-GB"/>
              </w:rPr>
              <w:tab/>
            </w:r>
            <w:r w:rsidR="00EE643E" w:rsidRPr="00350226">
              <w:rPr>
                <w:rStyle w:val="Hyperlink"/>
                <w:b/>
                <w:noProof/>
              </w:rPr>
              <w:t>STRUČNA SKUPINA ZA VANJSKE ODNOSE</w:t>
            </w:r>
            <w:r w:rsidR="00EE643E">
              <w:rPr>
                <w:noProof/>
                <w:webHidden/>
              </w:rPr>
              <w:tab/>
            </w:r>
            <w:r w:rsidR="00EE643E">
              <w:rPr>
                <w:noProof/>
                <w:webHidden/>
              </w:rPr>
              <w:fldChar w:fldCharType="begin"/>
            </w:r>
            <w:r w:rsidR="00EE643E">
              <w:rPr>
                <w:noProof/>
                <w:webHidden/>
              </w:rPr>
              <w:instrText xml:space="preserve"> PAGEREF _Toc216879508 \h </w:instrText>
            </w:r>
            <w:r w:rsidR="00EE643E">
              <w:rPr>
                <w:noProof/>
                <w:webHidden/>
              </w:rPr>
            </w:r>
            <w:r w:rsidR="00EE643E">
              <w:rPr>
                <w:noProof/>
                <w:webHidden/>
              </w:rPr>
              <w:fldChar w:fldCharType="separate"/>
            </w:r>
            <w:r w:rsidR="00EE643E">
              <w:rPr>
                <w:noProof/>
                <w:webHidden/>
              </w:rPr>
              <w:t>18</w:t>
            </w:r>
            <w:r w:rsidR="00EE643E">
              <w:rPr>
                <w:noProof/>
                <w:webHidden/>
              </w:rPr>
              <w:fldChar w:fldCharType="end"/>
            </w:r>
          </w:hyperlink>
        </w:p>
        <w:p w14:paraId="28821405" w14:textId="047E4845" w:rsidR="00EE643E" w:rsidRDefault="00A00905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216879509" w:history="1">
            <w:r w:rsidR="00EE643E" w:rsidRPr="00350226">
              <w:rPr>
                <w:rStyle w:val="Hyperlink"/>
                <w:b/>
                <w:noProof/>
              </w:rPr>
              <w:t>7.</w:t>
            </w:r>
            <w:r w:rsidR="00EE643E">
              <w:rPr>
                <w:rFonts w:asciiTheme="minorHAnsi" w:eastAsiaTheme="minorEastAsia" w:hAnsiTheme="minorHAnsi" w:cstheme="minorBidi"/>
                <w:noProof/>
                <w:lang w:val="en-GB" w:eastAsia="en-GB"/>
              </w:rPr>
              <w:tab/>
            </w:r>
            <w:r w:rsidR="00EE643E" w:rsidRPr="00350226">
              <w:rPr>
                <w:rStyle w:val="Hyperlink"/>
                <w:b/>
                <w:noProof/>
              </w:rPr>
              <w:t>SAVJETODAVNO POVJERENSTVO ZA INDUSTRIJSKE PROMJENE</w:t>
            </w:r>
            <w:r w:rsidR="00EE643E">
              <w:rPr>
                <w:noProof/>
                <w:webHidden/>
              </w:rPr>
              <w:tab/>
            </w:r>
            <w:r w:rsidR="00EE643E">
              <w:rPr>
                <w:noProof/>
                <w:webHidden/>
              </w:rPr>
              <w:fldChar w:fldCharType="begin"/>
            </w:r>
            <w:r w:rsidR="00EE643E">
              <w:rPr>
                <w:noProof/>
                <w:webHidden/>
              </w:rPr>
              <w:instrText xml:space="preserve"> PAGEREF _Toc216879509 \h </w:instrText>
            </w:r>
            <w:r w:rsidR="00EE643E">
              <w:rPr>
                <w:noProof/>
                <w:webHidden/>
              </w:rPr>
            </w:r>
            <w:r w:rsidR="00EE643E">
              <w:rPr>
                <w:noProof/>
                <w:webHidden/>
              </w:rPr>
              <w:fldChar w:fldCharType="separate"/>
            </w:r>
            <w:r w:rsidR="00EE643E">
              <w:rPr>
                <w:noProof/>
                <w:webHidden/>
              </w:rPr>
              <w:t>21</w:t>
            </w:r>
            <w:r w:rsidR="00EE643E">
              <w:rPr>
                <w:noProof/>
                <w:webHidden/>
              </w:rPr>
              <w:fldChar w:fldCharType="end"/>
            </w:r>
          </w:hyperlink>
        </w:p>
        <w:p w14:paraId="4982DD6A" w14:textId="2146D1AB" w:rsidR="004D7AC0" w:rsidRDefault="004D7AC0" w:rsidP="004D7AC0">
          <w:r>
            <w:rPr>
              <w:b/>
            </w:rPr>
            <w:fldChar w:fldCharType="end"/>
          </w:r>
        </w:p>
      </w:sdtContent>
    </w:sdt>
    <w:p w14:paraId="4982DD6B" w14:textId="77777777" w:rsidR="004D7AC0" w:rsidRDefault="004D7AC0" w:rsidP="004D7AC0"/>
    <w:p w14:paraId="4982DD6C" w14:textId="77777777" w:rsidR="004D7AC0" w:rsidRDefault="004D7AC0" w:rsidP="004D7AC0">
      <w:pPr>
        <w:spacing w:after="160" w:line="259" w:lineRule="auto"/>
        <w:jc w:val="left"/>
      </w:pPr>
      <w:r>
        <w:br w:type="page"/>
      </w:r>
    </w:p>
    <w:p w14:paraId="4982DD6D" w14:textId="77777777" w:rsidR="004D7AC0" w:rsidRDefault="004D7AC0" w:rsidP="004D7AC0">
      <w:pPr>
        <w:pStyle w:val="Heading1"/>
        <w:rPr>
          <w:b/>
        </w:rPr>
      </w:pPr>
      <w:bookmarkStart w:id="0" w:name="_Toc216879499"/>
      <w:r>
        <w:rPr>
          <w:b/>
        </w:rPr>
        <w:lastRenderedPageBreak/>
        <w:t>STRUČNA SKUPINA ZA EKONOMSKU I MONETARNU UNIJU TE EKONOMSKU I SOCIJALNU KOHEZIJU</w:t>
      </w:r>
      <w:bookmarkEnd w:id="0"/>
    </w:p>
    <w:p w14:paraId="4982DD6E" w14:textId="77777777" w:rsidR="004D7AC0" w:rsidRDefault="004D7AC0" w:rsidP="004D7AC0"/>
    <w:p w14:paraId="46211D18" w14:textId="77777777" w:rsidR="00EA066E" w:rsidRDefault="00EA066E" w:rsidP="00EA066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hanging="567"/>
        <w:rPr>
          <w:b/>
          <w:i/>
          <w:iCs/>
          <w:sz w:val="28"/>
          <w:szCs w:val="28"/>
        </w:rPr>
      </w:pPr>
      <w:r>
        <w:rPr>
          <w:b/>
          <w:bCs/>
          <w:i/>
          <w:iCs/>
        </w:rPr>
        <w:t>ECO/675 –</w:t>
      </w:r>
      <w:hyperlink r:id="rId15" w:history="1">
        <w:r>
          <w:rPr>
            <w:rStyle w:val="Hyperlink"/>
            <w:b/>
            <w:i/>
            <w:sz w:val="28"/>
          </w:rPr>
          <w:t xml:space="preserve"> Provedba </w:t>
        </w:r>
        <w:proofErr w:type="spellStart"/>
        <w:r>
          <w:rPr>
            <w:rStyle w:val="Hyperlink"/>
            <w:b/>
            <w:i/>
            <w:sz w:val="28"/>
          </w:rPr>
          <w:t>makroregionalnih</w:t>
        </w:r>
        <w:proofErr w:type="spellEnd"/>
        <w:r>
          <w:rPr>
            <w:rStyle w:val="Hyperlink"/>
            <w:b/>
            <w:i/>
            <w:sz w:val="28"/>
          </w:rPr>
          <w:t xml:space="preserve"> strategija EU-a – 5. izvješće</w:t>
        </w:r>
      </w:hyperlink>
    </w:p>
    <w:p w14:paraId="7F65E9F2" w14:textId="77777777" w:rsidR="00EA066E" w:rsidRDefault="00EA066E" w:rsidP="00EA066E">
      <w:pPr>
        <w:widowControl w:val="0"/>
        <w:ind w:left="284"/>
        <w:rPr>
          <w:b/>
          <w:i/>
          <w:iCs/>
          <w:sz w:val="20"/>
          <w:szCs w:val="20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21"/>
      </w:tblGrid>
      <w:tr w:rsidR="00EA066E" w14:paraId="03851D9E" w14:textId="77777777" w:rsidTr="00EA066E">
        <w:tc>
          <w:tcPr>
            <w:tcW w:w="1701" w:type="dxa"/>
            <w:hideMark/>
          </w:tcPr>
          <w:p w14:paraId="03CCED04" w14:textId="77777777" w:rsidR="00EA066E" w:rsidRDefault="00EA066E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7621" w:type="dxa"/>
            <w:hideMark/>
          </w:tcPr>
          <w:p w14:paraId="67AD6EEB" w14:textId="77777777" w:rsidR="00EA066E" w:rsidRDefault="00EA066E">
            <w:pPr>
              <w:tabs>
                <w:tab w:val="center" w:pos="284"/>
              </w:tabs>
              <w:ind w:left="266" w:hanging="266"/>
              <w:rPr>
                <w:bCs/>
              </w:rPr>
            </w:pPr>
            <w:r>
              <w:t>Stefano PALMIERI (Skupina radnika – IT)</w:t>
            </w:r>
          </w:p>
        </w:tc>
      </w:tr>
      <w:tr w:rsidR="00EA066E" w14:paraId="5571771D" w14:textId="77777777" w:rsidTr="00EA066E">
        <w:tc>
          <w:tcPr>
            <w:tcW w:w="1701" w:type="dxa"/>
            <w:hideMark/>
          </w:tcPr>
          <w:p w14:paraId="24CDED9F" w14:textId="77777777" w:rsidR="00EA066E" w:rsidRDefault="00EA066E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7621" w:type="dxa"/>
            <w:hideMark/>
          </w:tcPr>
          <w:p w14:paraId="0B21C196" w14:textId="77777777" w:rsidR="00EA066E" w:rsidRDefault="00EA066E">
            <w:pPr>
              <w:tabs>
                <w:tab w:val="center" w:pos="284"/>
              </w:tabs>
              <w:ind w:left="266" w:hanging="266"/>
              <w:rPr>
                <w:szCs w:val="20"/>
              </w:rPr>
            </w:pPr>
            <w:r>
              <w:t xml:space="preserve">COM(2025) 191 </w:t>
            </w:r>
            <w:proofErr w:type="spellStart"/>
            <w:r>
              <w:t>final</w:t>
            </w:r>
            <w:proofErr w:type="spellEnd"/>
            <w:r>
              <w:t xml:space="preserve">; COM(2025) 196 </w:t>
            </w:r>
            <w:proofErr w:type="spellStart"/>
            <w:r>
              <w:t>final</w:t>
            </w:r>
            <w:proofErr w:type="spellEnd"/>
          </w:p>
          <w:p w14:paraId="290C3C49" w14:textId="77777777" w:rsidR="00EA066E" w:rsidRDefault="00EA066E">
            <w:pPr>
              <w:tabs>
                <w:tab w:val="center" w:pos="284"/>
              </w:tabs>
              <w:ind w:left="266" w:hanging="266"/>
            </w:pPr>
            <w:r>
              <w:t>EESC-2025-02216-00-00-AC-TRA</w:t>
            </w:r>
          </w:p>
        </w:tc>
      </w:tr>
    </w:tbl>
    <w:p w14:paraId="7CF36F05" w14:textId="77777777" w:rsidR="00EA066E" w:rsidRDefault="00EA066E" w:rsidP="00EA066E">
      <w:pPr>
        <w:keepNext/>
        <w:keepLines/>
        <w:tabs>
          <w:tab w:val="center" w:pos="284"/>
        </w:tabs>
        <w:spacing w:before="120"/>
        <w:ind w:left="266" w:hanging="266"/>
        <w:rPr>
          <w:b/>
        </w:rPr>
      </w:pPr>
      <w:r>
        <w:rPr>
          <w:b/>
        </w:rPr>
        <w:t>Ključne točke</w:t>
      </w:r>
    </w:p>
    <w:p w14:paraId="21F70AB4" w14:textId="77777777" w:rsidR="00EA066E" w:rsidRDefault="00EA066E" w:rsidP="00EA066E">
      <w:pPr>
        <w:rPr>
          <w:bCs/>
          <w:iCs/>
        </w:rPr>
      </w:pPr>
      <w:r>
        <w:t>EGSO:</w:t>
      </w:r>
    </w:p>
    <w:p w14:paraId="1D6266D9" w14:textId="77777777" w:rsidR="00EA066E" w:rsidRDefault="00EA066E" w:rsidP="00EA066E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  <w:rPr>
          <w:szCs w:val="20"/>
        </w:rPr>
      </w:pPr>
      <w:r>
        <w:t xml:space="preserve">prepoznaje ulogu </w:t>
      </w:r>
      <w:proofErr w:type="spellStart"/>
      <w:r>
        <w:t>makroregionalnih</w:t>
      </w:r>
      <w:proofErr w:type="spellEnd"/>
      <w:r>
        <w:t xml:space="preserve"> strategija u stvaranju višerazinskih sinergija među politikama, programima i akterima. Te su strategije tijekom pandemije i aktualnih kriza bile potpora za zelenu i digitalnu tranziciju i doprinijele su razvoju znatnog kapaciteta za otpornost i solidarnost;</w:t>
      </w:r>
    </w:p>
    <w:p w14:paraId="631042EF" w14:textId="77777777" w:rsidR="00EA066E" w:rsidRDefault="00EA066E" w:rsidP="00EA066E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</w:pPr>
      <w:r>
        <w:t>poziva na jačanje vertikalnog i horizontalnog višerazinskog upravljanja tako što će se osigurati uključenost lokalnih struktura;</w:t>
      </w:r>
    </w:p>
    <w:p w14:paraId="01E4BC32" w14:textId="77777777" w:rsidR="00EA066E" w:rsidRDefault="00EA066E" w:rsidP="00EA066E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</w:pPr>
      <w:r>
        <w:t xml:space="preserve">pozitivno ocjenjuje postupke revizije i poziva na jačanje socijalne dimenzije, građanskog sudjelovanja (uključujući i mlade) i međuregionalne suradnje. </w:t>
      </w:r>
      <w:proofErr w:type="spellStart"/>
      <w:r>
        <w:t>Makroregionalne</w:t>
      </w:r>
      <w:proofErr w:type="spellEnd"/>
      <w:r>
        <w:t xml:space="preserve"> strategije moraju služiti kao laboratoriji za socijalnu uključenost i inovacije te podupirati zeleno oporezivanje i ljudski kapital;</w:t>
      </w:r>
    </w:p>
    <w:p w14:paraId="3F1476D2" w14:textId="77777777" w:rsidR="00EA066E" w:rsidRDefault="00EA066E" w:rsidP="00EA066E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</w:pPr>
      <w:r>
        <w:t xml:space="preserve">prima na znanje rezultate </w:t>
      </w:r>
      <w:proofErr w:type="spellStart"/>
      <w:r>
        <w:t>makroregionalne</w:t>
      </w:r>
      <w:proofErr w:type="spellEnd"/>
      <w:r>
        <w:t xml:space="preserve"> Strategije za regiju Baltičkog mora (EUSBSR), kojom se promiču održivost i veze na Baltičkom moru. Revizija provedena 2021., u suradnji sa strateškom točkom za Baltičko more, ojačala je suradnju i upravljanje. Unatoč obustavi odnosa s Rusijom i Bjelorusijom, Strategija je i dalje valjana;</w:t>
      </w:r>
    </w:p>
    <w:p w14:paraId="0F1F3A06" w14:textId="77777777" w:rsidR="00EA066E" w:rsidRDefault="00EA066E" w:rsidP="00EA066E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</w:pPr>
      <w:r>
        <w:t xml:space="preserve">ističe napredak </w:t>
      </w:r>
      <w:proofErr w:type="spellStart"/>
      <w:r>
        <w:t>makroregionalne</w:t>
      </w:r>
      <w:proofErr w:type="spellEnd"/>
      <w:r>
        <w:t xml:space="preserve"> Strategije za dunavsku regiju (EUSDR). Revizijom iz 2020. ojačana je usklađenost s prioritetima EU-a, kao i sudjelovanje mladih, iako su prisutne nejednakosti i neujednačena politička predanost. Predsjedništva su dala novi poticaj inovacijama i upravljanju;</w:t>
      </w:r>
    </w:p>
    <w:p w14:paraId="3C01B998" w14:textId="77777777" w:rsidR="00EA066E" w:rsidRDefault="00EA066E" w:rsidP="00EA066E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</w:pPr>
      <w:r>
        <w:t xml:space="preserve">ističe rezultate </w:t>
      </w:r>
      <w:proofErr w:type="spellStart"/>
      <w:r>
        <w:t>makroregionalne</w:t>
      </w:r>
      <w:proofErr w:type="spellEnd"/>
      <w:r>
        <w:t xml:space="preserve"> Strategije za jadransku i jonsku regiju (EUSAIR), čiji je akcijski plan nedavno ažuriran uvođenjem petog stupa posvećenog socijalnim pitanjima. Strategija uključuje proširenje, kružno gospodarstvo i digitalizaciju te jačanje partnerstava i otpornosti;</w:t>
      </w:r>
    </w:p>
    <w:p w14:paraId="2939C5A6" w14:textId="77777777" w:rsidR="00EA066E" w:rsidRDefault="00EA066E" w:rsidP="00EA066E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</w:pPr>
      <w:r>
        <w:t xml:space="preserve">pozitivno ocjenjuje </w:t>
      </w:r>
      <w:proofErr w:type="spellStart"/>
      <w:r>
        <w:t>makroregionalnu</w:t>
      </w:r>
      <w:proofErr w:type="spellEnd"/>
      <w:r>
        <w:t xml:space="preserve"> Strategiju za alpsku regiju (EUSALP), kojom je ojačana suradnja i stabilno upravljanje, uz otvaranje prema trećim zemljama. Njezina revizija uključuje prioritete u području digitalizacije, energetike, vodnih resursa i kružnog gospodarstva;</w:t>
      </w:r>
    </w:p>
    <w:p w14:paraId="28604B72" w14:textId="77777777" w:rsidR="00EA066E" w:rsidRDefault="00EA066E" w:rsidP="00EA066E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</w:pPr>
      <w:r>
        <w:t xml:space="preserve">svjestan je toga da je proširenje na zapadni Balkan, Ukrajinu i Moldaviju strateški prioritet i da </w:t>
      </w:r>
      <w:proofErr w:type="spellStart"/>
      <w:r>
        <w:t>makroregionalne</w:t>
      </w:r>
      <w:proofErr w:type="spellEnd"/>
      <w:r>
        <w:t xml:space="preserve"> strategije imaju potencijal za povećanje suradnje i institucijskih kapaciteta;</w:t>
      </w:r>
    </w:p>
    <w:p w14:paraId="113B1B99" w14:textId="77777777" w:rsidR="00EA066E" w:rsidRDefault="00EA066E" w:rsidP="00EA066E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</w:pPr>
      <w:r>
        <w:t xml:space="preserve">napominje da je ruska vojna agresija na Ukrajinu potvrdila ulogu </w:t>
      </w:r>
      <w:proofErr w:type="spellStart"/>
      <w:r>
        <w:t>makroregionalnih</w:t>
      </w:r>
      <w:proofErr w:type="spellEnd"/>
      <w:r>
        <w:t xml:space="preserve"> strategija kao instrumenata solidarnosti i otpornosti; </w:t>
      </w:r>
    </w:p>
    <w:p w14:paraId="239E857D" w14:textId="77777777" w:rsidR="00EA066E" w:rsidRDefault="00EA066E" w:rsidP="00EA066E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</w:pPr>
      <w:r>
        <w:t xml:space="preserve">smatra da presudnu važnost ima lokalizirani pristup koji se primjenjuje u </w:t>
      </w:r>
      <w:proofErr w:type="spellStart"/>
      <w:r>
        <w:t>makroregionalnim</w:t>
      </w:r>
      <w:proofErr w:type="spellEnd"/>
      <w:r>
        <w:t xml:space="preserve"> strategijama, kojim se europski prioriteti prilagođavaju teritorijalnim posebnostima i potiče kohezija s pomoću instrumenata kao što su lokalni razvoj pod vodstvom zajednice (CLLD) i inovativne inicijative kojima se promiču građansko sudjelovanje i sudjelovanje mladih; </w:t>
      </w:r>
    </w:p>
    <w:p w14:paraId="1373DC23" w14:textId="77777777" w:rsidR="00EA066E" w:rsidRDefault="00EA066E" w:rsidP="00EA066E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</w:pPr>
      <w:r>
        <w:t xml:space="preserve">poziva na to da se uključivanjem prioriteta </w:t>
      </w:r>
      <w:proofErr w:type="spellStart"/>
      <w:r>
        <w:t>makroregionalnih</w:t>
      </w:r>
      <w:proofErr w:type="spellEnd"/>
      <w:r>
        <w:t xml:space="preserve"> strategija u glavne programe EU-a osnaži upravljanje i poveća financiranje. Treba unaprijediti lokalne vještine, ojačati partnerstva i aktivno uključiti civilno društvo i mlade; </w:t>
      </w:r>
    </w:p>
    <w:p w14:paraId="5ED0E861" w14:textId="77777777" w:rsidR="00EA066E" w:rsidRDefault="00EA066E" w:rsidP="00EA066E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</w:pPr>
      <w:r>
        <w:lastRenderedPageBreak/>
        <w:t xml:space="preserve">smatra da novi višegodišnji financijski okvir (za razdoblje 2028. – 2034.) donosi rizik za pravilno funkcioniranje </w:t>
      </w:r>
      <w:proofErr w:type="spellStart"/>
      <w:r>
        <w:t>makroregionalnih</w:t>
      </w:r>
      <w:proofErr w:type="spellEnd"/>
      <w:r>
        <w:t xml:space="preserve"> strategija. Stoga je od presudne važnosti da prioriteti tih strategija budu uključeni u partnerske planove;</w:t>
      </w:r>
    </w:p>
    <w:p w14:paraId="0F6FBDE3" w14:textId="77777777" w:rsidR="00EA066E" w:rsidRDefault="00EA066E" w:rsidP="00EA066E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</w:pPr>
      <w:r>
        <w:t xml:space="preserve">naglašava da je nužno transparentno i odgovorno upravljanje, bez korupcije u institucijama koje sudjeluju u </w:t>
      </w:r>
      <w:proofErr w:type="spellStart"/>
      <w:r>
        <w:t>makroregionalnim</w:t>
      </w:r>
      <w:proofErr w:type="spellEnd"/>
      <w:r>
        <w:t xml:space="preserve"> strategijama;</w:t>
      </w:r>
    </w:p>
    <w:p w14:paraId="4CD46F7A" w14:textId="77777777" w:rsidR="00EA066E" w:rsidRDefault="00EA066E" w:rsidP="00EA066E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  <w:rPr>
          <w:bCs/>
          <w:iCs/>
        </w:rPr>
      </w:pPr>
      <w:r>
        <w:t xml:space="preserve">poziva na stvaranje nove </w:t>
      </w:r>
      <w:proofErr w:type="spellStart"/>
      <w:r>
        <w:t>makroregije</w:t>
      </w:r>
      <w:proofErr w:type="spellEnd"/>
      <w:r>
        <w:t xml:space="preserve"> na Mediteranu radi rješavanja zajedničkih izazova kao što su klimatske promjene, migracijski tokovi, energetska tranzicija i plava održivost.</w:t>
      </w:r>
    </w:p>
    <w:p w14:paraId="0CC57623" w14:textId="77777777" w:rsidR="00EA066E" w:rsidRDefault="00EA066E" w:rsidP="00EA066E">
      <w:pPr>
        <w:pStyle w:val="ListParagraph"/>
        <w:ind w:left="360"/>
        <w:rPr>
          <w:bCs/>
          <w:iCs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904"/>
      </w:tblGrid>
      <w:tr w:rsidR="00EA066E" w14:paraId="013BA00B" w14:textId="77777777" w:rsidTr="00EA066E">
        <w:tc>
          <w:tcPr>
            <w:tcW w:w="1418" w:type="dxa"/>
            <w:hideMark/>
          </w:tcPr>
          <w:p w14:paraId="0E51D5E3" w14:textId="77777777" w:rsidR="00EA066E" w:rsidRDefault="00EA066E">
            <w:pPr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7904" w:type="dxa"/>
            <w:hideMark/>
          </w:tcPr>
          <w:p w14:paraId="74872FA4" w14:textId="77777777" w:rsidR="00EA066E" w:rsidRDefault="00EA066E">
            <w:pPr>
              <w:rPr>
                <w:i/>
              </w:rPr>
            </w:pPr>
            <w:proofErr w:type="spellStart"/>
            <w:r>
              <w:rPr>
                <w:i/>
              </w:rPr>
              <w:t>Georgios</w:t>
            </w:r>
            <w:proofErr w:type="spellEnd"/>
            <w:r>
              <w:rPr>
                <w:i/>
              </w:rPr>
              <w:t xml:space="preserve"> MELEAS</w:t>
            </w:r>
          </w:p>
        </w:tc>
      </w:tr>
      <w:tr w:rsidR="00EA066E" w14:paraId="12EE009D" w14:textId="77777777" w:rsidTr="00EA066E">
        <w:tc>
          <w:tcPr>
            <w:tcW w:w="1418" w:type="dxa"/>
            <w:hideMark/>
          </w:tcPr>
          <w:p w14:paraId="6777640A" w14:textId="77777777" w:rsidR="00EA066E" w:rsidRDefault="00EA066E">
            <w:pPr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904" w:type="dxa"/>
            <w:hideMark/>
          </w:tcPr>
          <w:p w14:paraId="6A45CD9D" w14:textId="77777777" w:rsidR="00EA066E" w:rsidRDefault="00EA066E">
            <w:pPr>
              <w:rPr>
                <w:i/>
              </w:rPr>
            </w:pPr>
            <w:r>
              <w:rPr>
                <w:i/>
              </w:rPr>
              <w:t>+32 2</w:t>
            </w:r>
            <w:r>
              <w:t xml:space="preserve"> </w:t>
            </w:r>
            <w:r>
              <w:rPr>
                <w:i/>
              </w:rPr>
              <w:t>546 9795</w:t>
            </w:r>
          </w:p>
        </w:tc>
      </w:tr>
      <w:tr w:rsidR="00EA066E" w14:paraId="43C775CE" w14:textId="77777777" w:rsidTr="00EA066E">
        <w:tc>
          <w:tcPr>
            <w:tcW w:w="1418" w:type="dxa"/>
            <w:hideMark/>
          </w:tcPr>
          <w:p w14:paraId="4F9A552F" w14:textId="77777777" w:rsidR="00EA066E" w:rsidRDefault="00EA066E">
            <w:pPr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7904" w:type="dxa"/>
            <w:hideMark/>
          </w:tcPr>
          <w:p w14:paraId="6EC2D738" w14:textId="77777777" w:rsidR="00EA066E" w:rsidRDefault="00A00905">
            <w:pPr>
              <w:rPr>
                <w:i/>
                <w:iCs/>
                <w:szCs w:val="20"/>
              </w:rPr>
            </w:pPr>
            <w:hyperlink r:id="rId16" w:history="1">
              <w:r w:rsidR="00EA066E">
                <w:rPr>
                  <w:rStyle w:val="Hyperlink"/>
                  <w:i/>
                </w:rPr>
                <w:t>Georgios.Meleas@eesc.europa.eu</w:t>
              </w:r>
            </w:hyperlink>
          </w:p>
        </w:tc>
      </w:tr>
    </w:tbl>
    <w:p w14:paraId="4982DD96" w14:textId="77777777" w:rsidR="004D7AC0" w:rsidRDefault="004D7AC0" w:rsidP="004D7AC0">
      <w:pPr>
        <w:pStyle w:val="ListParagraph"/>
        <w:ind w:left="0"/>
      </w:pPr>
    </w:p>
    <w:p w14:paraId="1C6EC985" w14:textId="77777777" w:rsidR="00BF3C21" w:rsidRDefault="00612898" w:rsidP="00BF3C2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hanging="567"/>
        <w:rPr>
          <w:b/>
          <w:i/>
          <w:iCs/>
          <w:sz w:val="28"/>
          <w:szCs w:val="28"/>
        </w:rPr>
      </w:pPr>
      <w:r>
        <w:br w:type="page"/>
      </w:r>
      <w:bookmarkStart w:id="1" w:name="_Toc75527081"/>
      <w:bookmarkStart w:id="2" w:name="_Toc216879500"/>
      <w:r w:rsidR="00BF3C21">
        <w:rPr>
          <w:b/>
          <w:i/>
          <w:sz w:val="28"/>
        </w:rPr>
        <w:lastRenderedPageBreak/>
        <w:t>ECO/685 –</w:t>
      </w:r>
      <w:r w:rsidR="00BF3C21">
        <w:t xml:space="preserve"> </w:t>
      </w:r>
      <w:hyperlink r:id="rId17" w:history="1">
        <w:r w:rsidR="00BF3C21">
          <w:rPr>
            <w:rStyle w:val="Hyperlink"/>
            <w:b/>
            <w:i/>
            <w:sz w:val="28"/>
          </w:rPr>
          <w:t>Uspostava Europskog fonda za regionalni razvoj, uključujući Europsku teritorijalnu suradnju (</w:t>
        </w:r>
        <w:proofErr w:type="spellStart"/>
        <w:r w:rsidR="00BF3C21">
          <w:rPr>
            <w:rStyle w:val="Hyperlink"/>
            <w:b/>
            <w:i/>
            <w:sz w:val="28"/>
          </w:rPr>
          <w:t>Interreg</w:t>
        </w:r>
        <w:proofErr w:type="spellEnd"/>
        <w:r w:rsidR="00BF3C21">
          <w:rPr>
            <w:rStyle w:val="Hyperlink"/>
            <w:b/>
            <w:i/>
            <w:sz w:val="28"/>
          </w:rPr>
          <w:t>), i Kohezijskog fonda</w:t>
        </w:r>
      </w:hyperlink>
    </w:p>
    <w:p w14:paraId="6135C297" w14:textId="77777777" w:rsidR="00BF3C21" w:rsidRDefault="00BF3C21" w:rsidP="00BF3C21">
      <w:pPr>
        <w:widowControl w:val="0"/>
        <w:ind w:left="284"/>
        <w:rPr>
          <w:b/>
          <w:i/>
          <w:iCs/>
          <w:sz w:val="8"/>
          <w:szCs w:val="8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21"/>
      </w:tblGrid>
      <w:tr w:rsidR="00BF3C21" w14:paraId="6B7150CA" w14:textId="77777777" w:rsidTr="00BF3C21">
        <w:tc>
          <w:tcPr>
            <w:tcW w:w="1701" w:type="dxa"/>
            <w:hideMark/>
          </w:tcPr>
          <w:p w14:paraId="6676FB70" w14:textId="77777777" w:rsidR="00BF3C21" w:rsidRDefault="00BF3C21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7621" w:type="dxa"/>
            <w:hideMark/>
          </w:tcPr>
          <w:p w14:paraId="7D98D6B1" w14:textId="77777777" w:rsidR="00BF3C21" w:rsidRDefault="00BF3C21">
            <w:pPr>
              <w:tabs>
                <w:tab w:val="center" w:pos="284"/>
              </w:tabs>
              <w:ind w:left="266" w:hanging="266"/>
              <w:rPr>
                <w:bCs/>
              </w:rPr>
            </w:pPr>
            <w:r>
              <w:t>David SVENTEK (Skupina poslodavaca– CZ)</w:t>
            </w:r>
          </w:p>
        </w:tc>
      </w:tr>
      <w:tr w:rsidR="00BF3C21" w14:paraId="039CB57F" w14:textId="77777777" w:rsidTr="00BF3C21">
        <w:tc>
          <w:tcPr>
            <w:tcW w:w="1701" w:type="dxa"/>
            <w:hideMark/>
          </w:tcPr>
          <w:p w14:paraId="75354566" w14:textId="77777777" w:rsidR="00BF3C21" w:rsidRDefault="00BF3C21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7621" w:type="dxa"/>
            <w:hideMark/>
          </w:tcPr>
          <w:p w14:paraId="17B4492D" w14:textId="77777777" w:rsidR="00BF3C21" w:rsidRDefault="00BF3C21">
            <w:pPr>
              <w:tabs>
                <w:tab w:val="center" w:pos="284"/>
              </w:tabs>
              <w:ind w:left="266" w:hanging="266"/>
              <w:rPr>
                <w:szCs w:val="20"/>
              </w:rPr>
            </w:pPr>
            <w:r>
              <w:t xml:space="preserve">COM(2025) 552 </w:t>
            </w:r>
            <w:proofErr w:type="spellStart"/>
            <w:r>
              <w:t>final</w:t>
            </w:r>
            <w:proofErr w:type="spellEnd"/>
          </w:p>
          <w:p w14:paraId="7A680535" w14:textId="77777777" w:rsidR="00BF3C21" w:rsidRDefault="00BF3C21">
            <w:pPr>
              <w:tabs>
                <w:tab w:val="center" w:pos="284"/>
              </w:tabs>
              <w:ind w:left="266" w:hanging="266"/>
            </w:pPr>
            <w:r>
              <w:t>EESC-2025-03305-00-00-AC-TRA</w:t>
            </w:r>
          </w:p>
        </w:tc>
      </w:tr>
    </w:tbl>
    <w:p w14:paraId="2DEB8AB3" w14:textId="77777777" w:rsidR="00BF3C21" w:rsidRDefault="00BF3C21" w:rsidP="00BF3C21">
      <w:pPr>
        <w:keepNext/>
        <w:keepLines/>
        <w:tabs>
          <w:tab w:val="center" w:pos="284"/>
        </w:tabs>
        <w:spacing w:before="120"/>
        <w:ind w:left="266" w:hanging="266"/>
        <w:rPr>
          <w:b/>
        </w:rPr>
      </w:pPr>
      <w:r>
        <w:rPr>
          <w:b/>
        </w:rPr>
        <w:t>Ključne točke</w:t>
      </w:r>
    </w:p>
    <w:p w14:paraId="4034CC65" w14:textId="77777777" w:rsidR="00BF3C21" w:rsidRDefault="00BF3C21" w:rsidP="00BF3C21">
      <w:pPr>
        <w:rPr>
          <w:bCs/>
          <w:iCs/>
        </w:rPr>
      </w:pPr>
      <w:r>
        <w:t>EGSO:</w:t>
      </w:r>
    </w:p>
    <w:p w14:paraId="44921097" w14:textId="77777777" w:rsidR="00BF3C21" w:rsidRDefault="00BF3C21" w:rsidP="00BF3C21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  <w:rPr>
          <w:szCs w:val="20"/>
        </w:rPr>
      </w:pPr>
      <w:r>
        <w:t>naglašava da je potreba za smanjenjem regionalnih i teritorijalnih razlika i dalje jedan od ključnih prioriteta integracije EU-a i da je upotreba tradicionalnih, isprobanih i djelotvornih instrumenata kohezijske politike pravi put prema podupiranju održivog blagostanja u svim regijama EU-a;</w:t>
      </w:r>
    </w:p>
    <w:p w14:paraId="329338CA" w14:textId="77777777" w:rsidR="00BF3C21" w:rsidRDefault="00BF3C21" w:rsidP="00BF3C21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</w:pPr>
      <w:r>
        <w:t>preporučuje da se pojasni uloga Europskog fonda za regionalni razvoj (EFRR) i Kohezijskog fonda u Nacionalnom i regionalnom partnerskom fondu, i to putem općih i specifičnih ciljeva, ali i konkretnog obrazloženja u Uredbi. EGSO bi pozdravio to da se Prijedlog uredbe na koji se ovo mišljenje odnosi razradi i dopuni barem prilogom u kojem bi se navele smjernice za djelotvornu integraciju EFRR-a i Kohezijskog fonda u Nacionalni i regionalni partnerski fond;</w:t>
      </w:r>
    </w:p>
    <w:p w14:paraId="54F65F3E" w14:textId="77777777" w:rsidR="00BF3C21" w:rsidRDefault="00BF3C21" w:rsidP="00BF3C21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</w:pPr>
      <w:r>
        <w:t>ustraje na tome da zbog novog ustroja EFRR i Kohezijski fond, kao i njihova misija ne bi smjeli izgubiti na važnosti, posebno u podupiranju razvoja regija koje zaostaju i preobrazbi industrijskih područja. Također naglašava važnost načela partnerstva u osmišljavanju budućih programa;</w:t>
      </w:r>
    </w:p>
    <w:p w14:paraId="0AB0C0C4" w14:textId="77777777" w:rsidR="00BF3C21" w:rsidRDefault="00BF3C21" w:rsidP="00BF3C21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</w:pPr>
      <w:r>
        <w:t xml:space="preserve">slaže se sa sadržajem i tematskom usmjerenošću budućeg programa </w:t>
      </w:r>
      <w:proofErr w:type="spellStart"/>
      <w:r>
        <w:t>Interreg</w:t>
      </w:r>
      <w:proofErr w:type="spellEnd"/>
      <w:r>
        <w:t xml:space="preserve"> i njegovom sinergijom s programom Globalna Europa u konkretnim predloženim slučajevima;</w:t>
      </w:r>
    </w:p>
    <w:p w14:paraId="39DFE09E" w14:textId="77777777" w:rsidR="00BF3C21" w:rsidRDefault="00BF3C21" w:rsidP="00BF3C21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</w:pPr>
      <w:r>
        <w:t xml:space="preserve">općenito se slaže s inovativnim pristupom Prijedloga u vezi s budućnošću postojećeg programa </w:t>
      </w:r>
      <w:proofErr w:type="spellStart"/>
      <w:r>
        <w:t>Interreg</w:t>
      </w:r>
      <w:proofErr w:type="spellEnd"/>
      <w:r>
        <w:t xml:space="preserve">, posebno u pogledu prihvaćanja provedbene strukture na razini pojedinačnih poglavlja plana za </w:t>
      </w:r>
      <w:proofErr w:type="spellStart"/>
      <w:r>
        <w:t>Interreg</w:t>
      </w:r>
      <w:proofErr w:type="spellEnd"/>
      <w:r>
        <w:t>;</w:t>
      </w:r>
    </w:p>
    <w:p w14:paraId="5CB8D6D4" w14:textId="77777777" w:rsidR="00BF3C21" w:rsidRDefault="00BF3C21" w:rsidP="00BF3C21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</w:pPr>
      <w:r>
        <w:t>skreće pozornost na rizik da relevantni akteri na regionalnoj prekograničnoj razini neće moći postići dogovor s obzirom na to da nacrt uredbe nije vrlo detaljan. Također preporučuje da se provedbeni akt donese odmah nakon donošenja uredbe;</w:t>
      </w:r>
    </w:p>
    <w:p w14:paraId="3A165D28" w14:textId="77777777" w:rsidR="00BF3C21" w:rsidRDefault="00BF3C21" w:rsidP="00BF3C21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</w:pPr>
      <w:r>
        <w:t>preporučuje da se osigura sličnost tumačenja i provedbe fondova na razini država članica i da ne bude znatnih razlika među državama članicama;</w:t>
      </w:r>
    </w:p>
    <w:p w14:paraId="07008EB8" w14:textId="77777777" w:rsidR="00BF3C21" w:rsidRDefault="00BF3C21" w:rsidP="00BF3C21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</w:pPr>
      <w:r>
        <w:t>EGSO podržava pojednostavljenje provedbe i administrativnih postupaka radi učinkovitijeg korištenja sredstava;</w:t>
      </w:r>
    </w:p>
    <w:p w14:paraId="3B6FCB63" w14:textId="77777777" w:rsidR="00BF3C21" w:rsidRDefault="00BF3C21" w:rsidP="00BF3C21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  <w:rPr>
          <w:bCs/>
          <w:iCs/>
        </w:rPr>
      </w:pPr>
      <w:r>
        <w:t xml:space="preserve">cijeni činjenicu da se Prijedlogom uredbe o EFRR-u i Kohezijskom fondu predviđa i mogućnost podupiranja održivog urbanog razvoja i, unutar tog okvira, integriranih strategija urbanog i teritorijalnog razvoja u čijem su središtu održivi razvoj i svladavanje izazova u području okoliša, energetike i klime te pravedna tranzicija na čisto, klimatski neutralno i otporno gospodarstvo, uz posvećivanje posebne pozornosti </w:t>
      </w:r>
      <w:proofErr w:type="spellStart"/>
      <w:r>
        <w:t>priuštivom</w:t>
      </w:r>
      <w:proofErr w:type="spellEnd"/>
      <w:r>
        <w:t xml:space="preserve"> stanovanju, siromaštvu, kulturnoj baštini i iskorištavanju potencijala digitalnih tehnologija za inovacije i energetsku učinkovitost.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904"/>
      </w:tblGrid>
      <w:tr w:rsidR="00BF3C21" w14:paraId="69B3CB60" w14:textId="77777777" w:rsidTr="00BF3C21">
        <w:tc>
          <w:tcPr>
            <w:tcW w:w="1418" w:type="dxa"/>
            <w:hideMark/>
          </w:tcPr>
          <w:p w14:paraId="4ADA64B0" w14:textId="77777777" w:rsidR="00BF3C21" w:rsidRDefault="00BF3C21">
            <w:pPr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7904" w:type="dxa"/>
            <w:hideMark/>
          </w:tcPr>
          <w:p w14:paraId="375597F8" w14:textId="77777777" w:rsidR="00BF3C21" w:rsidRDefault="00BF3C21">
            <w:pPr>
              <w:rPr>
                <w:i/>
              </w:rPr>
            </w:pPr>
            <w:proofErr w:type="spellStart"/>
            <w:r>
              <w:rPr>
                <w:i/>
              </w:rPr>
              <w:t>Georgios</w:t>
            </w:r>
            <w:proofErr w:type="spellEnd"/>
            <w:r>
              <w:rPr>
                <w:i/>
              </w:rPr>
              <w:t xml:space="preserve"> MELEAS</w:t>
            </w:r>
          </w:p>
        </w:tc>
      </w:tr>
      <w:tr w:rsidR="00BF3C21" w14:paraId="030A895A" w14:textId="77777777" w:rsidTr="00BF3C21">
        <w:tc>
          <w:tcPr>
            <w:tcW w:w="1418" w:type="dxa"/>
            <w:hideMark/>
          </w:tcPr>
          <w:p w14:paraId="318E0A40" w14:textId="77777777" w:rsidR="00BF3C21" w:rsidRDefault="00BF3C21">
            <w:pPr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904" w:type="dxa"/>
            <w:hideMark/>
          </w:tcPr>
          <w:p w14:paraId="312C1410" w14:textId="77777777" w:rsidR="00BF3C21" w:rsidRDefault="00BF3C21">
            <w:pPr>
              <w:rPr>
                <w:i/>
              </w:rPr>
            </w:pPr>
            <w:r>
              <w:rPr>
                <w:i/>
              </w:rPr>
              <w:t>+32 2</w:t>
            </w:r>
            <w:r>
              <w:t xml:space="preserve"> </w:t>
            </w:r>
            <w:r>
              <w:rPr>
                <w:i/>
              </w:rPr>
              <w:t>546 9795</w:t>
            </w:r>
          </w:p>
        </w:tc>
      </w:tr>
      <w:tr w:rsidR="00BF3C21" w14:paraId="6D892C46" w14:textId="77777777" w:rsidTr="00BF3C21">
        <w:tc>
          <w:tcPr>
            <w:tcW w:w="1418" w:type="dxa"/>
            <w:hideMark/>
          </w:tcPr>
          <w:p w14:paraId="4643E583" w14:textId="77777777" w:rsidR="00BF3C21" w:rsidRDefault="00BF3C21">
            <w:pPr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7904" w:type="dxa"/>
            <w:hideMark/>
          </w:tcPr>
          <w:p w14:paraId="35C8A5B0" w14:textId="77777777" w:rsidR="00BF3C21" w:rsidRDefault="00A00905">
            <w:pPr>
              <w:rPr>
                <w:i/>
                <w:iCs/>
                <w:szCs w:val="20"/>
              </w:rPr>
            </w:pPr>
            <w:hyperlink r:id="rId18" w:history="1">
              <w:r w:rsidR="00BF3C21">
                <w:rPr>
                  <w:rStyle w:val="Hyperlink"/>
                  <w:i/>
                </w:rPr>
                <w:t>Georgios.Meleas@eesc.europa.eu</w:t>
              </w:r>
            </w:hyperlink>
          </w:p>
        </w:tc>
      </w:tr>
    </w:tbl>
    <w:p w14:paraId="7E924502" w14:textId="77777777" w:rsidR="00BF3C21" w:rsidRDefault="00BF3C21" w:rsidP="00BF3C21">
      <w:pPr>
        <w:spacing w:after="160" w:line="259" w:lineRule="auto"/>
        <w:jc w:val="left"/>
        <w:rPr>
          <w:b/>
        </w:rPr>
      </w:pPr>
    </w:p>
    <w:p w14:paraId="4343F7A8" w14:textId="77777777" w:rsidR="00BF3C21" w:rsidRDefault="00BF3C21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4982DD99" w14:textId="4C6E6C77" w:rsidR="004D7AC0" w:rsidRDefault="004D7AC0" w:rsidP="00BF3C21">
      <w:pPr>
        <w:spacing w:after="160" w:line="259" w:lineRule="auto"/>
        <w:jc w:val="left"/>
        <w:rPr>
          <w:b/>
        </w:rPr>
      </w:pPr>
      <w:r>
        <w:rPr>
          <w:b/>
        </w:rPr>
        <w:lastRenderedPageBreak/>
        <w:t>STRUČNA SKUPINA ZA ZAPOŠLJAVANJE, SOCIJALNA PITANJA I GRAĐANSTVO</w:t>
      </w:r>
      <w:bookmarkEnd w:id="1"/>
      <w:bookmarkEnd w:id="2"/>
    </w:p>
    <w:p w14:paraId="4982DD9A" w14:textId="77777777" w:rsidR="004D7AC0" w:rsidRDefault="004D7AC0" w:rsidP="004D7AC0"/>
    <w:p w14:paraId="0203F323" w14:textId="77777777" w:rsidR="00C24C34" w:rsidRDefault="00C24C34" w:rsidP="004D7AC0"/>
    <w:p w14:paraId="343B877C" w14:textId="77777777" w:rsidR="00BF3C21" w:rsidRDefault="00BF3C21" w:rsidP="00BF3C21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rPr>
          <w:rStyle w:val="Hyperlink"/>
          <w:b/>
        </w:rPr>
      </w:pPr>
      <w:r>
        <w:rPr>
          <w:b/>
          <w:i/>
          <w:sz w:val="28"/>
        </w:rPr>
        <w:t>SOC/828 –</w:t>
      </w:r>
      <w:r>
        <w:t xml:space="preserve"> </w:t>
      </w:r>
      <w:hyperlink r:id="rId19" w:history="1">
        <w:r>
          <w:rPr>
            <w:rStyle w:val="Hyperlink"/>
            <w:b/>
            <w:i/>
            <w:sz w:val="28"/>
          </w:rPr>
          <w:t>Radnička prava novinara</w:t>
        </w:r>
      </w:hyperlink>
    </w:p>
    <w:p w14:paraId="6AC9691A" w14:textId="77777777" w:rsidR="00BF3C21" w:rsidRDefault="00BF3C21" w:rsidP="00BF3C21">
      <w:pPr>
        <w:tabs>
          <w:tab w:val="center" w:pos="284"/>
        </w:tabs>
        <w:ind w:left="567" w:hanging="567"/>
        <w:rPr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6237"/>
      </w:tblGrid>
      <w:tr w:rsidR="00BF3C21" w14:paraId="57CC9585" w14:textId="77777777" w:rsidTr="00BF3C21">
        <w:tc>
          <w:tcPr>
            <w:tcW w:w="1701" w:type="dxa"/>
            <w:hideMark/>
          </w:tcPr>
          <w:p w14:paraId="4BD1E81B" w14:textId="77777777" w:rsidR="00BF3C21" w:rsidRDefault="00BF3C21">
            <w:pPr>
              <w:tabs>
                <w:tab w:val="center" w:pos="284"/>
              </w:tabs>
              <w:ind w:left="567" w:hanging="567"/>
              <w:rPr>
                <w:b/>
              </w:rPr>
            </w:pPr>
            <w:r>
              <w:rPr>
                <w:b/>
              </w:rPr>
              <w:t>Izvjestitelj/ica:</w:t>
            </w:r>
          </w:p>
          <w:p w14:paraId="4EC22FBF" w14:textId="77777777" w:rsidR="00BF3C21" w:rsidRDefault="00BF3C21">
            <w:pPr>
              <w:tabs>
                <w:tab w:val="center" w:pos="284"/>
              </w:tabs>
              <w:ind w:left="567" w:hanging="567"/>
              <w:rPr>
                <w:b/>
              </w:rPr>
            </w:pPr>
            <w:r>
              <w:rPr>
                <w:b/>
              </w:rPr>
              <w:t>Suizvjestitelj/ica:</w:t>
            </w:r>
          </w:p>
        </w:tc>
        <w:tc>
          <w:tcPr>
            <w:tcW w:w="6237" w:type="dxa"/>
            <w:hideMark/>
          </w:tcPr>
          <w:p w14:paraId="0AAE875C" w14:textId="77777777" w:rsidR="00BF3C21" w:rsidRDefault="00BF3C21">
            <w:pPr>
              <w:ind w:left="567" w:hanging="567"/>
            </w:pPr>
            <w:r>
              <w:t>José Antonio MORENO DÍAZ (Skupina radnika – ES)</w:t>
            </w:r>
          </w:p>
          <w:p w14:paraId="648B8725" w14:textId="77777777" w:rsidR="00BF3C21" w:rsidRDefault="00BF3C21">
            <w:pPr>
              <w:ind w:left="567" w:hanging="567"/>
            </w:pPr>
            <w:r>
              <w:t>Christian MOOS (Skupina organizacija civilnog društva – DE)</w:t>
            </w:r>
          </w:p>
        </w:tc>
      </w:tr>
      <w:tr w:rsidR="00BF3C21" w14:paraId="6F8F8C08" w14:textId="77777777" w:rsidTr="00BF3C21">
        <w:tc>
          <w:tcPr>
            <w:tcW w:w="1701" w:type="dxa"/>
            <w:vMerge w:val="restart"/>
          </w:tcPr>
          <w:p w14:paraId="5E90EB8D" w14:textId="77777777" w:rsidR="00BF3C21" w:rsidRPr="0036320A" w:rsidRDefault="00BF3C21">
            <w:pPr>
              <w:tabs>
                <w:tab w:val="center" w:pos="284"/>
              </w:tabs>
              <w:ind w:left="567" w:hanging="567"/>
              <w:rPr>
                <w:b/>
              </w:rPr>
            </w:pPr>
          </w:p>
          <w:p w14:paraId="78A97110" w14:textId="77777777" w:rsidR="00BF3C21" w:rsidRDefault="00BF3C21">
            <w:pPr>
              <w:tabs>
                <w:tab w:val="center" w:pos="284"/>
              </w:tabs>
              <w:ind w:left="567" w:hanging="567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6237" w:type="dxa"/>
          </w:tcPr>
          <w:p w14:paraId="176361C9" w14:textId="77777777" w:rsidR="00BF3C21" w:rsidRDefault="00BF3C21">
            <w:pPr>
              <w:tabs>
                <w:tab w:val="center" w:pos="284"/>
              </w:tabs>
              <w:ind w:left="567" w:hanging="567"/>
              <w:rPr>
                <w:lang w:val="pt-PT"/>
              </w:rPr>
            </w:pPr>
          </w:p>
          <w:p w14:paraId="5AAB0FF2" w14:textId="77777777" w:rsidR="00BF3C21" w:rsidRDefault="00BF3C21">
            <w:pPr>
              <w:tabs>
                <w:tab w:val="center" w:pos="284"/>
              </w:tabs>
              <w:ind w:left="567" w:hanging="567"/>
            </w:pPr>
            <w:r>
              <w:t>EESC-2025-01400-00-00-AC-TRA</w:t>
            </w:r>
          </w:p>
        </w:tc>
      </w:tr>
      <w:tr w:rsidR="00BF3C21" w14:paraId="385FFA8B" w14:textId="77777777" w:rsidTr="00BF3C21">
        <w:tc>
          <w:tcPr>
            <w:tcW w:w="0" w:type="auto"/>
            <w:vMerge/>
            <w:vAlign w:val="center"/>
            <w:hideMark/>
          </w:tcPr>
          <w:p w14:paraId="70FBF5EE" w14:textId="77777777" w:rsidR="00BF3C21" w:rsidRDefault="00BF3C21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6237" w:type="dxa"/>
          </w:tcPr>
          <w:p w14:paraId="0D16A260" w14:textId="77777777" w:rsidR="00BF3C21" w:rsidRDefault="00BF3C21">
            <w:pPr>
              <w:tabs>
                <w:tab w:val="center" w:pos="284"/>
              </w:tabs>
              <w:ind w:left="266" w:hanging="266"/>
              <w:rPr>
                <w:sz w:val="16"/>
                <w:szCs w:val="16"/>
                <w:lang w:val="pt-PT"/>
              </w:rPr>
            </w:pPr>
          </w:p>
        </w:tc>
      </w:tr>
    </w:tbl>
    <w:p w14:paraId="551B6CC7" w14:textId="77777777" w:rsidR="00BF3C21" w:rsidRDefault="00BF3C21" w:rsidP="00BF3C21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Ključne točke</w:t>
      </w:r>
    </w:p>
    <w:p w14:paraId="1828F6AC" w14:textId="77777777" w:rsidR="00BF3C21" w:rsidRDefault="00BF3C21" w:rsidP="00BF3C21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768BD8EE" w14:textId="77777777" w:rsidR="00BF3C21" w:rsidRDefault="00BF3C21" w:rsidP="00BF3C21">
      <w:pPr>
        <w:keepNext/>
        <w:keepLines/>
        <w:tabs>
          <w:tab w:val="center" w:pos="284"/>
        </w:tabs>
        <w:ind w:left="266" w:hanging="266"/>
        <w:rPr>
          <w:b/>
          <w:bCs/>
          <w:szCs w:val="20"/>
        </w:rPr>
      </w:pPr>
      <w:r>
        <w:t>EGSO:</w:t>
      </w:r>
    </w:p>
    <w:p w14:paraId="6E0E285B" w14:textId="77777777" w:rsidR="00BF3C21" w:rsidRDefault="00BF3C21" w:rsidP="00BF3C21">
      <w:pPr>
        <w:pStyle w:val="Heading2"/>
        <w:numPr>
          <w:ilvl w:val="1"/>
          <w:numId w:val="41"/>
        </w:numPr>
        <w:spacing w:line="264" w:lineRule="auto"/>
      </w:pPr>
      <w:r>
        <w:t>potiče vlasti da hitno poduzmu zaštitne mjere protiv sve nesigurnijeg položaja novinara i poziva na potpunu primjenu Europskog akta o slobodi medija. Također poziva na to da se uz postojeće subvencije uvede neovisna potpora medijskim kućama kako bi se osigurala održivost europskog medijskog sektora, kao i na to da se znatno povećaju sredstva za zaštitu pouzdanog informacijskog ekosustava;</w:t>
      </w:r>
    </w:p>
    <w:p w14:paraId="302F1BAD" w14:textId="77777777" w:rsidR="00BF3C21" w:rsidRDefault="00BF3C21" w:rsidP="00BF3C21">
      <w:pPr>
        <w:pStyle w:val="Heading2"/>
        <w:numPr>
          <w:ilvl w:val="1"/>
          <w:numId w:val="41"/>
        </w:numPr>
        <w:spacing w:line="264" w:lineRule="auto"/>
        <w:rPr>
          <w:bCs/>
        </w:rPr>
      </w:pPr>
      <w:r>
        <w:t>potiče Europsku komisiju da predloži ambiciozan paket mjera politike i ulaganja za potporu kvalitetnim radnim mjestima u medijskom sektoru, a vlade poziva da prenošenjem Direktive o primjerenim minimalnim plaćama</w:t>
      </w:r>
      <w:r>
        <w:rPr>
          <w:sz w:val="24"/>
          <w:szCs w:val="24"/>
          <w:vertAlign w:val="superscript"/>
        </w:rPr>
        <w:footnoteReference w:id="1"/>
      </w:r>
      <w:r>
        <w:t xml:space="preserve"> (ako je to primjenjivo) i Smjernica o primjeni prava Unije o tržišnom natjecanju na kolektivne ugovore samozaposlenih pojedinaca</w:t>
      </w:r>
      <w:r>
        <w:rPr>
          <w:sz w:val="24"/>
          <w:szCs w:val="24"/>
          <w:vertAlign w:val="superscript"/>
        </w:rPr>
        <w:footnoteReference w:id="2"/>
      </w:r>
      <w:r>
        <w:t xml:space="preserve"> promiču socijalni dijalog i kolektivno pregovaranje za sve novinare, uključujući samozaposlene. Nadalje, poziva Europsku komisiju i države članice da se bore protiv lažnog samozapošljavanja;</w:t>
      </w:r>
    </w:p>
    <w:p w14:paraId="1A4595FD" w14:textId="77777777" w:rsidR="00BF3C21" w:rsidRDefault="00BF3C21" w:rsidP="00BF3C21">
      <w:pPr>
        <w:pStyle w:val="Heading2"/>
        <w:numPr>
          <w:ilvl w:val="1"/>
          <w:numId w:val="41"/>
        </w:numPr>
        <w:spacing w:line="264" w:lineRule="auto"/>
      </w:pPr>
      <w:r>
        <w:t>poziva Europsku komisiju da poduzme daljnje mjere u vezi s Preporukom o zaštiti, sigurnosti i osnaživanju novinara</w:t>
      </w:r>
      <w:r>
        <w:rPr>
          <w:sz w:val="24"/>
          <w:szCs w:val="24"/>
          <w:vertAlign w:val="superscript"/>
        </w:rPr>
        <w:footnoteReference w:id="3"/>
      </w:r>
      <w:r>
        <w:t xml:space="preserve"> te naglašava potrebu za dubljom suradnjom s organizacijama novinara kako bi se izgradile strukture kojima se može zaštititi sigurnost novinara. Novinari su u svojem radu u velikoj mjeri izloženi stresu, sindromu izgaranja na poslu, uznemiravanju na internetu i digitalnom preopterećenju. Bilo bi korisno da Komisija razmotri koje korake može poduzeti u pogledu Rezolucije Europskog parlamenta od 10. ožujka 2022. u kojoj se poziva na donošenje direktive o psihosocijalnim rizicima. EGSO je spreman izraditi mišljenje o toj temi;</w:t>
      </w:r>
      <w:r>
        <w:rPr>
          <w:rStyle w:val="FootnoteReference"/>
        </w:rPr>
        <w:footnoteReference w:id="4"/>
      </w:r>
    </w:p>
    <w:p w14:paraId="7A97D217" w14:textId="77777777" w:rsidR="00BF3C21" w:rsidRDefault="00BF3C21" w:rsidP="00BF3C21">
      <w:pPr>
        <w:pStyle w:val="Heading2"/>
        <w:numPr>
          <w:ilvl w:val="1"/>
          <w:numId w:val="41"/>
        </w:numPr>
        <w:spacing w:line="264" w:lineRule="auto"/>
      </w:pPr>
      <w:r>
        <w:t>poziva Europsku komisiju da radi zaštite novinara prati primjenu zakonodavnog okvira EU-a o upotrebi umjetne inteligencije te potiče novinarske sindikate i medijske organizacije da se u okviru socijalnog dijaloga pozabave pitanjem upotrebe umjetne inteligencije u redakcijama. Također poziva na financiranje projekata kojima se razvija pismenost novinara u području umjetne inteligencije, na razmatranje mogućnosti sufinanciranja „europskih akademija za novinarstvo”, na osposobljavanje i eventualno subvencioniranje plaća mladih novinara iz medijskih poduzeća koja poštuju visoke standarde kvalitetnog novinarstva i radnih uvjeta.</w:t>
      </w:r>
    </w:p>
    <w:p w14:paraId="2D63ABA0" w14:textId="77777777" w:rsidR="00BF3C21" w:rsidRDefault="00BF3C21" w:rsidP="00BF3C2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4493"/>
      </w:tblGrid>
      <w:tr w:rsidR="00BF3C21" w14:paraId="47343E75" w14:textId="77777777" w:rsidTr="00BF3C21">
        <w:tc>
          <w:tcPr>
            <w:tcW w:w="1210" w:type="dxa"/>
            <w:hideMark/>
          </w:tcPr>
          <w:p w14:paraId="63BBE8EC" w14:textId="77777777" w:rsidR="00BF3C21" w:rsidRDefault="00BF3C21">
            <w:pPr>
              <w:spacing w:line="240" w:lineRule="auto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4493" w:type="dxa"/>
            <w:hideMark/>
          </w:tcPr>
          <w:p w14:paraId="3AE390BC" w14:textId="77777777" w:rsidR="00BF3C21" w:rsidRDefault="00BF3C21">
            <w:pPr>
              <w:spacing w:line="240" w:lineRule="auto"/>
              <w:ind w:hanging="12"/>
              <w:rPr>
                <w:i/>
              </w:rPr>
            </w:pPr>
            <w:r>
              <w:rPr>
                <w:i/>
              </w:rPr>
              <w:t xml:space="preserve">June </w:t>
            </w:r>
            <w:proofErr w:type="spellStart"/>
            <w:r>
              <w:rPr>
                <w:i/>
              </w:rPr>
              <w:t>Bedaton</w:t>
            </w:r>
            <w:proofErr w:type="spellEnd"/>
          </w:p>
        </w:tc>
      </w:tr>
      <w:tr w:rsidR="00BF3C21" w14:paraId="2E244236" w14:textId="77777777" w:rsidTr="00BF3C21">
        <w:tc>
          <w:tcPr>
            <w:tcW w:w="1210" w:type="dxa"/>
            <w:hideMark/>
          </w:tcPr>
          <w:p w14:paraId="3A4CF741" w14:textId="77777777" w:rsidR="00BF3C21" w:rsidRDefault="00BF3C21">
            <w:pPr>
              <w:spacing w:line="240" w:lineRule="auto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493" w:type="dxa"/>
            <w:hideMark/>
          </w:tcPr>
          <w:p w14:paraId="35B64FE8" w14:textId="77777777" w:rsidR="00BF3C21" w:rsidRDefault="00BF3C21">
            <w:pPr>
              <w:spacing w:line="240" w:lineRule="auto"/>
              <w:rPr>
                <w:i/>
              </w:rPr>
            </w:pPr>
            <w:r>
              <w:rPr>
                <w:i/>
              </w:rPr>
              <w:t>+32 25468134</w:t>
            </w:r>
          </w:p>
        </w:tc>
      </w:tr>
      <w:tr w:rsidR="00BF3C21" w14:paraId="5C7DB0DB" w14:textId="77777777" w:rsidTr="00BF3C21">
        <w:tc>
          <w:tcPr>
            <w:tcW w:w="1210" w:type="dxa"/>
            <w:hideMark/>
          </w:tcPr>
          <w:p w14:paraId="400CDDAB" w14:textId="77777777" w:rsidR="00BF3C21" w:rsidRDefault="00BF3C21">
            <w:pPr>
              <w:spacing w:line="240" w:lineRule="auto"/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4493" w:type="dxa"/>
            <w:hideMark/>
          </w:tcPr>
          <w:p w14:paraId="48A0D0F9" w14:textId="77777777" w:rsidR="00BF3C21" w:rsidRDefault="00A00905">
            <w:pPr>
              <w:spacing w:line="240" w:lineRule="auto"/>
              <w:rPr>
                <w:i/>
                <w:iCs/>
              </w:rPr>
            </w:pPr>
            <w:hyperlink r:id="rId20" w:history="1">
              <w:r w:rsidR="00BF3C21">
                <w:rPr>
                  <w:rStyle w:val="Hyperlink"/>
                  <w:i/>
                </w:rPr>
                <w:t>june.bedaton@eesc.europa.eu</w:t>
              </w:r>
            </w:hyperlink>
            <w:r w:rsidR="00BF3C21">
              <w:rPr>
                <w:i/>
              </w:rPr>
              <w:t xml:space="preserve"> </w:t>
            </w:r>
          </w:p>
        </w:tc>
      </w:tr>
    </w:tbl>
    <w:p w14:paraId="4C267D85" w14:textId="77777777" w:rsidR="00BB4CB5" w:rsidRDefault="004D7AC0" w:rsidP="00BB4CB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rPr>
          <w:rStyle w:val="Hyperlink"/>
          <w:b/>
          <w:color w:val="auto"/>
          <w:u w:val="none"/>
        </w:rPr>
      </w:pPr>
      <w:r>
        <w:br w:type="page"/>
      </w:r>
      <w:r w:rsidR="00BB4CB5">
        <w:rPr>
          <w:b/>
          <w:i/>
          <w:sz w:val="28"/>
        </w:rPr>
        <w:lastRenderedPageBreak/>
        <w:t>SOC/843 –</w:t>
      </w:r>
      <w:hyperlink r:id="rId21" w:history="1">
        <w:r w:rsidR="00BB4CB5">
          <w:rPr>
            <w:rStyle w:val="Hyperlink"/>
            <w:b/>
            <w:i/>
            <w:sz w:val="28"/>
          </w:rPr>
          <w:t xml:space="preserve"> Programi </w:t>
        </w:r>
        <w:proofErr w:type="spellStart"/>
        <w:r w:rsidR="00BB4CB5">
          <w:rPr>
            <w:rStyle w:val="Hyperlink"/>
            <w:b/>
            <w:i/>
            <w:sz w:val="28"/>
          </w:rPr>
          <w:t>AgoraEU</w:t>
        </w:r>
        <w:proofErr w:type="spellEnd"/>
        <w:r w:rsidR="00BB4CB5">
          <w:rPr>
            <w:rStyle w:val="Hyperlink"/>
            <w:b/>
            <w:i/>
            <w:sz w:val="28"/>
          </w:rPr>
          <w:t xml:space="preserve"> i Pravosuđe</w:t>
        </w:r>
      </w:hyperlink>
    </w:p>
    <w:p w14:paraId="7BAA2A69" w14:textId="77777777" w:rsidR="00BB4CB5" w:rsidRDefault="00BB4CB5" w:rsidP="00BB4CB5">
      <w:pPr>
        <w:tabs>
          <w:tab w:val="center" w:pos="284"/>
        </w:tabs>
        <w:ind w:left="567" w:hanging="567"/>
        <w:rPr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4"/>
        <w:gridCol w:w="6237"/>
      </w:tblGrid>
      <w:tr w:rsidR="00BB4CB5" w14:paraId="307F1B70" w14:textId="77777777" w:rsidTr="00BB4CB5">
        <w:tc>
          <w:tcPr>
            <w:tcW w:w="1701" w:type="dxa"/>
            <w:hideMark/>
          </w:tcPr>
          <w:p w14:paraId="4A29FFD8" w14:textId="77777777" w:rsidR="00BB4CB5" w:rsidRDefault="00BB4CB5">
            <w:pPr>
              <w:tabs>
                <w:tab w:val="center" w:pos="284"/>
              </w:tabs>
              <w:ind w:left="567" w:hanging="567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6237" w:type="dxa"/>
            <w:hideMark/>
          </w:tcPr>
          <w:p w14:paraId="4848EB7E" w14:textId="77777777" w:rsidR="00BB4CB5" w:rsidRDefault="00BB4CB5">
            <w:pPr>
              <w:ind w:left="567" w:hanging="567"/>
            </w:pPr>
            <w:proofErr w:type="spellStart"/>
            <w:r>
              <w:t>Ionuţ</w:t>
            </w:r>
            <w:proofErr w:type="spellEnd"/>
            <w:r>
              <w:t xml:space="preserve"> SIBIAN (Skupina organizacija civilnog društva – RO)</w:t>
            </w:r>
          </w:p>
        </w:tc>
      </w:tr>
      <w:tr w:rsidR="00BB4CB5" w14:paraId="3AC31D4F" w14:textId="77777777" w:rsidTr="00BB4CB5">
        <w:tc>
          <w:tcPr>
            <w:tcW w:w="1701" w:type="dxa"/>
            <w:vMerge w:val="restart"/>
          </w:tcPr>
          <w:p w14:paraId="174C694A" w14:textId="77777777" w:rsidR="00BB4CB5" w:rsidRPr="0036320A" w:rsidRDefault="00BB4CB5">
            <w:pPr>
              <w:tabs>
                <w:tab w:val="center" w:pos="284"/>
              </w:tabs>
              <w:ind w:left="567" w:hanging="567"/>
              <w:rPr>
                <w:b/>
              </w:rPr>
            </w:pPr>
          </w:p>
          <w:p w14:paraId="696FE7F0" w14:textId="77777777" w:rsidR="00BB4CB5" w:rsidRDefault="00BB4CB5">
            <w:pPr>
              <w:tabs>
                <w:tab w:val="center" w:pos="284"/>
              </w:tabs>
              <w:ind w:left="567" w:hanging="567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6237" w:type="dxa"/>
          </w:tcPr>
          <w:p w14:paraId="0521DAE7" w14:textId="77777777" w:rsidR="00BB4CB5" w:rsidRDefault="00BB4CB5">
            <w:pPr>
              <w:tabs>
                <w:tab w:val="center" w:pos="284"/>
              </w:tabs>
              <w:ind w:left="567" w:hanging="567"/>
              <w:rPr>
                <w:lang w:val="pt-PT"/>
              </w:rPr>
            </w:pPr>
          </w:p>
          <w:p w14:paraId="7ED774EE" w14:textId="77777777" w:rsidR="00BB4CB5" w:rsidRDefault="00BB4CB5">
            <w:pPr>
              <w:tabs>
                <w:tab w:val="center" w:pos="284"/>
              </w:tabs>
              <w:ind w:left="567" w:hanging="567"/>
            </w:pPr>
            <w:r>
              <w:t>EESC-2025-02823-00-00-AC</w:t>
            </w:r>
          </w:p>
          <w:p w14:paraId="2AADC453" w14:textId="77777777" w:rsidR="00BB4CB5" w:rsidRDefault="00BB4CB5">
            <w:pPr>
              <w:tabs>
                <w:tab w:val="center" w:pos="284"/>
              </w:tabs>
              <w:ind w:left="567" w:hanging="567"/>
            </w:pPr>
            <w:r>
              <w:t xml:space="preserve">COM(2025) 463 </w:t>
            </w:r>
            <w:proofErr w:type="spellStart"/>
            <w:r>
              <w:t>final</w:t>
            </w:r>
            <w:proofErr w:type="spellEnd"/>
          </w:p>
          <w:p w14:paraId="67517359" w14:textId="77777777" w:rsidR="00BB4CB5" w:rsidRDefault="00BB4CB5">
            <w:pPr>
              <w:tabs>
                <w:tab w:val="center" w:pos="284"/>
              </w:tabs>
              <w:ind w:left="567" w:hanging="567"/>
            </w:pPr>
            <w:r>
              <w:t xml:space="preserve">COM(2025) 550 </w:t>
            </w:r>
            <w:proofErr w:type="spellStart"/>
            <w:r>
              <w:t>final</w:t>
            </w:r>
            <w:proofErr w:type="spellEnd"/>
          </w:p>
        </w:tc>
      </w:tr>
      <w:tr w:rsidR="00BB4CB5" w14:paraId="2515E6AB" w14:textId="77777777" w:rsidTr="00BB4CB5">
        <w:tc>
          <w:tcPr>
            <w:tcW w:w="0" w:type="auto"/>
            <w:vMerge/>
            <w:vAlign w:val="center"/>
            <w:hideMark/>
          </w:tcPr>
          <w:p w14:paraId="6A4842D4" w14:textId="77777777" w:rsidR="00BB4CB5" w:rsidRDefault="00BB4CB5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6237" w:type="dxa"/>
          </w:tcPr>
          <w:p w14:paraId="7138A4C4" w14:textId="77777777" w:rsidR="00BB4CB5" w:rsidRDefault="00BB4CB5">
            <w:pPr>
              <w:tabs>
                <w:tab w:val="center" w:pos="284"/>
              </w:tabs>
              <w:ind w:left="266" w:hanging="266"/>
              <w:rPr>
                <w:sz w:val="2"/>
                <w:szCs w:val="2"/>
                <w:lang w:val="pt-PT"/>
              </w:rPr>
            </w:pPr>
          </w:p>
        </w:tc>
      </w:tr>
    </w:tbl>
    <w:p w14:paraId="543F0483" w14:textId="77777777" w:rsidR="00BB4CB5" w:rsidRDefault="00BB4CB5" w:rsidP="00BB4CB5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Ključne točke</w:t>
      </w:r>
    </w:p>
    <w:p w14:paraId="109CFFFE" w14:textId="77777777" w:rsidR="00BB4CB5" w:rsidRDefault="00BB4CB5" w:rsidP="00BB4CB5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7215640D" w14:textId="77777777" w:rsidR="00BB4CB5" w:rsidRDefault="00BB4CB5" w:rsidP="00BB4CB5">
      <w:pPr>
        <w:pStyle w:val="NormalWeb"/>
        <w:spacing w:before="0" w:beforeAutospacing="0" w:after="0" w:afterAutospacing="0" w:line="288" w:lineRule="auto"/>
        <w:rPr>
          <w:sz w:val="22"/>
          <w:szCs w:val="22"/>
        </w:rPr>
      </w:pPr>
      <w:r>
        <w:rPr>
          <w:rStyle w:val="Strong"/>
          <w:sz w:val="22"/>
        </w:rPr>
        <w:t>EGSO:</w:t>
      </w:r>
    </w:p>
    <w:p w14:paraId="39AC2A14" w14:textId="77777777" w:rsidR="00BB4CB5" w:rsidRDefault="00BB4CB5" w:rsidP="00BB4CB5">
      <w:pPr>
        <w:pStyle w:val="NormalWeb"/>
        <w:numPr>
          <w:ilvl w:val="0"/>
          <w:numId w:val="42"/>
        </w:numPr>
        <w:tabs>
          <w:tab w:val="num" w:pos="567"/>
        </w:tabs>
        <w:spacing w:before="0" w:beforeAutospacing="0" w:after="0" w:afterAutospacing="0" w:line="288" w:lineRule="auto"/>
        <w:ind w:left="567" w:hanging="567"/>
        <w:rPr>
          <w:sz w:val="22"/>
          <w:szCs w:val="22"/>
        </w:rPr>
      </w:pPr>
      <w:r>
        <w:rPr>
          <w:sz w:val="22"/>
        </w:rPr>
        <w:t xml:space="preserve">pozdravlja prijedlog Komisije o uspostavi programâ </w:t>
      </w:r>
      <w:proofErr w:type="spellStart"/>
      <w:r>
        <w:rPr>
          <w:sz w:val="22"/>
        </w:rPr>
        <w:t>AgoraEU</w:t>
      </w:r>
      <w:proofErr w:type="spellEnd"/>
      <w:r>
        <w:rPr>
          <w:sz w:val="22"/>
        </w:rPr>
        <w:t xml:space="preserve"> i Pravosuđe te potiče Europski parlament i Vijeće da ga podrže, ali da ne smanjuju predloženu financijsku omotnicu;</w:t>
      </w:r>
    </w:p>
    <w:p w14:paraId="1CD715B6" w14:textId="77777777" w:rsidR="00BB4CB5" w:rsidRDefault="00BB4CB5" w:rsidP="00BB4CB5">
      <w:pPr>
        <w:pStyle w:val="NormalWeb"/>
        <w:numPr>
          <w:ilvl w:val="0"/>
          <w:numId w:val="42"/>
        </w:numPr>
        <w:tabs>
          <w:tab w:val="num" w:pos="567"/>
        </w:tabs>
        <w:spacing w:before="0" w:beforeAutospacing="0" w:after="0" w:afterAutospacing="0" w:line="288" w:lineRule="auto"/>
        <w:ind w:left="567" w:hanging="567"/>
        <w:rPr>
          <w:sz w:val="22"/>
          <w:szCs w:val="22"/>
        </w:rPr>
      </w:pPr>
      <w:r>
        <w:rPr>
          <w:sz w:val="22"/>
        </w:rPr>
        <w:t>poziva na izričito priznavanje zagovaranja kao ključnog dijela rada organizacija civilnog društva i njihove uloge u izradi politika radi jačanja demokracije i otpornosti;</w:t>
      </w:r>
    </w:p>
    <w:p w14:paraId="0268B5CC" w14:textId="77777777" w:rsidR="00BB4CB5" w:rsidRDefault="00BB4CB5" w:rsidP="00BB4CB5">
      <w:pPr>
        <w:pStyle w:val="NormalWeb"/>
        <w:numPr>
          <w:ilvl w:val="0"/>
          <w:numId w:val="42"/>
        </w:numPr>
        <w:tabs>
          <w:tab w:val="num" w:pos="567"/>
        </w:tabs>
        <w:spacing w:before="0" w:beforeAutospacing="0" w:after="0" w:afterAutospacing="0" w:line="288" w:lineRule="auto"/>
        <w:ind w:left="567" w:hanging="567"/>
        <w:rPr>
          <w:sz w:val="22"/>
          <w:szCs w:val="22"/>
        </w:rPr>
      </w:pPr>
      <w:r>
        <w:rPr>
          <w:sz w:val="22"/>
        </w:rPr>
        <w:t xml:space="preserve">preporučuje Komisiji da u sve potprograme programa </w:t>
      </w:r>
      <w:proofErr w:type="spellStart"/>
      <w:r>
        <w:rPr>
          <w:sz w:val="22"/>
        </w:rPr>
        <w:t>AgoraEU</w:t>
      </w:r>
      <w:proofErr w:type="spellEnd"/>
      <w:r>
        <w:rPr>
          <w:sz w:val="22"/>
        </w:rPr>
        <w:t xml:space="preserve"> izričito uvede bespovratna sredstva za poslovanje kako bi se ojačala institucionalna otpornost organizacija civilnog društva i traži da se korištenje bespovratnih sredstava za poslovanje u okviru programa Pravosuđe proširi i na neprofitne organizacije od općeg europskog interesa;</w:t>
      </w:r>
    </w:p>
    <w:p w14:paraId="0612FBF3" w14:textId="77777777" w:rsidR="00BB4CB5" w:rsidRDefault="00BB4CB5" w:rsidP="00BB4CB5">
      <w:pPr>
        <w:pStyle w:val="NormalWeb"/>
        <w:numPr>
          <w:ilvl w:val="0"/>
          <w:numId w:val="42"/>
        </w:numPr>
        <w:tabs>
          <w:tab w:val="num" w:pos="567"/>
        </w:tabs>
        <w:spacing w:before="0" w:beforeAutospacing="0" w:after="0" w:afterAutospacing="0" w:line="288" w:lineRule="auto"/>
        <w:ind w:left="567" w:hanging="567"/>
        <w:rPr>
          <w:sz w:val="22"/>
          <w:szCs w:val="22"/>
        </w:rPr>
      </w:pPr>
      <w:r>
        <w:rPr>
          <w:sz w:val="22"/>
        </w:rPr>
        <w:t>slaže se s time da se putem posredničkih organizacija nastavi pružati financijska potpora trećim stranama kako bi se doprlo do manjih i lokalnih skupina te poziva na to da se, kao ključni kriteriji prihvatljivosti pri njihovu odabiru, osigura neovisnost posrednika i usklađenost njihovog upravljanja s Poveljom EU-a o temeljnim pravima. Također poziva na jasnoću u vezi sa stopama sufinanciranja i predlaže da se za posrednike i krajnje korisnike koji provode delegirane aktivnosti omogući financiranje sredstvima EU-a i do 100 %.;</w:t>
      </w:r>
    </w:p>
    <w:p w14:paraId="21584C88" w14:textId="77777777" w:rsidR="00BB4CB5" w:rsidRDefault="00BB4CB5" w:rsidP="00BB4CB5">
      <w:pPr>
        <w:pStyle w:val="NormalWeb"/>
        <w:numPr>
          <w:ilvl w:val="0"/>
          <w:numId w:val="42"/>
        </w:numPr>
        <w:tabs>
          <w:tab w:val="num" w:pos="567"/>
        </w:tabs>
        <w:spacing w:before="0" w:beforeAutospacing="0" w:after="0" w:afterAutospacing="0" w:line="288" w:lineRule="auto"/>
        <w:ind w:left="567" w:hanging="567"/>
        <w:rPr>
          <w:sz w:val="22"/>
          <w:szCs w:val="22"/>
        </w:rPr>
      </w:pPr>
      <w:r>
        <w:rPr>
          <w:sz w:val="22"/>
        </w:rPr>
        <w:t xml:space="preserve">napominje da je potrebno prilagoditi mandat i resurse deskova programa Kreativna Europa da bi oni mogli uspješno podupirati program </w:t>
      </w:r>
      <w:proofErr w:type="spellStart"/>
      <w:r>
        <w:rPr>
          <w:sz w:val="22"/>
        </w:rPr>
        <w:t>AgoraEU</w:t>
      </w:r>
      <w:proofErr w:type="spellEnd"/>
      <w:r>
        <w:rPr>
          <w:sz w:val="22"/>
        </w:rPr>
        <w:t>-a i njegov širi opseg u kulturnom, medijskom i građanskom sektoru;</w:t>
      </w:r>
    </w:p>
    <w:p w14:paraId="537CD12A" w14:textId="77777777" w:rsidR="00BB4CB5" w:rsidRDefault="00BB4CB5" w:rsidP="00BB4CB5">
      <w:pPr>
        <w:pStyle w:val="NormalWeb"/>
        <w:numPr>
          <w:ilvl w:val="0"/>
          <w:numId w:val="42"/>
        </w:numPr>
        <w:tabs>
          <w:tab w:val="num" w:pos="567"/>
        </w:tabs>
        <w:spacing w:before="0" w:beforeAutospacing="0" w:after="0" w:afterAutospacing="0" w:line="288" w:lineRule="auto"/>
        <w:ind w:left="567" w:hanging="567"/>
        <w:rPr>
          <w:sz w:val="22"/>
          <w:szCs w:val="22"/>
        </w:rPr>
      </w:pPr>
      <w:r>
        <w:rPr>
          <w:sz w:val="22"/>
        </w:rPr>
        <w:t xml:space="preserve">poziva na fleksibilnost i zaštitne mjere (npr. </w:t>
      </w:r>
      <w:proofErr w:type="spellStart"/>
      <w:r>
        <w:rPr>
          <w:sz w:val="22"/>
        </w:rPr>
        <w:t>indeksaciju</w:t>
      </w:r>
      <w:proofErr w:type="spellEnd"/>
      <w:r>
        <w:rPr>
          <w:sz w:val="22"/>
        </w:rPr>
        <w:t>, korektivne mehanizme) u jednokratnim iznosima i višegodišnjim bespovratnim sredstvima kako bi se spriječio financijski pritisak na korisnike;</w:t>
      </w:r>
    </w:p>
    <w:p w14:paraId="76712C0E" w14:textId="77777777" w:rsidR="00BB4CB5" w:rsidRDefault="00BB4CB5" w:rsidP="00BB4CB5">
      <w:pPr>
        <w:pStyle w:val="NormalWeb"/>
        <w:numPr>
          <w:ilvl w:val="0"/>
          <w:numId w:val="42"/>
        </w:numPr>
        <w:tabs>
          <w:tab w:val="num" w:pos="567"/>
        </w:tabs>
        <w:spacing w:before="0" w:beforeAutospacing="0" w:after="0" w:afterAutospacing="0" w:line="288" w:lineRule="auto"/>
        <w:ind w:left="567" w:hanging="567"/>
        <w:rPr>
          <w:sz w:val="22"/>
          <w:szCs w:val="22"/>
        </w:rPr>
      </w:pPr>
      <w:r>
        <w:rPr>
          <w:sz w:val="22"/>
        </w:rPr>
        <w:t xml:space="preserve">želio bi da se pojasni predviđena sinergija između Europskog fonda za konkurentnost (ECF) i potprograma Media+ u programu </w:t>
      </w:r>
      <w:proofErr w:type="spellStart"/>
      <w:r>
        <w:rPr>
          <w:sz w:val="22"/>
        </w:rPr>
        <w:t>AgoraEU</w:t>
      </w:r>
      <w:proofErr w:type="spellEnd"/>
      <w:r>
        <w:rPr>
          <w:sz w:val="22"/>
        </w:rPr>
        <w:t>; poziva Komisiju da poveže primatelje bespovratnih sredstava i pripremi akcijski plan za operacionalizaciju kombiniranog i kumulativnog financiranja u obje predložene uredbe, uključujući zajedničke pozive, suradnju među glavnim upravama i praćenje uspješnosti;</w:t>
      </w:r>
    </w:p>
    <w:p w14:paraId="6EB41DE7" w14:textId="77777777" w:rsidR="00BB4CB5" w:rsidRDefault="00BB4CB5" w:rsidP="00BB4CB5">
      <w:pPr>
        <w:pStyle w:val="NormalWeb"/>
        <w:numPr>
          <w:ilvl w:val="0"/>
          <w:numId w:val="42"/>
        </w:numPr>
        <w:tabs>
          <w:tab w:val="num" w:pos="567"/>
        </w:tabs>
        <w:spacing w:before="0" w:beforeAutospacing="0" w:after="0" w:afterAutospacing="0" w:line="288" w:lineRule="auto"/>
        <w:ind w:left="567" w:hanging="567"/>
        <w:rPr>
          <w:sz w:val="22"/>
          <w:szCs w:val="22"/>
        </w:rPr>
      </w:pPr>
      <w:r>
        <w:rPr>
          <w:sz w:val="22"/>
        </w:rPr>
        <w:t>preporučuje da se u programu Pravosuđe stavi veći naglasak na prava žrtava i pristup pravosuđu, uključujući financiranje mreža za potporu, osposobljavanje pravosudnih djelatnika i prekograničnu pravnu pomoć;</w:t>
      </w:r>
    </w:p>
    <w:p w14:paraId="0EEC1AD6" w14:textId="77777777" w:rsidR="00BB4CB5" w:rsidRDefault="00BB4CB5" w:rsidP="00BB4CB5">
      <w:pPr>
        <w:pStyle w:val="NormalWeb"/>
        <w:numPr>
          <w:ilvl w:val="0"/>
          <w:numId w:val="42"/>
        </w:numPr>
        <w:tabs>
          <w:tab w:val="num" w:pos="567"/>
        </w:tabs>
        <w:spacing w:before="0" w:beforeAutospacing="0" w:after="0" w:afterAutospacing="0" w:line="288" w:lineRule="auto"/>
        <w:ind w:left="567" w:hanging="567"/>
        <w:rPr>
          <w:sz w:val="22"/>
          <w:szCs w:val="22"/>
        </w:rPr>
      </w:pPr>
      <w:r>
        <w:rPr>
          <w:sz w:val="22"/>
        </w:rPr>
        <w:t>poziva na rješavanje problema razlika u financiranju unutar EU-a, posebno raskoraka između istoka i zapada, u oba programa;</w:t>
      </w:r>
    </w:p>
    <w:p w14:paraId="12CE3739" w14:textId="77777777" w:rsidR="00BB4CB5" w:rsidRDefault="00BB4CB5" w:rsidP="00BB4CB5">
      <w:pPr>
        <w:pStyle w:val="NormalWeb"/>
        <w:numPr>
          <w:ilvl w:val="0"/>
          <w:numId w:val="42"/>
        </w:numPr>
        <w:tabs>
          <w:tab w:val="num" w:pos="567"/>
        </w:tabs>
        <w:spacing w:before="0" w:beforeAutospacing="0" w:after="0" w:afterAutospacing="0" w:line="288" w:lineRule="auto"/>
        <w:ind w:left="567" w:hanging="567"/>
        <w:rPr>
          <w:sz w:val="22"/>
          <w:szCs w:val="22"/>
        </w:rPr>
      </w:pPr>
      <w:r>
        <w:rPr>
          <w:sz w:val="22"/>
        </w:rPr>
        <w:t xml:space="preserve">žali zbog uklanjanja radne Skupine za građanski dijalog iz Uredbe o programu </w:t>
      </w:r>
      <w:proofErr w:type="spellStart"/>
      <w:r>
        <w:rPr>
          <w:sz w:val="22"/>
        </w:rPr>
        <w:t>AgoraEU</w:t>
      </w:r>
      <w:proofErr w:type="spellEnd"/>
      <w:r>
        <w:rPr>
          <w:sz w:val="22"/>
        </w:rPr>
        <w:t xml:space="preserve"> i poziva na njezinu ponovnu uspostavu;</w:t>
      </w:r>
    </w:p>
    <w:p w14:paraId="0C293105" w14:textId="77777777" w:rsidR="00BB4CB5" w:rsidRDefault="00BB4CB5" w:rsidP="00BB4CB5">
      <w:pPr>
        <w:pStyle w:val="NormalWeb"/>
        <w:numPr>
          <w:ilvl w:val="0"/>
          <w:numId w:val="42"/>
        </w:numPr>
        <w:tabs>
          <w:tab w:val="num" w:pos="567"/>
        </w:tabs>
        <w:spacing w:before="0" w:beforeAutospacing="0" w:after="0" w:afterAutospacing="0" w:line="288" w:lineRule="auto"/>
        <w:ind w:left="567" w:hanging="567"/>
        <w:rPr>
          <w:sz w:val="22"/>
          <w:szCs w:val="22"/>
        </w:rPr>
      </w:pPr>
      <w:r>
        <w:rPr>
          <w:sz w:val="22"/>
        </w:rPr>
        <w:t xml:space="preserve">naglašava da učinak programa ovisi o postojanju adekvatne nacionalne infrastrukture i o sufinanciranju te predlaže da se pristup fondovima EU-a koji podliježu podijeljenom upravljanju poveže s dokazanom podrškom država članica za ciljeve programa </w:t>
      </w:r>
      <w:proofErr w:type="spellStart"/>
      <w:r>
        <w:rPr>
          <w:sz w:val="22"/>
        </w:rPr>
        <w:t>AgoraEU</w:t>
      </w:r>
      <w:proofErr w:type="spellEnd"/>
      <w:r>
        <w:rPr>
          <w:sz w:val="22"/>
        </w:rPr>
        <w:t xml:space="preserve"> i Pravosuđe.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4493"/>
      </w:tblGrid>
      <w:tr w:rsidR="00BB4CB5" w14:paraId="35E6EB6B" w14:textId="77777777" w:rsidTr="00BB4CB5">
        <w:tc>
          <w:tcPr>
            <w:tcW w:w="1210" w:type="dxa"/>
            <w:hideMark/>
          </w:tcPr>
          <w:p w14:paraId="234A3FD8" w14:textId="77777777" w:rsidR="00BB4CB5" w:rsidRDefault="00BB4CB5">
            <w:pPr>
              <w:spacing w:line="240" w:lineRule="auto"/>
              <w:rPr>
                <w:i/>
              </w:rPr>
            </w:pPr>
            <w:r>
              <w:rPr>
                <w:b/>
                <w:i/>
              </w:rPr>
              <w:lastRenderedPageBreak/>
              <w:t>Kontakt:</w:t>
            </w:r>
          </w:p>
        </w:tc>
        <w:tc>
          <w:tcPr>
            <w:tcW w:w="4493" w:type="dxa"/>
            <w:hideMark/>
          </w:tcPr>
          <w:p w14:paraId="72800FB1" w14:textId="77777777" w:rsidR="00BB4CB5" w:rsidRDefault="00BB4CB5">
            <w:pPr>
              <w:spacing w:line="240" w:lineRule="auto"/>
              <w:ind w:hanging="12"/>
              <w:rPr>
                <w:i/>
              </w:rPr>
            </w:pPr>
            <w:proofErr w:type="spellStart"/>
            <w:r>
              <w:rPr>
                <w:i/>
              </w:rPr>
              <w:t>Alessia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Cova</w:t>
            </w:r>
            <w:proofErr w:type="spellEnd"/>
          </w:p>
        </w:tc>
      </w:tr>
      <w:tr w:rsidR="00BB4CB5" w14:paraId="0A2B670B" w14:textId="77777777" w:rsidTr="00BB4CB5">
        <w:tc>
          <w:tcPr>
            <w:tcW w:w="1210" w:type="dxa"/>
            <w:hideMark/>
          </w:tcPr>
          <w:p w14:paraId="76E233EC" w14:textId="77777777" w:rsidR="00BB4CB5" w:rsidRDefault="00BB4CB5">
            <w:pPr>
              <w:spacing w:line="240" w:lineRule="auto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493" w:type="dxa"/>
            <w:hideMark/>
          </w:tcPr>
          <w:p w14:paraId="5EEECC95" w14:textId="77777777" w:rsidR="00BB4CB5" w:rsidRDefault="00BB4CB5">
            <w:pPr>
              <w:spacing w:line="240" w:lineRule="auto"/>
              <w:rPr>
                <w:i/>
              </w:rPr>
            </w:pPr>
            <w:r>
              <w:rPr>
                <w:i/>
              </w:rPr>
              <w:t>+32 25469426</w:t>
            </w:r>
          </w:p>
        </w:tc>
      </w:tr>
      <w:tr w:rsidR="00BB4CB5" w14:paraId="71E0FC1D" w14:textId="77777777" w:rsidTr="00BB4CB5">
        <w:tc>
          <w:tcPr>
            <w:tcW w:w="1210" w:type="dxa"/>
            <w:hideMark/>
          </w:tcPr>
          <w:p w14:paraId="3E1CCE96" w14:textId="77777777" w:rsidR="00BB4CB5" w:rsidRDefault="00BB4CB5">
            <w:pPr>
              <w:spacing w:line="240" w:lineRule="auto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4493" w:type="dxa"/>
            <w:hideMark/>
          </w:tcPr>
          <w:p w14:paraId="722E362B" w14:textId="77777777" w:rsidR="00BB4CB5" w:rsidRDefault="00A00905">
            <w:pPr>
              <w:spacing w:line="240" w:lineRule="auto"/>
              <w:rPr>
                <w:i/>
                <w:iCs/>
              </w:rPr>
            </w:pPr>
            <w:hyperlink r:id="rId22" w:history="1">
              <w:r w:rsidR="00BB4CB5">
                <w:rPr>
                  <w:rStyle w:val="Hyperlink"/>
                  <w:i/>
                </w:rPr>
                <w:t>Alessia.Cova@eesc.europa.eu</w:t>
              </w:r>
            </w:hyperlink>
          </w:p>
        </w:tc>
      </w:tr>
    </w:tbl>
    <w:p w14:paraId="4982DDC5" w14:textId="467870E4" w:rsidR="00BB4CB5" w:rsidRDefault="00BB4CB5" w:rsidP="00BB4CB5">
      <w:pPr>
        <w:widowControl w:val="0"/>
        <w:overflowPunct w:val="0"/>
        <w:autoSpaceDE w:val="0"/>
        <w:autoSpaceDN w:val="0"/>
        <w:adjustRightInd w:val="0"/>
        <w:textAlignment w:val="baseline"/>
      </w:pPr>
    </w:p>
    <w:p w14:paraId="158FC7DA" w14:textId="77777777" w:rsidR="00BB4CB5" w:rsidRDefault="00BB4CB5">
      <w:pPr>
        <w:spacing w:after="160" w:line="259" w:lineRule="auto"/>
        <w:jc w:val="left"/>
      </w:pPr>
      <w:r>
        <w:br w:type="page"/>
      </w:r>
    </w:p>
    <w:p w14:paraId="0B974D2D" w14:textId="77777777" w:rsidR="004D7AC0" w:rsidRDefault="004D7AC0" w:rsidP="00BB4CB5">
      <w:pPr>
        <w:widowControl w:val="0"/>
        <w:overflowPunct w:val="0"/>
        <w:autoSpaceDE w:val="0"/>
        <w:autoSpaceDN w:val="0"/>
        <w:adjustRightInd w:val="0"/>
        <w:textAlignment w:val="baseline"/>
      </w:pPr>
    </w:p>
    <w:p w14:paraId="4982DDC6" w14:textId="77777777" w:rsidR="004D7AC0" w:rsidRDefault="004D7AC0" w:rsidP="004D7AC0">
      <w:pPr>
        <w:pStyle w:val="Heading1"/>
        <w:rPr>
          <w:b/>
        </w:rPr>
      </w:pPr>
      <w:bookmarkStart w:id="3" w:name="_Toc24617160"/>
      <w:bookmarkStart w:id="4" w:name="_Toc75527082"/>
      <w:bookmarkStart w:id="5" w:name="_Toc216879505"/>
      <w:r>
        <w:rPr>
          <w:b/>
        </w:rPr>
        <w:t>STRUČNA SKUPINA ZA PROMET, ENERGIJU, INFRASTRUKTURU I INFORMACIJSKO DRUŠTVO</w:t>
      </w:r>
      <w:bookmarkEnd w:id="3"/>
      <w:bookmarkEnd w:id="4"/>
      <w:bookmarkEnd w:id="5"/>
    </w:p>
    <w:p w14:paraId="4982DDC7" w14:textId="77777777" w:rsidR="004D7AC0" w:rsidRDefault="004D7AC0" w:rsidP="004D7AC0"/>
    <w:p w14:paraId="5D3926AB" w14:textId="77777777" w:rsidR="00BB4CB5" w:rsidRDefault="00BB4CB5" w:rsidP="00BB4CB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rPr>
          <w:rStyle w:val="Hyperlink"/>
          <w:sz w:val="20"/>
        </w:rPr>
      </w:pPr>
      <w:r>
        <w:rPr>
          <w:b/>
          <w:i/>
          <w:sz w:val="28"/>
        </w:rPr>
        <w:t xml:space="preserve">TEN/868 – </w:t>
      </w:r>
      <w:hyperlink r:id="rId23" w:history="1">
        <w:r>
          <w:rPr>
            <w:rStyle w:val="Hyperlink"/>
            <w:b/>
            <w:i/>
            <w:sz w:val="28"/>
          </w:rPr>
          <w:t>Emisijski razred CO</w:t>
        </w:r>
        <w:r>
          <w:rPr>
            <w:rStyle w:val="Hyperlink"/>
            <w:b/>
            <w:i/>
            <w:sz w:val="28"/>
            <w:vertAlign w:val="subscript"/>
          </w:rPr>
          <w:t>2</w:t>
        </w:r>
        <w:r>
          <w:rPr>
            <w:rStyle w:val="Hyperlink"/>
            <w:b/>
            <w:i/>
            <w:sz w:val="28"/>
          </w:rPr>
          <w:t xml:space="preserve"> teških vozila s prikolicama</w:t>
        </w:r>
      </w:hyperlink>
    </w:p>
    <w:p w14:paraId="748D4FE6" w14:textId="77777777" w:rsidR="00BB4CB5" w:rsidRDefault="00BB4CB5" w:rsidP="00BB4CB5">
      <w:pPr>
        <w:widowControl w:val="0"/>
        <w:ind w:left="567"/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360"/>
      </w:tblGrid>
      <w:tr w:rsidR="00BB4CB5" w14:paraId="328308F9" w14:textId="77777777" w:rsidTr="00BB4CB5">
        <w:tc>
          <w:tcPr>
            <w:tcW w:w="1701" w:type="dxa"/>
            <w:hideMark/>
          </w:tcPr>
          <w:p w14:paraId="6C3F2C54" w14:textId="77777777" w:rsidR="00BB4CB5" w:rsidRDefault="00BB4CB5">
            <w:pPr>
              <w:tabs>
                <w:tab w:val="center" w:pos="284"/>
              </w:tabs>
              <w:ind w:left="596" w:hanging="709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7621" w:type="dxa"/>
            <w:hideMark/>
          </w:tcPr>
          <w:p w14:paraId="4E94836F" w14:textId="77777777" w:rsidR="00BB4CB5" w:rsidRDefault="00BB4CB5">
            <w:pPr>
              <w:tabs>
                <w:tab w:val="center" w:pos="284"/>
              </w:tabs>
              <w:ind w:left="720" w:hanging="720"/>
              <w:rPr>
                <w:bCs/>
              </w:rPr>
            </w:pPr>
            <w:r>
              <w:t>mišljenje kategorije C</w:t>
            </w:r>
          </w:p>
        </w:tc>
      </w:tr>
      <w:tr w:rsidR="00BB4CB5" w14:paraId="7EDA6FCD" w14:textId="77777777" w:rsidTr="00BB4CB5">
        <w:tc>
          <w:tcPr>
            <w:tcW w:w="1701" w:type="dxa"/>
            <w:hideMark/>
          </w:tcPr>
          <w:p w14:paraId="67FC1584" w14:textId="77777777" w:rsidR="00BB4CB5" w:rsidRDefault="00BB4CB5">
            <w:pPr>
              <w:tabs>
                <w:tab w:val="center" w:pos="284"/>
              </w:tabs>
              <w:ind w:left="596" w:hanging="709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7621" w:type="dxa"/>
            <w:hideMark/>
          </w:tcPr>
          <w:p w14:paraId="4CD259B8" w14:textId="77777777" w:rsidR="00BB4CB5" w:rsidRDefault="00BB4CB5">
            <w:pPr>
              <w:tabs>
                <w:tab w:val="center" w:pos="284"/>
              </w:tabs>
              <w:ind w:left="720" w:hanging="720"/>
              <w:rPr>
                <w:bCs/>
              </w:rPr>
            </w:pPr>
            <w:r>
              <w:t xml:space="preserve">COM(2025) 589 </w:t>
            </w:r>
            <w:proofErr w:type="spellStart"/>
            <w:r>
              <w:t>final</w:t>
            </w:r>
            <w:proofErr w:type="spellEnd"/>
            <w:r>
              <w:t xml:space="preserve"> – 2023/0134 (COD)</w:t>
            </w:r>
          </w:p>
          <w:p w14:paraId="3CC8CFD8" w14:textId="77777777" w:rsidR="00BB4CB5" w:rsidRDefault="00BB4CB5">
            <w:pPr>
              <w:tabs>
                <w:tab w:val="center" w:pos="284"/>
              </w:tabs>
              <w:ind w:left="720" w:hanging="720"/>
            </w:pPr>
            <w:r>
              <w:t>EESC-2023-03779-00-AC</w:t>
            </w:r>
          </w:p>
        </w:tc>
      </w:tr>
    </w:tbl>
    <w:p w14:paraId="1CFFFF9D" w14:textId="77777777" w:rsidR="00BB4CB5" w:rsidRDefault="00BB4CB5" w:rsidP="00BB4CB5">
      <w:pPr>
        <w:keepNext/>
        <w:keepLines/>
        <w:tabs>
          <w:tab w:val="center" w:pos="284"/>
        </w:tabs>
        <w:ind w:left="720" w:hanging="720"/>
        <w:rPr>
          <w:b/>
        </w:rPr>
      </w:pPr>
    </w:p>
    <w:p w14:paraId="23FDF27E" w14:textId="77777777" w:rsidR="00BB4CB5" w:rsidRDefault="00BB4CB5" w:rsidP="00BB4CB5">
      <w:pPr>
        <w:keepNext/>
        <w:keepLines/>
        <w:tabs>
          <w:tab w:val="center" w:pos="284"/>
        </w:tabs>
        <w:ind w:left="720" w:hanging="720"/>
        <w:rPr>
          <w:b/>
        </w:rPr>
      </w:pPr>
      <w:r>
        <w:rPr>
          <w:b/>
        </w:rPr>
        <w:t>Ključne točke</w:t>
      </w:r>
    </w:p>
    <w:p w14:paraId="604C980C" w14:textId="77777777" w:rsidR="00BB4CB5" w:rsidRDefault="00BB4CB5" w:rsidP="00BB4CB5">
      <w:pPr>
        <w:keepNext/>
        <w:keepLines/>
        <w:tabs>
          <w:tab w:val="center" w:pos="284"/>
        </w:tabs>
        <w:ind w:left="720" w:hanging="720"/>
        <w:rPr>
          <w:b/>
        </w:rPr>
      </w:pPr>
    </w:p>
    <w:p w14:paraId="7572011D" w14:textId="77777777" w:rsidR="00BB4CB5" w:rsidRDefault="00BB4CB5" w:rsidP="00BB4CB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rPr>
          <w:bCs/>
          <w:iCs/>
        </w:rPr>
      </w:pPr>
      <w:r>
        <w:t>Budući da je svoj stav o sadržaju dotičnog prijedloga već iznio u mišljenju TEN/815 o emisijskom razredu CO</w:t>
      </w:r>
      <w:r>
        <w:rPr>
          <w:vertAlign w:val="subscript"/>
        </w:rPr>
        <w:t>2</w:t>
      </w:r>
      <w:r>
        <w:t xml:space="preserve"> teških vozila s prikolicama (</w:t>
      </w:r>
      <w:hyperlink r:id="rId24" w:history="1">
        <w:r>
          <w:rPr>
            <w:rStyle w:val="Hyperlink"/>
          </w:rPr>
          <w:t>C/2023/874</w:t>
        </w:r>
      </w:hyperlink>
      <w:r>
        <w:t>), usvojenom 20. rujna 2023., Odbor je odlučio da o toj temi neće izraditi novo mišljenje, nego upućuje na stajalište izneseno u navedenom dokumentu.</w:t>
      </w:r>
    </w:p>
    <w:p w14:paraId="31A19FEF" w14:textId="77777777" w:rsidR="00BB4CB5" w:rsidRDefault="00BB4CB5" w:rsidP="00BB4CB5">
      <w:pPr>
        <w:widowControl w:val="0"/>
        <w:ind w:left="720" w:hanging="720"/>
        <w:rPr>
          <w:szCs w:val="20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6"/>
        <w:gridCol w:w="7836"/>
      </w:tblGrid>
      <w:tr w:rsidR="00BB4CB5" w14:paraId="0B59454A" w14:textId="77777777" w:rsidTr="00BB4CB5">
        <w:tc>
          <w:tcPr>
            <w:tcW w:w="1418" w:type="dxa"/>
            <w:hideMark/>
          </w:tcPr>
          <w:p w14:paraId="20816AF8" w14:textId="77777777" w:rsidR="00BB4CB5" w:rsidRDefault="00BB4CB5">
            <w:pPr>
              <w:ind w:left="720" w:hanging="720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7904" w:type="dxa"/>
            <w:hideMark/>
          </w:tcPr>
          <w:p w14:paraId="1FF16916" w14:textId="77777777" w:rsidR="00BB4CB5" w:rsidRDefault="00BB4CB5">
            <w:pPr>
              <w:ind w:left="720" w:hanging="720"/>
              <w:rPr>
                <w:i/>
              </w:rPr>
            </w:pPr>
            <w:r>
              <w:rPr>
                <w:i/>
              </w:rPr>
              <w:t>Maja RADMAN</w:t>
            </w:r>
          </w:p>
        </w:tc>
      </w:tr>
      <w:tr w:rsidR="00BB4CB5" w14:paraId="06E1EAD6" w14:textId="77777777" w:rsidTr="00BB4CB5">
        <w:tc>
          <w:tcPr>
            <w:tcW w:w="1418" w:type="dxa"/>
            <w:hideMark/>
          </w:tcPr>
          <w:p w14:paraId="7AC3E89E" w14:textId="77777777" w:rsidR="00BB4CB5" w:rsidRDefault="00BB4CB5">
            <w:pPr>
              <w:ind w:left="720" w:hanging="720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904" w:type="dxa"/>
            <w:hideMark/>
          </w:tcPr>
          <w:p w14:paraId="48BFF334" w14:textId="77777777" w:rsidR="00BB4CB5" w:rsidRDefault="00BB4CB5">
            <w:pPr>
              <w:ind w:left="720" w:hanging="720"/>
              <w:rPr>
                <w:i/>
              </w:rPr>
            </w:pPr>
            <w:r>
              <w:rPr>
                <w:i/>
              </w:rPr>
              <w:t>+32 254690</w:t>
            </w:r>
            <w:r>
              <w:t>51</w:t>
            </w:r>
          </w:p>
        </w:tc>
      </w:tr>
      <w:tr w:rsidR="00BB4CB5" w14:paraId="604E2BD1" w14:textId="77777777" w:rsidTr="00BB4CB5">
        <w:tc>
          <w:tcPr>
            <w:tcW w:w="1418" w:type="dxa"/>
            <w:hideMark/>
          </w:tcPr>
          <w:p w14:paraId="23FAB829" w14:textId="77777777" w:rsidR="00BB4CB5" w:rsidRDefault="00BB4CB5">
            <w:pPr>
              <w:ind w:left="720" w:hanging="720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7904" w:type="dxa"/>
            <w:hideMark/>
          </w:tcPr>
          <w:p w14:paraId="6477BB02" w14:textId="77777777" w:rsidR="00BB4CB5" w:rsidRDefault="00A00905">
            <w:pPr>
              <w:ind w:left="720" w:hanging="720"/>
              <w:rPr>
                <w:i/>
              </w:rPr>
            </w:pPr>
            <w:hyperlink r:id="rId25" w:history="1">
              <w:r w:rsidR="00BB4CB5">
                <w:rPr>
                  <w:rStyle w:val="Hyperlink"/>
                  <w:i/>
                </w:rPr>
                <w:t>Maja.Radman@eesc.europa.eu</w:t>
              </w:r>
            </w:hyperlink>
          </w:p>
        </w:tc>
      </w:tr>
    </w:tbl>
    <w:p w14:paraId="4982DDEF" w14:textId="77777777" w:rsidR="004D7AC0" w:rsidRDefault="004D7AC0" w:rsidP="004D7AC0">
      <w:pPr>
        <w:pStyle w:val="ListParagraph"/>
        <w:ind w:left="0"/>
      </w:pPr>
    </w:p>
    <w:p w14:paraId="4982DDF0" w14:textId="09A1E184" w:rsidR="0005334D" w:rsidRDefault="0005334D">
      <w:pPr>
        <w:spacing w:after="160" w:line="259" w:lineRule="auto"/>
        <w:jc w:val="left"/>
      </w:pPr>
      <w:r>
        <w:br w:type="page"/>
      </w:r>
    </w:p>
    <w:p w14:paraId="225530F0" w14:textId="77777777" w:rsidR="004D7AC0" w:rsidRDefault="004D7AC0" w:rsidP="004D7AC0">
      <w:pPr>
        <w:pStyle w:val="ListParagraph"/>
        <w:ind w:left="0"/>
      </w:pPr>
    </w:p>
    <w:p w14:paraId="1C6324D2" w14:textId="77777777" w:rsidR="00734270" w:rsidRDefault="00734270" w:rsidP="0073427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rPr>
          <w:rStyle w:val="Hyperlink"/>
          <w:sz w:val="24"/>
          <w:szCs w:val="24"/>
        </w:rPr>
      </w:pPr>
      <w:r>
        <w:rPr>
          <w:b/>
          <w:i/>
          <w:sz w:val="28"/>
        </w:rPr>
        <w:t xml:space="preserve">TEN/835 – </w:t>
      </w:r>
      <w:hyperlink r:id="rId26" w:history="1">
        <w:r>
          <w:rPr>
            <w:rStyle w:val="Hyperlink"/>
            <w:b/>
            <w:i/>
            <w:sz w:val="28"/>
          </w:rPr>
          <w:t>Akt EU-a o svemiru</w:t>
        </w:r>
      </w:hyperlink>
    </w:p>
    <w:p w14:paraId="2288441D" w14:textId="77777777" w:rsidR="00734270" w:rsidRDefault="00734270" w:rsidP="00734270">
      <w:pPr>
        <w:tabs>
          <w:tab w:val="center" w:pos="284"/>
        </w:tabs>
        <w:ind w:left="266" w:hanging="266"/>
        <w:rPr>
          <w:b/>
          <w:sz w:val="14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387"/>
      </w:tblGrid>
      <w:tr w:rsidR="00734270" w14:paraId="727DC630" w14:textId="77777777" w:rsidTr="00734270">
        <w:tc>
          <w:tcPr>
            <w:tcW w:w="1701" w:type="dxa"/>
            <w:hideMark/>
          </w:tcPr>
          <w:p w14:paraId="60A9CC5F" w14:textId="77777777" w:rsidR="00734270" w:rsidRDefault="00734270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5387" w:type="dxa"/>
            <w:hideMark/>
          </w:tcPr>
          <w:p w14:paraId="6D124F6C" w14:textId="77777777" w:rsidR="00734270" w:rsidRDefault="00734270">
            <w:pPr>
              <w:tabs>
                <w:tab w:val="center" w:pos="284"/>
              </w:tabs>
              <w:ind w:left="266" w:hanging="266"/>
            </w:pPr>
            <w:r>
              <w:t>Angelo PAGLIARA (Skupina radnika – IT)</w:t>
            </w:r>
          </w:p>
        </w:tc>
      </w:tr>
      <w:tr w:rsidR="00734270" w14:paraId="66BBD5D8" w14:textId="77777777" w:rsidTr="00734270">
        <w:tc>
          <w:tcPr>
            <w:tcW w:w="7088" w:type="dxa"/>
            <w:gridSpan w:val="2"/>
          </w:tcPr>
          <w:p w14:paraId="5E290543" w14:textId="77777777" w:rsidR="00734270" w:rsidRDefault="00734270">
            <w:pPr>
              <w:tabs>
                <w:tab w:val="center" w:pos="284"/>
              </w:tabs>
              <w:spacing w:line="160" w:lineRule="exact"/>
              <w:ind w:left="266" w:hanging="266"/>
              <w:rPr>
                <w:lang w:val="en-US"/>
              </w:rPr>
            </w:pPr>
          </w:p>
        </w:tc>
      </w:tr>
      <w:tr w:rsidR="00734270" w14:paraId="18464DE8" w14:textId="77777777" w:rsidTr="00734270">
        <w:tc>
          <w:tcPr>
            <w:tcW w:w="1701" w:type="dxa"/>
            <w:vMerge w:val="restart"/>
            <w:hideMark/>
          </w:tcPr>
          <w:p w14:paraId="4F07BEFF" w14:textId="77777777" w:rsidR="00734270" w:rsidRDefault="00734270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 xml:space="preserve">Referentni dokument/i: </w:t>
            </w:r>
          </w:p>
        </w:tc>
        <w:tc>
          <w:tcPr>
            <w:tcW w:w="5387" w:type="dxa"/>
            <w:hideMark/>
          </w:tcPr>
          <w:p w14:paraId="77371C51" w14:textId="77777777" w:rsidR="00734270" w:rsidRDefault="00734270">
            <w:pPr>
              <w:tabs>
                <w:tab w:val="center" w:pos="284"/>
              </w:tabs>
              <w:ind w:left="266" w:hanging="266"/>
            </w:pPr>
            <w:r>
              <w:t xml:space="preserve">COM(2025) 335 </w:t>
            </w:r>
            <w:proofErr w:type="spellStart"/>
            <w:r>
              <w:t>final</w:t>
            </w:r>
            <w:proofErr w:type="spellEnd"/>
          </w:p>
        </w:tc>
      </w:tr>
      <w:tr w:rsidR="00734270" w14:paraId="1F9A5D15" w14:textId="77777777" w:rsidTr="00734270">
        <w:tc>
          <w:tcPr>
            <w:tcW w:w="0" w:type="auto"/>
            <w:vMerge/>
            <w:vAlign w:val="center"/>
            <w:hideMark/>
          </w:tcPr>
          <w:p w14:paraId="5C278822" w14:textId="77777777" w:rsidR="00734270" w:rsidRDefault="00734270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5387" w:type="dxa"/>
            <w:hideMark/>
          </w:tcPr>
          <w:p w14:paraId="739E6BCC" w14:textId="77777777" w:rsidR="00734270" w:rsidRDefault="00734270">
            <w:pPr>
              <w:tabs>
                <w:tab w:val="center" w:pos="284"/>
              </w:tabs>
              <w:ind w:left="266" w:hanging="266"/>
            </w:pPr>
            <w:r>
              <w:t>EESC-2024-00225-00-00-AC</w:t>
            </w:r>
          </w:p>
        </w:tc>
      </w:tr>
    </w:tbl>
    <w:p w14:paraId="7FF1BEB9" w14:textId="77777777" w:rsidR="00734270" w:rsidRDefault="00734270" w:rsidP="00734270">
      <w:pPr>
        <w:tabs>
          <w:tab w:val="center" w:pos="284"/>
        </w:tabs>
        <w:ind w:left="266" w:hanging="266"/>
        <w:rPr>
          <w:sz w:val="14"/>
          <w:szCs w:val="14"/>
        </w:rPr>
      </w:pPr>
    </w:p>
    <w:p w14:paraId="782EC613" w14:textId="77777777" w:rsidR="00734270" w:rsidRDefault="00734270" w:rsidP="00734270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Ključne točke</w:t>
      </w:r>
    </w:p>
    <w:p w14:paraId="3571C54F" w14:textId="77777777" w:rsidR="00734270" w:rsidRDefault="00734270" w:rsidP="00734270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68AB2BA8" w14:textId="77777777" w:rsidR="00734270" w:rsidRDefault="00734270" w:rsidP="00734270">
      <w:pPr>
        <w:rPr>
          <w:bCs/>
          <w:iCs/>
        </w:rPr>
      </w:pPr>
      <w:r>
        <w:t>EGSO:</w:t>
      </w:r>
    </w:p>
    <w:p w14:paraId="09B6C292" w14:textId="77777777" w:rsidR="00734270" w:rsidRDefault="00734270" w:rsidP="00734270">
      <w:pPr>
        <w:rPr>
          <w:bCs/>
          <w:iCs/>
        </w:rPr>
      </w:pPr>
    </w:p>
    <w:p w14:paraId="43531C27" w14:textId="77777777" w:rsidR="00734270" w:rsidRDefault="00734270" w:rsidP="00734270">
      <w:pPr>
        <w:numPr>
          <w:ilvl w:val="0"/>
          <w:numId w:val="4"/>
        </w:numPr>
        <w:autoSpaceDN w:val="0"/>
        <w:ind w:hanging="567"/>
        <w:jc w:val="left"/>
        <w:rPr>
          <w:szCs w:val="20"/>
        </w:rPr>
      </w:pPr>
      <w:r>
        <w:t xml:space="preserve">preporučuje da se </w:t>
      </w:r>
      <w:r>
        <w:rPr>
          <w:b/>
        </w:rPr>
        <w:t>europska javna ulaganja u svemir</w:t>
      </w:r>
      <w:r>
        <w:t xml:space="preserve"> bez odgađanja strukturno </w:t>
      </w:r>
      <w:r>
        <w:rPr>
          <w:b/>
        </w:rPr>
        <w:t>ojačaju</w:t>
      </w:r>
      <w:r>
        <w:t xml:space="preserve"> i da se povećaju </w:t>
      </w:r>
      <w:r>
        <w:rPr>
          <w:b/>
        </w:rPr>
        <w:t>na barem 0,2 % BDP-a do 2030.</w:t>
      </w:r>
      <w:r>
        <w:t>;</w:t>
      </w:r>
    </w:p>
    <w:p w14:paraId="666BD816" w14:textId="77777777" w:rsidR="00734270" w:rsidRDefault="00734270" w:rsidP="00734270">
      <w:pPr>
        <w:numPr>
          <w:ilvl w:val="0"/>
          <w:numId w:val="4"/>
        </w:numPr>
        <w:autoSpaceDN w:val="0"/>
        <w:ind w:hanging="567"/>
        <w:jc w:val="left"/>
      </w:pPr>
      <w:r>
        <w:t xml:space="preserve">preporučuje da se </w:t>
      </w:r>
      <w:r>
        <w:rPr>
          <w:b/>
        </w:rPr>
        <w:t>pojasni kako članak 114. Ugovora može poslužiti kao pravna osnova za unutarnje tržišta za proizvode, usluge i podatke povezane sa svemirom</w:t>
      </w:r>
      <w:r>
        <w:t xml:space="preserve"> i predlaže da se odredbe Akta o svemiru tumače s obzirom na </w:t>
      </w:r>
      <w:r>
        <w:rPr>
          <w:b/>
        </w:rPr>
        <w:t>međunarodne obveze koje su države članice već prihvatile</w:t>
      </w:r>
      <w:r>
        <w:t>;</w:t>
      </w:r>
    </w:p>
    <w:p w14:paraId="524DAE9D" w14:textId="77777777" w:rsidR="00734270" w:rsidRDefault="00734270" w:rsidP="00734270">
      <w:pPr>
        <w:numPr>
          <w:ilvl w:val="0"/>
          <w:numId w:val="4"/>
        </w:numPr>
        <w:autoSpaceDN w:val="0"/>
        <w:ind w:hanging="567"/>
        <w:jc w:val="left"/>
      </w:pPr>
      <w:r>
        <w:t xml:space="preserve">preporučuje da se pojasne </w:t>
      </w:r>
      <w:r>
        <w:rPr>
          <w:b/>
        </w:rPr>
        <w:t xml:space="preserve">razlozi zbog kojih se u glavi I. upućuje samo na kriterij države poslovnog </w:t>
      </w:r>
      <w:proofErr w:type="spellStart"/>
      <w:r>
        <w:rPr>
          <w:b/>
        </w:rPr>
        <w:t>nastana</w:t>
      </w:r>
      <w:proofErr w:type="spellEnd"/>
      <w:r>
        <w:rPr>
          <w:b/>
        </w:rPr>
        <w:t xml:space="preserve"> svemirskog operatora</w:t>
      </w:r>
      <w:r>
        <w:t xml:space="preserve"> ili svemirskog operatora iz treće zemlje, bez ikakvog upućivanja na državu državljanstva te preporučuje da se </w:t>
      </w:r>
      <w:r>
        <w:rPr>
          <w:b/>
        </w:rPr>
        <w:t>pojasni članak 6. stavak 3. kako bi se osigurala bolja koordinacija s nacionalnim zakonodavstvima o svemiru</w:t>
      </w:r>
      <w:r>
        <w:t xml:space="preserve"> u kojima se utvrđuju operatori koji moraju dobiti odobrenje na temelju državljanstva ili državnog područja s kojeg se obavlja svemirska aktivnost;</w:t>
      </w:r>
    </w:p>
    <w:p w14:paraId="0930A916" w14:textId="77777777" w:rsidR="00734270" w:rsidRDefault="00734270" w:rsidP="00734270">
      <w:pPr>
        <w:numPr>
          <w:ilvl w:val="0"/>
          <w:numId w:val="4"/>
        </w:numPr>
        <w:autoSpaceDN w:val="0"/>
        <w:ind w:hanging="567"/>
        <w:jc w:val="left"/>
      </w:pPr>
      <w:r>
        <w:t xml:space="preserve">preporučuje da se </w:t>
      </w:r>
      <w:r>
        <w:rPr>
          <w:b/>
        </w:rPr>
        <w:t>u glavi II. pojasni funkcioniranje izuzeća i fleksibilnosti u postupku odobravanja</w:t>
      </w:r>
      <w:r>
        <w:t xml:space="preserve">, uz navođenje </w:t>
      </w:r>
      <w:proofErr w:type="spellStart"/>
      <w:r>
        <w:t>postupovnih</w:t>
      </w:r>
      <w:proofErr w:type="spellEnd"/>
      <w:r>
        <w:t xml:space="preserve"> rokova, primjenjivosti na nekomercijalne misije, inspekcijskih ovlasti Komisije i operativne uloge Europske svemirske agencije i EUSPA-e;</w:t>
      </w:r>
    </w:p>
    <w:p w14:paraId="2AD3619F" w14:textId="77777777" w:rsidR="00734270" w:rsidRDefault="00734270" w:rsidP="00734270">
      <w:pPr>
        <w:numPr>
          <w:ilvl w:val="0"/>
          <w:numId w:val="4"/>
        </w:numPr>
        <w:autoSpaceDN w:val="0"/>
        <w:ind w:hanging="567"/>
        <w:jc w:val="left"/>
      </w:pPr>
      <w:r>
        <w:t xml:space="preserve">preporučuje da se precizno definiraju </w:t>
      </w:r>
      <w:r>
        <w:rPr>
          <w:b/>
        </w:rPr>
        <w:t>ograničenja unutar kojih države članice mogu nametnuti strože zahtjeve</w:t>
      </w:r>
      <w:r>
        <w:t xml:space="preserve"> u pogledu slobodnog kretanja svemirskih podataka i usluga u Uniji;</w:t>
      </w:r>
    </w:p>
    <w:p w14:paraId="0A54E62F" w14:textId="77777777" w:rsidR="00734270" w:rsidRDefault="00734270" w:rsidP="00734270">
      <w:pPr>
        <w:numPr>
          <w:ilvl w:val="0"/>
          <w:numId w:val="4"/>
        </w:numPr>
        <w:autoSpaceDN w:val="0"/>
        <w:ind w:hanging="567"/>
        <w:jc w:val="left"/>
      </w:pPr>
      <w:r>
        <w:t xml:space="preserve">naglašava potrebu za </w:t>
      </w:r>
      <w:r>
        <w:rPr>
          <w:b/>
        </w:rPr>
        <w:t>jačanjem uzajamnog priznavanja i zajedničkih pravila kako bi se izbjegla fragmentacija</w:t>
      </w:r>
      <w:r>
        <w:t xml:space="preserve"> i birokratske prepreke;</w:t>
      </w:r>
    </w:p>
    <w:p w14:paraId="760F4F3F" w14:textId="77777777" w:rsidR="00734270" w:rsidRDefault="00734270" w:rsidP="00734270">
      <w:pPr>
        <w:numPr>
          <w:ilvl w:val="0"/>
          <w:numId w:val="4"/>
        </w:numPr>
        <w:autoSpaceDN w:val="0"/>
        <w:ind w:hanging="567"/>
        <w:jc w:val="left"/>
      </w:pPr>
      <w:r>
        <w:t xml:space="preserve">preporučuje </w:t>
      </w:r>
      <w:r>
        <w:rPr>
          <w:b/>
        </w:rPr>
        <w:t>povezivanje europske svemirske strategije s europskom strateškom autonomijom</w:t>
      </w:r>
      <w:r>
        <w:t xml:space="preserve"> i poticanje </w:t>
      </w:r>
      <w:r>
        <w:rPr>
          <w:b/>
        </w:rPr>
        <w:t>komplementarnih ekosustava i multiplikacijskog učinka svemirskog gospodarstva</w:t>
      </w:r>
      <w:r>
        <w:t xml:space="preserve"> za potporu određenim sektorima;</w:t>
      </w:r>
    </w:p>
    <w:p w14:paraId="44600A3D" w14:textId="77777777" w:rsidR="00734270" w:rsidRDefault="00734270" w:rsidP="00734270">
      <w:pPr>
        <w:numPr>
          <w:ilvl w:val="0"/>
          <w:numId w:val="4"/>
        </w:numPr>
        <w:autoSpaceDN w:val="0"/>
        <w:ind w:hanging="567"/>
        <w:jc w:val="left"/>
      </w:pPr>
      <w:r>
        <w:t xml:space="preserve">preporučuje razvoj </w:t>
      </w:r>
      <w:r>
        <w:rPr>
          <w:b/>
        </w:rPr>
        <w:t>integrirane strategije za vještine i radna mjesta u svemirskom sektoru</w:t>
      </w:r>
      <w:r>
        <w:t xml:space="preserve"> i donošenje </w:t>
      </w:r>
      <w:r>
        <w:rPr>
          <w:b/>
        </w:rPr>
        <w:t>europskog programa vještina za svemir</w:t>
      </w:r>
      <w:r>
        <w:t>;</w:t>
      </w:r>
    </w:p>
    <w:p w14:paraId="3375A4CC" w14:textId="77777777" w:rsidR="00734270" w:rsidRDefault="00734270" w:rsidP="00734270">
      <w:pPr>
        <w:numPr>
          <w:ilvl w:val="0"/>
          <w:numId w:val="4"/>
        </w:numPr>
        <w:autoSpaceDN w:val="0"/>
        <w:ind w:hanging="567"/>
        <w:jc w:val="left"/>
      </w:pPr>
      <w:r>
        <w:t xml:space="preserve">poziva da se osiguraju odgovarajuća sredstva za </w:t>
      </w:r>
      <w:r>
        <w:rPr>
          <w:b/>
        </w:rPr>
        <w:t>operativno jačanje EUSPA-e</w:t>
      </w:r>
      <w:r>
        <w:t xml:space="preserve"> u sljedećem višegodišnjem financijskom okviru za razdoblje 2028. – 2034.</w:t>
      </w:r>
    </w:p>
    <w:p w14:paraId="433FE965" w14:textId="77777777" w:rsidR="00734270" w:rsidRDefault="00734270" w:rsidP="00734270">
      <w:pPr>
        <w:widowControl w:val="0"/>
        <w:ind w:left="709"/>
        <w:rPr>
          <w:sz w:val="14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734270" w14:paraId="1EF1C651" w14:textId="77777777" w:rsidTr="00734270">
        <w:tc>
          <w:tcPr>
            <w:tcW w:w="1418" w:type="dxa"/>
            <w:hideMark/>
          </w:tcPr>
          <w:p w14:paraId="05E9A5E1" w14:textId="77777777" w:rsidR="00734270" w:rsidRDefault="00734270">
            <w:pPr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5670" w:type="dxa"/>
            <w:hideMark/>
          </w:tcPr>
          <w:p w14:paraId="6F8D6893" w14:textId="77777777" w:rsidR="00734270" w:rsidRDefault="00734270">
            <w:pPr>
              <w:rPr>
                <w:i/>
              </w:rPr>
            </w:pPr>
            <w:proofErr w:type="spellStart"/>
            <w:r>
              <w:rPr>
                <w:i/>
              </w:rPr>
              <w:t>Giorgia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Bordignon</w:t>
            </w:r>
            <w:proofErr w:type="spellEnd"/>
          </w:p>
        </w:tc>
      </w:tr>
      <w:tr w:rsidR="00734270" w14:paraId="1127F261" w14:textId="77777777" w:rsidTr="00734270">
        <w:tc>
          <w:tcPr>
            <w:tcW w:w="1418" w:type="dxa"/>
            <w:hideMark/>
          </w:tcPr>
          <w:p w14:paraId="3C51CF18" w14:textId="77777777" w:rsidR="00734270" w:rsidRDefault="00734270">
            <w:pPr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5670" w:type="dxa"/>
            <w:hideMark/>
          </w:tcPr>
          <w:p w14:paraId="29829201" w14:textId="77777777" w:rsidR="00734270" w:rsidRDefault="00734270">
            <w:pPr>
              <w:rPr>
                <w:i/>
              </w:rPr>
            </w:pPr>
            <w:r>
              <w:rPr>
                <w:i/>
              </w:rPr>
              <w:t>+32 25468</w:t>
            </w:r>
            <w:r>
              <w:t>535</w:t>
            </w:r>
          </w:p>
        </w:tc>
      </w:tr>
      <w:tr w:rsidR="00734270" w14:paraId="33FE6E23" w14:textId="77777777" w:rsidTr="00734270">
        <w:tc>
          <w:tcPr>
            <w:tcW w:w="1418" w:type="dxa"/>
            <w:hideMark/>
          </w:tcPr>
          <w:p w14:paraId="448A27B0" w14:textId="77777777" w:rsidR="00734270" w:rsidRDefault="00734270">
            <w:pPr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5670" w:type="dxa"/>
            <w:hideMark/>
          </w:tcPr>
          <w:p w14:paraId="03216A7A" w14:textId="77777777" w:rsidR="00734270" w:rsidRDefault="00A00905">
            <w:pPr>
              <w:rPr>
                <w:i/>
              </w:rPr>
            </w:pPr>
            <w:hyperlink r:id="rId27" w:history="1">
              <w:r w:rsidR="00734270">
                <w:rPr>
                  <w:rStyle w:val="Hyperlink"/>
                  <w:i/>
                </w:rPr>
                <w:t>GiorgiaAndrea.Bordignon@eesc.europa.eu</w:t>
              </w:r>
            </w:hyperlink>
            <w:r w:rsidR="00734270">
              <w:rPr>
                <w:i/>
              </w:rPr>
              <w:t xml:space="preserve"> </w:t>
            </w:r>
          </w:p>
        </w:tc>
      </w:tr>
    </w:tbl>
    <w:p w14:paraId="4982DDF1" w14:textId="421D2B67" w:rsidR="00B8543B" w:rsidRDefault="00B8543B" w:rsidP="004D7AC0">
      <w:pPr>
        <w:pStyle w:val="ListParagraph"/>
        <w:ind w:left="0"/>
      </w:pPr>
    </w:p>
    <w:p w14:paraId="7416E75B" w14:textId="77777777" w:rsidR="00B8543B" w:rsidRDefault="00B8543B">
      <w:pPr>
        <w:spacing w:after="160" w:line="259" w:lineRule="auto"/>
        <w:jc w:val="left"/>
      </w:pPr>
      <w:r>
        <w:br w:type="page"/>
      </w:r>
    </w:p>
    <w:p w14:paraId="723E3158" w14:textId="77777777" w:rsidR="0000352F" w:rsidRPr="001424C7" w:rsidRDefault="0000352F" w:rsidP="0000352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</w:rPr>
      </w:pPr>
      <w:r>
        <w:rPr>
          <w:b/>
          <w:bCs/>
          <w:i/>
          <w:iCs/>
        </w:rPr>
        <w:lastRenderedPageBreak/>
        <w:t>TEN/856 –</w:t>
      </w:r>
      <w:r>
        <w:t xml:space="preserve"> </w:t>
      </w:r>
      <w:hyperlink r:id="rId28" w:history="1">
        <w:r>
          <w:rPr>
            <w:rStyle w:val="Hyperlink"/>
            <w:b/>
            <w:i/>
            <w:sz w:val="28"/>
          </w:rPr>
          <w:t>Ogledni nuklearni program</w:t>
        </w:r>
      </w:hyperlink>
    </w:p>
    <w:p w14:paraId="56F7E45E" w14:textId="77777777" w:rsidR="0000352F" w:rsidRPr="00A6689B" w:rsidRDefault="0000352F" w:rsidP="0000352F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8"/>
        <w:gridCol w:w="7125"/>
      </w:tblGrid>
      <w:tr w:rsidR="0000352F" w:rsidRPr="00A6689B" w14:paraId="3E67DA7E" w14:textId="77777777" w:rsidTr="00ED5A08">
        <w:tc>
          <w:tcPr>
            <w:tcW w:w="1951" w:type="dxa"/>
          </w:tcPr>
          <w:p w14:paraId="7F00DD76" w14:textId="77777777" w:rsidR="0000352F" w:rsidRPr="00A6689B" w:rsidRDefault="0000352F" w:rsidP="00ED5A0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7229" w:type="dxa"/>
          </w:tcPr>
          <w:p w14:paraId="5F3CE69C" w14:textId="77777777" w:rsidR="0000352F" w:rsidRPr="00A6689B" w:rsidRDefault="0000352F" w:rsidP="00ED5A08">
            <w:pPr>
              <w:tabs>
                <w:tab w:val="center" w:pos="284"/>
              </w:tabs>
              <w:ind w:left="266" w:hanging="266"/>
            </w:pPr>
            <w:proofErr w:type="spellStart"/>
            <w:r>
              <w:t>Dumitru</w:t>
            </w:r>
            <w:proofErr w:type="spellEnd"/>
            <w:r>
              <w:t xml:space="preserve"> FORNEA (Skupina radnika – RO)</w:t>
            </w:r>
          </w:p>
        </w:tc>
      </w:tr>
      <w:tr w:rsidR="0000352F" w:rsidRPr="00A6689B" w14:paraId="225EAED3" w14:textId="77777777" w:rsidTr="00ED5A08">
        <w:tc>
          <w:tcPr>
            <w:tcW w:w="1951" w:type="dxa"/>
          </w:tcPr>
          <w:p w14:paraId="3135FC3A" w14:textId="77777777" w:rsidR="0000352F" w:rsidRPr="00A6689B" w:rsidRDefault="0000352F" w:rsidP="00ED5A0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Suizvjestitelj/ica:</w:t>
            </w:r>
          </w:p>
        </w:tc>
        <w:tc>
          <w:tcPr>
            <w:tcW w:w="7229" w:type="dxa"/>
          </w:tcPr>
          <w:p w14:paraId="7F19F87C" w14:textId="77777777" w:rsidR="0000352F" w:rsidRPr="00A6689B" w:rsidRDefault="0000352F" w:rsidP="00ED5A08">
            <w:pPr>
              <w:tabs>
                <w:tab w:val="center" w:pos="284"/>
              </w:tabs>
              <w:ind w:left="266" w:hanging="266"/>
            </w:pPr>
            <w:r>
              <w:t>Alena MASTANTUONO (Skupina poslodavaca – CZ)</w:t>
            </w:r>
          </w:p>
        </w:tc>
      </w:tr>
      <w:tr w:rsidR="0000352F" w:rsidRPr="00D25C71" w14:paraId="1A862AB3" w14:textId="77777777" w:rsidTr="00ED5A08">
        <w:tc>
          <w:tcPr>
            <w:tcW w:w="1951" w:type="dxa"/>
          </w:tcPr>
          <w:p w14:paraId="25659F35" w14:textId="77777777" w:rsidR="0000352F" w:rsidRPr="00A6689B" w:rsidRDefault="0000352F" w:rsidP="00ED5A08">
            <w:pPr>
              <w:tabs>
                <w:tab w:val="center" w:pos="284"/>
              </w:tabs>
              <w:ind w:left="266" w:hanging="266"/>
              <w:jc w:val="center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7229" w:type="dxa"/>
          </w:tcPr>
          <w:p w14:paraId="469983D4" w14:textId="77777777" w:rsidR="0000352F" w:rsidRPr="00947EE1" w:rsidRDefault="0000352F" w:rsidP="00ED5A08">
            <w:pPr>
              <w:tabs>
                <w:tab w:val="center" w:pos="284"/>
              </w:tabs>
              <w:ind w:left="266" w:hanging="266"/>
            </w:pPr>
            <w:r>
              <w:t xml:space="preserve">COM(2025) 315 </w:t>
            </w:r>
            <w:proofErr w:type="spellStart"/>
            <w:r>
              <w:t>final</w:t>
            </w:r>
            <w:proofErr w:type="spellEnd"/>
          </w:p>
          <w:p w14:paraId="0A63321D" w14:textId="77777777" w:rsidR="0000352F" w:rsidRPr="00947EE1" w:rsidRDefault="0000352F" w:rsidP="00ED5A08">
            <w:pPr>
              <w:tabs>
                <w:tab w:val="center" w:pos="284"/>
              </w:tabs>
              <w:ind w:left="266" w:hanging="266"/>
            </w:pPr>
            <w:r>
              <w:t>EESC-2025-02173-00-00-AC</w:t>
            </w:r>
          </w:p>
        </w:tc>
      </w:tr>
    </w:tbl>
    <w:p w14:paraId="2820D64B" w14:textId="77777777" w:rsidR="0000352F" w:rsidRPr="00947EE1" w:rsidRDefault="0000352F" w:rsidP="0000352F">
      <w:pPr>
        <w:tabs>
          <w:tab w:val="center" w:pos="284"/>
        </w:tabs>
        <w:ind w:left="266" w:hanging="266"/>
        <w:rPr>
          <w:lang w:val="pt-PT"/>
        </w:rPr>
      </w:pPr>
    </w:p>
    <w:p w14:paraId="0EC9B6BE" w14:textId="77777777" w:rsidR="0000352F" w:rsidRPr="00A6689B" w:rsidRDefault="0000352F" w:rsidP="0000352F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Ključne točke</w:t>
      </w:r>
    </w:p>
    <w:p w14:paraId="6B74530A" w14:textId="77777777" w:rsidR="0000352F" w:rsidRPr="00A6689B" w:rsidRDefault="0000352F" w:rsidP="0000352F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68A2936D" w14:textId="77777777" w:rsidR="0000352F" w:rsidRPr="00A6689B" w:rsidRDefault="0000352F" w:rsidP="0000352F">
      <w:pPr>
        <w:rPr>
          <w:bCs/>
          <w:iCs/>
        </w:rPr>
      </w:pPr>
      <w:r>
        <w:t>EGSO:</w:t>
      </w:r>
    </w:p>
    <w:p w14:paraId="3FFEB2E9" w14:textId="77777777" w:rsidR="0000352F" w:rsidRPr="00947EE1" w:rsidRDefault="0000352F" w:rsidP="0000352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r>
        <w:t xml:space="preserve">smatra da nuklearna energija ima i da će i dalje imati ključnu ulogu u </w:t>
      </w:r>
      <w:proofErr w:type="spellStart"/>
      <w:r>
        <w:t>dekarbonizaciji</w:t>
      </w:r>
      <w:proofErr w:type="spellEnd"/>
      <w:r>
        <w:t xml:space="preserve"> europskog kontinenta i konsolidaciji njegove strateške autonomije u području energetike i tehnologije;</w:t>
      </w:r>
    </w:p>
    <w:p w14:paraId="29226738" w14:textId="77777777" w:rsidR="0000352F" w:rsidRPr="00A6689B" w:rsidRDefault="0000352F" w:rsidP="0000352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r>
        <w:t>preporučuje da se za ulaganja u sektor nuklearne energije primjenjuju isti uvjeti kao i za obnovljive izvore energije;</w:t>
      </w:r>
    </w:p>
    <w:p w14:paraId="27DE8944" w14:textId="77777777" w:rsidR="0000352F" w:rsidRPr="00A6689B" w:rsidRDefault="0000352F" w:rsidP="0000352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r>
        <w:t>preporučuje ubrzavanje ulaganja putem posebnih financijskih i regulatornih mjera, kao što su pojednostavljeni postupak dodjele državnih potpora, pristup financijskim sredstvima EU-a, održivo financiranje, postupci izdavanja dozvola i brže donošenje odluka na razini EU-a i nacionalnoj razini;</w:t>
      </w:r>
    </w:p>
    <w:p w14:paraId="1F44B8D7" w14:textId="77777777" w:rsidR="0000352F" w:rsidRDefault="0000352F" w:rsidP="0000352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r>
        <w:t>smatra da je dijalog s civilnim društvom ključan za izgradnju povjerenja, odgovornosti i društvene prihvaćenosti;</w:t>
      </w:r>
    </w:p>
    <w:p w14:paraId="2A73E05B" w14:textId="77777777" w:rsidR="0000352F" w:rsidRPr="00A6689B" w:rsidRDefault="0000352F" w:rsidP="0000352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r>
        <w:t>poziva na pojačanu regulatornu suradnju među državama članicama;</w:t>
      </w:r>
    </w:p>
    <w:p w14:paraId="3A72CB24" w14:textId="77777777" w:rsidR="0000352F" w:rsidRPr="0040261B" w:rsidRDefault="0000352F" w:rsidP="0000352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</w:pPr>
      <w:r>
        <w:t>preporučuje da se u obzir uzme uloga nuklearne energije u stabilizaciji mreže i poziva na to da se u PINC doda izračun sistemskih troškova koji se mogu izbjeći zahvaljujući nuklearnoj energiji.</w:t>
      </w:r>
    </w:p>
    <w:p w14:paraId="60E7F3E0" w14:textId="77777777" w:rsidR="0000352F" w:rsidRPr="000624A9" w:rsidRDefault="0000352F" w:rsidP="0000352F">
      <w:pPr>
        <w:widowControl w:val="0"/>
        <w:ind w:left="709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2"/>
        <w:gridCol w:w="7141"/>
      </w:tblGrid>
      <w:tr w:rsidR="0000352F" w:rsidRPr="00A6689B" w14:paraId="0BD3CE06" w14:textId="77777777" w:rsidTr="00ED5A08">
        <w:tc>
          <w:tcPr>
            <w:tcW w:w="1951" w:type="dxa"/>
          </w:tcPr>
          <w:p w14:paraId="3D83C360" w14:textId="77777777" w:rsidR="0000352F" w:rsidRPr="00A6689B" w:rsidRDefault="0000352F" w:rsidP="00ED5A08">
            <w:pPr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7229" w:type="dxa"/>
          </w:tcPr>
          <w:p w14:paraId="02EAFC0A" w14:textId="77777777" w:rsidR="0000352F" w:rsidRPr="00A6689B" w:rsidRDefault="0000352F" w:rsidP="00ED5A08">
            <w:pPr>
              <w:rPr>
                <w:i/>
              </w:rPr>
            </w:pPr>
            <w:r>
              <w:rPr>
                <w:i/>
              </w:rPr>
              <w:t>Albert PRECUP</w:t>
            </w:r>
          </w:p>
        </w:tc>
      </w:tr>
      <w:tr w:rsidR="0000352F" w:rsidRPr="00A6689B" w14:paraId="66764BC8" w14:textId="77777777" w:rsidTr="00ED5A08">
        <w:tc>
          <w:tcPr>
            <w:tcW w:w="1951" w:type="dxa"/>
          </w:tcPr>
          <w:p w14:paraId="57936D1C" w14:textId="77777777" w:rsidR="0000352F" w:rsidRPr="00A6689B" w:rsidRDefault="0000352F" w:rsidP="00ED5A08">
            <w:pPr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229" w:type="dxa"/>
          </w:tcPr>
          <w:p w14:paraId="4DCDAD18" w14:textId="77777777" w:rsidR="0000352F" w:rsidRPr="00A6689B" w:rsidRDefault="0000352F" w:rsidP="00ED5A08">
            <w:pPr>
              <w:rPr>
                <w:i/>
              </w:rPr>
            </w:pPr>
            <w:r>
              <w:rPr>
                <w:i/>
              </w:rPr>
              <w:t>+32 25469326</w:t>
            </w:r>
          </w:p>
        </w:tc>
      </w:tr>
      <w:tr w:rsidR="0000352F" w:rsidRPr="00A6689B" w14:paraId="46465E00" w14:textId="77777777" w:rsidTr="00ED5A08">
        <w:tc>
          <w:tcPr>
            <w:tcW w:w="1951" w:type="dxa"/>
          </w:tcPr>
          <w:p w14:paraId="63461E3B" w14:textId="77777777" w:rsidR="0000352F" w:rsidRPr="00A6689B" w:rsidRDefault="0000352F" w:rsidP="00ED5A08">
            <w:pPr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7229" w:type="dxa"/>
          </w:tcPr>
          <w:p w14:paraId="1402B0D3" w14:textId="77777777" w:rsidR="0000352F" w:rsidRPr="00A6689B" w:rsidRDefault="00A00905" w:rsidP="00ED5A08">
            <w:pPr>
              <w:rPr>
                <w:i/>
              </w:rPr>
            </w:pPr>
            <w:hyperlink r:id="rId29" w:history="1">
              <w:r w:rsidR="0000352F">
                <w:rPr>
                  <w:rStyle w:val="Hyperlink"/>
                  <w:i/>
                </w:rPr>
                <w:t>Albert.Precup@eesc.europa.eu</w:t>
              </w:r>
            </w:hyperlink>
          </w:p>
        </w:tc>
      </w:tr>
    </w:tbl>
    <w:p w14:paraId="4C06F621" w14:textId="77777777" w:rsidR="004D7AC0" w:rsidRDefault="004D7AC0" w:rsidP="004D7AC0">
      <w:pPr>
        <w:pStyle w:val="ListParagraph"/>
        <w:ind w:left="0"/>
      </w:pPr>
    </w:p>
    <w:p w14:paraId="4982DDF2" w14:textId="0D337987" w:rsidR="00BC676C" w:rsidRDefault="004D7AC0">
      <w:pPr>
        <w:spacing w:after="160" w:line="259" w:lineRule="auto"/>
        <w:jc w:val="left"/>
      </w:pPr>
      <w:r>
        <w:br w:type="page"/>
      </w:r>
    </w:p>
    <w:p w14:paraId="64D55A18" w14:textId="77777777" w:rsidR="004D7AC0" w:rsidRDefault="004D7AC0" w:rsidP="004D7AC0">
      <w:pPr>
        <w:spacing w:after="160" w:line="259" w:lineRule="auto"/>
        <w:jc w:val="left"/>
      </w:pPr>
    </w:p>
    <w:p w14:paraId="4982DDF3" w14:textId="77777777" w:rsidR="004D7AC0" w:rsidRDefault="004D7AC0" w:rsidP="004D7AC0">
      <w:pPr>
        <w:pStyle w:val="Heading1"/>
        <w:rPr>
          <w:b/>
        </w:rPr>
      </w:pPr>
      <w:bookmarkStart w:id="6" w:name="_Toc75527083"/>
      <w:bookmarkStart w:id="7" w:name="_Toc216879506"/>
      <w:r>
        <w:rPr>
          <w:b/>
        </w:rPr>
        <w:t>JEDINSTVENO TRŽIŠTE, PROIZVODNJA I POTROŠNJA</w:t>
      </w:r>
      <w:bookmarkEnd w:id="6"/>
      <w:bookmarkEnd w:id="7"/>
    </w:p>
    <w:p w14:paraId="4982DDF4" w14:textId="77777777" w:rsidR="004D7AC0" w:rsidRDefault="004D7AC0" w:rsidP="004D7AC0"/>
    <w:p w14:paraId="4C5403CE" w14:textId="77777777" w:rsidR="0000352F" w:rsidRPr="0003586F" w:rsidRDefault="0000352F" w:rsidP="0000352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</w:rPr>
      </w:pPr>
      <w:r>
        <w:rPr>
          <w:b/>
          <w:bCs/>
          <w:i/>
          <w:iCs/>
        </w:rPr>
        <w:t>INT/1094</w:t>
      </w:r>
      <w:r>
        <w:t xml:space="preserve"> – </w:t>
      </w:r>
      <w:hyperlink r:id="rId30" w:history="1">
        <w:r>
          <w:rPr>
            <w:rStyle w:val="Hyperlink"/>
            <w:b/>
            <w:i/>
            <w:sz w:val="28"/>
          </w:rPr>
          <w:t>Strategija jedinstvenog tržišta</w:t>
        </w:r>
      </w:hyperlink>
    </w:p>
    <w:p w14:paraId="4E22E40E" w14:textId="77777777" w:rsidR="0000352F" w:rsidRPr="00A6689B" w:rsidRDefault="0000352F" w:rsidP="0000352F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521"/>
      </w:tblGrid>
      <w:tr w:rsidR="0000352F" w:rsidRPr="00A6689B" w14:paraId="57C6A921" w14:textId="77777777" w:rsidTr="00ED5A08">
        <w:tc>
          <w:tcPr>
            <w:tcW w:w="1701" w:type="dxa"/>
          </w:tcPr>
          <w:p w14:paraId="2B93CE58" w14:textId="77777777" w:rsidR="0000352F" w:rsidRPr="00A6689B" w:rsidRDefault="0000352F" w:rsidP="00ED5A0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Izvjestitelji/ice:</w:t>
            </w:r>
          </w:p>
        </w:tc>
        <w:tc>
          <w:tcPr>
            <w:tcW w:w="6521" w:type="dxa"/>
          </w:tcPr>
          <w:p w14:paraId="605FD6F7" w14:textId="77777777" w:rsidR="0000352F" w:rsidRPr="00A6689B" w:rsidRDefault="0000352F" w:rsidP="00ED5A08">
            <w:pPr>
              <w:tabs>
                <w:tab w:val="center" w:pos="284"/>
              </w:tabs>
              <w:ind w:left="266" w:hanging="266"/>
            </w:pPr>
            <w:proofErr w:type="spellStart"/>
            <w:r>
              <w:t>Emilie</w:t>
            </w:r>
            <w:proofErr w:type="spellEnd"/>
            <w:r>
              <w:t xml:space="preserve"> PROUZET (Skupina poslodavaca – FR)</w:t>
            </w:r>
          </w:p>
        </w:tc>
      </w:tr>
      <w:tr w:rsidR="0000352F" w:rsidRPr="00A6689B" w14:paraId="4D0F146C" w14:textId="77777777" w:rsidTr="00ED5A08">
        <w:tc>
          <w:tcPr>
            <w:tcW w:w="1701" w:type="dxa"/>
          </w:tcPr>
          <w:p w14:paraId="7B534A4D" w14:textId="77777777" w:rsidR="0000352F" w:rsidRPr="00A6689B" w:rsidRDefault="0000352F" w:rsidP="00ED5A08">
            <w:pPr>
              <w:tabs>
                <w:tab w:val="center" w:pos="284"/>
              </w:tabs>
              <w:ind w:left="266" w:hanging="266"/>
              <w:rPr>
                <w:b/>
                <w:lang w:val="en-US"/>
              </w:rPr>
            </w:pPr>
          </w:p>
        </w:tc>
        <w:tc>
          <w:tcPr>
            <w:tcW w:w="6521" w:type="dxa"/>
          </w:tcPr>
          <w:p w14:paraId="45565AB7" w14:textId="77777777" w:rsidR="0000352F" w:rsidRDefault="0000352F" w:rsidP="00ED5A08">
            <w:pPr>
              <w:tabs>
                <w:tab w:val="center" w:pos="284"/>
              </w:tabs>
              <w:ind w:left="266" w:hanging="266"/>
            </w:pPr>
            <w:r>
              <w:t>Angelo PAGLIARA (Skupina radnika – IT)</w:t>
            </w:r>
          </w:p>
          <w:p w14:paraId="1CE30A4E" w14:textId="77777777" w:rsidR="0000352F" w:rsidRPr="000F7665" w:rsidRDefault="0000352F" w:rsidP="00ED5A08">
            <w:pPr>
              <w:tabs>
                <w:tab w:val="center" w:pos="284"/>
              </w:tabs>
              <w:ind w:left="266" w:hanging="266"/>
            </w:pPr>
            <w:r>
              <w:t>Giuseppe GUERINI (Skupina organizacija civilnog društva – IT)</w:t>
            </w:r>
          </w:p>
        </w:tc>
      </w:tr>
      <w:tr w:rsidR="0000352F" w:rsidRPr="00A6689B" w14:paraId="53BD55DD" w14:textId="77777777" w:rsidTr="00ED5A08">
        <w:tc>
          <w:tcPr>
            <w:tcW w:w="8222" w:type="dxa"/>
            <w:gridSpan w:val="2"/>
          </w:tcPr>
          <w:p w14:paraId="568F5504" w14:textId="77777777" w:rsidR="0000352F" w:rsidRPr="00DC1F89" w:rsidRDefault="0000352F" w:rsidP="00ED5A08">
            <w:pPr>
              <w:tabs>
                <w:tab w:val="center" w:pos="284"/>
              </w:tabs>
              <w:spacing w:line="160" w:lineRule="exact"/>
              <w:ind w:left="266" w:hanging="266"/>
            </w:pPr>
          </w:p>
        </w:tc>
      </w:tr>
      <w:tr w:rsidR="0000352F" w:rsidRPr="00A6689B" w14:paraId="6CE1F7AD" w14:textId="77777777" w:rsidTr="00ED5A08">
        <w:tc>
          <w:tcPr>
            <w:tcW w:w="1701" w:type="dxa"/>
            <w:vMerge w:val="restart"/>
          </w:tcPr>
          <w:p w14:paraId="2193F034" w14:textId="77777777" w:rsidR="0000352F" w:rsidRPr="00A6689B" w:rsidRDefault="0000352F" w:rsidP="00ED5A0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6521" w:type="dxa"/>
          </w:tcPr>
          <w:p w14:paraId="4372CA77" w14:textId="77777777" w:rsidR="0000352F" w:rsidRPr="0018587A" w:rsidRDefault="0000352F" w:rsidP="00ED5A08">
            <w:pPr>
              <w:tabs>
                <w:tab w:val="center" w:pos="284"/>
              </w:tabs>
              <w:ind w:left="266" w:hanging="266"/>
            </w:pPr>
            <w:r>
              <w:t xml:space="preserve">COM(2025) 500 </w:t>
            </w:r>
            <w:proofErr w:type="spellStart"/>
            <w:r>
              <w:t>final</w:t>
            </w:r>
            <w:proofErr w:type="spellEnd"/>
          </w:p>
          <w:p w14:paraId="25CE0D53" w14:textId="77777777" w:rsidR="0000352F" w:rsidRPr="00A6689B" w:rsidRDefault="0000352F" w:rsidP="00ED5A08">
            <w:pPr>
              <w:tabs>
                <w:tab w:val="center" w:pos="284"/>
              </w:tabs>
              <w:ind w:left="266" w:hanging="266"/>
            </w:pPr>
            <w:r>
              <w:t>EESC-2025-01859-00-00-AC</w:t>
            </w:r>
          </w:p>
        </w:tc>
      </w:tr>
      <w:tr w:rsidR="0000352F" w:rsidRPr="00A6689B" w14:paraId="76474BD0" w14:textId="77777777" w:rsidTr="00ED5A08">
        <w:tc>
          <w:tcPr>
            <w:tcW w:w="1701" w:type="dxa"/>
            <w:vMerge/>
          </w:tcPr>
          <w:p w14:paraId="33E78F79" w14:textId="77777777" w:rsidR="0000352F" w:rsidRPr="00A6689B" w:rsidRDefault="0000352F" w:rsidP="00ED5A08">
            <w:pPr>
              <w:tabs>
                <w:tab w:val="center" w:pos="284"/>
              </w:tabs>
              <w:ind w:left="266" w:hanging="266"/>
              <w:rPr>
                <w:b/>
                <w:lang w:val="en-US"/>
              </w:rPr>
            </w:pPr>
          </w:p>
        </w:tc>
        <w:tc>
          <w:tcPr>
            <w:tcW w:w="6521" w:type="dxa"/>
          </w:tcPr>
          <w:p w14:paraId="5577F6E3" w14:textId="77777777" w:rsidR="0000352F" w:rsidRPr="00A6689B" w:rsidRDefault="0000352F" w:rsidP="00ED5A08">
            <w:pPr>
              <w:tabs>
                <w:tab w:val="center" w:pos="284"/>
              </w:tabs>
              <w:ind w:left="266" w:hanging="266"/>
              <w:rPr>
                <w:lang w:val="en-US"/>
              </w:rPr>
            </w:pPr>
          </w:p>
        </w:tc>
      </w:tr>
    </w:tbl>
    <w:p w14:paraId="2834533D" w14:textId="77777777" w:rsidR="0000352F" w:rsidRPr="00A6689B" w:rsidRDefault="0000352F" w:rsidP="0000352F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Ključne točke</w:t>
      </w:r>
    </w:p>
    <w:p w14:paraId="7A6A1B8E" w14:textId="77777777" w:rsidR="0000352F" w:rsidRPr="00A6689B" w:rsidRDefault="0000352F" w:rsidP="0000352F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53B012F7" w14:textId="77777777" w:rsidR="0000352F" w:rsidRDefault="0000352F" w:rsidP="0000352F">
      <w:pPr>
        <w:rPr>
          <w:bCs/>
          <w:iCs/>
        </w:rPr>
      </w:pPr>
      <w:r>
        <w:t>EGSO:</w:t>
      </w:r>
    </w:p>
    <w:p w14:paraId="24D47BA7" w14:textId="77777777" w:rsidR="0000352F" w:rsidRPr="00A6689B" w:rsidRDefault="0000352F" w:rsidP="0000352F">
      <w:pPr>
        <w:rPr>
          <w:bCs/>
          <w:iCs/>
        </w:rPr>
      </w:pPr>
    </w:p>
    <w:p w14:paraId="06987B0E" w14:textId="77777777" w:rsidR="0000352F" w:rsidRPr="00260B52" w:rsidRDefault="0000352F" w:rsidP="0000352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r>
        <w:t>u potpunosti podržava prioritete koje je utvrdila Komisija i kojima se odgovara na izazove koje su postavili dionici;</w:t>
      </w:r>
    </w:p>
    <w:p w14:paraId="22B58335" w14:textId="77777777" w:rsidR="0000352F" w:rsidRPr="00260B52" w:rsidRDefault="0000352F" w:rsidP="0000352F">
      <w:pPr>
        <w:widowControl w:val="0"/>
        <w:ind w:left="567"/>
        <w:rPr>
          <w:bCs/>
          <w:iCs/>
        </w:rPr>
      </w:pPr>
    </w:p>
    <w:p w14:paraId="287747CB" w14:textId="77777777" w:rsidR="0000352F" w:rsidRPr="00260B52" w:rsidRDefault="0000352F" w:rsidP="0000352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r>
        <w:t>ponavlja da se regulatorno pojednostavnjenje mora provesti uz potpuno poštovanje socijalnih i radničkih prava. Stoga je ključno da Europski parlament, nacionalni parlamenti te socijalni partneri budu strukturno uključeni već u ranim fazama zakonodavnog postupka;</w:t>
      </w:r>
    </w:p>
    <w:p w14:paraId="030A11CA" w14:textId="77777777" w:rsidR="0000352F" w:rsidRDefault="0000352F" w:rsidP="0000352F">
      <w:pPr>
        <w:widowControl w:val="0"/>
        <w:ind w:left="567"/>
        <w:rPr>
          <w:bCs/>
          <w:iCs/>
        </w:rPr>
      </w:pPr>
    </w:p>
    <w:p w14:paraId="34591A19" w14:textId="77777777" w:rsidR="0000352F" w:rsidRPr="00260B52" w:rsidRDefault="0000352F" w:rsidP="0000352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r>
        <w:t>namjerava aktivnije doprinositi upravljanju jedinstvenim tržištem, među ostalim preuzimanjem snažnije uloge u okviru Radne skupine za osiguravanje primjene pravila jedinstvenog tržišta (SMET);</w:t>
      </w:r>
    </w:p>
    <w:p w14:paraId="594AEEE6" w14:textId="77777777" w:rsidR="0000352F" w:rsidRPr="00260B52" w:rsidRDefault="0000352F" w:rsidP="0000352F">
      <w:pPr>
        <w:widowControl w:val="0"/>
        <w:ind w:left="567"/>
        <w:rPr>
          <w:bCs/>
          <w:iCs/>
        </w:rPr>
      </w:pPr>
    </w:p>
    <w:p w14:paraId="2ABBD8C7" w14:textId="77777777" w:rsidR="0000352F" w:rsidRPr="00260B52" w:rsidRDefault="0000352F" w:rsidP="0000352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r>
        <w:t>poziva Komisiju da iznese zakonodavne prijedloge za rješavanje problema teritorijalnih ograničenja opskrbe i usklađivanje označivanja proizvoda;</w:t>
      </w:r>
    </w:p>
    <w:p w14:paraId="0378215D" w14:textId="77777777" w:rsidR="0000352F" w:rsidRPr="00260B52" w:rsidRDefault="0000352F" w:rsidP="0000352F">
      <w:pPr>
        <w:widowControl w:val="0"/>
        <w:ind w:left="567"/>
        <w:rPr>
          <w:bCs/>
          <w:iCs/>
        </w:rPr>
      </w:pPr>
    </w:p>
    <w:p w14:paraId="32A4A2CF" w14:textId="77777777" w:rsidR="0000352F" w:rsidRPr="00260B52" w:rsidRDefault="0000352F" w:rsidP="0000352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r>
        <w:t>pozdravlja Komisijinu najavu prijedloga neobveznog „28. režima” za poduzeća, ali naglašava potrebu za djelotvornim zaštitnim mjerama protiv mogućih zlouporaba;</w:t>
      </w:r>
    </w:p>
    <w:p w14:paraId="7106B79D" w14:textId="77777777" w:rsidR="0000352F" w:rsidRPr="00260B52" w:rsidRDefault="0000352F" w:rsidP="0000352F">
      <w:pPr>
        <w:widowControl w:val="0"/>
        <w:ind w:left="567"/>
        <w:rPr>
          <w:bCs/>
          <w:iCs/>
        </w:rPr>
      </w:pPr>
    </w:p>
    <w:p w14:paraId="29BEE8C3" w14:textId="77777777" w:rsidR="0000352F" w:rsidRPr="00260B52" w:rsidRDefault="0000352F" w:rsidP="0000352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r>
        <w:t xml:space="preserve">prepoznaje ključnu ulogu normizacije kao pokretača integracije i inovacija, ali naglašava načela transparentnosti, </w:t>
      </w:r>
      <w:proofErr w:type="spellStart"/>
      <w:r>
        <w:t>uključivosti</w:t>
      </w:r>
      <w:proofErr w:type="spellEnd"/>
      <w:r>
        <w:t xml:space="preserve"> i strukturiranog sudjelovanja;</w:t>
      </w:r>
    </w:p>
    <w:p w14:paraId="1BF45BE1" w14:textId="77777777" w:rsidR="0000352F" w:rsidRPr="00260B52" w:rsidRDefault="0000352F" w:rsidP="0000352F">
      <w:pPr>
        <w:widowControl w:val="0"/>
        <w:ind w:left="567"/>
        <w:rPr>
          <w:bCs/>
          <w:iCs/>
        </w:rPr>
      </w:pPr>
    </w:p>
    <w:p w14:paraId="087594D1" w14:textId="77777777" w:rsidR="0000352F" w:rsidRPr="00260B52" w:rsidRDefault="0000352F" w:rsidP="0000352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r>
        <w:t>podržava pojednostavljenje priznavanja stručnih kvalifikacija, među ostalim za državljane trećih zemalja, ali kvalifikacije moraju biti jasno definirane, provjerljive i dokazane kvalitete;</w:t>
      </w:r>
    </w:p>
    <w:p w14:paraId="21DAD3BE" w14:textId="77777777" w:rsidR="0000352F" w:rsidRPr="00260B52" w:rsidRDefault="0000352F" w:rsidP="0000352F">
      <w:pPr>
        <w:widowControl w:val="0"/>
        <w:ind w:left="567"/>
        <w:rPr>
          <w:bCs/>
          <w:iCs/>
        </w:rPr>
      </w:pPr>
    </w:p>
    <w:p w14:paraId="62F9F43E" w14:textId="77777777" w:rsidR="0000352F" w:rsidRPr="00260B52" w:rsidRDefault="0000352F" w:rsidP="0000352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r>
        <w:t>podržava jačanje Europskog nadzornog tijela za rad (ELA);</w:t>
      </w:r>
    </w:p>
    <w:p w14:paraId="2A1BCEA8" w14:textId="77777777" w:rsidR="0000352F" w:rsidRPr="00260B52" w:rsidRDefault="0000352F" w:rsidP="0000352F">
      <w:pPr>
        <w:widowControl w:val="0"/>
        <w:ind w:left="567"/>
        <w:rPr>
          <w:bCs/>
          <w:iCs/>
        </w:rPr>
      </w:pPr>
    </w:p>
    <w:p w14:paraId="07D3DE99" w14:textId="77777777" w:rsidR="0000352F" w:rsidRPr="00260B52" w:rsidRDefault="0000352F" w:rsidP="0000352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r>
        <w:t xml:space="preserve">poziva na proširenje područja primjene jedinstvenog tržišta na strateške sektore kao što su energetika i financije. Naglašava potrebu za </w:t>
      </w:r>
      <w:proofErr w:type="spellStart"/>
      <w:r>
        <w:t>uključivim</w:t>
      </w:r>
      <w:proofErr w:type="spellEnd"/>
      <w:r>
        <w:t xml:space="preserve"> upravljanjem i poziva na reviziju zakonodavstva o javnoj nabavi. Isto tako, trebalo bi pronaći odgovarajuće načine da se vodi računa o socijalnim, okolišnim i inovacijskim ciljevima. </w:t>
      </w:r>
    </w:p>
    <w:p w14:paraId="660F45B5" w14:textId="77777777" w:rsidR="0000352F" w:rsidRDefault="0000352F" w:rsidP="0000352F">
      <w:pPr>
        <w:widowControl w:val="0"/>
        <w:ind w:left="709"/>
      </w:pPr>
    </w:p>
    <w:p w14:paraId="72F21E72" w14:textId="77777777" w:rsidR="0000352F" w:rsidRPr="000624A9" w:rsidRDefault="0000352F" w:rsidP="0000352F">
      <w:pPr>
        <w:widowControl w:val="0"/>
        <w:ind w:left="709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00352F" w:rsidRPr="00A6689B" w14:paraId="7278162B" w14:textId="77777777" w:rsidTr="00ED5A08">
        <w:tc>
          <w:tcPr>
            <w:tcW w:w="1418" w:type="dxa"/>
          </w:tcPr>
          <w:p w14:paraId="4D86F89E" w14:textId="77777777" w:rsidR="0000352F" w:rsidRPr="00A6689B" w:rsidRDefault="0000352F" w:rsidP="00ED5A08">
            <w:pPr>
              <w:spacing w:line="240" w:lineRule="auto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14:paraId="4DFCB351" w14:textId="77777777" w:rsidR="0000352F" w:rsidRPr="00A6689B" w:rsidRDefault="0000352F" w:rsidP="00ED5A08">
            <w:pPr>
              <w:spacing w:line="240" w:lineRule="auto"/>
              <w:rPr>
                <w:i/>
              </w:rPr>
            </w:pPr>
            <w:proofErr w:type="spellStart"/>
            <w:r>
              <w:rPr>
                <w:i/>
              </w:rPr>
              <w:t>Annalisa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Tessarolo</w:t>
            </w:r>
            <w:proofErr w:type="spellEnd"/>
          </w:p>
        </w:tc>
      </w:tr>
      <w:tr w:rsidR="0000352F" w:rsidRPr="00A6689B" w14:paraId="1E283143" w14:textId="77777777" w:rsidTr="00ED5A08">
        <w:tc>
          <w:tcPr>
            <w:tcW w:w="1418" w:type="dxa"/>
          </w:tcPr>
          <w:p w14:paraId="03F77778" w14:textId="77777777" w:rsidR="0000352F" w:rsidRPr="00A6689B" w:rsidRDefault="0000352F" w:rsidP="00ED5A08">
            <w:pPr>
              <w:spacing w:line="240" w:lineRule="auto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5670" w:type="dxa"/>
            <w:shd w:val="clear" w:color="auto" w:fill="auto"/>
          </w:tcPr>
          <w:p w14:paraId="47AEF635" w14:textId="77777777" w:rsidR="0000352F" w:rsidRPr="00A6689B" w:rsidRDefault="0000352F" w:rsidP="00ED5A08">
            <w:pPr>
              <w:spacing w:line="240" w:lineRule="auto"/>
              <w:rPr>
                <w:i/>
              </w:rPr>
            </w:pPr>
            <w:r>
              <w:rPr>
                <w:i/>
              </w:rPr>
              <w:t>+ 32 25469732</w:t>
            </w:r>
          </w:p>
        </w:tc>
      </w:tr>
      <w:tr w:rsidR="0000352F" w:rsidRPr="00A6689B" w14:paraId="3356EF2C" w14:textId="77777777" w:rsidTr="00ED5A08">
        <w:tc>
          <w:tcPr>
            <w:tcW w:w="1418" w:type="dxa"/>
          </w:tcPr>
          <w:p w14:paraId="06F6A14C" w14:textId="77777777" w:rsidR="0000352F" w:rsidRPr="00A6689B" w:rsidRDefault="0000352F" w:rsidP="00ED5A08">
            <w:pPr>
              <w:spacing w:line="240" w:lineRule="auto"/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5670" w:type="dxa"/>
          </w:tcPr>
          <w:p w14:paraId="3E969ECD" w14:textId="77777777" w:rsidR="0000352F" w:rsidRPr="00A6689B" w:rsidRDefault="00A00905" w:rsidP="00ED5A08">
            <w:pPr>
              <w:spacing w:line="240" w:lineRule="auto"/>
              <w:rPr>
                <w:i/>
              </w:rPr>
            </w:pPr>
            <w:hyperlink r:id="rId31" w:history="1">
              <w:r w:rsidR="0000352F">
                <w:rPr>
                  <w:rStyle w:val="Hyperlink"/>
                  <w:i/>
                </w:rPr>
                <w:t>Annalisa.Tessarolo@eesc.europa.eu</w:t>
              </w:r>
            </w:hyperlink>
          </w:p>
        </w:tc>
      </w:tr>
    </w:tbl>
    <w:p w14:paraId="4982DE1C" w14:textId="2C7D6502" w:rsidR="00465162" w:rsidRDefault="00465162" w:rsidP="004D7AC0">
      <w:pPr>
        <w:pStyle w:val="ListParagraph"/>
        <w:ind w:left="0"/>
      </w:pPr>
    </w:p>
    <w:p w14:paraId="2F283ADF" w14:textId="77777777" w:rsidR="008B60A3" w:rsidRPr="0003586F" w:rsidRDefault="00465162" w:rsidP="008B60A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</w:rPr>
      </w:pPr>
      <w:r>
        <w:br w:type="page"/>
      </w:r>
      <w:r w:rsidR="008B60A3">
        <w:rPr>
          <w:b/>
          <w:i/>
          <w:sz w:val="28"/>
        </w:rPr>
        <w:lastRenderedPageBreak/>
        <w:t xml:space="preserve">INT/1096 – </w:t>
      </w:r>
      <w:hyperlink r:id="rId32" w:tgtFrame="_blank" w:history="1">
        <w:r w:rsidR="008B60A3">
          <w:rPr>
            <w:rStyle w:val="Hyperlink"/>
            <w:b/>
            <w:i/>
            <w:sz w:val="28"/>
          </w:rPr>
          <w:t>Izvješće o politici tržišnog natjecanja za 2024.</w:t>
        </w:r>
      </w:hyperlink>
    </w:p>
    <w:p w14:paraId="35674B3D" w14:textId="77777777" w:rsidR="008B60A3" w:rsidRPr="00A6689B" w:rsidRDefault="008B60A3" w:rsidP="008B60A3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387"/>
      </w:tblGrid>
      <w:tr w:rsidR="008B60A3" w:rsidRPr="00A6689B" w14:paraId="6B85AE6D" w14:textId="77777777" w:rsidTr="00ED5A08">
        <w:tc>
          <w:tcPr>
            <w:tcW w:w="1701" w:type="dxa"/>
          </w:tcPr>
          <w:p w14:paraId="56BE2EE9" w14:textId="77777777" w:rsidR="008B60A3" w:rsidRPr="00A6689B" w:rsidRDefault="008B60A3" w:rsidP="00ED5A0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5387" w:type="dxa"/>
          </w:tcPr>
          <w:p w14:paraId="591A92FC" w14:textId="77777777" w:rsidR="008B60A3" w:rsidRPr="00A6689B" w:rsidRDefault="008B60A3" w:rsidP="00ED5A08">
            <w:pPr>
              <w:tabs>
                <w:tab w:val="center" w:pos="284"/>
              </w:tabs>
              <w:ind w:left="266" w:hanging="266"/>
            </w:pPr>
            <w:r>
              <w:t>Andrea MONE (Skupina radnika – IT)</w:t>
            </w:r>
          </w:p>
        </w:tc>
      </w:tr>
      <w:tr w:rsidR="008B60A3" w:rsidRPr="00A6689B" w14:paraId="3E10F254" w14:textId="77777777" w:rsidTr="00ED5A08">
        <w:tc>
          <w:tcPr>
            <w:tcW w:w="7088" w:type="dxa"/>
            <w:gridSpan w:val="2"/>
          </w:tcPr>
          <w:p w14:paraId="0281867C" w14:textId="77777777" w:rsidR="008B60A3" w:rsidRPr="0036320A" w:rsidRDefault="008B60A3" w:rsidP="00ED5A08">
            <w:pPr>
              <w:tabs>
                <w:tab w:val="center" w:pos="284"/>
              </w:tabs>
              <w:spacing w:line="160" w:lineRule="exact"/>
              <w:ind w:left="266" w:hanging="266"/>
              <w:rPr>
                <w:lang w:val="pl-PL"/>
              </w:rPr>
            </w:pPr>
          </w:p>
        </w:tc>
      </w:tr>
      <w:tr w:rsidR="008B60A3" w:rsidRPr="00A6689B" w14:paraId="0E5F5BDF" w14:textId="77777777" w:rsidTr="00ED5A08">
        <w:tc>
          <w:tcPr>
            <w:tcW w:w="1701" w:type="dxa"/>
            <w:vMerge w:val="restart"/>
          </w:tcPr>
          <w:p w14:paraId="2B2D4B99" w14:textId="77777777" w:rsidR="008B60A3" w:rsidRPr="00A6689B" w:rsidRDefault="008B60A3" w:rsidP="00ED5A0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5387" w:type="dxa"/>
          </w:tcPr>
          <w:p w14:paraId="03B9F737" w14:textId="77777777" w:rsidR="008B60A3" w:rsidRPr="0018587A" w:rsidRDefault="008B60A3" w:rsidP="00ED5A08">
            <w:pPr>
              <w:tabs>
                <w:tab w:val="center" w:pos="284"/>
              </w:tabs>
              <w:ind w:left="266" w:hanging="266"/>
            </w:pPr>
            <w:r>
              <w:t xml:space="preserve">COM(2025) 181 </w:t>
            </w:r>
            <w:proofErr w:type="spellStart"/>
            <w:r>
              <w:t>final</w:t>
            </w:r>
            <w:proofErr w:type="spellEnd"/>
          </w:p>
          <w:p w14:paraId="104DA92A" w14:textId="77777777" w:rsidR="008B60A3" w:rsidRPr="00A6689B" w:rsidRDefault="008B60A3" w:rsidP="00ED5A08">
            <w:pPr>
              <w:tabs>
                <w:tab w:val="center" w:pos="284"/>
              </w:tabs>
              <w:ind w:left="266" w:hanging="266"/>
            </w:pPr>
            <w:r>
              <w:t>EESC-2025-02299-00-00-AC</w:t>
            </w:r>
          </w:p>
        </w:tc>
      </w:tr>
      <w:tr w:rsidR="008B60A3" w:rsidRPr="00A6689B" w14:paraId="4D9C28FB" w14:textId="77777777" w:rsidTr="00ED5A08">
        <w:tc>
          <w:tcPr>
            <w:tcW w:w="1701" w:type="dxa"/>
            <w:vMerge/>
          </w:tcPr>
          <w:p w14:paraId="7B54228B" w14:textId="77777777" w:rsidR="008B60A3" w:rsidRPr="00A6689B" w:rsidRDefault="008B60A3" w:rsidP="00ED5A08">
            <w:pPr>
              <w:tabs>
                <w:tab w:val="center" w:pos="284"/>
              </w:tabs>
              <w:ind w:left="266" w:hanging="266"/>
              <w:rPr>
                <w:b/>
                <w:lang w:val="en-US"/>
              </w:rPr>
            </w:pPr>
          </w:p>
        </w:tc>
        <w:tc>
          <w:tcPr>
            <w:tcW w:w="5387" w:type="dxa"/>
          </w:tcPr>
          <w:p w14:paraId="65BE38F6" w14:textId="77777777" w:rsidR="008B60A3" w:rsidRPr="00A6689B" w:rsidRDefault="008B60A3" w:rsidP="00ED5A08">
            <w:pPr>
              <w:tabs>
                <w:tab w:val="center" w:pos="284"/>
              </w:tabs>
              <w:ind w:left="266" w:hanging="266"/>
              <w:rPr>
                <w:lang w:val="en-US"/>
              </w:rPr>
            </w:pPr>
          </w:p>
        </w:tc>
      </w:tr>
    </w:tbl>
    <w:p w14:paraId="7ADD096F" w14:textId="77777777" w:rsidR="008B60A3" w:rsidRPr="00A6689B" w:rsidRDefault="008B60A3" w:rsidP="008B60A3">
      <w:pPr>
        <w:tabs>
          <w:tab w:val="center" w:pos="284"/>
        </w:tabs>
        <w:ind w:left="266" w:hanging="266"/>
      </w:pPr>
    </w:p>
    <w:p w14:paraId="0CBFE8E1" w14:textId="77777777" w:rsidR="008B60A3" w:rsidRPr="00A6689B" w:rsidRDefault="008B60A3" w:rsidP="008B60A3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Ključne točke</w:t>
      </w:r>
    </w:p>
    <w:p w14:paraId="3955B576" w14:textId="77777777" w:rsidR="008B60A3" w:rsidRPr="00A6689B" w:rsidRDefault="008B60A3" w:rsidP="008B60A3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281F52C6" w14:textId="77777777" w:rsidR="008B60A3" w:rsidRDefault="008B60A3" w:rsidP="008B60A3">
      <w:pPr>
        <w:rPr>
          <w:bCs/>
          <w:iCs/>
        </w:rPr>
      </w:pPr>
      <w:r>
        <w:t>EGSO:</w:t>
      </w:r>
    </w:p>
    <w:p w14:paraId="54B746C7" w14:textId="77777777" w:rsidR="008B60A3" w:rsidRPr="0065464E" w:rsidRDefault="008B60A3" w:rsidP="008B60A3">
      <w:pPr>
        <w:rPr>
          <w:bCs/>
          <w:iCs/>
        </w:rPr>
      </w:pPr>
    </w:p>
    <w:p w14:paraId="162319C3" w14:textId="77777777" w:rsidR="008B60A3" w:rsidRDefault="008B60A3" w:rsidP="008B60A3">
      <w:pPr>
        <w:numPr>
          <w:ilvl w:val="0"/>
          <w:numId w:val="8"/>
        </w:numPr>
        <w:tabs>
          <w:tab w:val="clear" w:pos="720"/>
        </w:tabs>
        <w:ind w:left="567" w:hanging="567"/>
      </w:pPr>
      <w:r>
        <w:t xml:space="preserve">pozdravlja </w:t>
      </w:r>
      <w:r>
        <w:rPr>
          <w:b/>
        </w:rPr>
        <w:t>Komisijin pristup provedbi iz 2024.</w:t>
      </w:r>
      <w:r>
        <w:t>, kojim se politika tržišnog natjecanja usklađuje s digitalnim i zelenim ciljevima te ciljevima otpornosti EU-a, a istodobno štiti konkurentno jedinstveno tržište koje dobro funkcionira;</w:t>
      </w:r>
    </w:p>
    <w:p w14:paraId="5B9FFCAB" w14:textId="77777777" w:rsidR="008B60A3" w:rsidRPr="0036320A" w:rsidRDefault="008B60A3" w:rsidP="008B60A3">
      <w:pPr>
        <w:ind w:left="567"/>
        <w:rPr>
          <w:lang w:eastAsia="fr-BE"/>
        </w:rPr>
      </w:pPr>
    </w:p>
    <w:p w14:paraId="23AD1A1E" w14:textId="77777777" w:rsidR="008B60A3" w:rsidRDefault="008B60A3" w:rsidP="008B60A3">
      <w:pPr>
        <w:numPr>
          <w:ilvl w:val="0"/>
          <w:numId w:val="8"/>
        </w:numPr>
        <w:tabs>
          <w:tab w:val="clear" w:pos="720"/>
        </w:tabs>
        <w:ind w:left="567" w:hanging="567"/>
      </w:pPr>
      <w:r>
        <w:t xml:space="preserve">podržava napore Komisije da poboljša </w:t>
      </w:r>
      <w:r>
        <w:rPr>
          <w:b/>
        </w:rPr>
        <w:t>djelotvornost i predvidljivost pravila tržišnog natjecanja</w:t>
      </w:r>
      <w:r>
        <w:t>, uključujući razvoj novih smjernica o zlouporabi vladajućeg položaja isključivanjem konkurenata s tržišta, moderniziranu Obavijest o definiciji tržišta i poboljšane alate za procjenu učinaka na dobrobit potrošača;</w:t>
      </w:r>
    </w:p>
    <w:p w14:paraId="42CFBD40" w14:textId="77777777" w:rsidR="008B60A3" w:rsidRPr="0036320A" w:rsidRDefault="008B60A3" w:rsidP="008B60A3">
      <w:pPr>
        <w:ind w:left="567"/>
        <w:rPr>
          <w:lang w:eastAsia="fr-BE"/>
        </w:rPr>
      </w:pPr>
    </w:p>
    <w:p w14:paraId="369C1D9D" w14:textId="77777777" w:rsidR="008B60A3" w:rsidRDefault="008B60A3" w:rsidP="008B60A3">
      <w:pPr>
        <w:numPr>
          <w:ilvl w:val="0"/>
          <w:numId w:val="8"/>
        </w:numPr>
        <w:tabs>
          <w:tab w:val="clear" w:pos="720"/>
        </w:tabs>
        <w:ind w:left="567" w:hanging="567"/>
      </w:pPr>
      <w:r>
        <w:t xml:space="preserve">naglašava važnost rješavanja izazova tržišnog natjecanja na </w:t>
      </w:r>
      <w:r>
        <w:rPr>
          <w:b/>
        </w:rPr>
        <w:t>digitalnim tržištima</w:t>
      </w:r>
      <w:r>
        <w:t xml:space="preserve"> i potiče Komisiju da nastavi jačati provedbu u skladu i s tradicionalnim pravilima tržišnog natjecanja i Aktom o digitalnim tržištima s obzirom na strukturnu dominaciju i prepreke ulasku na tržište u poslovnim modelima koji se temelje na platformama;</w:t>
      </w:r>
    </w:p>
    <w:p w14:paraId="1E28CFF4" w14:textId="77777777" w:rsidR="008B60A3" w:rsidRPr="0036320A" w:rsidRDefault="008B60A3" w:rsidP="008B60A3">
      <w:pPr>
        <w:ind w:left="567"/>
        <w:rPr>
          <w:lang w:eastAsia="fr-BE"/>
        </w:rPr>
      </w:pPr>
    </w:p>
    <w:p w14:paraId="1EBE74CC" w14:textId="77777777" w:rsidR="008B60A3" w:rsidRDefault="008B60A3" w:rsidP="008B60A3">
      <w:pPr>
        <w:numPr>
          <w:ilvl w:val="0"/>
          <w:numId w:val="8"/>
        </w:numPr>
        <w:tabs>
          <w:tab w:val="clear" w:pos="720"/>
        </w:tabs>
        <w:ind w:left="567" w:hanging="567"/>
      </w:pPr>
      <w:r>
        <w:t xml:space="preserve">poziva na </w:t>
      </w:r>
      <w:r>
        <w:rPr>
          <w:b/>
        </w:rPr>
        <w:t>snažniju kontrolu koncentracija</w:t>
      </w:r>
      <w:r>
        <w:t xml:space="preserve">, uključujući uspostavu okvira za nadzor preuzimanjâ ispod praga koja mogu naštetiti tržišnom natjecanju (npr. „ubojita preuzimanja”), kao i na to da se u procjenama koncentracija </w:t>
      </w:r>
      <w:r>
        <w:rPr>
          <w:b/>
        </w:rPr>
        <w:t>u većoj mjeri uzmu u obzir učinci na tržište rada i dinamika inovacija</w:t>
      </w:r>
      <w:r>
        <w:t>;</w:t>
      </w:r>
    </w:p>
    <w:p w14:paraId="0B936F95" w14:textId="77777777" w:rsidR="008B60A3" w:rsidRPr="0036320A" w:rsidRDefault="008B60A3" w:rsidP="008B60A3">
      <w:pPr>
        <w:ind w:left="567"/>
        <w:rPr>
          <w:lang w:eastAsia="fr-BE"/>
        </w:rPr>
      </w:pPr>
    </w:p>
    <w:p w14:paraId="322C66D2" w14:textId="77777777" w:rsidR="008B60A3" w:rsidRPr="0065464E" w:rsidRDefault="008B60A3" w:rsidP="008B60A3">
      <w:pPr>
        <w:numPr>
          <w:ilvl w:val="0"/>
          <w:numId w:val="8"/>
        </w:numPr>
        <w:tabs>
          <w:tab w:val="clear" w:pos="720"/>
        </w:tabs>
        <w:ind w:left="567" w:hanging="567"/>
      </w:pPr>
      <w:r>
        <w:t xml:space="preserve">ističe potrebu za uvođenjem </w:t>
      </w:r>
      <w:r>
        <w:rPr>
          <w:b/>
        </w:rPr>
        <w:t>pravila o državnim potporama</w:t>
      </w:r>
      <w:r>
        <w:t xml:space="preserve">, naročito novog okvira CISAF-a i postupaka u vezi s važnim projektima od zajedničkog europskog interesa, kako bi se promicalo </w:t>
      </w:r>
      <w:r>
        <w:rPr>
          <w:b/>
        </w:rPr>
        <w:t>prekogranično sudjelovanje, smanjila rascjepkanost i poduprla strateška ulaganja</w:t>
      </w:r>
      <w:r>
        <w:t xml:space="preserve"> ključna za plan za čistu industriju, uz istodobno osiguravanje kohezije i jednakih uvjeta u svim državama članicama.</w:t>
      </w:r>
    </w:p>
    <w:p w14:paraId="6C7148E6" w14:textId="77777777" w:rsidR="008B60A3" w:rsidRPr="000624A9" w:rsidRDefault="008B60A3" w:rsidP="008B60A3">
      <w:pPr>
        <w:widowControl w:val="0"/>
        <w:ind w:left="709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8B60A3" w:rsidRPr="00A6689B" w14:paraId="5047C563" w14:textId="77777777" w:rsidTr="00ED5A08">
        <w:tc>
          <w:tcPr>
            <w:tcW w:w="1418" w:type="dxa"/>
          </w:tcPr>
          <w:p w14:paraId="51068BC0" w14:textId="77777777" w:rsidR="008B60A3" w:rsidRPr="00A6689B" w:rsidRDefault="008B60A3" w:rsidP="00ED5A08">
            <w:pPr>
              <w:spacing w:line="240" w:lineRule="auto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14:paraId="032C29AF" w14:textId="77777777" w:rsidR="008B60A3" w:rsidRPr="00A6689B" w:rsidRDefault="008B60A3" w:rsidP="00ED5A08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Silvia </w:t>
            </w:r>
            <w:proofErr w:type="spellStart"/>
            <w:r>
              <w:rPr>
                <w:i/>
              </w:rPr>
              <w:t>Staffa</w:t>
            </w:r>
            <w:proofErr w:type="spellEnd"/>
          </w:p>
        </w:tc>
      </w:tr>
      <w:tr w:rsidR="008B60A3" w:rsidRPr="00A6689B" w14:paraId="167703F6" w14:textId="77777777" w:rsidTr="00ED5A08">
        <w:tc>
          <w:tcPr>
            <w:tcW w:w="1418" w:type="dxa"/>
          </w:tcPr>
          <w:p w14:paraId="6C6C4440" w14:textId="77777777" w:rsidR="008B60A3" w:rsidRPr="00A6689B" w:rsidRDefault="008B60A3" w:rsidP="00ED5A08">
            <w:pPr>
              <w:spacing w:line="240" w:lineRule="auto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5670" w:type="dxa"/>
            <w:shd w:val="clear" w:color="auto" w:fill="auto"/>
          </w:tcPr>
          <w:p w14:paraId="10834191" w14:textId="77777777" w:rsidR="008B60A3" w:rsidRPr="00A6689B" w:rsidRDefault="008B60A3" w:rsidP="00ED5A08">
            <w:pPr>
              <w:spacing w:line="240" w:lineRule="auto"/>
              <w:rPr>
                <w:i/>
              </w:rPr>
            </w:pPr>
            <w:r>
              <w:rPr>
                <w:i/>
              </w:rPr>
              <w:t>+ 32 25468378</w:t>
            </w:r>
          </w:p>
        </w:tc>
      </w:tr>
      <w:tr w:rsidR="008B60A3" w:rsidRPr="00A6689B" w14:paraId="0FBDD7F9" w14:textId="77777777" w:rsidTr="00ED5A08">
        <w:tc>
          <w:tcPr>
            <w:tcW w:w="1418" w:type="dxa"/>
          </w:tcPr>
          <w:p w14:paraId="6EDFB541" w14:textId="77777777" w:rsidR="008B60A3" w:rsidRPr="00A6689B" w:rsidRDefault="008B60A3" w:rsidP="00ED5A08">
            <w:pPr>
              <w:spacing w:line="240" w:lineRule="auto"/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5670" w:type="dxa"/>
          </w:tcPr>
          <w:p w14:paraId="173963FE" w14:textId="77777777" w:rsidR="008B60A3" w:rsidRPr="00A6689B" w:rsidRDefault="00A00905" w:rsidP="00ED5A08">
            <w:pPr>
              <w:spacing w:line="240" w:lineRule="auto"/>
              <w:rPr>
                <w:i/>
              </w:rPr>
            </w:pPr>
            <w:hyperlink r:id="rId33" w:history="1">
              <w:r w:rsidR="008B60A3">
                <w:rPr>
                  <w:rStyle w:val="Hyperlink"/>
                  <w:i/>
                </w:rPr>
                <w:t>Silvia.Staffa@eesc.europa.eu</w:t>
              </w:r>
            </w:hyperlink>
          </w:p>
        </w:tc>
      </w:tr>
    </w:tbl>
    <w:p w14:paraId="011336FD" w14:textId="77777777" w:rsidR="008B60A3" w:rsidRDefault="008B60A3" w:rsidP="008B60A3">
      <w:pPr>
        <w:jc w:val="center"/>
      </w:pPr>
    </w:p>
    <w:p w14:paraId="4982DE1D" w14:textId="59313EFB" w:rsidR="004D7AC0" w:rsidRDefault="004D7AC0" w:rsidP="008B60A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</w:pPr>
    </w:p>
    <w:p w14:paraId="61FBA0E3" w14:textId="77777777" w:rsidR="008B60A3" w:rsidRPr="0055472D" w:rsidRDefault="004D7AC0" w:rsidP="008B60A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i/>
          <w:iCs/>
          <w:sz w:val="28"/>
          <w:szCs w:val="28"/>
        </w:rPr>
      </w:pPr>
      <w:r>
        <w:br w:type="page"/>
      </w:r>
      <w:r w:rsidR="008B60A3">
        <w:rPr>
          <w:b/>
          <w:i/>
          <w:sz w:val="28"/>
        </w:rPr>
        <w:lastRenderedPageBreak/>
        <w:t>INT/1101</w:t>
      </w:r>
      <w:r w:rsidR="008B60A3">
        <w:t xml:space="preserve"> – </w:t>
      </w:r>
      <w:hyperlink r:id="rId34" w:history="1">
        <w:r w:rsidR="008B60A3">
          <w:rPr>
            <w:rStyle w:val="Hyperlink"/>
            <w:b/>
            <w:i/>
            <w:sz w:val="28"/>
          </w:rPr>
          <w:t>Fond za konkurentnost</w:t>
        </w:r>
      </w:hyperlink>
    </w:p>
    <w:p w14:paraId="0D57FCCF" w14:textId="77777777" w:rsidR="008B60A3" w:rsidRPr="006F46D1" w:rsidRDefault="008B60A3" w:rsidP="008B60A3">
      <w:pPr>
        <w:tabs>
          <w:tab w:val="center" w:pos="284"/>
        </w:tabs>
        <w:ind w:left="266" w:hanging="266"/>
        <w:rPr>
          <w:b/>
          <w:lang w:val="en-US"/>
        </w:rPr>
      </w:pPr>
    </w:p>
    <w:tbl>
      <w:tblPr>
        <w:tblStyle w:val="TableGrid"/>
        <w:tblW w:w="49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6979"/>
      </w:tblGrid>
      <w:tr w:rsidR="008B60A3" w:rsidRPr="00A6689B" w14:paraId="57E5DF11" w14:textId="77777777" w:rsidTr="00ED5A08">
        <w:trPr>
          <w:trHeight w:val="406"/>
        </w:trPr>
        <w:tc>
          <w:tcPr>
            <w:tcW w:w="1108" w:type="pct"/>
          </w:tcPr>
          <w:p w14:paraId="038A4A99" w14:textId="77777777" w:rsidR="008B60A3" w:rsidRPr="00A6689B" w:rsidRDefault="008B60A3" w:rsidP="00ED5A0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3892" w:type="pct"/>
          </w:tcPr>
          <w:p w14:paraId="6B5C884D" w14:textId="77777777" w:rsidR="008B60A3" w:rsidRPr="009E78F1" w:rsidRDefault="008B60A3" w:rsidP="00ED5A08">
            <w:pPr>
              <w:tabs>
                <w:tab w:val="center" w:pos="0"/>
              </w:tabs>
              <w:ind w:left="266" w:hanging="266"/>
            </w:pPr>
            <w:r>
              <w:t>Milena ANGELOVA (Skupina poslodavaca – BG)</w:t>
            </w:r>
          </w:p>
        </w:tc>
      </w:tr>
      <w:tr w:rsidR="008B60A3" w:rsidRPr="0004565E" w14:paraId="61689957" w14:textId="77777777" w:rsidTr="00ED5A08">
        <w:tc>
          <w:tcPr>
            <w:tcW w:w="1108" w:type="pct"/>
          </w:tcPr>
          <w:p w14:paraId="28AB7B00" w14:textId="77777777" w:rsidR="008B60A3" w:rsidRPr="00CB5569" w:rsidRDefault="008B60A3" w:rsidP="00ED5A0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3892" w:type="pct"/>
          </w:tcPr>
          <w:p w14:paraId="559A7116" w14:textId="77777777" w:rsidR="008B60A3" w:rsidRPr="00AF47F8" w:rsidRDefault="008B60A3" w:rsidP="00ED5A08">
            <w:pPr>
              <w:tabs>
                <w:tab w:val="center" w:pos="284"/>
              </w:tabs>
              <w:ind w:left="266" w:hanging="266"/>
            </w:pPr>
            <w:r>
              <w:t xml:space="preserve">COM(2025) 555 </w:t>
            </w:r>
            <w:proofErr w:type="spellStart"/>
            <w:r>
              <w:t>final</w:t>
            </w:r>
            <w:proofErr w:type="spellEnd"/>
            <w:r>
              <w:t xml:space="preserve"> – 2025/0555 (COD)</w:t>
            </w:r>
          </w:p>
          <w:p w14:paraId="20F13AC7" w14:textId="77777777" w:rsidR="008B60A3" w:rsidRPr="00AF47F8" w:rsidRDefault="008B60A3" w:rsidP="00ED5A08">
            <w:pPr>
              <w:tabs>
                <w:tab w:val="center" w:pos="284"/>
              </w:tabs>
              <w:ind w:left="266" w:hanging="266"/>
            </w:pPr>
            <w:r>
              <w:t>EESC-2025-02576-00-00-AC</w:t>
            </w:r>
          </w:p>
        </w:tc>
      </w:tr>
    </w:tbl>
    <w:p w14:paraId="04CF8F87" w14:textId="77777777" w:rsidR="008B60A3" w:rsidRPr="00AF47F8" w:rsidRDefault="008B60A3" w:rsidP="008B60A3">
      <w:pPr>
        <w:keepNext/>
        <w:keepLines/>
        <w:tabs>
          <w:tab w:val="center" w:pos="284"/>
        </w:tabs>
        <w:ind w:left="266" w:hanging="266"/>
        <w:rPr>
          <w:b/>
          <w:lang w:val="pt-PT"/>
        </w:rPr>
      </w:pPr>
    </w:p>
    <w:p w14:paraId="29C1D741" w14:textId="77777777" w:rsidR="008B60A3" w:rsidRPr="00CB5569" w:rsidRDefault="008B60A3" w:rsidP="008B60A3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Ključne točke</w:t>
      </w:r>
    </w:p>
    <w:p w14:paraId="0C6BAEB6" w14:textId="77777777" w:rsidR="008B60A3" w:rsidRPr="00601171" w:rsidRDefault="008B60A3" w:rsidP="008B60A3">
      <w:pPr>
        <w:keepNext/>
        <w:keepLines/>
        <w:tabs>
          <w:tab w:val="center" w:pos="284"/>
        </w:tabs>
        <w:ind w:left="266" w:hanging="266"/>
        <w:rPr>
          <w:bCs/>
        </w:rPr>
      </w:pPr>
    </w:p>
    <w:p w14:paraId="1A1A2448" w14:textId="77777777" w:rsidR="008B60A3" w:rsidRPr="00601171" w:rsidRDefault="008B60A3" w:rsidP="008B60A3">
      <w:pPr>
        <w:rPr>
          <w:bCs/>
          <w:iCs/>
        </w:rPr>
      </w:pPr>
      <w:r>
        <w:t>EGSO:</w:t>
      </w:r>
    </w:p>
    <w:p w14:paraId="77EE9F6A" w14:textId="77777777" w:rsidR="008B60A3" w:rsidRPr="00601171" w:rsidRDefault="008B60A3" w:rsidP="008B60A3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podržava osnivanje Europskog fonda za konkurentnost (ECF) kao temelja sljedećeg proračuna EU-a i pokretača inovacija, otpornosti i sigurnosti, te pritom naglašava da </w:t>
      </w:r>
      <w:r>
        <w:rPr>
          <w:b/>
          <w:bCs/>
        </w:rPr>
        <w:t>financiranje mora ostati čvrsto povezano s načelima održivosti i socijalnog tržišnog gospodarstva EU-a</w:t>
      </w:r>
      <w:r>
        <w:t>;</w:t>
      </w:r>
    </w:p>
    <w:p w14:paraId="1866ADBB" w14:textId="77777777" w:rsidR="008B60A3" w:rsidRPr="00601171" w:rsidRDefault="008B60A3" w:rsidP="008B60A3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b/>
          <w:bCs/>
        </w:rPr>
        <w:t>poziva na odabir projekata na razini EU-a koji bi se temeljio na zaslugama</w:t>
      </w:r>
      <w:r>
        <w:t xml:space="preserve">, s jasnim kriterijima kao što su izvrsnost, usmjerenost na budućnost i gospodarski potencijal. Da bi se </w:t>
      </w:r>
      <w:r>
        <w:rPr>
          <w:b/>
          <w:bCs/>
        </w:rPr>
        <w:t>izbjegle nacionalne prepreke</w:t>
      </w:r>
      <w:r>
        <w:t>, EGSO poziva na transparentne postupke, jednak pristup za podnositelje zahtjeva u svim državama članicama i aktivno sudjelovanje socijalnih partnera i civilnog društva u upravljanju;</w:t>
      </w:r>
    </w:p>
    <w:p w14:paraId="36239B1A" w14:textId="77777777" w:rsidR="008B60A3" w:rsidRPr="00601171" w:rsidRDefault="008B60A3" w:rsidP="008B60A3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b/>
          <w:bCs/>
        </w:rPr>
        <w:t>preporučuje uvođenje „tržišnog referenduma”</w:t>
      </w:r>
      <w:r>
        <w:t xml:space="preserve"> kojim bi se od projekata koji traže velika dodatna sredstva EU-a, kao što su važni projekti od zajedničkog europskog interesa ili druga velika ulaganja, zahtijevalo da prvo mobiliziraju udio privatnog kapitala. Taj mehanizam kojim se ispituju akteri na tržištu pomogao bi u potvrđivanju kvalitete projekata, smanjenju politiziranih odluka o financiranju i jačanju veze između javne potpore i stvarne konkurentnosti;</w:t>
      </w:r>
    </w:p>
    <w:p w14:paraId="0F0208D1" w14:textId="77777777" w:rsidR="008B60A3" w:rsidRPr="00601171" w:rsidRDefault="008B60A3" w:rsidP="008B60A3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b/>
          <w:bCs/>
        </w:rPr>
        <w:t>naglašava potrebu za snažnim alatima za procjenu i prevenciju rizika</w:t>
      </w:r>
      <w:r>
        <w:t xml:space="preserve"> kako bi se osiguralo da se sredstva ECF-a usmjeravaju samo na projekte kojima se istinski povećava konkurentnost Europe i izbjegava ponavljanje prethodnih nedostataka u programima financiranja EU-a;</w:t>
      </w:r>
    </w:p>
    <w:p w14:paraId="5C1901A1" w14:textId="77777777" w:rsidR="008B60A3" w:rsidRPr="00601171" w:rsidRDefault="008B60A3" w:rsidP="008B60A3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ističe važnost </w:t>
      </w:r>
      <w:r>
        <w:rPr>
          <w:b/>
          <w:bCs/>
        </w:rPr>
        <w:t>podupiranja MSP-ova, regionalnih i prekograničnih inovacijskih ekosustava te ulaganja u vještine i dostojanstven rad</w:t>
      </w:r>
      <w:r>
        <w:t xml:space="preserve">, uz istodobno pojednostavljenje postupaka i osiguravanje transparentnog, predvidljivog i </w:t>
      </w:r>
      <w:proofErr w:type="spellStart"/>
      <w:r>
        <w:t>uključivog</w:t>
      </w:r>
      <w:proofErr w:type="spellEnd"/>
      <w:r>
        <w:t xml:space="preserve"> upravljanja.</w:t>
      </w:r>
    </w:p>
    <w:p w14:paraId="4660772C" w14:textId="77777777" w:rsidR="008B60A3" w:rsidRPr="00601171" w:rsidRDefault="008B60A3" w:rsidP="008B60A3">
      <w:pPr>
        <w:rPr>
          <w:bCs/>
          <w:i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7727"/>
      </w:tblGrid>
      <w:tr w:rsidR="008B60A3" w:rsidRPr="00A6689B" w14:paraId="5E35B691" w14:textId="77777777" w:rsidTr="00ED5A08">
        <w:tc>
          <w:tcPr>
            <w:tcW w:w="742" w:type="pct"/>
          </w:tcPr>
          <w:p w14:paraId="7DC8AC38" w14:textId="77777777" w:rsidR="008B60A3" w:rsidRPr="00A6689B" w:rsidRDefault="008B60A3" w:rsidP="00ED5A08">
            <w:pPr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4258" w:type="pct"/>
          </w:tcPr>
          <w:p w14:paraId="1683ED5D" w14:textId="77777777" w:rsidR="008B60A3" w:rsidRPr="00A6689B" w:rsidRDefault="008B60A3" w:rsidP="00ED5A08">
            <w:pPr>
              <w:rPr>
                <w:i/>
              </w:rPr>
            </w:pPr>
            <w:r>
              <w:rPr>
                <w:i/>
              </w:rPr>
              <w:t>Silvia STAFFA</w:t>
            </w:r>
          </w:p>
        </w:tc>
      </w:tr>
      <w:tr w:rsidR="008B60A3" w:rsidRPr="00A6689B" w14:paraId="7CDF717F" w14:textId="77777777" w:rsidTr="00ED5A08">
        <w:tc>
          <w:tcPr>
            <w:tcW w:w="742" w:type="pct"/>
          </w:tcPr>
          <w:p w14:paraId="4DA9B1D7" w14:textId="77777777" w:rsidR="008B60A3" w:rsidRPr="00A6689B" w:rsidRDefault="008B60A3" w:rsidP="00ED5A08">
            <w:pPr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258" w:type="pct"/>
          </w:tcPr>
          <w:p w14:paraId="021864CB" w14:textId="77777777" w:rsidR="008B60A3" w:rsidRPr="00A6689B" w:rsidRDefault="008B60A3" w:rsidP="00ED5A08">
            <w:pPr>
              <w:rPr>
                <w:i/>
              </w:rPr>
            </w:pPr>
            <w:r>
              <w:rPr>
                <w:i/>
              </w:rPr>
              <w:t>+32 254 68378</w:t>
            </w:r>
          </w:p>
        </w:tc>
      </w:tr>
      <w:tr w:rsidR="008B60A3" w:rsidRPr="00A6689B" w14:paraId="34214759" w14:textId="77777777" w:rsidTr="00ED5A08">
        <w:tc>
          <w:tcPr>
            <w:tcW w:w="742" w:type="pct"/>
          </w:tcPr>
          <w:p w14:paraId="2312065C" w14:textId="77777777" w:rsidR="008B60A3" w:rsidRPr="00A6689B" w:rsidRDefault="008B60A3" w:rsidP="00ED5A08">
            <w:pPr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4258" w:type="pct"/>
          </w:tcPr>
          <w:p w14:paraId="058AAD26" w14:textId="77777777" w:rsidR="008B60A3" w:rsidRPr="00CB5569" w:rsidRDefault="00A00905" w:rsidP="00ED5A08">
            <w:pPr>
              <w:rPr>
                <w:i/>
                <w:iCs/>
                <w:sz w:val="20"/>
              </w:rPr>
            </w:pPr>
            <w:hyperlink r:id="rId35" w:history="1">
              <w:r w:rsidR="008B60A3">
                <w:rPr>
                  <w:rStyle w:val="Hyperlink"/>
                  <w:i/>
                  <w:sz w:val="20"/>
                </w:rPr>
                <w:t>Silvia.Staffa@eesc.europa.eu</w:t>
              </w:r>
            </w:hyperlink>
          </w:p>
        </w:tc>
      </w:tr>
    </w:tbl>
    <w:p w14:paraId="08F8B71A" w14:textId="77777777" w:rsidR="000D1F2B" w:rsidRPr="006F46D1" w:rsidRDefault="00685A3A" w:rsidP="000D1F2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</w:rPr>
      </w:pPr>
      <w:r>
        <w:br w:type="page"/>
      </w:r>
      <w:r w:rsidR="000D1F2B">
        <w:rPr>
          <w:b/>
          <w:i/>
        </w:rPr>
        <w:lastRenderedPageBreak/>
        <w:t>INT/1092 –</w:t>
      </w:r>
      <w:r w:rsidR="000D1F2B">
        <w:t xml:space="preserve"> </w:t>
      </w:r>
      <w:hyperlink r:id="rId36" w:history="1">
        <w:r w:rsidR="000D1F2B">
          <w:rPr>
            <w:rStyle w:val="Hyperlink"/>
            <w:b/>
            <w:i/>
            <w:sz w:val="28"/>
          </w:rPr>
          <w:t>Revizija europskog pravnog okvira za javnu nabavu</w:t>
        </w:r>
      </w:hyperlink>
    </w:p>
    <w:p w14:paraId="489512F2" w14:textId="77777777" w:rsidR="000D1F2B" w:rsidRPr="0036320A" w:rsidRDefault="000D1F2B" w:rsidP="000D1F2B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49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6979"/>
      </w:tblGrid>
      <w:tr w:rsidR="000D1F2B" w:rsidRPr="00A6689B" w14:paraId="094AEC94" w14:textId="77777777" w:rsidTr="00ED5A08">
        <w:trPr>
          <w:trHeight w:val="406"/>
        </w:trPr>
        <w:tc>
          <w:tcPr>
            <w:tcW w:w="1108" w:type="pct"/>
          </w:tcPr>
          <w:p w14:paraId="1A04B817" w14:textId="77777777" w:rsidR="000D1F2B" w:rsidRPr="00A6689B" w:rsidRDefault="000D1F2B" w:rsidP="00ED5A0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3892" w:type="pct"/>
          </w:tcPr>
          <w:p w14:paraId="42170C98" w14:textId="77777777" w:rsidR="000D1F2B" w:rsidRPr="009E78F1" w:rsidRDefault="000D1F2B" w:rsidP="00ED5A08">
            <w:pPr>
              <w:tabs>
                <w:tab w:val="center" w:pos="0"/>
              </w:tabs>
              <w:ind w:left="266" w:hanging="266"/>
            </w:pPr>
            <w:r>
              <w:t>Philip VON BROCKDORFF (Skupina radnika – MT)</w:t>
            </w:r>
          </w:p>
        </w:tc>
      </w:tr>
      <w:tr w:rsidR="000D1F2B" w:rsidRPr="00CB5569" w14:paraId="4184DBC4" w14:textId="77777777" w:rsidTr="00ED5A08">
        <w:tc>
          <w:tcPr>
            <w:tcW w:w="1108" w:type="pct"/>
          </w:tcPr>
          <w:p w14:paraId="1A629693" w14:textId="77777777" w:rsidR="000D1F2B" w:rsidRPr="00CB5569" w:rsidRDefault="000D1F2B" w:rsidP="00ED5A08">
            <w:pPr>
              <w:tabs>
                <w:tab w:val="center" w:pos="284"/>
              </w:tabs>
              <w:ind w:left="266" w:hanging="266"/>
              <w:jc w:val="center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3892" w:type="pct"/>
          </w:tcPr>
          <w:p w14:paraId="533750B4" w14:textId="77777777" w:rsidR="000D1F2B" w:rsidRPr="00CB5569" w:rsidRDefault="000D1F2B" w:rsidP="00ED5A08">
            <w:pPr>
              <w:tabs>
                <w:tab w:val="center" w:pos="284"/>
              </w:tabs>
              <w:ind w:left="266" w:hanging="266"/>
            </w:pPr>
            <w:proofErr w:type="spellStart"/>
            <w:r>
              <w:t>razmatračko</w:t>
            </w:r>
            <w:proofErr w:type="spellEnd"/>
            <w:r>
              <w:t xml:space="preserve"> mišljenje</w:t>
            </w:r>
          </w:p>
          <w:p w14:paraId="0C1FF84A" w14:textId="77777777" w:rsidR="000D1F2B" w:rsidRPr="00CB5569" w:rsidRDefault="000D1F2B" w:rsidP="00ED5A08">
            <w:pPr>
              <w:tabs>
                <w:tab w:val="center" w:pos="284"/>
              </w:tabs>
              <w:ind w:left="266" w:hanging="266"/>
            </w:pPr>
            <w:r>
              <w:t>EESC-2025-01402-00-00-AC</w:t>
            </w:r>
          </w:p>
        </w:tc>
      </w:tr>
    </w:tbl>
    <w:p w14:paraId="20EFC07A" w14:textId="77777777" w:rsidR="000D1F2B" w:rsidRDefault="000D1F2B" w:rsidP="000D1F2B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28B7CCBB" w14:textId="77777777" w:rsidR="000D1F2B" w:rsidRPr="00CB5569" w:rsidRDefault="000D1F2B" w:rsidP="000D1F2B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Ključne točke</w:t>
      </w:r>
    </w:p>
    <w:p w14:paraId="2E35F58E" w14:textId="77777777" w:rsidR="000D1F2B" w:rsidRPr="00CB5569" w:rsidRDefault="000D1F2B" w:rsidP="000D1F2B">
      <w:pPr>
        <w:keepNext/>
        <w:keepLines/>
        <w:tabs>
          <w:tab w:val="center" w:pos="284"/>
        </w:tabs>
        <w:ind w:left="266" w:hanging="266"/>
        <w:rPr>
          <w:bCs/>
        </w:rPr>
      </w:pPr>
    </w:p>
    <w:p w14:paraId="671A1755" w14:textId="77777777" w:rsidR="000D1F2B" w:rsidRDefault="000D1F2B" w:rsidP="000D1F2B">
      <w:r>
        <w:t>EGSO:</w:t>
      </w:r>
    </w:p>
    <w:p w14:paraId="6EFE1468" w14:textId="77777777" w:rsidR="000D1F2B" w:rsidRPr="009234A4" w:rsidRDefault="000D1F2B" w:rsidP="000D1F2B">
      <w:pPr>
        <w:pStyle w:val="ListParagraph"/>
        <w:numPr>
          <w:ilvl w:val="0"/>
          <w:numId w:val="10"/>
        </w:numPr>
        <w:spacing w:line="276" w:lineRule="auto"/>
        <w:ind w:left="567" w:hanging="567"/>
      </w:pPr>
      <w:r>
        <w:t>slaže se da je revizija postojećeg zakonodavstva EU-a nužna da bi se pospješilo pojednostavljenje, smanjili administrativni troškovi i poduprlo daljnje usklađivanje na jedinstvenom tržištu;</w:t>
      </w:r>
    </w:p>
    <w:p w14:paraId="2461D5A4" w14:textId="77777777" w:rsidR="000D1F2B" w:rsidRPr="009234A4" w:rsidRDefault="000D1F2B" w:rsidP="000D1F2B">
      <w:pPr>
        <w:pStyle w:val="ListParagraph"/>
        <w:numPr>
          <w:ilvl w:val="0"/>
          <w:numId w:val="10"/>
        </w:numPr>
        <w:spacing w:line="276" w:lineRule="auto"/>
        <w:ind w:left="567" w:hanging="567"/>
      </w:pPr>
      <w:r>
        <w:t>smatra da održiva politika javne nabave EU-a može izaći iz okvira uske paradigme nefunkcioniranja tržišta, što bi omogućilo da nabava bude strateška i usmjerena na dobrobit javnosti, da se kao jednakovrijedni ciljevi obuhvate socijalni, inovacijski i okolišni kriteriji i da se privatnim subjektima osigura pravedan pristup javnoj nabavi;</w:t>
      </w:r>
    </w:p>
    <w:p w14:paraId="584DB1CB" w14:textId="77777777" w:rsidR="000D1F2B" w:rsidRPr="00FC1593" w:rsidRDefault="000D1F2B" w:rsidP="000D1F2B">
      <w:pPr>
        <w:pStyle w:val="ListParagraph"/>
        <w:numPr>
          <w:ilvl w:val="0"/>
          <w:numId w:val="11"/>
        </w:numPr>
        <w:spacing w:line="276" w:lineRule="auto"/>
        <w:ind w:left="567" w:hanging="567"/>
      </w:pPr>
      <w:r>
        <w:t xml:space="preserve">smatra da se ugovori o javnoj nabavi moraju dodjeljivati na ekonomski najpovoljnijoj osnovi, pri čemu treba naglašavati važnost </w:t>
      </w:r>
      <w:proofErr w:type="spellStart"/>
      <w:r>
        <w:t>necjenovnih</w:t>
      </w:r>
      <w:proofErr w:type="spellEnd"/>
      <w:r>
        <w:t xml:space="preserve"> kriterija, npr. kvalitete, inovativnosti, okoliša, održivosti i socijalnih aspekata, prije svega prava radnika i kolektivnih ugovora;</w:t>
      </w:r>
    </w:p>
    <w:p w14:paraId="37AAA1F2" w14:textId="77777777" w:rsidR="000D1F2B" w:rsidRPr="00FC1593" w:rsidRDefault="000D1F2B" w:rsidP="000D1F2B">
      <w:pPr>
        <w:pStyle w:val="ListParagraph"/>
        <w:numPr>
          <w:ilvl w:val="0"/>
          <w:numId w:val="11"/>
        </w:numPr>
        <w:spacing w:line="276" w:lineRule="auto"/>
        <w:ind w:left="567" w:hanging="567"/>
      </w:pPr>
      <w:r>
        <w:t>poziva na holistički pristup politikama koje se bave uslugama od općeg interesa;</w:t>
      </w:r>
    </w:p>
    <w:p w14:paraId="28139BA7" w14:textId="77777777" w:rsidR="000D1F2B" w:rsidRPr="00FC1593" w:rsidRDefault="000D1F2B" w:rsidP="000D1F2B">
      <w:pPr>
        <w:pStyle w:val="ListParagraph"/>
        <w:numPr>
          <w:ilvl w:val="0"/>
          <w:numId w:val="11"/>
        </w:numPr>
        <w:spacing w:line="276" w:lineRule="auto"/>
        <w:ind w:left="567" w:hanging="567"/>
      </w:pPr>
      <w:r>
        <w:t>smatra da se ugovori o javnoj nabavi ne bi smjeli dodjeljivati poduzećima koja sustavno krše temeljna prava radnika ili kolektivne ugovore koje su dužna poštovati;</w:t>
      </w:r>
    </w:p>
    <w:p w14:paraId="13472E3C" w14:textId="77777777" w:rsidR="000D1F2B" w:rsidRPr="00FC1593" w:rsidRDefault="000D1F2B" w:rsidP="000D1F2B">
      <w:pPr>
        <w:pStyle w:val="ListParagraph"/>
        <w:numPr>
          <w:ilvl w:val="0"/>
          <w:numId w:val="11"/>
        </w:numPr>
        <w:spacing w:line="276" w:lineRule="auto"/>
        <w:ind w:left="567" w:hanging="567"/>
      </w:pPr>
      <w:r>
        <w:t>smatra da bi – pod uvjetom da su ispunjeni odgovarajući pravni kriteriji i uz osiguravanje najmanjeg mogućeg narušavanja tržišnog natjecanja – u okviru revizije direktiva EU-a o javnoj nabavi trebalo zadržati mogućnost interne nabave koju provode pravni subjekti koji su pod većinskim nadzorom javnog naručitelja, kao i mogućnost izravnog dodjeljivanja ugovora;</w:t>
      </w:r>
    </w:p>
    <w:p w14:paraId="2CC58219" w14:textId="77777777" w:rsidR="000D1F2B" w:rsidRPr="00FC1593" w:rsidRDefault="000D1F2B" w:rsidP="000D1F2B">
      <w:pPr>
        <w:pStyle w:val="ListParagraph"/>
        <w:numPr>
          <w:ilvl w:val="0"/>
          <w:numId w:val="11"/>
        </w:numPr>
        <w:spacing w:line="276" w:lineRule="auto"/>
        <w:ind w:left="567" w:hanging="567"/>
      </w:pPr>
      <w:r>
        <w:t>preporučuje da se uvede pravna obveza ocjene učinaka postojećih pragova za ugovore o javnoj nabavi usluga;</w:t>
      </w:r>
    </w:p>
    <w:p w14:paraId="301CCBCE" w14:textId="77777777" w:rsidR="000D1F2B" w:rsidRPr="00FC1593" w:rsidRDefault="000D1F2B" w:rsidP="000D1F2B">
      <w:pPr>
        <w:pStyle w:val="ListParagraph"/>
        <w:numPr>
          <w:ilvl w:val="0"/>
          <w:numId w:val="11"/>
        </w:numPr>
        <w:spacing w:line="276" w:lineRule="auto"/>
        <w:ind w:left="567" w:hanging="567"/>
      </w:pPr>
      <w:r>
        <w:t>smatra da javna nabava može poduprijeti socijalno pravednu, ekološki održivu i gospodarski otpornu Europu, što je u interesu općeg dobra;</w:t>
      </w:r>
    </w:p>
    <w:p w14:paraId="5BC365B1" w14:textId="77777777" w:rsidR="000D1F2B" w:rsidRPr="009234A4" w:rsidRDefault="000D1F2B" w:rsidP="000D1F2B">
      <w:pPr>
        <w:pStyle w:val="ListParagraph"/>
        <w:numPr>
          <w:ilvl w:val="0"/>
          <w:numId w:val="11"/>
        </w:numPr>
        <w:spacing w:line="276" w:lineRule="auto"/>
        <w:ind w:left="567" w:hanging="567"/>
      </w:pPr>
      <w:r>
        <w:t>poziva na uvođenje obaveznih klauzula o reviziji cijena kako bi se vodilo računa o promjenama povezanima s plaćama u kolektivnim ugovorima i/ili u zakonu o radu, kao i o inflaciji i drugim relevantnim čimbenicima koji utječu na izvršenje ugovora, kao što su troškovi energije.</w:t>
      </w:r>
    </w:p>
    <w:p w14:paraId="7221188E" w14:textId="77777777" w:rsidR="000D1F2B" w:rsidRPr="00163218" w:rsidRDefault="000D1F2B" w:rsidP="000D1F2B">
      <w:pPr>
        <w:pStyle w:val="ListParagraph"/>
        <w:ind w:left="567"/>
        <w:rPr>
          <w:bCs/>
          <w:i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7727"/>
      </w:tblGrid>
      <w:tr w:rsidR="000D1F2B" w:rsidRPr="00A6689B" w14:paraId="7D689552" w14:textId="77777777" w:rsidTr="00ED5A08">
        <w:tc>
          <w:tcPr>
            <w:tcW w:w="742" w:type="pct"/>
          </w:tcPr>
          <w:p w14:paraId="7AB7F6F2" w14:textId="77777777" w:rsidR="000D1F2B" w:rsidRPr="00A6689B" w:rsidRDefault="000D1F2B" w:rsidP="00ED5A08">
            <w:pPr>
              <w:spacing w:line="240" w:lineRule="auto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4258" w:type="pct"/>
          </w:tcPr>
          <w:p w14:paraId="7E898963" w14:textId="77777777" w:rsidR="000D1F2B" w:rsidRPr="00A6689B" w:rsidRDefault="000D1F2B" w:rsidP="00ED5A08">
            <w:pPr>
              <w:spacing w:line="240" w:lineRule="auto"/>
              <w:rPr>
                <w:i/>
              </w:rPr>
            </w:pPr>
            <w:proofErr w:type="spellStart"/>
            <w:r>
              <w:rPr>
                <w:i/>
              </w:rPr>
              <w:t>Annalisa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Tessarolo</w:t>
            </w:r>
            <w:proofErr w:type="spellEnd"/>
          </w:p>
        </w:tc>
      </w:tr>
      <w:tr w:rsidR="000D1F2B" w:rsidRPr="00A6689B" w14:paraId="57EBB562" w14:textId="77777777" w:rsidTr="00ED5A08">
        <w:tc>
          <w:tcPr>
            <w:tcW w:w="742" w:type="pct"/>
          </w:tcPr>
          <w:p w14:paraId="30355C75" w14:textId="77777777" w:rsidR="000D1F2B" w:rsidRPr="00A6689B" w:rsidRDefault="000D1F2B" w:rsidP="00ED5A08">
            <w:pPr>
              <w:spacing w:line="240" w:lineRule="auto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258" w:type="pct"/>
          </w:tcPr>
          <w:p w14:paraId="0A28BD1D" w14:textId="77777777" w:rsidR="000D1F2B" w:rsidRPr="00A6689B" w:rsidRDefault="000D1F2B" w:rsidP="00ED5A08">
            <w:pPr>
              <w:spacing w:line="240" w:lineRule="auto"/>
              <w:rPr>
                <w:i/>
              </w:rPr>
            </w:pPr>
            <w:r>
              <w:rPr>
                <w:i/>
              </w:rPr>
              <w:t>+ 32 25469732</w:t>
            </w:r>
          </w:p>
        </w:tc>
      </w:tr>
      <w:tr w:rsidR="000D1F2B" w:rsidRPr="00A6689B" w14:paraId="1928ADAD" w14:textId="77777777" w:rsidTr="00ED5A08">
        <w:tc>
          <w:tcPr>
            <w:tcW w:w="742" w:type="pct"/>
          </w:tcPr>
          <w:p w14:paraId="089A651E" w14:textId="77777777" w:rsidR="000D1F2B" w:rsidRPr="00A6689B" w:rsidRDefault="000D1F2B" w:rsidP="00ED5A08">
            <w:pPr>
              <w:spacing w:line="240" w:lineRule="auto"/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4258" w:type="pct"/>
          </w:tcPr>
          <w:p w14:paraId="2625F4AF" w14:textId="77777777" w:rsidR="000D1F2B" w:rsidRPr="00CB5569" w:rsidRDefault="00A00905" w:rsidP="00ED5A08">
            <w:pPr>
              <w:spacing w:line="240" w:lineRule="auto"/>
              <w:rPr>
                <w:i/>
                <w:iCs/>
                <w:sz w:val="20"/>
              </w:rPr>
            </w:pPr>
            <w:hyperlink r:id="rId37" w:history="1">
              <w:r w:rsidR="000D1F2B">
                <w:rPr>
                  <w:rStyle w:val="Hyperlink"/>
                  <w:i/>
                  <w:sz w:val="20"/>
                </w:rPr>
                <w:t>Annalisa.Tessarolo@eesc.europa.eu</w:t>
              </w:r>
            </w:hyperlink>
          </w:p>
        </w:tc>
      </w:tr>
    </w:tbl>
    <w:p w14:paraId="40169B8F" w14:textId="489B7FFE" w:rsidR="00685A3A" w:rsidRDefault="00685A3A" w:rsidP="000D1F2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</w:pPr>
    </w:p>
    <w:p w14:paraId="1E327181" w14:textId="77777777" w:rsidR="00685A3A" w:rsidRDefault="00685A3A">
      <w:r>
        <w:br w:type="page"/>
      </w:r>
    </w:p>
    <w:p w14:paraId="4982DE1E" w14:textId="5B30CC22" w:rsidR="004D7AC0" w:rsidRDefault="004D7AC0" w:rsidP="004D7AC0">
      <w:pPr>
        <w:spacing w:after="160" w:line="259" w:lineRule="auto"/>
        <w:jc w:val="left"/>
      </w:pPr>
    </w:p>
    <w:p w14:paraId="4982DE1F" w14:textId="77777777" w:rsidR="004D7AC0" w:rsidRDefault="004D7AC0" w:rsidP="004D7AC0">
      <w:pPr>
        <w:pStyle w:val="Heading1"/>
        <w:rPr>
          <w:b/>
        </w:rPr>
      </w:pPr>
      <w:bookmarkStart w:id="8" w:name="_Toc70322234"/>
      <w:bookmarkStart w:id="9" w:name="_Toc75527084"/>
      <w:bookmarkStart w:id="10" w:name="_Toc216879507"/>
      <w:r>
        <w:rPr>
          <w:b/>
        </w:rPr>
        <w:t>STRUČNA SKUPINA ZA POLJOPRIVREDU, RURALNI RAZVOJ I OKOLIŠ</w:t>
      </w:r>
      <w:bookmarkEnd w:id="8"/>
      <w:bookmarkEnd w:id="9"/>
      <w:bookmarkEnd w:id="10"/>
    </w:p>
    <w:p w14:paraId="4982DE20" w14:textId="77777777" w:rsidR="004D7AC0" w:rsidRDefault="004D7AC0" w:rsidP="004D7AC0"/>
    <w:p w14:paraId="3FBCA69D" w14:textId="77777777" w:rsidR="00C44A35" w:rsidRPr="00801D9D" w:rsidRDefault="00C44A35" w:rsidP="00C44A3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</w:rPr>
      </w:pPr>
      <w:r>
        <w:rPr>
          <w:b/>
          <w:i/>
          <w:sz w:val="28"/>
        </w:rPr>
        <w:t xml:space="preserve">NAT/975 – </w:t>
      </w:r>
      <w:hyperlink r:id="rId38" w:history="1">
        <w:r>
          <w:rPr>
            <w:rStyle w:val="Hyperlink"/>
            <w:b/>
            <w:i/>
            <w:sz w:val="28"/>
          </w:rPr>
          <w:t>Izmjena Uredbe o deforestaciji (EU) 2023/1115</w:t>
        </w:r>
      </w:hyperlink>
      <w:r>
        <w:rPr>
          <w:b/>
          <w:i/>
          <w:sz w:val="28"/>
        </w:rPr>
        <w:t xml:space="preserve"> </w:t>
      </w:r>
    </w:p>
    <w:p w14:paraId="43509C5E" w14:textId="77777777" w:rsidR="00C44A35" w:rsidRDefault="00C44A35" w:rsidP="00C44A35">
      <w:pPr>
        <w:widowControl w:val="0"/>
        <w:ind w:left="266"/>
        <w:rPr>
          <w:b/>
          <w:bCs/>
          <w:i/>
          <w:iCs/>
          <w:sz w:val="28"/>
          <w:szCs w:val="28"/>
        </w:rPr>
      </w:pPr>
    </w:p>
    <w:p w14:paraId="068B98FF" w14:textId="77777777" w:rsidR="00C44A35" w:rsidRPr="00801D9D" w:rsidRDefault="00C44A35" w:rsidP="00C44A35">
      <w:pPr>
        <w:widowControl w:val="0"/>
        <w:ind w:left="266"/>
        <w:rPr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7119"/>
      </w:tblGrid>
      <w:tr w:rsidR="00C44A35" w:rsidRPr="00A6689B" w14:paraId="725F676E" w14:textId="77777777" w:rsidTr="00ED5A08">
        <w:tc>
          <w:tcPr>
            <w:tcW w:w="1077" w:type="pct"/>
            <w:vMerge w:val="restart"/>
          </w:tcPr>
          <w:p w14:paraId="34790FC2" w14:textId="77777777" w:rsidR="00C44A35" w:rsidRPr="00A6689B" w:rsidRDefault="00C44A35" w:rsidP="00ED5A0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3923" w:type="pct"/>
          </w:tcPr>
          <w:p w14:paraId="235E43E5" w14:textId="77777777" w:rsidR="00C44A35" w:rsidRPr="00A6689B" w:rsidRDefault="00C44A35" w:rsidP="00ED5A08">
            <w:pPr>
              <w:tabs>
                <w:tab w:val="center" w:pos="284"/>
              </w:tabs>
              <w:ind w:left="266" w:right="-3091" w:hanging="266"/>
            </w:pPr>
            <w:r>
              <w:t xml:space="preserve">COM(2025) 652 </w:t>
            </w:r>
            <w:proofErr w:type="spellStart"/>
            <w:r>
              <w:t>final</w:t>
            </w:r>
            <w:proofErr w:type="spellEnd"/>
          </w:p>
        </w:tc>
      </w:tr>
      <w:tr w:rsidR="00C44A35" w:rsidRPr="00A6689B" w14:paraId="2968ADA6" w14:textId="77777777" w:rsidTr="00ED5A08">
        <w:tc>
          <w:tcPr>
            <w:tcW w:w="1077" w:type="pct"/>
            <w:vMerge/>
          </w:tcPr>
          <w:p w14:paraId="510FCC7D" w14:textId="77777777" w:rsidR="00C44A35" w:rsidRPr="00A6689B" w:rsidRDefault="00C44A35" w:rsidP="00ED5A08">
            <w:pPr>
              <w:tabs>
                <w:tab w:val="center" w:pos="284"/>
              </w:tabs>
              <w:ind w:left="266" w:hanging="266"/>
              <w:rPr>
                <w:b/>
                <w:lang w:val="en-US"/>
              </w:rPr>
            </w:pPr>
          </w:p>
        </w:tc>
        <w:tc>
          <w:tcPr>
            <w:tcW w:w="3923" w:type="pct"/>
          </w:tcPr>
          <w:p w14:paraId="6624B60B" w14:textId="77777777" w:rsidR="00C44A35" w:rsidRPr="00A6689B" w:rsidRDefault="00C44A35" w:rsidP="00ED5A08">
            <w:pPr>
              <w:tabs>
                <w:tab w:val="center" w:pos="284"/>
              </w:tabs>
              <w:ind w:left="266" w:right="-3091" w:hanging="266"/>
            </w:pPr>
            <w:r>
              <w:t>EESC-2025-03869-00-00-AC-TRA</w:t>
            </w:r>
          </w:p>
        </w:tc>
      </w:tr>
    </w:tbl>
    <w:p w14:paraId="2FDA7121" w14:textId="77777777" w:rsidR="00C44A35" w:rsidRDefault="00C44A35" w:rsidP="00C44A35">
      <w:pPr>
        <w:tabs>
          <w:tab w:val="center" w:pos="284"/>
        </w:tabs>
        <w:ind w:left="266" w:hanging="266"/>
        <w:rPr>
          <w:b/>
        </w:rPr>
      </w:pPr>
    </w:p>
    <w:p w14:paraId="6A32BED3" w14:textId="77777777" w:rsidR="00C44A35" w:rsidRPr="00A6689B" w:rsidRDefault="00C44A35" w:rsidP="00C44A35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Ključne točke</w:t>
      </w:r>
    </w:p>
    <w:p w14:paraId="37CF9B90" w14:textId="77777777" w:rsidR="00C44A35" w:rsidRPr="00A6689B" w:rsidRDefault="00C44A35" w:rsidP="00C44A35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328FC745" w14:textId="77777777" w:rsidR="00C44A35" w:rsidRDefault="00C44A35" w:rsidP="00C44A35">
      <w:pPr>
        <w:rPr>
          <w:bCs/>
          <w:iCs/>
        </w:rPr>
      </w:pPr>
      <w:r>
        <w:t>EGSO:</w:t>
      </w:r>
    </w:p>
    <w:p w14:paraId="50DC6161" w14:textId="77777777" w:rsidR="00C44A35" w:rsidRPr="00A6689B" w:rsidRDefault="00C44A35" w:rsidP="00C44A35">
      <w:pPr>
        <w:rPr>
          <w:bCs/>
          <w:iCs/>
        </w:rPr>
      </w:pPr>
    </w:p>
    <w:p w14:paraId="3190B2BC" w14:textId="77777777" w:rsidR="00C44A35" w:rsidRPr="00A6689B" w:rsidRDefault="00C44A35" w:rsidP="00C44A3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r>
        <w:t>je svoj stav o sadržaju dotičnog prijedloga već iznio u mišljenju EESC-2024-01183-00-00-AC-TRA, usvojenom 19. rujna 2024.,</w:t>
      </w:r>
      <w:r w:rsidRPr="004B31EB">
        <w:rPr>
          <w:rStyle w:val="FootnoteReference"/>
          <w:sz w:val="18"/>
          <w:szCs w:val="14"/>
        </w:rPr>
        <w:footnoteReference w:id="5"/>
      </w:r>
      <w:r>
        <w:t xml:space="preserve"> i mišljenju EESC-2021-05690-00-00-AC-TRA, usvojenom 23. veljače 2022.,</w:t>
      </w:r>
      <w:r w:rsidRPr="004B31EB">
        <w:rPr>
          <w:rStyle w:val="FootnoteReference"/>
          <w:sz w:val="18"/>
          <w:szCs w:val="14"/>
        </w:rPr>
        <w:footnoteReference w:id="6"/>
      </w:r>
      <w:r>
        <w:t xml:space="preserve"> te je odlučio da o toj temi neće izraditi novo mišljenje, nego upućuje na stajalište izneseno u navedenim dokumentima.</w:t>
      </w:r>
    </w:p>
    <w:p w14:paraId="1725B0BD" w14:textId="77777777" w:rsidR="00C44A35" w:rsidRPr="00EE75BE" w:rsidRDefault="00C44A35" w:rsidP="00C44A35">
      <w:pPr>
        <w:widowControl w:val="0"/>
        <w:ind w:left="567"/>
        <w:rPr>
          <w:rFonts w:asciiTheme="minorHAnsi" w:hAnsiTheme="minorHAnsi"/>
        </w:rPr>
      </w:pPr>
    </w:p>
    <w:p w14:paraId="1BF9FF5B" w14:textId="77777777" w:rsidR="00C44A35" w:rsidRPr="000624A9" w:rsidRDefault="00C44A35" w:rsidP="00C44A35">
      <w:pPr>
        <w:widowControl w:val="0"/>
        <w:ind w:left="709"/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7118"/>
      </w:tblGrid>
      <w:tr w:rsidR="00C44A35" w:rsidRPr="00A6689B" w14:paraId="42DDEB39" w14:textId="77777777" w:rsidTr="00ED5A08">
        <w:tc>
          <w:tcPr>
            <w:tcW w:w="1078" w:type="pct"/>
          </w:tcPr>
          <w:p w14:paraId="60C5FE7A" w14:textId="77777777" w:rsidR="00C44A35" w:rsidRPr="00A6689B" w:rsidRDefault="00C44A35" w:rsidP="00ED5A08">
            <w:pPr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3922" w:type="pct"/>
          </w:tcPr>
          <w:p w14:paraId="26C085E8" w14:textId="77777777" w:rsidR="00C44A35" w:rsidRPr="00A6689B" w:rsidRDefault="00C44A35" w:rsidP="00ED5A08">
            <w:pPr>
              <w:rPr>
                <w:i/>
              </w:rPr>
            </w:pPr>
            <w:r>
              <w:rPr>
                <w:i/>
              </w:rPr>
              <w:t>Martine DELANOY</w:t>
            </w:r>
          </w:p>
        </w:tc>
      </w:tr>
      <w:tr w:rsidR="00C44A35" w:rsidRPr="00A6689B" w14:paraId="665FD4A9" w14:textId="77777777" w:rsidTr="00ED5A08">
        <w:tc>
          <w:tcPr>
            <w:tcW w:w="1078" w:type="pct"/>
          </w:tcPr>
          <w:p w14:paraId="5695D0A8" w14:textId="77777777" w:rsidR="00C44A35" w:rsidRPr="00A6689B" w:rsidRDefault="00C44A35" w:rsidP="00ED5A08">
            <w:pPr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22" w:type="pct"/>
          </w:tcPr>
          <w:p w14:paraId="4C72ACE6" w14:textId="77777777" w:rsidR="00C44A35" w:rsidRPr="00A6689B" w:rsidRDefault="00C44A35" w:rsidP="00ED5A08">
            <w:pPr>
              <w:rPr>
                <w:i/>
              </w:rPr>
            </w:pPr>
            <w:r>
              <w:rPr>
                <w:i/>
              </w:rPr>
              <w:t>+32 25469</w:t>
            </w:r>
            <w:r>
              <w:t>802</w:t>
            </w:r>
          </w:p>
        </w:tc>
      </w:tr>
      <w:tr w:rsidR="00C44A35" w:rsidRPr="00A6689B" w14:paraId="74AC8A3D" w14:textId="77777777" w:rsidTr="00ED5A08">
        <w:tc>
          <w:tcPr>
            <w:tcW w:w="1078" w:type="pct"/>
          </w:tcPr>
          <w:p w14:paraId="056E40D3" w14:textId="77777777" w:rsidR="00C44A35" w:rsidRPr="00A6689B" w:rsidRDefault="00C44A35" w:rsidP="00ED5A08">
            <w:pPr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3922" w:type="pct"/>
          </w:tcPr>
          <w:p w14:paraId="71B98191" w14:textId="77777777" w:rsidR="00C44A35" w:rsidRPr="00A6689B" w:rsidRDefault="00A00905" w:rsidP="00ED5A08">
            <w:pPr>
              <w:rPr>
                <w:i/>
              </w:rPr>
            </w:pPr>
            <w:hyperlink r:id="rId39" w:history="1">
              <w:r w:rsidR="00C44A35">
                <w:rPr>
                  <w:rStyle w:val="Hyperlink"/>
                  <w:i/>
                </w:rPr>
                <w:t>Martine.Delanoy@eesc.europa.eu</w:t>
              </w:r>
            </w:hyperlink>
          </w:p>
        </w:tc>
      </w:tr>
    </w:tbl>
    <w:p w14:paraId="4982DE45" w14:textId="52A07963" w:rsidR="007F5784" w:rsidRDefault="007F5784">
      <w:pPr>
        <w:spacing w:after="160" w:line="259" w:lineRule="auto"/>
        <w:jc w:val="left"/>
      </w:pPr>
    </w:p>
    <w:p w14:paraId="7B893721" w14:textId="77777777" w:rsidR="00673B8C" w:rsidRDefault="00673B8C">
      <w:pPr>
        <w:spacing w:after="160" w:line="259" w:lineRule="auto"/>
        <w:jc w:val="left"/>
      </w:pPr>
    </w:p>
    <w:p w14:paraId="44C5A8B2" w14:textId="77777777" w:rsidR="008633EF" w:rsidRPr="0003586F" w:rsidRDefault="007F5784" w:rsidP="008633EF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 w:val="20"/>
        </w:rPr>
      </w:pPr>
      <w:r>
        <w:br w:type="page"/>
      </w:r>
      <w:r w:rsidR="008633EF">
        <w:rPr>
          <w:b/>
          <w:i/>
          <w:sz w:val="28"/>
        </w:rPr>
        <w:lastRenderedPageBreak/>
        <w:t xml:space="preserve">NAT/962 – </w:t>
      </w:r>
      <w:hyperlink r:id="rId40">
        <w:r w:rsidR="008633EF">
          <w:rPr>
            <w:rStyle w:val="Hyperlink"/>
            <w:b/>
            <w:i/>
            <w:sz w:val="28"/>
          </w:rPr>
          <w:t>Revizija Mehanizma Unije za civilnu zaštitu</w:t>
        </w:r>
      </w:hyperlink>
    </w:p>
    <w:p w14:paraId="6DE59146" w14:textId="77777777" w:rsidR="008633EF" w:rsidRPr="0008332E" w:rsidRDefault="008633EF" w:rsidP="008633EF">
      <w:pPr>
        <w:tabs>
          <w:tab w:val="center" w:pos="284"/>
        </w:tabs>
        <w:ind w:left="266" w:hanging="266"/>
        <w:rPr>
          <w:b/>
          <w:sz w:val="14"/>
          <w:szCs w:val="1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7119"/>
      </w:tblGrid>
      <w:tr w:rsidR="008633EF" w:rsidRPr="00A6689B" w14:paraId="4D5B437E" w14:textId="77777777" w:rsidTr="00ED5A08">
        <w:tc>
          <w:tcPr>
            <w:tcW w:w="1077" w:type="pct"/>
          </w:tcPr>
          <w:p w14:paraId="1B0317C1" w14:textId="77777777" w:rsidR="008633EF" w:rsidRPr="00A6689B" w:rsidRDefault="008633EF" w:rsidP="00ED5A08">
            <w:pPr>
              <w:tabs>
                <w:tab w:val="center" w:pos="284"/>
              </w:tabs>
              <w:ind w:left="266" w:hanging="266"/>
              <w:jc w:val="center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3923" w:type="pct"/>
          </w:tcPr>
          <w:p w14:paraId="60B2FB30" w14:textId="77777777" w:rsidR="008633EF" w:rsidRPr="00A6689B" w:rsidRDefault="008633EF" w:rsidP="00ED5A08">
            <w:pPr>
              <w:tabs>
                <w:tab w:val="center" w:pos="284"/>
              </w:tabs>
              <w:ind w:left="266" w:right="-3091" w:hanging="266"/>
            </w:pPr>
            <w:r>
              <w:t>Florian MARIN</w:t>
            </w:r>
          </w:p>
        </w:tc>
      </w:tr>
      <w:tr w:rsidR="008633EF" w:rsidRPr="00A6689B" w14:paraId="10AC5FEE" w14:textId="77777777" w:rsidTr="00ED5A08">
        <w:tc>
          <w:tcPr>
            <w:tcW w:w="1077" w:type="pct"/>
          </w:tcPr>
          <w:p w14:paraId="4139178F" w14:textId="77777777" w:rsidR="008633EF" w:rsidRPr="00A6689B" w:rsidRDefault="008633EF" w:rsidP="00ED5A08">
            <w:pPr>
              <w:tabs>
                <w:tab w:val="center" w:pos="284"/>
              </w:tabs>
              <w:ind w:left="266" w:hanging="266"/>
              <w:jc w:val="center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3923" w:type="pct"/>
          </w:tcPr>
          <w:p w14:paraId="46499A2C" w14:textId="77777777" w:rsidR="008633EF" w:rsidRPr="00A6689B" w:rsidRDefault="008633EF" w:rsidP="00ED5A08">
            <w:pPr>
              <w:tabs>
                <w:tab w:val="center" w:pos="284"/>
              </w:tabs>
              <w:ind w:left="266" w:right="-3091" w:hanging="266"/>
            </w:pPr>
            <w:r>
              <w:t>EESC-2025-03573-00-00-AC</w:t>
            </w:r>
          </w:p>
        </w:tc>
      </w:tr>
    </w:tbl>
    <w:p w14:paraId="3FE8EE0D" w14:textId="77777777" w:rsidR="008633EF" w:rsidRPr="0008332E" w:rsidRDefault="008633EF" w:rsidP="008633EF">
      <w:pPr>
        <w:tabs>
          <w:tab w:val="center" w:pos="284"/>
        </w:tabs>
        <w:ind w:left="266" w:hanging="266"/>
        <w:rPr>
          <w:b/>
          <w:sz w:val="14"/>
          <w:szCs w:val="14"/>
        </w:rPr>
      </w:pPr>
    </w:p>
    <w:p w14:paraId="6601323A" w14:textId="77777777" w:rsidR="008633EF" w:rsidRPr="00A6689B" w:rsidRDefault="008633EF" w:rsidP="008633EF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Ključne točke</w:t>
      </w:r>
    </w:p>
    <w:p w14:paraId="56F0BC2D" w14:textId="77777777" w:rsidR="008633EF" w:rsidRPr="0008332E" w:rsidRDefault="008633EF" w:rsidP="008633EF">
      <w:pPr>
        <w:keepNext/>
        <w:keepLines/>
        <w:tabs>
          <w:tab w:val="center" w:pos="284"/>
        </w:tabs>
        <w:ind w:left="266" w:hanging="266"/>
        <w:rPr>
          <w:b/>
          <w:sz w:val="14"/>
          <w:szCs w:val="14"/>
        </w:rPr>
      </w:pPr>
    </w:p>
    <w:p w14:paraId="6C6FF3C5" w14:textId="77777777" w:rsidR="008633EF" w:rsidRPr="00A6689B" w:rsidRDefault="008633EF" w:rsidP="008633EF">
      <w:r>
        <w:t>EGSO preporučuje sljedeće:</w:t>
      </w:r>
    </w:p>
    <w:p w14:paraId="1DE7BC36" w14:textId="77777777" w:rsidR="008633EF" w:rsidRDefault="008633EF" w:rsidP="008633EF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da se umjesto fokusa na kapacitete za odgovor </w:t>
      </w:r>
      <w:r>
        <w:rPr>
          <w:b/>
        </w:rPr>
        <w:t>poveća ambicioznost</w:t>
      </w:r>
      <w:r>
        <w:t xml:space="preserve"> u pogledu rješavanja problema smanjenja i prevencije rizika od katastrofa. Uspostava učinkovitog i integriranog Mehanizma Unije za civilnu zaštitu mora podrazumijevati uspostavu sveobuhvatnog </w:t>
      </w:r>
      <w:r>
        <w:rPr>
          <w:b/>
        </w:rPr>
        <w:t>okvira za politike smanjenja rizika</w:t>
      </w:r>
      <w:r>
        <w:t xml:space="preserve"> na području EU-a i veću usredotočenost na </w:t>
      </w:r>
      <w:r>
        <w:rPr>
          <w:b/>
        </w:rPr>
        <w:t>međusektorsku i prekograničnu</w:t>
      </w:r>
      <w:r>
        <w:t xml:space="preserve"> prevenciju katastrofa, a sve to treba provoditi u okviru cjelovitog sustava upravljanja rizicima;</w:t>
      </w:r>
    </w:p>
    <w:p w14:paraId="5E2C2FF8" w14:textId="77777777" w:rsidR="008633EF" w:rsidRDefault="008633EF" w:rsidP="008633EF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b/>
        </w:rPr>
        <w:t>da se smanji administrativno opterećenje</w:t>
      </w:r>
      <w:r>
        <w:t xml:space="preserve">, uklone preklapanja, moderniziraju neodgovarajući podatkovni sustavi i sustavi potpore, poveća osposobljenost ljudskih resursa i ulaže u </w:t>
      </w:r>
      <w:proofErr w:type="spellStart"/>
      <w:r>
        <w:t>interoperabilne</w:t>
      </w:r>
      <w:proofErr w:type="spellEnd"/>
      <w:r>
        <w:t xml:space="preserve"> kapacitete koji se temelje na zajedničkim standardima i programima osposobljavanja, i da se istodobno osiguraju </w:t>
      </w:r>
      <w:r>
        <w:rPr>
          <w:b/>
        </w:rPr>
        <w:t>visokokvalitetni radni uvjeti</w:t>
      </w:r>
      <w:r>
        <w:t xml:space="preserve"> kao preduvjet za jačanje društvene otpornosti u okviru pristupa krizama koji obuhvaća cijelo društvo;</w:t>
      </w:r>
    </w:p>
    <w:p w14:paraId="60391A74" w14:textId="77777777" w:rsidR="008633EF" w:rsidRDefault="008633EF" w:rsidP="008633EF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b/>
        </w:rPr>
        <w:t>da se poboljša predviđanje i razumijevanje</w:t>
      </w:r>
      <w:r>
        <w:t xml:space="preserve"> katastrofa i kriza, vodeći pritom računa o ulozi propagande i dezinformacija u povećavanju društvenog stresa;</w:t>
      </w:r>
    </w:p>
    <w:p w14:paraId="09B8BA6C" w14:textId="77777777" w:rsidR="008633EF" w:rsidRDefault="008633EF" w:rsidP="008633EF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da se Mehanizam Unije za civilnu zaštitu ojača </w:t>
      </w:r>
      <w:r>
        <w:rPr>
          <w:b/>
        </w:rPr>
        <w:t>dodatnim financiranjem</w:t>
      </w:r>
      <w:r>
        <w:t>, koje bi bilo posebno namijenjeno ranjivim skupinama i regijama, uključujući najudaljenije regije i regije u blizini ratom zahvaćenih područja;</w:t>
      </w:r>
    </w:p>
    <w:p w14:paraId="0ED47264" w14:textId="77777777" w:rsidR="008633EF" w:rsidRDefault="008633EF" w:rsidP="008633EF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da se osigura </w:t>
      </w:r>
      <w:r>
        <w:rPr>
          <w:b/>
        </w:rPr>
        <w:t>usklađenost s nacionalnim i regionalnim partnerskim planovima</w:t>
      </w:r>
      <w:r>
        <w:t xml:space="preserve"> predloženima za programsko razdoblje 2028. – 2034.;</w:t>
      </w:r>
    </w:p>
    <w:p w14:paraId="07351FCD" w14:textId="77777777" w:rsidR="008633EF" w:rsidRDefault="008633EF" w:rsidP="008633EF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da se potiče </w:t>
      </w:r>
      <w:r>
        <w:rPr>
          <w:b/>
        </w:rPr>
        <w:t>veća komplementarnost</w:t>
      </w:r>
      <w:r>
        <w:t xml:space="preserve"> postojećih instrumenata kao što su Instrument za sigurnosne mjere za Europu, Europske snage solidarnosti i Mehanizam Unije za civilnu zaštitu;</w:t>
      </w:r>
    </w:p>
    <w:p w14:paraId="1C11BB2A" w14:textId="77777777" w:rsidR="008633EF" w:rsidRDefault="008633EF" w:rsidP="008633EF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da se osigura dostatno i stabilno </w:t>
      </w:r>
      <w:r>
        <w:rPr>
          <w:b/>
        </w:rPr>
        <w:t>financiranje za profesionalne vatrogasce i zdravstveno osoblje</w:t>
      </w:r>
      <w:r>
        <w:t xml:space="preserve"> kako bi se u okviru Mehanizma Unije za civilnu zaštitu održali učinkovitost i brzina odgovora i istodobno ojačala uloga volontera;</w:t>
      </w:r>
    </w:p>
    <w:p w14:paraId="6F45FCDE" w14:textId="77777777" w:rsidR="008633EF" w:rsidRDefault="008633EF" w:rsidP="008633EF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da </w:t>
      </w:r>
      <w:r>
        <w:rPr>
          <w:b/>
        </w:rPr>
        <w:t>Mehanizam Unije za civilnu zaštitu bude fleksibilan</w:t>
      </w:r>
      <w:r>
        <w:t xml:space="preserve"> kako bi se poštovala raznolikost nacionalnih sustava upravljanja katastrofama i da se istodobno </w:t>
      </w:r>
      <w:r>
        <w:rPr>
          <w:b/>
        </w:rPr>
        <w:t>osigura prekogranična suradnja</w:t>
      </w:r>
      <w:r>
        <w:t xml:space="preserve"> i koordinacija radi brzog i učinkovitog odgovaranja na katastrofe koje ne poznaju granice, u čemu bi u potpunosti trebalo sudjelovati organizirano civilno društvo;</w:t>
      </w:r>
    </w:p>
    <w:p w14:paraId="6B02BCD8" w14:textId="77777777" w:rsidR="008633EF" w:rsidRDefault="008633EF" w:rsidP="008633EF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da se prilagode pravila o nabavi kako bi se </w:t>
      </w:r>
      <w:r>
        <w:rPr>
          <w:b/>
        </w:rPr>
        <w:t>zajamčilo brzo i učinkovito pružanje ključnih potrepština</w:t>
      </w:r>
      <w:r>
        <w:t xml:space="preserve"> i usluga u kriznim vremenima;</w:t>
      </w:r>
    </w:p>
    <w:p w14:paraId="63138F65" w14:textId="77777777" w:rsidR="008633EF" w:rsidRDefault="008633EF" w:rsidP="008633EF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da sve države članice koriste </w:t>
      </w:r>
      <w:r>
        <w:rPr>
          <w:b/>
        </w:rPr>
        <w:t>standardizirani obrazac za izvješćivanje o katastrofama</w:t>
      </w:r>
      <w:r>
        <w:t>.</w:t>
      </w:r>
    </w:p>
    <w:p w14:paraId="0071094F" w14:textId="77777777" w:rsidR="008633EF" w:rsidRPr="0008332E" w:rsidRDefault="008633EF" w:rsidP="008633EF">
      <w:pPr>
        <w:widowControl w:val="0"/>
        <w:ind w:left="709"/>
        <w:rPr>
          <w:sz w:val="14"/>
          <w:szCs w:val="1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7119"/>
      </w:tblGrid>
      <w:tr w:rsidR="008633EF" w:rsidRPr="00A6689B" w14:paraId="4F27FA82" w14:textId="77777777" w:rsidTr="00ED5A08">
        <w:tc>
          <w:tcPr>
            <w:tcW w:w="1077" w:type="pct"/>
          </w:tcPr>
          <w:p w14:paraId="0B7ED998" w14:textId="77777777" w:rsidR="008633EF" w:rsidRPr="00A6689B" w:rsidRDefault="008633EF" w:rsidP="00ED5A08">
            <w:pPr>
              <w:rPr>
                <w:i/>
                <w:iCs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3923" w:type="pct"/>
          </w:tcPr>
          <w:p w14:paraId="1C6E510C" w14:textId="77777777" w:rsidR="008633EF" w:rsidRPr="00A6689B" w:rsidRDefault="008633EF" w:rsidP="00ED5A08">
            <w:pPr>
              <w:rPr>
                <w:i/>
                <w:iCs/>
              </w:rPr>
            </w:pPr>
            <w:r>
              <w:rPr>
                <w:i/>
              </w:rPr>
              <w:t xml:space="preserve">Arturo </w:t>
            </w:r>
            <w:proofErr w:type="spellStart"/>
            <w:r>
              <w:rPr>
                <w:i/>
              </w:rPr>
              <w:t>Iniguez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Yuste</w:t>
            </w:r>
            <w:proofErr w:type="spellEnd"/>
          </w:p>
        </w:tc>
      </w:tr>
      <w:tr w:rsidR="008633EF" w:rsidRPr="00A6689B" w14:paraId="6946A8B8" w14:textId="77777777" w:rsidTr="00ED5A08">
        <w:tc>
          <w:tcPr>
            <w:tcW w:w="1077" w:type="pct"/>
          </w:tcPr>
          <w:p w14:paraId="4BC237D0" w14:textId="77777777" w:rsidR="008633EF" w:rsidRPr="00A6689B" w:rsidRDefault="008633EF" w:rsidP="00ED5A08">
            <w:pPr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23" w:type="pct"/>
          </w:tcPr>
          <w:p w14:paraId="74E3FBFA" w14:textId="77777777" w:rsidR="008633EF" w:rsidRPr="00A6689B" w:rsidRDefault="008633EF" w:rsidP="00ED5A08">
            <w:pPr>
              <w:rPr>
                <w:i/>
              </w:rPr>
            </w:pPr>
            <w:r>
              <w:rPr>
                <w:i/>
              </w:rPr>
              <w:t>+32 25468768</w:t>
            </w:r>
          </w:p>
        </w:tc>
      </w:tr>
      <w:tr w:rsidR="008633EF" w:rsidRPr="00A6689B" w14:paraId="1A36DAE9" w14:textId="77777777" w:rsidTr="00ED5A08">
        <w:tc>
          <w:tcPr>
            <w:tcW w:w="1077" w:type="pct"/>
          </w:tcPr>
          <w:p w14:paraId="56C38145" w14:textId="77777777" w:rsidR="008633EF" w:rsidRPr="00A6689B" w:rsidRDefault="008633EF" w:rsidP="00ED5A08">
            <w:pPr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3923" w:type="pct"/>
          </w:tcPr>
          <w:p w14:paraId="25431985" w14:textId="77777777" w:rsidR="008633EF" w:rsidRPr="00A6689B" w:rsidRDefault="00A00905" w:rsidP="00ED5A08">
            <w:pPr>
              <w:rPr>
                <w:i/>
              </w:rPr>
            </w:pPr>
            <w:hyperlink r:id="rId41" w:history="1">
              <w:r w:rsidR="008633EF">
                <w:rPr>
                  <w:rStyle w:val="Hyperlink"/>
                  <w:i/>
                </w:rPr>
                <w:t>Arturo.Iniguez@eesc.europa.eu</w:t>
              </w:r>
            </w:hyperlink>
          </w:p>
        </w:tc>
      </w:tr>
    </w:tbl>
    <w:p w14:paraId="73A0193B" w14:textId="4578DD15" w:rsidR="00395794" w:rsidRDefault="00395794" w:rsidP="008633E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567"/>
      </w:pPr>
      <w:r>
        <w:br w:type="page"/>
      </w:r>
    </w:p>
    <w:p w14:paraId="0B0F00AD" w14:textId="77777777" w:rsidR="007F5784" w:rsidRDefault="007F5784">
      <w:pPr>
        <w:spacing w:after="160" w:line="259" w:lineRule="auto"/>
        <w:jc w:val="left"/>
      </w:pPr>
    </w:p>
    <w:p w14:paraId="14026A78" w14:textId="4FAE1588" w:rsidR="007F5784" w:rsidRDefault="007F5784" w:rsidP="007F5784">
      <w:pPr>
        <w:pStyle w:val="Heading1"/>
        <w:rPr>
          <w:b/>
        </w:rPr>
      </w:pPr>
      <w:bookmarkStart w:id="11" w:name="_Toc216879508"/>
      <w:r>
        <w:rPr>
          <w:b/>
        </w:rPr>
        <w:t>STRUČNA SKUPINA ZA VANJSKE ODNOSE</w:t>
      </w:r>
      <w:bookmarkEnd w:id="11"/>
    </w:p>
    <w:p w14:paraId="3BBB3E68" w14:textId="77777777" w:rsidR="007F5784" w:rsidRDefault="007F5784" w:rsidP="007F5784"/>
    <w:p w14:paraId="41A77EBB" w14:textId="77777777" w:rsidR="00993489" w:rsidRPr="00C733BA" w:rsidRDefault="00993489" w:rsidP="00993489">
      <w:pPr>
        <w:pStyle w:val="ListParagraph"/>
        <w:widowControl w:val="0"/>
        <w:numPr>
          <w:ilvl w:val="0"/>
          <w:numId w:val="15"/>
        </w:numPr>
        <w:spacing w:line="276" w:lineRule="auto"/>
        <w:ind w:left="567" w:hanging="567"/>
        <w:jc w:val="left"/>
        <w:rPr>
          <w:sz w:val="28"/>
          <w:szCs w:val="28"/>
        </w:rPr>
      </w:pPr>
      <w:r>
        <w:rPr>
          <w:b/>
          <w:i/>
          <w:sz w:val="28"/>
        </w:rPr>
        <w:t xml:space="preserve">REX/609 – </w:t>
      </w:r>
      <w:r w:rsidRPr="00C733BA">
        <w:rPr>
          <w:b/>
          <w:i/>
          <w:sz w:val="28"/>
          <w:lang w:eastAsia="zh-CN"/>
        </w:rPr>
        <w:fldChar w:fldCharType="begin"/>
      </w:r>
      <w:r w:rsidRPr="00C733BA">
        <w:rPr>
          <w:b/>
          <w:i/>
          <w:sz w:val="28"/>
        </w:rPr>
        <w:instrText>HYPERLINK "https://www.eesc.europa.eu/hr/our-work/opinions-information-reports/opinions/european-unions-strategic-approach-black-sea-region"</w:instrText>
      </w:r>
      <w:r w:rsidRPr="00C733BA">
        <w:rPr>
          <w:b/>
          <w:i/>
          <w:sz w:val="28"/>
          <w:lang w:eastAsia="zh-CN"/>
        </w:rPr>
        <w:fldChar w:fldCharType="separate"/>
      </w:r>
      <w:r>
        <w:rPr>
          <w:rStyle w:val="Hyperlink"/>
          <w:b/>
          <w:i/>
          <w:sz w:val="28"/>
        </w:rPr>
        <w:t>Strateški pristup Europske unije crnomorskoj regiji</w:t>
      </w:r>
    </w:p>
    <w:p w14:paraId="51B590B8" w14:textId="77777777" w:rsidR="00993489" w:rsidRPr="00A6689B" w:rsidRDefault="00993489" w:rsidP="00993489">
      <w:pPr>
        <w:tabs>
          <w:tab w:val="center" w:pos="284"/>
        </w:tabs>
        <w:ind w:left="266" w:hanging="266"/>
        <w:rPr>
          <w:b/>
        </w:rPr>
      </w:pPr>
      <w:r w:rsidRPr="00C733BA">
        <w:rPr>
          <w:b/>
          <w:i/>
          <w:sz w:val="28"/>
        </w:rPr>
        <w:fldChar w:fldCharType="end"/>
      </w:r>
    </w:p>
    <w:tbl>
      <w:tblPr>
        <w:tblStyle w:val="TableGrid"/>
        <w:tblW w:w="49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6947"/>
      </w:tblGrid>
      <w:tr w:rsidR="00993489" w:rsidRPr="00A6689B" w14:paraId="23AA1F7E" w14:textId="77777777" w:rsidTr="00ED5A08">
        <w:trPr>
          <w:trHeight w:val="445"/>
        </w:trPr>
        <w:tc>
          <w:tcPr>
            <w:tcW w:w="1111" w:type="pct"/>
          </w:tcPr>
          <w:p w14:paraId="3D7DB2F1" w14:textId="77777777" w:rsidR="00993489" w:rsidRPr="00A6689B" w:rsidRDefault="00993489" w:rsidP="00ED5A0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3889" w:type="pct"/>
          </w:tcPr>
          <w:p w14:paraId="1A46A810" w14:textId="77777777" w:rsidR="00993489" w:rsidRPr="00C733BA" w:rsidRDefault="00993489" w:rsidP="00ED5A08">
            <w:pPr>
              <w:tabs>
                <w:tab w:val="center" w:pos="284"/>
              </w:tabs>
              <w:ind w:left="266" w:hanging="266"/>
            </w:pPr>
            <w:r>
              <w:t>Milena ANGELOVA (Skupina poslodavaca – BG)</w:t>
            </w:r>
          </w:p>
        </w:tc>
      </w:tr>
      <w:tr w:rsidR="00993489" w:rsidRPr="00A6689B" w14:paraId="0B582D2F" w14:textId="77777777" w:rsidTr="00ED5A08">
        <w:tc>
          <w:tcPr>
            <w:tcW w:w="1111" w:type="pct"/>
          </w:tcPr>
          <w:p w14:paraId="5086E8A8" w14:textId="77777777" w:rsidR="00993489" w:rsidRPr="00A6689B" w:rsidRDefault="00993489" w:rsidP="00ED5A0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3889" w:type="pct"/>
          </w:tcPr>
          <w:p w14:paraId="62986499" w14:textId="77777777" w:rsidR="00993489" w:rsidRPr="00A6689B" w:rsidRDefault="00993489" w:rsidP="00ED5A08">
            <w:pPr>
              <w:tabs>
                <w:tab w:val="center" w:pos="284"/>
              </w:tabs>
              <w:ind w:left="266" w:hanging="266"/>
            </w:pPr>
            <w:r>
              <w:t>EESC-2025-02608-00-00-AC</w:t>
            </w:r>
          </w:p>
        </w:tc>
      </w:tr>
    </w:tbl>
    <w:p w14:paraId="50CA1141" w14:textId="77777777" w:rsidR="00993489" w:rsidRDefault="00993489" w:rsidP="00993489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7304D8C1" w14:textId="77777777" w:rsidR="00993489" w:rsidRPr="00A6689B" w:rsidRDefault="00993489" w:rsidP="00993489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Ključne točke</w:t>
      </w:r>
    </w:p>
    <w:p w14:paraId="1BFC64C5" w14:textId="77777777" w:rsidR="00993489" w:rsidRPr="00A6689B" w:rsidRDefault="00993489" w:rsidP="00993489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3CB28866" w14:textId="77777777" w:rsidR="00993489" w:rsidRPr="00FC4BF3" w:rsidRDefault="00993489" w:rsidP="00993489">
      <w:pPr>
        <w:rPr>
          <w:bCs/>
          <w:iCs/>
        </w:rPr>
      </w:pPr>
      <w:r>
        <w:t>EGSO:</w:t>
      </w:r>
    </w:p>
    <w:p w14:paraId="282778B0" w14:textId="77777777" w:rsidR="00993489" w:rsidRPr="00E24C2F" w:rsidRDefault="00993489" w:rsidP="00993489">
      <w:pPr>
        <w:pStyle w:val="ListParagraph"/>
        <w:numPr>
          <w:ilvl w:val="0"/>
          <w:numId w:val="14"/>
        </w:numPr>
        <w:ind w:left="567" w:hanging="567"/>
        <w:rPr>
          <w:bCs/>
          <w:iCs/>
        </w:rPr>
      </w:pPr>
      <w:r>
        <w:t xml:space="preserve">pozdravlja </w:t>
      </w:r>
      <w:r>
        <w:rPr>
          <w:b/>
          <w:bCs/>
        </w:rPr>
        <w:t>dugo očekivanu inicijativu</w:t>
      </w:r>
      <w:r>
        <w:t xml:space="preserve"> da se </w:t>
      </w:r>
      <w:r>
        <w:rPr>
          <w:b/>
          <w:bCs/>
        </w:rPr>
        <w:t>posebna pozornost posveti crnomorskoj regiji</w:t>
      </w:r>
      <w:r>
        <w:t xml:space="preserve"> i predlaže da se za nju uvede strateški pristup Europske unije, ali napominje da ta inicijativa </w:t>
      </w:r>
      <w:r>
        <w:rPr>
          <w:b/>
          <w:bCs/>
        </w:rPr>
        <w:t>donekle kasni</w:t>
      </w:r>
      <w:r>
        <w:t xml:space="preserve">, pa poziva na donošenje </w:t>
      </w:r>
      <w:r>
        <w:rPr>
          <w:b/>
          <w:bCs/>
        </w:rPr>
        <w:t>brzih i odlučnih mjera za njezinu provedbu</w:t>
      </w:r>
      <w:r>
        <w:t xml:space="preserve"> i </w:t>
      </w:r>
      <w:r>
        <w:rPr>
          <w:b/>
          <w:bCs/>
        </w:rPr>
        <w:t>osiguravanje dostatnih resursa</w:t>
      </w:r>
      <w:r>
        <w:t>;</w:t>
      </w:r>
    </w:p>
    <w:p w14:paraId="0D4DC44B" w14:textId="77777777" w:rsidR="00993489" w:rsidRPr="00E24C2F" w:rsidRDefault="00993489" w:rsidP="00993489">
      <w:pPr>
        <w:pStyle w:val="ListParagraph"/>
        <w:numPr>
          <w:ilvl w:val="0"/>
          <w:numId w:val="14"/>
        </w:numPr>
        <w:ind w:left="567" w:hanging="567"/>
        <w:rPr>
          <w:bCs/>
          <w:iCs/>
        </w:rPr>
      </w:pPr>
      <w:r>
        <w:t xml:space="preserve">naglašava da </w:t>
      </w:r>
      <w:r>
        <w:rPr>
          <w:b/>
          <w:bCs/>
        </w:rPr>
        <w:t>sve zemlje u regiji</w:t>
      </w:r>
      <w:r>
        <w:t xml:space="preserve"> snose </w:t>
      </w:r>
      <w:r>
        <w:rPr>
          <w:b/>
          <w:bCs/>
        </w:rPr>
        <w:t>negativne posljedice vojnih sukoba</w:t>
      </w:r>
      <w:r>
        <w:t xml:space="preserve">, ali </w:t>
      </w:r>
      <w:r>
        <w:rPr>
          <w:b/>
          <w:bCs/>
        </w:rPr>
        <w:t>neke od njih ne primaju ciljanu socijalnu i ekonomsku potporu razmjernu njihovim naporima i žrtvama</w:t>
      </w:r>
      <w:r>
        <w:t>;</w:t>
      </w:r>
    </w:p>
    <w:p w14:paraId="7B70283D" w14:textId="77777777" w:rsidR="00993489" w:rsidRPr="00E24C2F" w:rsidRDefault="00993489" w:rsidP="00993489">
      <w:pPr>
        <w:pStyle w:val="ListParagraph"/>
        <w:numPr>
          <w:ilvl w:val="0"/>
          <w:numId w:val="14"/>
        </w:numPr>
        <w:ind w:left="567" w:hanging="567"/>
        <w:rPr>
          <w:bCs/>
          <w:iCs/>
        </w:rPr>
      </w:pPr>
      <w:r>
        <w:t xml:space="preserve">poziva Komisiju da, uz savjetovanje s državama članicama EU-a, zemljama u crnomorskoj regiji i svim dionicima, </w:t>
      </w:r>
      <w:r>
        <w:rPr>
          <w:b/>
          <w:bCs/>
        </w:rPr>
        <w:t>brzo</w:t>
      </w:r>
      <w:r>
        <w:t xml:space="preserve"> (u idealnom slučaju do kraja 2025.) </w:t>
      </w:r>
      <w:r>
        <w:rPr>
          <w:b/>
          <w:bCs/>
        </w:rPr>
        <w:t>pripremi pragmatičnu i primjereno financiranu strategiju za razvoj te regije</w:t>
      </w:r>
      <w:r>
        <w:t>;</w:t>
      </w:r>
    </w:p>
    <w:p w14:paraId="18C4B8CE" w14:textId="77777777" w:rsidR="00993489" w:rsidRPr="00E24C2F" w:rsidRDefault="00993489" w:rsidP="00993489">
      <w:pPr>
        <w:pStyle w:val="ListParagraph"/>
        <w:numPr>
          <w:ilvl w:val="0"/>
          <w:numId w:val="14"/>
        </w:numPr>
        <w:ind w:left="567" w:hanging="567"/>
        <w:rPr>
          <w:bCs/>
          <w:iCs/>
        </w:rPr>
      </w:pPr>
      <w:r>
        <w:t xml:space="preserve">izražava žaljenje zbog toga što </w:t>
      </w:r>
      <w:r>
        <w:rPr>
          <w:b/>
          <w:bCs/>
        </w:rPr>
        <w:t>prethodna okvirna politika EU-a</w:t>
      </w:r>
      <w:r>
        <w:t xml:space="preserve"> za tu regiju (Crnomorska sinergija iz 2007.) nije obuhvaćala </w:t>
      </w:r>
      <w:r>
        <w:rPr>
          <w:b/>
          <w:bCs/>
        </w:rPr>
        <w:t>sigurnosnu dimenziju</w:t>
      </w:r>
      <w:r>
        <w:t xml:space="preserve"> i naglašava </w:t>
      </w:r>
      <w:r>
        <w:rPr>
          <w:b/>
          <w:bCs/>
        </w:rPr>
        <w:t>potrebu da se sigurnosnim inicijativama EU-a u crnomorskoj regiji ostvare konkretni rezultati</w:t>
      </w:r>
      <w:r>
        <w:t>;</w:t>
      </w:r>
    </w:p>
    <w:p w14:paraId="4DF26810" w14:textId="77777777" w:rsidR="00993489" w:rsidRPr="00E24C2F" w:rsidRDefault="00993489" w:rsidP="00993489">
      <w:pPr>
        <w:pStyle w:val="ListParagraph"/>
        <w:numPr>
          <w:ilvl w:val="0"/>
          <w:numId w:val="14"/>
        </w:numPr>
        <w:ind w:left="567" w:hanging="567"/>
        <w:rPr>
          <w:bCs/>
          <w:iCs/>
        </w:rPr>
      </w:pPr>
      <w:r>
        <w:t xml:space="preserve">naglašava da je </w:t>
      </w:r>
      <w:r>
        <w:rPr>
          <w:b/>
          <w:bCs/>
        </w:rPr>
        <w:t>postizanje trajnog mira</w:t>
      </w:r>
      <w:r>
        <w:t xml:space="preserve"> </w:t>
      </w:r>
      <w:r>
        <w:rPr>
          <w:b/>
          <w:bCs/>
        </w:rPr>
        <w:t>nužan i ključan preduvjet za održiv gospodarski razvoj</w:t>
      </w:r>
      <w:r>
        <w:t xml:space="preserve"> i sa žaljenjem primjećuje da to u predmetnom dokumentu nije istaknuto kao cilj;</w:t>
      </w:r>
    </w:p>
    <w:p w14:paraId="678F149D" w14:textId="77777777" w:rsidR="00993489" w:rsidRPr="00E24C2F" w:rsidRDefault="00993489" w:rsidP="00993489">
      <w:pPr>
        <w:pStyle w:val="ListParagraph"/>
        <w:numPr>
          <w:ilvl w:val="0"/>
          <w:numId w:val="14"/>
        </w:numPr>
        <w:ind w:left="567" w:hanging="567"/>
        <w:rPr>
          <w:bCs/>
          <w:iCs/>
        </w:rPr>
      </w:pPr>
      <w:r>
        <w:t xml:space="preserve">smatra da </w:t>
      </w:r>
      <w:r>
        <w:rPr>
          <w:b/>
          <w:bCs/>
        </w:rPr>
        <w:t>znatno ograničenje strateškog pristupa</w:t>
      </w:r>
      <w:r>
        <w:t xml:space="preserve"> proizlazi iz činjenice da se on u potpunosti temelji na </w:t>
      </w:r>
      <w:r>
        <w:rPr>
          <w:b/>
          <w:bCs/>
        </w:rPr>
        <w:t>postojećim financijskim instrumentima i proračunskim sredstvima iz višegodišnjeg financijskog okvira za razdoblje 2021. – 2027.</w:t>
      </w:r>
      <w:r>
        <w:t xml:space="preserve">; traži da se ti instrumenti </w:t>
      </w:r>
      <w:r>
        <w:rPr>
          <w:b/>
          <w:bCs/>
        </w:rPr>
        <w:t>pojednostave, konsolidiraju i da im se da prednost</w:t>
      </w:r>
      <w:r>
        <w:t xml:space="preserve"> kako bi se ostvario trenutačan i vidljiv učinak;</w:t>
      </w:r>
    </w:p>
    <w:p w14:paraId="7716ACF7" w14:textId="77777777" w:rsidR="00993489" w:rsidRPr="00E24C2F" w:rsidRDefault="00993489" w:rsidP="00993489">
      <w:pPr>
        <w:pStyle w:val="ListParagraph"/>
        <w:numPr>
          <w:ilvl w:val="0"/>
          <w:numId w:val="14"/>
        </w:numPr>
        <w:ind w:left="567" w:hanging="567"/>
        <w:rPr>
          <w:bCs/>
          <w:iCs/>
        </w:rPr>
      </w:pPr>
      <w:r>
        <w:t xml:space="preserve">preporučuje da se </w:t>
      </w:r>
      <w:r>
        <w:rPr>
          <w:b/>
          <w:bCs/>
        </w:rPr>
        <w:t>provede detaljna procjena učinka svih postojećih instrumenata</w:t>
      </w:r>
      <w:r>
        <w:t xml:space="preserve"> i na temelju toga definiraju </w:t>
      </w:r>
      <w:r>
        <w:rPr>
          <w:b/>
          <w:bCs/>
        </w:rPr>
        <w:t xml:space="preserve">konkretnije </w:t>
      </w:r>
      <w:r>
        <w:t xml:space="preserve">i </w:t>
      </w:r>
      <w:r>
        <w:rPr>
          <w:b/>
          <w:bCs/>
        </w:rPr>
        <w:t>jasnije obveze</w:t>
      </w:r>
      <w:r>
        <w:t xml:space="preserve"> u pogledu njihove buduće upotrebe;</w:t>
      </w:r>
    </w:p>
    <w:p w14:paraId="3BF66915" w14:textId="77777777" w:rsidR="00993489" w:rsidRPr="00E24C2F" w:rsidRDefault="00993489" w:rsidP="00993489">
      <w:pPr>
        <w:pStyle w:val="ListParagraph"/>
        <w:widowControl w:val="0"/>
        <w:numPr>
          <w:ilvl w:val="0"/>
          <w:numId w:val="13"/>
        </w:numPr>
        <w:ind w:left="567" w:hanging="567"/>
      </w:pPr>
      <w:r>
        <w:t xml:space="preserve">smatra da bi više pozornosti trebalo posvetiti </w:t>
      </w:r>
      <w:r>
        <w:rPr>
          <w:b/>
          <w:bCs/>
        </w:rPr>
        <w:t>uklanjanju hibridnih prijetnji</w:t>
      </w:r>
      <w:r>
        <w:t xml:space="preserve"> i </w:t>
      </w:r>
      <w:r>
        <w:rPr>
          <w:b/>
          <w:bCs/>
        </w:rPr>
        <w:t>nepravilnosti u upravljanju</w:t>
      </w:r>
      <w:r>
        <w:t>, koje ugrožavaju regionalnu stabilnost.</w:t>
      </w:r>
    </w:p>
    <w:p w14:paraId="772A0D16" w14:textId="77777777" w:rsidR="00993489" w:rsidRPr="00FC4BF3" w:rsidRDefault="00993489" w:rsidP="00993489">
      <w:pPr>
        <w:widowControl w:val="0"/>
        <w:ind w:left="709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7095"/>
      </w:tblGrid>
      <w:tr w:rsidR="00993489" w:rsidRPr="00A6689B" w14:paraId="4069B26C" w14:textId="77777777" w:rsidTr="00ED5A08">
        <w:tc>
          <w:tcPr>
            <w:tcW w:w="1090" w:type="pct"/>
          </w:tcPr>
          <w:p w14:paraId="2345099E" w14:textId="77777777" w:rsidR="00993489" w:rsidRPr="00A6689B" w:rsidRDefault="00993489" w:rsidP="00ED5A08">
            <w:pPr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3910" w:type="pct"/>
          </w:tcPr>
          <w:p w14:paraId="2A8EB95B" w14:textId="77777777" w:rsidR="00993489" w:rsidRPr="00A6689B" w:rsidRDefault="00993489" w:rsidP="00ED5A08">
            <w:pPr>
              <w:rPr>
                <w:i/>
                <w:iCs/>
              </w:rPr>
            </w:pPr>
            <w:r>
              <w:t>Marie-</w:t>
            </w:r>
            <w:proofErr w:type="spellStart"/>
            <w:r>
              <w:t>Laurence</w:t>
            </w:r>
            <w:proofErr w:type="spellEnd"/>
            <w:r>
              <w:t xml:space="preserve"> </w:t>
            </w:r>
            <w:proofErr w:type="spellStart"/>
            <w:r>
              <w:t>Drillon</w:t>
            </w:r>
            <w:proofErr w:type="spellEnd"/>
          </w:p>
        </w:tc>
      </w:tr>
      <w:tr w:rsidR="00993489" w:rsidRPr="00A6689B" w14:paraId="2AE19683" w14:textId="77777777" w:rsidTr="00ED5A08">
        <w:tc>
          <w:tcPr>
            <w:tcW w:w="1090" w:type="pct"/>
          </w:tcPr>
          <w:p w14:paraId="31EEB553" w14:textId="77777777" w:rsidR="00993489" w:rsidRPr="00A6689B" w:rsidRDefault="00993489" w:rsidP="00ED5A08">
            <w:pPr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10" w:type="pct"/>
          </w:tcPr>
          <w:p w14:paraId="2DAEEDB2" w14:textId="77777777" w:rsidR="00993489" w:rsidRPr="00A6689B" w:rsidRDefault="00993489" w:rsidP="00ED5A08">
            <w:pPr>
              <w:rPr>
                <w:i/>
              </w:rPr>
            </w:pPr>
            <w:r>
              <w:rPr>
                <w:i/>
              </w:rPr>
              <w:t>+32 2 546 8320</w:t>
            </w:r>
          </w:p>
        </w:tc>
      </w:tr>
      <w:tr w:rsidR="00993489" w:rsidRPr="00A6689B" w14:paraId="68BF88C9" w14:textId="77777777" w:rsidTr="00ED5A08">
        <w:tc>
          <w:tcPr>
            <w:tcW w:w="1090" w:type="pct"/>
          </w:tcPr>
          <w:p w14:paraId="2B57F90E" w14:textId="77777777" w:rsidR="00993489" w:rsidRPr="00A6689B" w:rsidRDefault="00993489" w:rsidP="00ED5A08">
            <w:pPr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3910" w:type="pct"/>
          </w:tcPr>
          <w:p w14:paraId="68FA6347" w14:textId="77777777" w:rsidR="00993489" w:rsidRPr="00A6689B" w:rsidRDefault="00A00905" w:rsidP="00ED5A08">
            <w:pPr>
              <w:rPr>
                <w:i/>
              </w:rPr>
            </w:pPr>
            <w:hyperlink r:id="rId42" w:history="1">
              <w:r w:rsidR="00993489">
                <w:rPr>
                  <w:rStyle w:val="Hyperlink"/>
                  <w:i/>
                </w:rPr>
                <w:t>Marie-Laurence.Drillon@eesc.europa.eu</w:t>
              </w:r>
            </w:hyperlink>
          </w:p>
        </w:tc>
      </w:tr>
    </w:tbl>
    <w:p w14:paraId="2C4ED8EA" w14:textId="77777777" w:rsidR="0036320A" w:rsidRPr="0003586F" w:rsidRDefault="006D2C8A" w:rsidP="0036320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</w:rPr>
      </w:pPr>
      <w:r>
        <w:br w:type="page"/>
      </w:r>
      <w:hyperlink r:id="rId43" w:history="1">
        <w:r w:rsidR="0036320A">
          <w:rPr>
            <w:rStyle w:val="Hyperlink"/>
            <w:b/>
            <w:i/>
            <w:sz w:val="28"/>
          </w:rPr>
          <w:t>„Globalna Europa (prijedlog višegodišnjeg financijskog okvira)”</w:t>
        </w:r>
      </w:hyperlink>
    </w:p>
    <w:p w14:paraId="67E44865" w14:textId="77777777" w:rsidR="0036320A" w:rsidRPr="00A6689B" w:rsidRDefault="0036320A" w:rsidP="0036320A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7119"/>
      </w:tblGrid>
      <w:tr w:rsidR="0036320A" w:rsidRPr="00A6689B" w14:paraId="637D1A43" w14:textId="77777777" w:rsidTr="004B0CA7">
        <w:tc>
          <w:tcPr>
            <w:tcW w:w="1077" w:type="pct"/>
          </w:tcPr>
          <w:p w14:paraId="3BBA3E28" w14:textId="77777777" w:rsidR="0036320A" w:rsidRPr="00A6689B" w:rsidRDefault="0036320A" w:rsidP="004B0CA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3923" w:type="pct"/>
          </w:tcPr>
          <w:p w14:paraId="72EF5AD9" w14:textId="77777777" w:rsidR="0036320A" w:rsidRPr="00A6689B" w:rsidRDefault="0036320A" w:rsidP="004B0CA7">
            <w:pPr>
              <w:tabs>
                <w:tab w:val="center" w:pos="284"/>
              </w:tabs>
              <w:ind w:left="266" w:right="-3091" w:hanging="266"/>
            </w:pPr>
            <w:proofErr w:type="spellStart"/>
            <w:r>
              <w:t>Mateusz</w:t>
            </w:r>
            <w:proofErr w:type="spellEnd"/>
            <w:r>
              <w:t xml:space="preserve"> SZYMAŃSKI (Skupna radnika – PL)</w:t>
            </w:r>
          </w:p>
        </w:tc>
      </w:tr>
      <w:tr w:rsidR="0036320A" w:rsidRPr="00A6689B" w14:paraId="5ED772CD" w14:textId="77777777" w:rsidTr="004B0CA7">
        <w:tc>
          <w:tcPr>
            <w:tcW w:w="1077" w:type="pct"/>
          </w:tcPr>
          <w:p w14:paraId="516557AD" w14:textId="77777777" w:rsidR="0036320A" w:rsidRPr="00A6689B" w:rsidRDefault="0036320A" w:rsidP="004B0CA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Suizvjestitelj/ica:</w:t>
            </w:r>
          </w:p>
        </w:tc>
        <w:tc>
          <w:tcPr>
            <w:tcW w:w="3923" w:type="pct"/>
          </w:tcPr>
          <w:p w14:paraId="37E171CC" w14:textId="77777777" w:rsidR="0036320A" w:rsidRPr="00A6689B" w:rsidRDefault="0036320A" w:rsidP="004B0CA7">
            <w:pPr>
              <w:tabs>
                <w:tab w:val="center" w:pos="284"/>
              </w:tabs>
              <w:ind w:left="266" w:right="-3091" w:hanging="266"/>
            </w:pPr>
            <w:r>
              <w:t>Luca JAHIER (Skupina organizacija civilnog društva – IT)</w:t>
            </w:r>
          </w:p>
        </w:tc>
      </w:tr>
      <w:tr w:rsidR="0036320A" w:rsidRPr="00A6689B" w14:paraId="0CB7BFB9" w14:textId="77777777" w:rsidTr="004B0CA7">
        <w:tc>
          <w:tcPr>
            <w:tcW w:w="1077" w:type="pct"/>
          </w:tcPr>
          <w:p w14:paraId="0A5C1E8F" w14:textId="77777777" w:rsidR="0036320A" w:rsidRPr="00A6689B" w:rsidRDefault="0036320A" w:rsidP="004B0CA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3923" w:type="pct"/>
          </w:tcPr>
          <w:p w14:paraId="0B0CFFA3" w14:textId="77777777" w:rsidR="0036320A" w:rsidRPr="00A6689B" w:rsidRDefault="0036320A" w:rsidP="004B0CA7">
            <w:pPr>
              <w:tabs>
                <w:tab w:val="center" w:pos="284"/>
              </w:tabs>
              <w:ind w:left="266" w:right="-3091" w:hanging="266"/>
            </w:pPr>
            <w:r>
              <w:t>EESC-2025-02605-00-00-AC-TRA</w:t>
            </w:r>
          </w:p>
        </w:tc>
      </w:tr>
    </w:tbl>
    <w:p w14:paraId="0042D5D5" w14:textId="77777777" w:rsidR="0036320A" w:rsidRDefault="0036320A" w:rsidP="0036320A">
      <w:pPr>
        <w:tabs>
          <w:tab w:val="center" w:pos="284"/>
        </w:tabs>
        <w:ind w:left="266" w:hanging="266"/>
        <w:rPr>
          <w:b/>
        </w:rPr>
      </w:pPr>
    </w:p>
    <w:p w14:paraId="1F11F3A5" w14:textId="77777777" w:rsidR="0036320A" w:rsidRPr="00A6689B" w:rsidRDefault="0036320A" w:rsidP="0036320A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Ključne točke</w:t>
      </w:r>
    </w:p>
    <w:p w14:paraId="0EBCBB51" w14:textId="77777777" w:rsidR="0036320A" w:rsidRPr="00A6689B" w:rsidRDefault="0036320A" w:rsidP="0036320A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796AC107" w14:textId="77777777" w:rsidR="0036320A" w:rsidRPr="00A6689B" w:rsidRDefault="0036320A" w:rsidP="0036320A">
      <w:pPr>
        <w:rPr>
          <w:bCs/>
          <w:iCs/>
        </w:rPr>
      </w:pPr>
      <w:r>
        <w:t>EGSO:</w:t>
      </w:r>
    </w:p>
    <w:p w14:paraId="0F7C2900" w14:textId="77777777" w:rsidR="0036320A" w:rsidRDefault="0036320A" w:rsidP="0036320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hanging="567"/>
        <w:textAlignment w:val="baseline"/>
        <w:rPr>
          <w:bCs/>
          <w:iCs/>
        </w:rPr>
      </w:pPr>
      <w:r>
        <w:t>pozdravlja prijedlog Komisije o povećanju rashoda za vanjske politike EU-a u okviru predstojećeg višegodišnjeg financijskog okvira (VFO), uključujući instrument Globalna Europa koji uključuje pričuvu za Ukrajinu, te smatra da je to povećanje ključno kako bi EU potvrdio svoju ulogu globalnog aktera i izgradio stratešku autonomiju;</w:t>
      </w:r>
    </w:p>
    <w:p w14:paraId="293D976E" w14:textId="77777777" w:rsidR="0036320A" w:rsidRPr="004541E6" w:rsidRDefault="0036320A" w:rsidP="0036320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hanging="567"/>
        <w:textAlignment w:val="baseline"/>
        <w:rPr>
          <w:bCs/>
          <w:iCs/>
        </w:rPr>
      </w:pPr>
      <w:r>
        <w:t xml:space="preserve">smatra da bi EU trebao imati vodeću ulogu u razvojnim i humanitarnim nastojanjima kao i u revitalizaciji sustava UN-a, pri čemu bi strategija Global </w:t>
      </w:r>
      <w:proofErr w:type="spellStart"/>
      <w:r>
        <w:t>Gateway</w:t>
      </w:r>
      <w:proofErr w:type="spellEnd"/>
      <w:r>
        <w:t xml:space="preserve"> postala njegov glavni instrument; </w:t>
      </w:r>
    </w:p>
    <w:p w14:paraId="3AE713CE" w14:textId="77777777" w:rsidR="0036320A" w:rsidRPr="004541E6" w:rsidRDefault="0036320A" w:rsidP="0036320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hanging="567"/>
        <w:textAlignment w:val="baseline"/>
        <w:rPr>
          <w:bCs/>
          <w:iCs/>
        </w:rPr>
      </w:pPr>
      <w:r>
        <w:t xml:space="preserve">ističe da Savjetodavni odbor organizacija civilnog društva i lokalnih tijela za strategiju Global </w:t>
      </w:r>
      <w:proofErr w:type="spellStart"/>
      <w:r>
        <w:t>Gateway</w:t>
      </w:r>
      <w:proofErr w:type="spellEnd"/>
      <w:r>
        <w:t xml:space="preserve"> i dalje nije uključen u donošenje odluka, čime se dijalog fragmentira. EGSO poziva na osiguravanje smislenog sudjelovanja, među ostalim EGSO-a i OR-a;</w:t>
      </w:r>
    </w:p>
    <w:p w14:paraId="4DEF8C31" w14:textId="77777777" w:rsidR="0036320A" w:rsidRDefault="0036320A" w:rsidP="0036320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hanging="567"/>
        <w:textAlignment w:val="baseline"/>
        <w:rPr>
          <w:bCs/>
          <w:iCs/>
        </w:rPr>
      </w:pPr>
      <w:r>
        <w:t>naglašava potrebu za dosljednošću između vanjske politike, razvoja, trgovine i Europskog fonda za konkurentnost kako bi se postigao održivi razvoj i gospodarska otpornost;</w:t>
      </w:r>
    </w:p>
    <w:p w14:paraId="79E22324" w14:textId="77777777" w:rsidR="0036320A" w:rsidRPr="004541E6" w:rsidRDefault="0036320A" w:rsidP="0036320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hanging="567"/>
        <w:textAlignment w:val="baseline"/>
        <w:rPr>
          <w:bCs/>
          <w:iCs/>
        </w:rPr>
      </w:pPr>
      <w:r>
        <w:t>unatoč pozitivnoj ocjeni predložene fleksibilnosti u pogledu vanjskog djelovanja, očekuje potpunu transparentnost i odgovornost pri trošenju sredstava;</w:t>
      </w:r>
    </w:p>
    <w:p w14:paraId="736B1921" w14:textId="77777777" w:rsidR="0036320A" w:rsidRPr="004541E6" w:rsidRDefault="0036320A" w:rsidP="0036320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hanging="567"/>
        <w:textAlignment w:val="baseline"/>
        <w:rPr>
          <w:bCs/>
          <w:iCs/>
        </w:rPr>
      </w:pPr>
      <w:r>
        <w:t xml:space="preserve">poziva na proširenje Komisijinih pokazatelja nejednakosti na sve projekte u okviru strategije Global </w:t>
      </w:r>
      <w:proofErr w:type="spellStart"/>
      <w:r>
        <w:t>Gateway</w:t>
      </w:r>
      <w:proofErr w:type="spellEnd"/>
      <w:r>
        <w:t xml:space="preserve">; </w:t>
      </w:r>
    </w:p>
    <w:p w14:paraId="6EB00D55" w14:textId="77777777" w:rsidR="0036320A" w:rsidRPr="004541E6" w:rsidRDefault="0036320A" w:rsidP="0036320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hanging="567"/>
        <w:textAlignment w:val="baseline"/>
        <w:rPr>
          <w:bCs/>
          <w:iCs/>
        </w:rPr>
      </w:pPr>
      <w:r>
        <w:t xml:space="preserve">očekuje da će postojeća tijela, kao što su platforme civilnog društva, biti više uključena u održavanje odnosa s organizacijama u partnerskim zemljama; </w:t>
      </w:r>
    </w:p>
    <w:p w14:paraId="72FC69F1" w14:textId="77777777" w:rsidR="0036320A" w:rsidRPr="004541E6" w:rsidRDefault="0036320A" w:rsidP="0036320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hanging="567"/>
        <w:textAlignment w:val="baseline"/>
        <w:rPr>
          <w:bCs/>
          <w:iCs/>
        </w:rPr>
      </w:pPr>
      <w:r>
        <w:t>podržava sve napore za jačanje blagostanja i sigurnosti u našem susjedstvu, a time i unutar EU-a, te podržava daljnje proširenje Unije;</w:t>
      </w:r>
    </w:p>
    <w:p w14:paraId="58792A53" w14:textId="77777777" w:rsidR="0036320A" w:rsidRPr="004541E6" w:rsidRDefault="0036320A" w:rsidP="0036320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hanging="567"/>
        <w:textAlignment w:val="baseline"/>
        <w:rPr>
          <w:bCs/>
          <w:iCs/>
        </w:rPr>
      </w:pPr>
      <w:r>
        <w:t>naglašava potrebu za predvidljivim i stabilnim financiranjem organizacija civilnog društva, prije svega kako bi se ojačali demokracija, prostor za građansko djelovanje i rodna ravnopravnost;</w:t>
      </w:r>
    </w:p>
    <w:p w14:paraId="3B59A205" w14:textId="77777777" w:rsidR="0036320A" w:rsidRDefault="0036320A" w:rsidP="0036320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hanging="567"/>
        <w:textAlignment w:val="baseline"/>
        <w:rPr>
          <w:bCs/>
          <w:iCs/>
        </w:rPr>
      </w:pPr>
      <w:r>
        <w:t>očekuje da će ciljevi povezani s gospodarskom suradnjom i poduzetništvom biti popraćeni ambicioznim mjerama za socijalnu zaštitu, zaštitu ljudskih prava i okoliša;</w:t>
      </w:r>
    </w:p>
    <w:p w14:paraId="78A97AEC" w14:textId="77777777" w:rsidR="0036320A" w:rsidRPr="004541E6" w:rsidRDefault="0036320A" w:rsidP="0036320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hanging="567"/>
        <w:textAlignment w:val="baseline"/>
        <w:rPr>
          <w:bCs/>
          <w:iCs/>
        </w:rPr>
      </w:pPr>
      <w:r>
        <w:t>protivi se pristupu obustave plaćanja u kontekstu migracijske politike, naglašavajući potrebu za pozitivnim poticajima za postizanje navedenih ciljeva.</w:t>
      </w:r>
    </w:p>
    <w:p w14:paraId="18DD9929" w14:textId="77777777" w:rsidR="0036320A" w:rsidRPr="000624A9" w:rsidRDefault="0036320A" w:rsidP="0036320A">
      <w:pPr>
        <w:widowControl w:val="0"/>
        <w:ind w:left="709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7119"/>
      </w:tblGrid>
      <w:tr w:rsidR="0036320A" w:rsidRPr="00A6689B" w14:paraId="4A6C5789" w14:textId="77777777" w:rsidTr="004B0CA7">
        <w:tc>
          <w:tcPr>
            <w:tcW w:w="1077" w:type="pct"/>
          </w:tcPr>
          <w:p w14:paraId="08498341" w14:textId="77777777" w:rsidR="0036320A" w:rsidRPr="00A6689B" w:rsidRDefault="0036320A" w:rsidP="004B0CA7">
            <w:pPr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3923" w:type="pct"/>
          </w:tcPr>
          <w:p w14:paraId="073D016D" w14:textId="77777777" w:rsidR="0036320A" w:rsidRPr="00A6689B" w:rsidRDefault="0036320A" w:rsidP="004B0CA7">
            <w:pPr>
              <w:rPr>
                <w:i/>
              </w:rPr>
            </w:pPr>
            <w:r>
              <w:rPr>
                <w:i/>
              </w:rPr>
              <w:t xml:space="preserve">Daniele </w:t>
            </w:r>
            <w:proofErr w:type="spellStart"/>
            <w:r>
              <w:rPr>
                <w:i/>
              </w:rPr>
              <w:t>Vitali</w:t>
            </w:r>
            <w:proofErr w:type="spellEnd"/>
            <w:r>
              <w:rPr>
                <w:i/>
              </w:rPr>
              <w:t xml:space="preserve"> </w:t>
            </w:r>
          </w:p>
        </w:tc>
      </w:tr>
      <w:tr w:rsidR="0036320A" w:rsidRPr="00A6689B" w14:paraId="7FDE4AA2" w14:textId="77777777" w:rsidTr="004B0CA7">
        <w:tc>
          <w:tcPr>
            <w:tcW w:w="1077" w:type="pct"/>
          </w:tcPr>
          <w:p w14:paraId="396711AA" w14:textId="77777777" w:rsidR="0036320A" w:rsidRPr="00A6689B" w:rsidRDefault="0036320A" w:rsidP="004B0CA7">
            <w:pPr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23" w:type="pct"/>
          </w:tcPr>
          <w:p w14:paraId="421D7A01" w14:textId="77777777" w:rsidR="0036320A" w:rsidRPr="00A6689B" w:rsidRDefault="0036320A" w:rsidP="004B0CA7">
            <w:pPr>
              <w:rPr>
                <w:i/>
              </w:rPr>
            </w:pPr>
            <w:r>
              <w:rPr>
                <w:i/>
              </w:rPr>
              <w:t>+32 2 546 8817</w:t>
            </w:r>
          </w:p>
        </w:tc>
      </w:tr>
      <w:tr w:rsidR="0036320A" w:rsidRPr="00A6689B" w14:paraId="6980B201" w14:textId="77777777" w:rsidTr="004B0CA7">
        <w:tc>
          <w:tcPr>
            <w:tcW w:w="1077" w:type="pct"/>
          </w:tcPr>
          <w:p w14:paraId="0DE213A1" w14:textId="77777777" w:rsidR="0036320A" w:rsidRPr="00A6689B" w:rsidRDefault="0036320A" w:rsidP="004B0CA7">
            <w:pPr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3923" w:type="pct"/>
          </w:tcPr>
          <w:p w14:paraId="3517B4D2" w14:textId="77777777" w:rsidR="0036320A" w:rsidRPr="00A6689B" w:rsidRDefault="00A00905" w:rsidP="004B0CA7">
            <w:pPr>
              <w:rPr>
                <w:i/>
              </w:rPr>
            </w:pPr>
            <w:hyperlink r:id="rId44" w:history="1">
              <w:r w:rsidR="0036320A">
                <w:rPr>
                  <w:rStyle w:val="Hyperlink"/>
                  <w:i/>
                </w:rPr>
                <w:t>Daniele.Vitali@eesc.europa.eu</w:t>
              </w:r>
            </w:hyperlink>
          </w:p>
        </w:tc>
      </w:tr>
    </w:tbl>
    <w:p w14:paraId="3059F623" w14:textId="0939C8C7" w:rsidR="00B005F2" w:rsidRPr="001D72B0" w:rsidRDefault="00C913CA" w:rsidP="0036320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</w:rPr>
      </w:pPr>
      <w:r>
        <w:br w:type="page"/>
      </w:r>
      <w:r w:rsidR="00B005F2">
        <w:rPr>
          <w:b/>
          <w:i/>
          <w:sz w:val="28"/>
        </w:rPr>
        <w:lastRenderedPageBreak/>
        <w:t xml:space="preserve">REX/608 – </w:t>
      </w:r>
      <w:hyperlink r:id="rId45" w:history="1">
        <w:r w:rsidR="00B005F2">
          <w:rPr>
            <w:rStyle w:val="Hyperlink"/>
            <w:b/>
            <w:i/>
            <w:sz w:val="28"/>
          </w:rPr>
          <w:t>„Predvidljiv zajednički europski pristup za Ukrajince u EU-u”</w:t>
        </w:r>
      </w:hyperlink>
    </w:p>
    <w:p w14:paraId="06446A92" w14:textId="77777777" w:rsidR="00B005F2" w:rsidRPr="001D72B0" w:rsidRDefault="00B005F2" w:rsidP="00B005F2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7119"/>
      </w:tblGrid>
      <w:tr w:rsidR="00B005F2" w:rsidRPr="00A6689B" w14:paraId="417A5BEE" w14:textId="77777777" w:rsidTr="00ED5A08">
        <w:tc>
          <w:tcPr>
            <w:tcW w:w="1077" w:type="pct"/>
          </w:tcPr>
          <w:p w14:paraId="09B90BF4" w14:textId="77777777" w:rsidR="00B005F2" w:rsidRPr="00A6689B" w:rsidRDefault="00B005F2" w:rsidP="00ED5A0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 xml:space="preserve">Izvjestitelj/ica: </w:t>
            </w:r>
          </w:p>
        </w:tc>
        <w:tc>
          <w:tcPr>
            <w:tcW w:w="3923" w:type="pct"/>
          </w:tcPr>
          <w:p w14:paraId="1B0C49DD" w14:textId="77777777" w:rsidR="00B005F2" w:rsidRPr="00A6689B" w:rsidRDefault="00B005F2" w:rsidP="00ED5A08">
            <w:pPr>
              <w:tabs>
                <w:tab w:val="center" w:pos="284"/>
              </w:tabs>
              <w:ind w:left="266" w:right="-3091" w:hanging="266"/>
            </w:pPr>
            <w:proofErr w:type="spellStart"/>
            <w:r>
              <w:t>Mateusz</w:t>
            </w:r>
            <w:proofErr w:type="spellEnd"/>
            <w:r>
              <w:t xml:space="preserve"> SZYMAŃSKI (Skupna radnika – PL)</w:t>
            </w:r>
          </w:p>
        </w:tc>
      </w:tr>
      <w:tr w:rsidR="00B005F2" w:rsidRPr="00A6689B" w14:paraId="3BA3E366" w14:textId="77777777" w:rsidTr="00ED5A08">
        <w:tc>
          <w:tcPr>
            <w:tcW w:w="1077" w:type="pct"/>
          </w:tcPr>
          <w:p w14:paraId="0E259F97" w14:textId="77777777" w:rsidR="00B005F2" w:rsidRPr="00A6689B" w:rsidRDefault="00B005F2" w:rsidP="00ED5A0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Suizvjestitelj/ica:</w:t>
            </w:r>
          </w:p>
        </w:tc>
        <w:tc>
          <w:tcPr>
            <w:tcW w:w="3923" w:type="pct"/>
          </w:tcPr>
          <w:p w14:paraId="54682D6F" w14:textId="77777777" w:rsidR="00B005F2" w:rsidRPr="00A6689B" w:rsidRDefault="00B005F2" w:rsidP="00ED5A08">
            <w:pPr>
              <w:tabs>
                <w:tab w:val="center" w:pos="284"/>
              </w:tabs>
              <w:ind w:left="266" w:right="-3091" w:hanging="266"/>
            </w:pPr>
            <w:proofErr w:type="spellStart"/>
            <w:r>
              <w:t>Krzysztof</w:t>
            </w:r>
            <w:proofErr w:type="spellEnd"/>
            <w:r>
              <w:t xml:space="preserve"> BALON (Skupina organizacija civilnog društva – PL)</w:t>
            </w:r>
          </w:p>
        </w:tc>
      </w:tr>
      <w:tr w:rsidR="00B005F2" w:rsidRPr="00A6689B" w14:paraId="1B2ABBF3" w14:textId="77777777" w:rsidTr="00ED5A08">
        <w:tc>
          <w:tcPr>
            <w:tcW w:w="1077" w:type="pct"/>
          </w:tcPr>
          <w:p w14:paraId="1957A55C" w14:textId="77777777" w:rsidR="00B005F2" w:rsidRPr="00156DC6" w:rsidRDefault="00B005F2" w:rsidP="00ED5A08">
            <w:pPr>
              <w:tabs>
                <w:tab w:val="center" w:pos="284"/>
              </w:tabs>
              <w:ind w:left="266" w:hanging="266"/>
              <w:jc w:val="center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3923" w:type="pct"/>
          </w:tcPr>
          <w:p w14:paraId="526F8413" w14:textId="77777777" w:rsidR="00B005F2" w:rsidRPr="00156DC6" w:rsidRDefault="00B005F2" w:rsidP="00ED5A08">
            <w:pPr>
              <w:tabs>
                <w:tab w:val="center" w:pos="284"/>
              </w:tabs>
              <w:ind w:left="266" w:right="-3091" w:hanging="266"/>
            </w:pPr>
            <w:r>
              <w:t>EESC-2025-02613-00-00-AC</w:t>
            </w:r>
          </w:p>
        </w:tc>
      </w:tr>
    </w:tbl>
    <w:p w14:paraId="51791418" w14:textId="77777777" w:rsidR="00B005F2" w:rsidRDefault="00B005F2" w:rsidP="00B005F2">
      <w:pPr>
        <w:tabs>
          <w:tab w:val="center" w:pos="284"/>
        </w:tabs>
        <w:ind w:left="266" w:hanging="266"/>
        <w:rPr>
          <w:b/>
        </w:rPr>
      </w:pPr>
    </w:p>
    <w:p w14:paraId="2D04CD1D" w14:textId="77777777" w:rsidR="00B005F2" w:rsidRPr="00A6689B" w:rsidRDefault="00B005F2" w:rsidP="00B005F2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Ključne točke</w:t>
      </w:r>
    </w:p>
    <w:p w14:paraId="2C3D96B2" w14:textId="77777777" w:rsidR="00B005F2" w:rsidRPr="00A6689B" w:rsidRDefault="00B005F2" w:rsidP="00B005F2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51CAF73D" w14:textId="77777777" w:rsidR="00B005F2" w:rsidRPr="00A6689B" w:rsidRDefault="00B005F2" w:rsidP="00B005F2">
      <w:pPr>
        <w:rPr>
          <w:bCs/>
          <w:iCs/>
        </w:rPr>
      </w:pPr>
      <w:r>
        <w:t>EGSO:</w:t>
      </w:r>
    </w:p>
    <w:p w14:paraId="727BD16C" w14:textId="77777777" w:rsidR="00B005F2" w:rsidRDefault="00B005F2" w:rsidP="00B005F2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ind w:left="1070" w:hanging="567"/>
        <w:textAlignment w:val="baseline"/>
        <w:rPr>
          <w:bCs/>
          <w:iCs/>
        </w:rPr>
      </w:pPr>
      <w:r>
        <w:t>ističe solidarnost s ukrajinskim narodom i podsjeća da su zbog ruske agresije na Ukrajinu milijuni Ukrajinaca pobjegli od opasnosti te naglašava ulogu organizacija civilnog društva u vrijeme najvećeg priljeva raseljenih osoba iz Ukrajine;</w:t>
      </w:r>
    </w:p>
    <w:p w14:paraId="131E1C84" w14:textId="77777777" w:rsidR="00B005F2" w:rsidRPr="00B348D7" w:rsidRDefault="00B005F2" w:rsidP="00B005F2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ind w:left="1070" w:hanging="567"/>
        <w:textAlignment w:val="baseline"/>
        <w:rPr>
          <w:bCs/>
          <w:iCs/>
        </w:rPr>
      </w:pPr>
      <w:r>
        <w:t>napominje da se privremena zaštita pokazala korisnim rješenjem za raseljene osobe iz Ukrajine jer uvjeti za povratak u Ukrajinu još ne postoje zbog trenutačne ruske agresije i pozdravlja odluku o daljnjem produljenju privremene zaštite;</w:t>
      </w:r>
    </w:p>
    <w:p w14:paraId="0538A63C" w14:textId="77777777" w:rsidR="00B005F2" w:rsidRPr="00A6689B" w:rsidRDefault="00B005F2" w:rsidP="00B005F2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ind w:left="1070" w:hanging="567"/>
        <w:textAlignment w:val="baseline"/>
        <w:rPr>
          <w:bCs/>
          <w:iCs/>
        </w:rPr>
      </w:pPr>
      <w:r>
        <w:t>naglašava potrebu za dugoročnom perspektivom za osobe koje uživaju privremenu zaštitu i poziva Europsku komisiju i države članice da poduzmu korake kako bi se olakšao prijelaz na trajniju osnovu za boravak i postupni odmak od privremene zaštite;</w:t>
      </w:r>
    </w:p>
    <w:p w14:paraId="694DFAB3" w14:textId="77777777" w:rsidR="00B005F2" w:rsidRPr="00A6689B" w:rsidRDefault="00B005F2" w:rsidP="00B005F2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ind w:left="1070" w:hanging="567"/>
        <w:textAlignment w:val="baseline"/>
        <w:rPr>
          <w:bCs/>
          <w:iCs/>
        </w:rPr>
      </w:pPr>
      <w:r>
        <w:t>ističe da je situacija povezana s dolaskom Ukrajinaca u EU povećala pritisak na sustave javnih službi država članica i naglašava potrebu za povećanjem ulaganja u visokokvalitetne usluge od javnog interesa, uključujući stanovanje, kako bi one bile jednako dostupne svim osobama koje zakonito borave u EU-u;</w:t>
      </w:r>
    </w:p>
    <w:p w14:paraId="6F9799FD" w14:textId="77777777" w:rsidR="00B005F2" w:rsidRPr="00A6689B" w:rsidRDefault="00B005F2" w:rsidP="00B005F2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ind w:left="1070" w:hanging="567"/>
        <w:textAlignment w:val="baseline"/>
      </w:pPr>
      <w:r>
        <w:t>napominje da bi trebalo uložiti napore kako bi se osigurala uspješna integracija Ukrajinaca u EU putem jezičnih tečajeva, potporom inicijativama lokalne zajednice, obrazovanjem ukrajinske djece u državama članicama i suzbijanjem dezinformacija i ruskih obavještajnih aktivnosti, kao i uključivanjem Ukrajinaca u organizacije koje djeluju u njihovim lokalnim zajednicama;</w:t>
      </w:r>
    </w:p>
    <w:p w14:paraId="25FB6D82" w14:textId="77777777" w:rsidR="00B005F2" w:rsidRPr="00B348D7" w:rsidRDefault="00B005F2" w:rsidP="00B005F2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ind w:left="1070" w:hanging="567"/>
        <w:textAlignment w:val="baseline"/>
      </w:pPr>
      <w:r>
        <w:t>naglašava važnost uspostave pravednih radnih uvjeta za Ukrajince u EU-u i Ukrajini; od država članica očekuje se da se bore protiv iskorištavanja i nejednakog postupanja prema Ukrajincima prilikom zapošljavanja, dok se od ukrajinske vlade očekuje da će ponovno uspostaviti povoljna rješenja za radnike i sindikalne aktivnosti putem socijalnog dijaloga.</w:t>
      </w:r>
    </w:p>
    <w:p w14:paraId="39A4CB99" w14:textId="77777777" w:rsidR="00B005F2" w:rsidRPr="000624A9" w:rsidRDefault="00B005F2" w:rsidP="00B005F2">
      <w:pPr>
        <w:widowControl w:val="0"/>
        <w:ind w:left="709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7119"/>
      </w:tblGrid>
      <w:tr w:rsidR="00B005F2" w:rsidRPr="00A6689B" w14:paraId="67460CA9" w14:textId="77777777" w:rsidTr="00ED5A08">
        <w:tc>
          <w:tcPr>
            <w:tcW w:w="1077" w:type="pct"/>
          </w:tcPr>
          <w:p w14:paraId="02238F57" w14:textId="77777777" w:rsidR="00B005F2" w:rsidRPr="00A6689B" w:rsidRDefault="00B005F2" w:rsidP="00ED5A08">
            <w:pPr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3923" w:type="pct"/>
          </w:tcPr>
          <w:p w14:paraId="293EBF85" w14:textId="77777777" w:rsidR="00B005F2" w:rsidRPr="00A6689B" w:rsidRDefault="00B005F2" w:rsidP="00ED5A08">
            <w:pPr>
              <w:rPr>
                <w:i/>
              </w:rPr>
            </w:pPr>
            <w:r>
              <w:rPr>
                <w:i/>
              </w:rPr>
              <w:t>Katarína GRZESZCZYK ALBRECHTOVÁ</w:t>
            </w:r>
          </w:p>
        </w:tc>
      </w:tr>
      <w:tr w:rsidR="00B005F2" w:rsidRPr="00A6689B" w14:paraId="1E58CD4B" w14:textId="77777777" w:rsidTr="00ED5A08">
        <w:tc>
          <w:tcPr>
            <w:tcW w:w="1077" w:type="pct"/>
          </w:tcPr>
          <w:p w14:paraId="05609AD8" w14:textId="77777777" w:rsidR="00B005F2" w:rsidRPr="00A6689B" w:rsidRDefault="00B005F2" w:rsidP="00ED5A08">
            <w:pPr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23" w:type="pct"/>
          </w:tcPr>
          <w:p w14:paraId="66211613" w14:textId="77777777" w:rsidR="00B005F2" w:rsidRPr="00A6689B" w:rsidRDefault="00B005F2" w:rsidP="00ED5A08">
            <w:pPr>
              <w:rPr>
                <w:i/>
              </w:rPr>
            </w:pPr>
            <w:r>
              <w:rPr>
                <w:i/>
              </w:rPr>
              <w:t>+32 25469460</w:t>
            </w:r>
          </w:p>
        </w:tc>
      </w:tr>
      <w:tr w:rsidR="00B005F2" w:rsidRPr="00A6689B" w14:paraId="352A7C91" w14:textId="77777777" w:rsidTr="00ED5A08">
        <w:tc>
          <w:tcPr>
            <w:tcW w:w="1077" w:type="pct"/>
          </w:tcPr>
          <w:p w14:paraId="4FC8696C" w14:textId="77777777" w:rsidR="00B005F2" w:rsidRPr="00A6689B" w:rsidRDefault="00B005F2" w:rsidP="00ED5A08">
            <w:pPr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3923" w:type="pct"/>
          </w:tcPr>
          <w:p w14:paraId="56813065" w14:textId="77777777" w:rsidR="00B005F2" w:rsidRPr="00A6689B" w:rsidRDefault="00A00905" w:rsidP="00ED5A08">
            <w:pPr>
              <w:rPr>
                <w:i/>
              </w:rPr>
            </w:pPr>
            <w:hyperlink r:id="rId46" w:history="1">
              <w:r w:rsidR="00B005F2">
                <w:rPr>
                  <w:rStyle w:val="Hyperlink"/>
                  <w:i/>
                </w:rPr>
                <w:t>Katarina.Albrechtova@eesc.europa.eu</w:t>
              </w:r>
            </w:hyperlink>
            <w:r w:rsidR="00B005F2">
              <w:rPr>
                <w:i/>
              </w:rPr>
              <w:t xml:space="preserve"> </w:t>
            </w:r>
          </w:p>
        </w:tc>
      </w:tr>
    </w:tbl>
    <w:p w14:paraId="4464305F" w14:textId="39F99367" w:rsidR="004503DC" w:rsidRDefault="004503DC" w:rsidP="00B005F2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ind w:hanging="567"/>
        <w:textAlignment w:val="baseline"/>
      </w:pPr>
    </w:p>
    <w:p w14:paraId="28C69286" w14:textId="77777777" w:rsidR="004503DC" w:rsidRDefault="004503DC">
      <w:pPr>
        <w:spacing w:after="160" w:line="259" w:lineRule="auto"/>
        <w:jc w:val="left"/>
      </w:pPr>
      <w:r>
        <w:br w:type="page"/>
      </w:r>
    </w:p>
    <w:p w14:paraId="54681B02" w14:textId="77777777" w:rsidR="006D2C8A" w:rsidRPr="00E963DF" w:rsidRDefault="006D2C8A">
      <w:pPr>
        <w:spacing w:after="160" w:line="259" w:lineRule="auto"/>
        <w:jc w:val="left"/>
        <w:rPr>
          <w:sz w:val="18"/>
          <w:szCs w:val="18"/>
        </w:rPr>
      </w:pPr>
    </w:p>
    <w:p w14:paraId="528C73AA" w14:textId="46DE726B" w:rsidR="006D2C8A" w:rsidRPr="006D2C8A" w:rsidRDefault="006D2C8A" w:rsidP="006D2C8A">
      <w:pPr>
        <w:pStyle w:val="Heading1"/>
        <w:rPr>
          <w:b/>
        </w:rPr>
      </w:pPr>
      <w:bookmarkStart w:id="12" w:name="_Toc216879509"/>
      <w:r>
        <w:rPr>
          <w:b/>
          <w:color w:val="222A35" w:themeColor="text2" w:themeShade="80"/>
        </w:rPr>
        <w:t>SAVJETODAVNO POVJERENSTVO ZA INDUSTRIJSKE PROMJENE</w:t>
      </w:r>
      <w:bookmarkEnd w:id="12"/>
    </w:p>
    <w:p w14:paraId="713E272F" w14:textId="77777777" w:rsidR="006D2C8A" w:rsidRPr="00E963DF" w:rsidRDefault="006D2C8A" w:rsidP="006D2C8A">
      <w:pPr>
        <w:rPr>
          <w:sz w:val="18"/>
          <w:szCs w:val="18"/>
        </w:rPr>
      </w:pPr>
    </w:p>
    <w:p w14:paraId="63D165E9" w14:textId="77777777" w:rsidR="00E963DF" w:rsidRDefault="00E963DF" w:rsidP="00E963D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</w:rPr>
      </w:pPr>
      <w:r>
        <w:rPr>
          <w:b/>
          <w:i/>
          <w:sz w:val="28"/>
        </w:rPr>
        <w:t>CCMI/246 –</w:t>
      </w:r>
      <w:hyperlink r:id="rId47" w:history="1">
        <w:r>
          <w:rPr>
            <w:rStyle w:val="Hyperlink"/>
            <w:b/>
            <w:i/>
            <w:sz w:val="28"/>
          </w:rPr>
          <w:t xml:space="preserve"> Razvoj potencijala trajnih materijala u kružnom gospodarstvu EU-a</w:t>
        </w:r>
      </w:hyperlink>
    </w:p>
    <w:p w14:paraId="733F8DC2" w14:textId="77777777" w:rsidR="00E963DF" w:rsidRPr="00DD6DE5" w:rsidRDefault="00E963DF" w:rsidP="00E963DF">
      <w:pPr>
        <w:widowControl w:val="0"/>
        <w:ind w:left="567"/>
        <w:rPr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7119"/>
      </w:tblGrid>
      <w:tr w:rsidR="00E963DF" w:rsidRPr="008630AF" w14:paraId="7C02A875" w14:textId="77777777" w:rsidTr="00ED5A08">
        <w:tc>
          <w:tcPr>
            <w:tcW w:w="1077" w:type="pct"/>
          </w:tcPr>
          <w:p w14:paraId="682E3DD1" w14:textId="77777777" w:rsidR="00E963DF" w:rsidRPr="00A6689B" w:rsidRDefault="00E963DF" w:rsidP="00ED5A0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3923" w:type="pct"/>
          </w:tcPr>
          <w:p w14:paraId="51065BF5" w14:textId="77777777" w:rsidR="00E963DF" w:rsidRPr="00C86E1C" w:rsidRDefault="00E963DF" w:rsidP="00ED5A08">
            <w:pPr>
              <w:tabs>
                <w:tab w:val="center" w:pos="284"/>
              </w:tabs>
              <w:ind w:left="266" w:right="-3091" w:hanging="266"/>
            </w:pPr>
            <w:r>
              <w:t>Andrea MONE (Skupina radnika – IT)</w:t>
            </w:r>
          </w:p>
        </w:tc>
      </w:tr>
      <w:tr w:rsidR="00E963DF" w:rsidRPr="00A6689B" w14:paraId="296E0202" w14:textId="77777777" w:rsidTr="00ED5A08">
        <w:tc>
          <w:tcPr>
            <w:tcW w:w="1077" w:type="pct"/>
          </w:tcPr>
          <w:p w14:paraId="0D058446" w14:textId="77777777" w:rsidR="00E963DF" w:rsidRPr="00A6689B" w:rsidRDefault="00E963DF" w:rsidP="00ED5A0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Suizvjestitelj/ica:</w:t>
            </w:r>
          </w:p>
        </w:tc>
        <w:tc>
          <w:tcPr>
            <w:tcW w:w="3923" w:type="pct"/>
          </w:tcPr>
          <w:p w14:paraId="27B016F8" w14:textId="77777777" w:rsidR="00E963DF" w:rsidRPr="00D97375" w:rsidRDefault="00E963DF" w:rsidP="00ED5A08">
            <w:pPr>
              <w:tabs>
                <w:tab w:val="center" w:pos="284"/>
              </w:tabs>
              <w:ind w:left="266" w:right="-3091" w:hanging="266"/>
            </w:pPr>
            <w:r>
              <w:t>Michal PINTÉR (Skupina poslodavaca – SK)</w:t>
            </w:r>
          </w:p>
        </w:tc>
      </w:tr>
      <w:tr w:rsidR="00E963DF" w:rsidRPr="00A6689B" w14:paraId="661F4D9E" w14:textId="77777777" w:rsidTr="00ED5A08">
        <w:tc>
          <w:tcPr>
            <w:tcW w:w="1077" w:type="pct"/>
          </w:tcPr>
          <w:p w14:paraId="7C4FDF5D" w14:textId="77777777" w:rsidR="00E963DF" w:rsidRPr="00A6689B" w:rsidRDefault="00E963DF" w:rsidP="00ED5A0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3923" w:type="pct"/>
          </w:tcPr>
          <w:p w14:paraId="1F38EE6B" w14:textId="77777777" w:rsidR="00E963DF" w:rsidRPr="00A6689B" w:rsidRDefault="00E963DF" w:rsidP="00ED5A08">
            <w:pPr>
              <w:tabs>
                <w:tab w:val="center" w:pos="284"/>
              </w:tabs>
              <w:ind w:left="266" w:right="-3091" w:hanging="266"/>
            </w:pPr>
            <w:r>
              <w:t>EESC-2025-02364-00-00-AC</w:t>
            </w:r>
          </w:p>
        </w:tc>
      </w:tr>
    </w:tbl>
    <w:p w14:paraId="59F1A2EE" w14:textId="77777777" w:rsidR="00E963DF" w:rsidRPr="00E963DF" w:rsidRDefault="00E963DF" w:rsidP="00E963DF">
      <w:pPr>
        <w:tabs>
          <w:tab w:val="center" w:pos="284"/>
        </w:tabs>
        <w:ind w:left="266" w:hanging="266"/>
        <w:rPr>
          <w:b/>
          <w:sz w:val="18"/>
          <w:szCs w:val="18"/>
        </w:rPr>
      </w:pPr>
    </w:p>
    <w:p w14:paraId="260459F5" w14:textId="77777777" w:rsidR="00E963DF" w:rsidRPr="00A6689B" w:rsidRDefault="00E963DF" w:rsidP="00E963DF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Ključne točke</w:t>
      </w:r>
    </w:p>
    <w:p w14:paraId="0FFBC926" w14:textId="77777777" w:rsidR="00E963DF" w:rsidRPr="00E963DF" w:rsidRDefault="00E963DF" w:rsidP="00E963DF">
      <w:pPr>
        <w:keepNext/>
        <w:keepLines/>
        <w:tabs>
          <w:tab w:val="center" w:pos="284"/>
        </w:tabs>
        <w:ind w:left="266" w:hanging="266"/>
        <w:rPr>
          <w:b/>
          <w:sz w:val="18"/>
          <w:szCs w:val="18"/>
        </w:rPr>
      </w:pPr>
    </w:p>
    <w:p w14:paraId="496072AC" w14:textId="77777777" w:rsidR="00E963DF" w:rsidRPr="00A6689B" w:rsidRDefault="00E963DF" w:rsidP="00E963DF">
      <w:pPr>
        <w:rPr>
          <w:bCs/>
          <w:iCs/>
        </w:rPr>
      </w:pPr>
      <w:r>
        <w:t>EGSO:</w:t>
      </w:r>
    </w:p>
    <w:p w14:paraId="141C0F59" w14:textId="77777777" w:rsidR="00E963DF" w:rsidRPr="001D3475" w:rsidRDefault="00E963DF" w:rsidP="00E963DF">
      <w:pPr>
        <w:pStyle w:val="NormalWeb"/>
        <w:numPr>
          <w:ilvl w:val="0"/>
          <w:numId w:val="4"/>
        </w:numPr>
        <w:spacing w:before="0" w:beforeAutospacing="0" w:after="0" w:afterAutospacing="0" w:line="264" w:lineRule="auto"/>
        <w:ind w:hanging="567"/>
        <w:jc w:val="both"/>
        <w:rPr>
          <w:sz w:val="22"/>
          <w:szCs w:val="22"/>
        </w:rPr>
      </w:pPr>
      <w:r>
        <w:rPr>
          <w:b/>
          <w:sz w:val="22"/>
        </w:rPr>
        <w:t>prepoznaje ključnu ulogu trajnih materijala</w:t>
      </w:r>
      <w:r>
        <w:rPr>
          <w:sz w:val="22"/>
        </w:rPr>
        <w:t xml:space="preserve"> u omogućavanju istinskog kružnog gospodarstva, naročito u području ambalaže, i poziva na </w:t>
      </w:r>
      <w:r>
        <w:rPr>
          <w:b/>
          <w:sz w:val="22"/>
        </w:rPr>
        <w:t>njihovo izričito priznavanje u zakonodavstvu EU-a</w:t>
      </w:r>
      <w:r>
        <w:rPr>
          <w:sz w:val="22"/>
        </w:rPr>
        <w:t>;</w:t>
      </w:r>
    </w:p>
    <w:p w14:paraId="13857B2A" w14:textId="77777777" w:rsidR="00E963DF" w:rsidRPr="001D3475" w:rsidRDefault="00E963DF" w:rsidP="00E963DF">
      <w:pPr>
        <w:pStyle w:val="NormalWeb"/>
        <w:numPr>
          <w:ilvl w:val="0"/>
          <w:numId w:val="4"/>
        </w:numPr>
        <w:spacing w:before="0" w:beforeAutospacing="0" w:after="0" w:afterAutospacing="0" w:line="264" w:lineRule="auto"/>
        <w:ind w:hanging="567"/>
        <w:jc w:val="both"/>
        <w:rPr>
          <w:sz w:val="22"/>
          <w:szCs w:val="22"/>
        </w:rPr>
      </w:pPr>
      <w:r>
        <w:rPr>
          <w:b/>
          <w:sz w:val="22"/>
        </w:rPr>
        <w:t>podržava ambiciju EU-a da do 2030. postigne stopu odvojenog prikupljanja ambalažnog otpada od 90 %,</w:t>
      </w:r>
      <w:r>
        <w:rPr>
          <w:sz w:val="22"/>
        </w:rPr>
        <w:t xml:space="preserve"> naglašavajući da su napredni i dobro financirani sustavi prikupljanja, razvrstavanja i visokokvalitetnog recikliranja ključni za maksimalno zadržavanje materijala i omogućivanje recikliranja trajnih materijala u zatvorenoj petlji;</w:t>
      </w:r>
    </w:p>
    <w:p w14:paraId="02D2A5B8" w14:textId="77777777" w:rsidR="00E963DF" w:rsidRPr="001D3475" w:rsidRDefault="00E963DF" w:rsidP="00E963DF">
      <w:pPr>
        <w:pStyle w:val="NormalWeb"/>
        <w:numPr>
          <w:ilvl w:val="0"/>
          <w:numId w:val="4"/>
        </w:numPr>
        <w:spacing w:before="0" w:beforeAutospacing="0" w:after="0" w:afterAutospacing="0" w:line="264" w:lineRule="auto"/>
        <w:ind w:hanging="567"/>
        <w:jc w:val="both"/>
        <w:rPr>
          <w:sz w:val="22"/>
          <w:szCs w:val="22"/>
        </w:rPr>
      </w:pPr>
      <w:r>
        <w:rPr>
          <w:b/>
          <w:sz w:val="22"/>
        </w:rPr>
        <w:t>poziva na jačanje i usklađivanje programa proširene odgovornosti proizvođača</w:t>
      </w:r>
      <w:r>
        <w:rPr>
          <w:sz w:val="22"/>
        </w:rPr>
        <w:t xml:space="preserve"> u svim državama članicama. To uključuje primjenu </w:t>
      </w:r>
      <w:proofErr w:type="spellStart"/>
      <w:r>
        <w:rPr>
          <w:b/>
          <w:sz w:val="22"/>
        </w:rPr>
        <w:t>ekomodulacije</w:t>
      </w:r>
      <w:proofErr w:type="spellEnd"/>
      <w:r>
        <w:rPr>
          <w:b/>
          <w:sz w:val="22"/>
        </w:rPr>
        <w:t xml:space="preserve"> naknada na temelju jasnih i dosljednih kriterija</w:t>
      </w:r>
      <w:r>
        <w:rPr>
          <w:sz w:val="22"/>
        </w:rPr>
        <w:t xml:space="preserve">, razmjerne strukture naknada i </w:t>
      </w:r>
      <w:r>
        <w:rPr>
          <w:b/>
          <w:sz w:val="22"/>
        </w:rPr>
        <w:t>namjensko izdvajanje prihoda iz sustava proširene odgovornosti proizvođača</w:t>
      </w:r>
      <w:r>
        <w:rPr>
          <w:sz w:val="22"/>
        </w:rPr>
        <w:t xml:space="preserve"> za ponovno ulaganje u isti tok materijala;</w:t>
      </w:r>
    </w:p>
    <w:p w14:paraId="662C44CE" w14:textId="77777777" w:rsidR="00E963DF" w:rsidRPr="001D3475" w:rsidRDefault="00E963DF" w:rsidP="00E963DF">
      <w:pPr>
        <w:pStyle w:val="NormalWeb"/>
        <w:numPr>
          <w:ilvl w:val="0"/>
          <w:numId w:val="4"/>
        </w:numPr>
        <w:spacing w:before="0" w:beforeAutospacing="0" w:after="0" w:afterAutospacing="0" w:line="264" w:lineRule="auto"/>
        <w:ind w:hanging="567"/>
        <w:jc w:val="both"/>
        <w:rPr>
          <w:sz w:val="22"/>
          <w:szCs w:val="22"/>
        </w:rPr>
      </w:pPr>
      <w:r>
        <w:rPr>
          <w:b/>
          <w:sz w:val="22"/>
        </w:rPr>
        <w:t>napominje da su potrebna prioritetna ulaganja</w:t>
      </w:r>
      <w:r>
        <w:rPr>
          <w:sz w:val="22"/>
        </w:rPr>
        <w:t xml:space="preserve"> u modernu infrastrukturu za odvojeno prikupljanje, razvrstavanje i recikliranje ambalažnog otpada. Naglašava da bi </w:t>
      </w:r>
      <w:r>
        <w:rPr>
          <w:b/>
          <w:sz w:val="22"/>
        </w:rPr>
        <w:t>dodatnu potporu trebalo pružiti regijama sa slabijim rezultatima ili manjim kapacitetom ulaganja</w:t>
      </w:r>
      <w:r>
        <w:rPr>
          <w:sz w:val="22"/>
        </w:rPr>
        <w:t>, čime bi se osiguralo da sve države članice mogu ispuniti ciljeve kružnog gospodarstva;</w:t>
      </w:r>
    </w:p>
    <w:p w14:paraId="4B587F2F" w14:textId="77777777" w:rsidR="00E963DF" w:rsidRPr="001D3475" w:rsidRDefault="00E963DF" w:rsidP="00E963DF">
      <w:pPr>
        <w:pStyle w:val="NormalWeb"/>
        <w:numPr>
          <w:ilvl w:val="0"/>
          <w:numId w:val="4"/>
        </w:numPr>
        <w:spacing w:before="0" w:beforeAutospacing="0" w:after="0" w:afterAutospacing="0" w:line="264" w:lineRule="auto"/>
        <w:ind w:hanging="567"/>
        <w:jc w:val="both"/>
        <w:rPr>
          <w:sz w:val="22"/>
          <w:szCs w:val="22"/>
        </w:rPr>
      </w:pPr>
      <w:r>
        <w:rPr>
          <w:b/>
          <w:sz w:val="22"/>
        </w:rPr>
        <w:t>preporučuje provođenje sveobuhvatne procjene ponašanja građana EU-a u pogledu recikliranja</w:t>
      </w:r>
      <w:r>
        <w:rPr>
          <w:sz w:val="22"/>
        </w:rPr>
        <w:t xml:space="preserve"> kako bi se utvrdili nedostaci, prepreke i najbolje prakse. Na temelju te procjene EGSO poziva na donošenje mjera za povećanje sudjelovanja potrošača u odvojenom prikupljanju ambalažnog otpada, prepoznajući da je razvrstavanje u kućanstvima ključan prvi korak prema djelotvornom recikliranju;</w:t>
      </w:r>
    </w:p>
    <w:p w14:paraId="1D141195" w14:textId="77777777" w:rsidR="00E963DF" w:rsidRPr="001D3475" w:rsidRDefault="00E963DF" w:rsidP="00E963DF">
      <w:pPr>
        <w:pStyle w:val="NormalWeb"/>
        <w:numPr>
          <w:ilvl w:val="0"/>
          <w:numId w:val="4"/>
        </w:numPr>
        <w:spacing w:before="0" w:beforeAutospacing="0" w:after="0" w:afterAutospacing="0" w:line="264" w:lineRule="auto"/>
        <w:ind w:hanging="567"/>
        <w:jc w:val="both"/>
        <w:rPr>
          <w:sz w:val="22"/>
          <w:szCs w:val="22"/>
        </w:rPr>
      </w:pPr>
      <w:r>
        <w:rPr>
          <w:b/>
          <w:sz w:val="22"/>
        </w:rPr>
        <w:t>naglašava važnost socijalno održivog prijelaza</w:t>
      </w:r>
      <w:r>
        <w:rPr>
          <w:sz w:val="22"/>
        </w:rPr>
        <w:t xml:space="preserve"> na kružno gospodarstvo i poziva na rano predviđanje učinaka na tržište rada. Poziva na zajamčen pristup </w:t>
      </w:r>
      <w:r>
        <w:rPr>
          <w:b/>
          <w:sz w:val="22"/>
        </w:rPr>
        <w:t>mogućnostima usavršavanja i prekvalifikacije</w:t>
      </w:r>
      <w:r>
        <w:rPr>
          <w:sz w:val="22"/>
        </w:rPr>
        <w:t xml:space="preserve"> kako bi se podržao neometan prelazak s jednog radnog mjesta na drugo i kako bi radnici mogli u potpunosti sudjelovati u kružnom gospodarstvu u nastajanju i imati koristi od njega;</w:t>
      </w:r>
    </w:p>
    <w:p w14:paraId="25F33D00" w14:textId="77777777" w:rsidR="00E963DF" w:rsidRPr="001D3475" w:rsidRDefault="00E963DF" w:rsidP="00E963DF">
      <w:pPr>
        <w:pStyle w:val="NormalWeb"/>
        <w:numPr>
          <w:ilvl w:val="0"/>
          <w:numId w:val="4"/>
        </w:numPr>
        <w:spacing w:before="0" w:beforeAutospacing="0" w:after="0" w:afterAutospacing="0" w:line="264" w:lineRule="auto"/>
        <w:ind w:hanging="567"/>
        <w:jc w:val="both"/>
        <w:rPr>
          <w:sz w:val="22"/>
          <w:szCs w:val="22"/>
        </w:rPr>
      </w:pPr>
      <w:r>
        <w:rPr>
          <w:b/>
          <w:sz w:val="22"/>
        </w:rPr>
        <w:t>zalaže se za snažniji socijalni dijalog i kolektivno pregovaranje na svim razinama</w:t>
      </w:r>
      <w:r>
        <w:rPr>
          <w:sz w:val="22"/>
        </w:rPr>
        <w:t>, među ostalim i unutar poduzeća, kako bi se osiguralo da radnici budu informirani, da se s njima savjetuje i da budu uključeni u prelazak na kružne poslovne modele.</w:t>
      </w:r>
    </w:p>
    <w:p w14:paraId="7F77E17E" w14:textId="77777777" w:rsidR="00E963DF" w:rsidRPr="00E963DF" w:rsidRDefault="00E963DF" w:rsidP="00E963DF">
      <w:pPr>
        <w:pStyle w:val="NormalWeb"/>
        <w:spacing w:before="0" w:beforeAutospacing="0" w:after="0" w:afterAutospacing="0" w:line="288" w:lineRule="auto"/>
        <w:ind w:left="567"/>
        <w:jc w:val="both"/>
        <w:rPr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7119"/>
      </w:tblGrid>
      <w:tr w:rsidR="00E963DF" w:rsidRPr="00A6689B" w14:paraId="454DB770" w14:textId="77777777" w:rsidTr="00ED5A08">
        <w:tc>
          <w:tcPr>
            <w:tcW w:w="1077" w:type="pct"/>
          </w:tcPr>
          <w:p w14:paraId="35129D54" w14:textId="77777777" w:rsidR="00E963DF" w:rsidRPr="00A6689B" w:rsidRDefault="00E963DF" w:rsidP="00ED5A08">
            <w:pPr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3923" w:type="pct"/>
          </w:tcPr>
          <w:p w14:paraId="262A716A" w14:textId="77777777" w:rsidR="00E963DF" w:rsidRPr="00A6689B" w:rsidRDefault="00E963DF" w:rsidP="00ED5A08">
            <w:pPr>
              <w:rPr>
                <w:i/>
              </w:rPr>
            </w:pPr>
            <w:r>
              <w:rPr>
                <w:i/>
              </w:rPr>
              <w:t>Adam DORYWALSKI</w:t>
            </w:r>
          </w:p>
        </w:tc>
      </w:tr>
      <w:tr w:rsidR="00E963DF" w:rsidRPr="00A6689B" w14:paraId="021BD1E2" w14:textId="77777777" w:rsidTr="00ED5A08">
        <w:tc>
          <w:tcPr>
            <w:tcW w:w="1077" w:type="pct"/>
          </w:tcPr>
          <w:p w14:paraId="51832BE9" w14:textId="77777777" w:rsidR="00E963DF" w:rsidRPr="00A6689B" w:rsidRDefault="00E963DF" w:rsidP="00ED5A08">
            <w:pPr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23" w:type="pct"/>
          </w:tcPr>
          <w:p w14:paraId="30387CE3" w14:textId="77777777" w:rsidR="00E963DF" w:rsidRPr="00A6689B" w:rsidRDefault="00E963DF" w:rsidP="00ED5A08">
            <w:pPr>
              <w:rPr>
                <w:i/>
              </w:rPr>
            </w:pPr>
            <w:r>
              <w:rPr>
                <w:i/>
              </w:rPr>
              <w:t>+32 2 546 9397</w:t>
            </w:r>
          </w:p>
        </w:tc>
      </w:tr>
      <w:tr w:rsidR="00E963DF" w:rsidRPr="00A6689B" w14:paraId="42E1B405" w14:textId="77777777" w:rsidTr="00ED5A08">
        <w:tc>
          <w:tcPr>
            <w:tcW w:w="1077" w:type="pct"/>
          </w:tcPr>
          <w:p w14:paraId="004F6E2C" w14:textId="77777777" w:rsidR="00E963DF" w:rsidRPr="00A6689B" w:rsidRDefault="00E963DF" w:rsidP="00ED5A08">
            <w:pPr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3923" w:type="pct"/>
          </w:tcPr>
          <w:p w14:paraId="024241C4" w14:textId="77777777" w:rsidR="00E963DF" w:rsidRPr="00A6689B" w:rsidRDefault="00A00905" w:rsidP="00ED5A08">
            <w:pPr>
              <w:rPr>
                <w:i/>
              </w:rPr>
            </w:pPr>
            <w:hyperlink r:id="rId48" w:history="1">
              <w:r w:rsidR="00E963DF">
                <w:rPr>
                  <w:rStyle w:val="Hyperlink"/>
                  <w:i/>
                </w:rPr>
                <w:t>Adam.Dorywalski@eesc.europa.eu</w:t>
              </w:r>
            </w:hyperlink>
          </w:p>
        </w:tc>
      </w:tr>
    </w:tbl>
    <w:p w14:paraId="0FA13A3E" w14:textId="309D4ADD" w:rsidR="00ED76AC" w:rsidRPr="00E963DF" w:rsidRDefault="00ED76AC" w:rsidP="006D2C8A">
      <w:pPr>
        <w:spacing w:after="160" w:line="259" w:lineRule="auto"/>
        <w:jc w:val="left"/>
        <w:rPr>
          <w:sz w:val="18"/>
          <w:szCs w:val="18"/>
        </w:rPr>
      </w:pPr>
    </w:p>
    <w:p w14:paraId="1D4DBE8E" w14:textId="77777777" w:rsidR="00ED76AC" w:rsidRDefault="00ED76AC">
      <w:pPr>
        <w:spacing w:after="160" w:line="259" w:lineRule="auto"/>
        <w:jc w:val="left"/>
      </w:pPr>
      <w:r>
        <w:br w:type="page"/>
      </w:r>
    </w:p>
    <w:p w14:paraId="5549F917" w14:textId="77777777" w:rsidR="00E963DF" w:rsidRPr="0003586F" w:rsidRDefault="00E963DF" w:rsidP="00E963D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</w:rPr>
      </w:pPr>
      <w:r>
        <w:rPr>
          <w:b/>
          <w:i/>
          <w:sz w:val="28"/>
        </w:rPr>
        <w:lastRenderedPageBreak/>
        <w:t xml:space="preserve">CCMI/242 – </w:t>
      </w:r>
      <w:hyperlink r:id="rId49" w:history="1">
        <w:r>
          <w:rPr>
            <w:rStyle w:val="Hyperlink"/>
            <w:b/>
            <w:i/>
            <w:sz w:val="28"/>
          </w:rPr>
          <w:t>Industrijske zadruge</w:t>
        </w:r>
      </w:hyperlink>
      <w:r>
        <w:rPr>
          <w:b/>
          <w:i/>
          <w:sz w:val="28"/>
        </w:rPr>
        <w:t xml:space="preserve"> </w:t>
      </w:r>
    </w:p>
    <w:p w14:paraId="11E5D7E7" w14:textId="77777777" w:rsidR="00E963DF" w:rsidRPr="00A6689B" w:rsidRDefault="00E963DF" w:rsidP="00E963DF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7119"/>
      </w:tblGrid>
      <w:tr w:rsidR="00E963DF" w:rsidRPr="008630AF" w14:paraId="2A21FF04" w14:textId="77777777" w:rsidTr="00ED5A08">
        <w:tc>
          <w:tcPr>
            <w:tcW w:w="1077" w:type="pct"/>
          </w:tcPr>
          <w:p w14:paraId="399865A7" w14:textId="77777777" w:rsidR="00E963DF" w:rsidRPr="00A6689B" w:rsidRDefault="00E963DF" w:rsidP="00ED5A0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Izvjestitelj/ica:</w:t>
            </w:r>
          </w:p>
        </w:tc>
        <w:tc>
          <w:tcPr>
            <w:tcW w:w="3923" w:type="pct"/>
          </w:tcPr>
          <w:p w14:paraId="26807C01" w14:textId="77777777" w:rsidR="00E963DF" w:rsidRPr="0027488D" w:rsidRDefault="00E963DF" w:rsidP="00ED5A08">
            <w:pPr>
              <w:tabs>
                <w:tab w:val="center" w:pos="284"/>
              </w:tabs>
              <w:ind w:left="266" w:right="-3091" w:hanging="266"/>
            </w:pPr>
            <w:r>
              <w:t>Giuseppe GUERINI (Skupina organizacija civilnog društva – IT)</w:t>
            </w:r>
          </w:p>
        </w:tc>
      </w:tr>
      <w:tr w:rsidR="00E963DF" w:rsidRPr="00A6689B" w14:paraId="7CC4F500" w14:textId="77777777" w:rsidTr="00ED5A08">
        <w:tc>
          <w:tcPr>
            <w:tcW w:w="1077" w:type="pct"/>
          </w:tcPr>
          <w:p w14:paraId="75410F52" w14:textId="77777777" w:rsidR="00E963DF" w:rsidRPr="00A6689B" w:rsidRDefault="00E963DF" w:rsidP="00ED5A0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Suizvjestitelj/ica:</w:t>
            </w:r>
          </w:p>
        </w:tc>
        <w:tc>
          <w:tcPr>
            <w:tcW w:w="3923" w:type="pct"/>
          </w:tcPr>
          <w:p w14:paraId="5BF5B8F2" w14:textId="77777777" w:rsidR="00E963DF" w:rsidRPr="00D97375" w:rsidRDefault="00E963DF" w:rsidP="00ED5A08">
            <w:pPr>
              <w:tabs>
                <w:tab w:val="center" w:pos="284"/>
              </w:tabs>
              <w:ind w:left="266" w:right="-3091" w:hanging="266"/>
            </w:pPr>
            <w:r>
              <w:t>Michal PINTÉR (Skupina poslodavaca – SK)</w:t>
            </w:r>
          </w:p>
        </w:tc>
      </w:tr>
      <w:tr w:rsidR="00E963DF" w:rsidRPr="00A6689B" w14:paraId="1F1CAE58" w14:textId="77777777" w:rsidTr="00ED5A08">
        <w:tc>
          <w:tcPr>
            <w:tcW w:w="1077" w:type="pct"/>
          </w:tcPr>
          <w:p w14:paraId="2AF80014" w14:textId="77777777" w:rsidR="00E963DF" w:rsidRPr="00A6689B" w:rsidRDefault="00E963DF" w:rsidP="00ED5A08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3923" w:type="pct"/>
          </w:tcPr>
          <w:p w14:paraId="0727DB82" w14:textId="77777777" w:rsidR="00E963DF" w:rsidRPr="00A6689B" w:rsidRDefault="00E963DF" w:rsidP="00ED5A08">
            <w:pPr>
              <w:tabs>
                <w:tab w:val="center" w:pos="284"/>
              </w:tabs>
              <w:ind w:left="266" w:right="-3091" w:hanging="266"/>
            </w:pPr>
            <w:r>
              <w:t>EESC-2025-01083-00-00-AC</w:t>
            </w:r>
          </w:p>
        </w:tc>
      </w:tr>
    </w:tbl>
    <w:p w14:paraId="2A592E93" w14:textId="77777777" w:rsidR="00E963DF" w:rsidRDefault="00E963DF" w:rsidP="00E963DF">
      <w:pPr>
        <w:tabs>
          <w:tab w:val="center" w:pos="284"/>
        </w:tabs>
        <w:ind w:left="266" w:hanging="266"/>
        <w:rPr>
          <w:b/>
        </w:rPr>
      </w:pPr>
    </w:p>
    <w:p w14:paraId="3A5C979E" w14:textId="77777777" w:rsidR="00E963DF" w:rsidRPr="00A6689B" w:rsidRDefault="00E963DF" w:rsidP="00E963DF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Ključne točke</w:t>
      </w:r>
    </w:p>
    <w:p w14:paraId="0D31568D" w14:textId="77777777" w:rsidR="00E963DF" w:rsidRPr="00A6689B" w:rsidRDefault="00E963DF" w:rsidP="00E963DF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38D22402" w14:textId="77777777" w:rsidR="00E963DF" w:rsidRPr="00A6689B" w:rsidRDefault="00E963DF" w:rsidP="00E963DF">
      <w:pPr>
        <w:rPr>
          <w:bCs/>
          <w:iCs/>
        </w:rPr>
      </w:pPr>
      <w:r>
        <w:t>EGSO:</w:t>
      </w:r>
    </w:p>
    <w:p w14:paraId="70BC30D2" w14:textId="77777777" w:rsidR="00E963DF" w:rsidRDefault="00E963DF" w:rsidP="00E963D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r>
        <w:t>napominje da su Ujedinjeni narodi godinu 2025. proglasili Međunarodnom godinom zadruga s temom „Zadruge grade bolji svijet”, što je odraz sve većeg međunarodnog uvažavanja zadružnog modela u svim sektorima;</w:t>
      </w:r>
    </w:p>
    <w:p w14:paraId="7EA9EF28" w14:textId="77777777" w:rsidR="00E963DF" w:rsidRDefault="00E963DF" w:rsidP="00E963D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r>
        <w:t>preporučuje da se edukacija o zadružnom poslovanju uključi u standardno poduzetničko i strukovno osposobljavanje, što bi trebalo obuhvaćati i aktivnosti senzibilizacije financijskih institucija i aktivnosti informiranja o mogućnostima u okviru programa Erasmus+;</w:t>
      </w:r>
    </w:p>
    <w:p w14:paraId="5848CFEF" w14:textId="77777777" w:rsidR="00E963DF" w:rsidRPr="00277EB3" w:rsidRDefault="00E963DF" w:rsidP="00E963D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r>
        <w:t xml:space="preserve">smatra da bi među </w:t>
      </w:r>
      <w:r>
        <w:rPr>
          <w:i/>
          <w:iCs/>
        </w:rPr>
        <w:t>star-</w:t>
      </w:r>
      <w:proofErr w:type="spellStart"/>
      <w:r>
        <w:rPr>
          <w:i/>
          <w:iCs/>
        </w:rPr>
        <w:t>up</w:t>
      </w:r>
      <w:proofErr w:type="spellEnd"/>
      <w:r>
        <w:t xml:space="preserve"> poduzećima i mladim poduzetnicima trebalo aktivno promicati zadruge;</w:t>
      </w:r>
    </w:p>
    <w:p w14:paraId="7C5DEE25" w14:textId="77777777" w:rsidR="00E963DF" w:rsidRPr="00277EB3" w:rsidRDefault="00E963DF" w:rsidP="00E963D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r>
        <w:t>poziva na priznavanje industrijskih zadruga kao ključnih gospodarskih aktera i na pružanje ciljanih financijskih poticaja na europskoj, nacionalnoj i regionalnoj razini (porezne olakšice, bespovratna sredstva, financiranje s niskim kamatama) kako bi se podupirala industrijska simbioza i kružnost;</w:t>
      </w:r>
    </w:p>
    <w:p w14:paraId="3A85F7FB" w14:textId="77777777" w:rsidR="00E963DF" w:rsidRPr="00277EB3" w:rsidRDefault="00E963DF" w:rsidP="00E963D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 xml:space="preserve">potiče ulaganja u zajedničke industrijske parkove, </w:t>
      </w:r>
      <w:proofErr w:type="spellStart"/>
      <w:r>
        <w:t>ekoindustrijske</w:t>
      </w:r>
      <w:proofErr w:type="spellEnd"/>
      <w:r>
        <w:t xml:space="preserve"> zone i kooperativne platforme za razmjenu znanja kako bi se ojačala kooperativna lokalizacija i održiva proizvodnja;</w:t>
      </w:r>
    </w:p>
    <w:p w14:paraId="40871972" w14:textId="77777777" w:rsidR="00E963DF" w:rsidRPr="00277EB3" w:rsidRDefault="00E963DF" w:rsidP="00E963D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r>
        <w:t>poziva na uključivanje mjera politike specifičnih za suradnju u kohezijske programe EU-a i strategije regionalnog razvoja, kao i na davanje prednosti inicijativama zasnovanima na suradnji i usmjerenima na jačanje regionalne otpornosti i održivosti;</w:t>
      </w:r>
    </w:p>
    <w:p w14:paraId="19E80C46" w14:textId="77777777" w:rsidR="00E963DF" w:rsidRPr="00277EB3" w:rsidRDefault="00E963DF" w:rsidP="00E963D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r>
        <w:t>ističe sve veću stratešku važnost zadruga temeljenima na podacima i poziva tijela EU-a i nacionalna tijela da podrže zajedničke inicijative za upravljanje industrijskim podacima i njihovu razmjenu;</w:t>
      </w:r>
    </w:p>
    <w:p w14:paraId="762B9572" w14:textId="77777777" w:rsidR="00E963DF" w:rsidRPr="00A6689B" w:rsidRDefault="00E963DF" w:rsidP="00E963D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r>
        <w:t>naglašava da zadružni model pruža jedinstvenu dodanu vrijednost demokratskim upravljanjem, pravednom raspodjelom bogatstva, angažmanom zajednice i snažnom prilagodljivošću, čime se jača strateška autonomija EU-a.</w:t>
      </w:r>
    </w:p>
    <w:p w14:paraId="01112337" w14:textId="77777777" w:rsidR="00E963DF" w:rsidRPr="00277EB3" w:rsidRDefault="00E963DF" w:rsidP="00E963DF">
      <w:pPr>
        <w:widowControl w:val="0"/>
        <w:ind w:left="567"/>
        <w:rPr>
          <w:bCs/>
          <w:iCs/>
        </w:rPr>
      </w:pPr>
    </w:p>
    <w:p w14:paraId="09809E92" w14:textId="77777777" w:rsidR="00E963DF" w:rsidRPr="000624A9" w:rsidRDefault="00E963DF" w:rsidP="00E963DF">
      <w:pPr>
        <w:widowControl w:val="0"/>
        <w:ind w:left="709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7119"/>
      </w:tblGrid>
      <w:tr w:rsidR="00E963DF" w:rsidRPr="00A6689B" w14:paraId="2C1ACF45" w14:textId="77777777" w:rsidTr="00ED5A08">
        <w:tc>
          <w:tcPr>
            <w:tcW w:w="1077" w:type="pct"/>
          </w:tcPr>
          <w:p w14:paraId="264FF340" w14:textId="77777777" w:rsidR="00E963DF" w:rsidRPr="00A6689B" w:rsidRDefault="00E963DF" w:rsidP="00ED5A08">
            <w:pPr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3923" w:type="pct"/>
          </w:tcPr>
          <w:p w14:paraId="6433A3AB" w14:textId="77777777" w:rsidR="00E963DF" w:rsidRPr="00A6689B" w:rsidRDefault="00E963DF" w:rsidP="00ED5A08">
            <w:pPr>
              <w:rPr>
                <w:i/>
              </w:rPr>
            </w:pPr>
            <w:r>
              <w:rPr>
                <w:i/>
              </w:rPr>
              <w:t>Adam DORYWALSKI</w:t>
            </w:r>
          </w:p>
        </w:tc>
      </w:tr>
      <w:tr w:rsidR="00E963DF" w:rsidRPr="00A6689B" w14:paraId="2EA6657B" w14:textId="77777777" w:rsidTr="00ED5A08">
        <w:tc>
          <w:tcPr>
            <w:tcW w:w="1077" w:type="pct"/>
          </w:tcPr>
          <w:p w14:paraId="1B8E5AB1" w14:textId="77777777" w:rsidR="00E963DF" w:rsidRPr="00A6689B" w:rsidRDefault="00E963DF" w:rsidP="00ED5A08">
            <w:pPr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23" w:type="pct"/>
          </w:tcPr>
          <w:p w14:paraId="3F39FCDC" w14:textId="77777777" w:rsidR="00E963DF" w:rsidRPr="00A6689B" w:rsidRDefault="00E963DF" w:rsidP="00ED5A08">
            <w:pPr>
              <w:rPr>
                <w:i/>
              </w:rPr>
            </w:pPr>
            <w:r>
              <w:rPr>
                <w:i/>
              </w:rPr>
              <w:t>+32 25469397</w:t>
            </w:r>
          </w:p>
        </w:tc>
      </w:tr>
      <w:tr w:rsidR="00E963DF" w:rsidRPr="00A6689B" w14:paraId="781AAD4A" w14:textId="77777777" w:rsidTr="00ED5A08">
        <w:tc>
          <w:tcPr>
            <w:tcW w:w="1077" w:type="pct"/>
          </w:tcPr>
          <w:p w14:paraId="408FE631" w14:textId="77777777" w:rsidR="00E963DF" w:rsidRPr="00A6689B" w:rsidRDefault="00E963DF" w:rsidP="00ED5A08">
            <w:pPr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3923" w:type="pct"/>
          </w:tcPr>
          <w:p w14:paraId="6B7EBCB7" w14:textId="77777777" w:rsidR="00E963DF" w:rsidRPr="00A6689B" w:rsidRDefault="00A00905" w:rsidP="00ED5A08">
            <w:pPr>
              <w:rPr>
                <w:i/>
              </w:rPr>
            </w:pPr>
            <w:hyperlink r:id="rId50" w:history="1">
              <w:r w:rsidR="00E963DF">
                <w:rPr>
                  <w:rStyle w:val="Hyperlink"/>
                  <w:i/>
                </w:rPr>
                <w:t>Adam.Dorywalski@eesc.europa.eu</w:t>
              </w:r>
            </w:hyperlink>
          </w:p>
        </w:tc>
      </w:tr>
    </w:tbl>
    <w:p w14:paraId="2E28EF19" w14:textId="3B368787" w:rsidR="000D394D" w:rsidRDefault="00EB462E" w:rsidP="00054C58">
      <w:pPr>
        <w:spacing w:after="160" w:line="259" w:lineRule="auto"/>
        <w:jc w:val="center"/>
      </w:pPr>
      <w:r>
        <w:t>______________</w:t>
      </w:r>
    </w:p>
    <w:sectPr w:rsidR="000D394D" w:rsidSect="00EE6F0B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83ED" w14:textId="77777777" w:rsidR="007068C8" w:rsidRDefault="007068C8" w:rsidP="00B518C9">
      <w:pPr>
        <w:spacing w:line="240" w:lineRule="auto"/>
      </w:pPr>
      <w:r>
        <w:separator/>
      </w:r>
    </w:p>
  </w:endnote>
  <w:endnote w:type="continuationSeparator" w:id="0">
    <w:p w14:paraId="2DEC234A" w14:textId="77777777" w:rsidR="007068C8" w:rsidRDefault="007068C8" w:rsidP="00B51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DE51" w14:textId="3129FCBE" w:rsidR="00B518C9" w:rsidRPr="00EE6F0B" w:rsidRDefault="00EE6F0B" w:rsidP="00EE6F0B">
    <w:pPr>
      <w:pStyle w:val="Footer"/>
    </w:pPr>
    <w:r>
      <w:t xml:space="preserve">EESC-2025-03552-00-00-TCD-TRA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8541DE">
      <w:t>1</w:t>
    </w:r>
    <w:r>
      <w:fldChar w:fldCharType="end"/>
    </w:r>
    <w:r>
      <w:t>/</w:t>
    </w:r>
    <w:fldSimple w:instr=" NUMPAGES ">
      <w:r w:rsidR="008541DE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5BF5" w14:textId="77777777" w:rsidR="00EE6F0B" w:rsidRPr="00EE6F0B" w:rsidRDefault="00EE6F0B" w:rsidP="00EE6F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1AE1F" w14:textId="4BF61E79" w:rsidR="00EE6F0B" w:rsidRPr="00EE6F0B" w:rsidRDefault="00EE6F0B" w:rsidP="00EE6F0B">
    <w:pPr>
      <w:pStyle w:val="Footer"/>
    </w:pPr>
    <w:r>
      <w:t xml:space="preserve">EESC-2025-03552-00-00-TCD-TRA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8541DE">
      <w:t>16</w:t>
    </w:r>
    <w:r>
      <w:fldChar w:fldCharType="end"/>
    </w:r>
    <w:r>
      <w:t>/</w:t>
    </w:r>
    <w:fldSimple w:instr=" NUMPAGES ">
      <w:r w:rsidR="008541DE">
        <w:t>16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A5D8" w14:textId="77777777" w:rsidR="00EE6F0B" w:rsidRPr="00EE6F0B" w:rsidRDefault="00EE6F0B" w:rsidP="00EE6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FB7AD" w14:textId="77777777" w:rsidR="007068C8" w:rsidRDefault="007068C8" w:rsidP="00B518C9">
      <w:pPr>
        <w:spacing w:line="240" w:lineRule="auto"/>
      </w:pPr>
      <w:r>
        <w:separator/>
      </w:r>
    </w:p>
  </w:footnote>
  <w:footnote w:type="continuationSeparator" w:id="0">
    <w:p w14:paraId="1C004BEA" w14:textId="77777777" w:rsidR="007068C8" w:rsidRDefault="007068C8" w:rsidP="00B518C9">
      <w:pPr>
        <w:spacing w:line="240" w:lineRule="auto"/>
      </w:pPr>
      <w:r>
        <w:continuationSeparator/>
      </w:r>
    </w:p>
  </w:footnote>
  <w:footnote w:id="1">
    <w:p w14:paraId="5CF69793" w14:textId="77777777" w:rsidR="00BF3C21" w:rsidRDefault="00BF3C21" w:rsidP="00BF3C21">
      <w:pPr>
        <w:keepLines/>
        <w:spacing w:after="60" w:line="240" w:lineRule="auto"/>
        <w:ind w:left="567" w:hanging="567"/>
        <w:rPr>
          <w:sz w:val="16"/>
          <w:szCs w:val="16"/>
        </w:rPr>
      </w:pPr>
      <w:r>
        <w:rPr>
          <w:rStyle w:val="FootnoteReference"/>
        </w:rPr>
        <w:footnoteRef/>
      </w:r>
      <w:r>
        <w:rPr>
          <w:sz w:val="16"/>
        </w:rPr>
        <w:tab/>
      </w:r>
      <w:hyperlink r:id="rId1" w:history="1">
        <w:r>
          <w:rPr>
            <w:rStyle w:val="Hyperlink"/>
            <w:sz w:val="16"/>
          </w:rPr>
          <w:t>https://eur-lex.europa.eu/legal-content/HR/TXT/?uri=legissum:4623532</w:t>
        </w:r>
      </w:hyperlink>
      <w:r>
        <w:t>.</w:t>
      </w:r>
    </w:p>
  </w:footnote>
  <w:footnote w:id="2">
    <w:p w14:paraId="7B21D052" w14:textId="77777777" w:rsidR="00BF3C21" w:rsidRDefault="00BF3C21" w:rsidP="00BF3C21">
      <w:pPr>
        <w:keepLines/>
        <w:spacing w:after="60" w:line="240" w:lineRule="auto"/>
        <w:ind w:left="567" w:hanging="567"/>
        <w:rPr>
          <w:szCs w:val="20"/>
        </w:rPr>
      </w:pPr>
      <w:r>
        <w:rPr>
          <w:rStyle w:val="FootnoteReference"/>
        </w:rPr>
        <w:footnoteRef/>
      </w:r>
      <w:r>
        <w:rPr>
          <w:sz w:val="16"/>
        </w:rPr>
        <w:tab/>
      </w:r>
      <w:hyperlink r:id="rId2" w:history="1">
        <w:r>
          <w:rPr>
            <w:rStyle w:val="Hyperlink"/>
            <w:sz w:val="16"/>
          </w:rPr>
          <w:t>https://eur-lex.europa.eu/legal-content/HR/TXT/?uri=CELEX%3A52022XC0930%2802%29</w:t>
        </w:r>
      </w:hyperlink>
      <w:r>
        <w:t>.</w:t>
      </w:r>
    </w:p>
  </w:footnote>
  <w:footnote w:id="3">
    <w:p w14:paraId="5B41C589" w14:textId="77777777" w:rsidR="00BF3C21" w:rsidRDefault="00BF3C21" w:rsidP="00BF3C21">
      <w:pPr>
        <w:keepLines/>
        <w:spacing w:after="60" w:line="240" w:lineRule="auto"/>
        <w:ind w:left="567" w:hanging="567"/>
        <w:rPr>
          <w:color w:val="0000FF"/>
          <w:sz w:val="16"/>
          <w:szCs w:val="16"/>
        </w:rPr>
      </w:pPr>
      <w:r>
        <w:rPr>
          <w:rStyle w:val="FootnoteReference"/>
        </w:rPr>
        <w:footnoteRef/>
      </w:r>
      <w:r>
        <w:rPr>
          <w:sz w:val="16"/>
        </w:rPr>
        <w:tab/>
      </w:r>
      <w:hyperlink r:id="rId3" w:history="1">
        <w:r>
          <w:rPr>
            <w:rStyle w:val="Hyperlink"/>
            <w:sz w:val="16"/>
          </w:rPr>
          <w:t>https://digital-strategy.ec.europa.eu/en/library/recommendation-protection-safety-and-empowerment-journalists</w:t>
        </w:r>
      </w:hyperlink>
      <w:r>
        <w:rPr>
          <w:sz w:val="16"/>
        </w:rPr>
        <w:t>.</w:t>
      </w:r>
    </w:p>
  </w:footnote>
  <w:footnote w:id="4">
    <w:p w14:paraId="0543FA68" w14:textId="77777777" w:rsidR="00BF3C21" w:rsidRDefault="00BF3C21" w:rsidP="00BF3C21">
      <w:pPr>
        <w:keepLines/>
        <w:spacing w:after="60" w:line="240" w:lineRule="auto"/>
        <w:ind w:left="567" w:hanging="567"/>
        <w:rPr>
          <w:szCs w:val="20"/>
        </w:rPr>
      </w:pPr>
      <w:r>
        <w:rPr>
          <w:rStyle w:val="FootnoteReference"/>
        </w:rPr>
        <w:footnoteRef/>
      </w:r>
      <w:r>
        <w:tab/>
      </w:r>
      <w:hyperlink r:id="rId4" w:history="1">
        <w:r>
          <w:rPr>
            <w:rStyle w:val="Hyperlink"/>
            <w:sz w:val="16"/>
          </w:rPr>
          <w:t>SL C, C/2025/114, 10.1.2025., ELI: http://data.europa.eu/eli/C/2025/114/oj</w:t>
        </w:r>
      </w:hyperlink>
      <w:r>
        <w:t>.</w:t>
      </w:r>
    </w:p>
  </w:footnote>
  <w:footnote w:id="5">
    <w:p w14:paraId="1A403C06" w14:textId="77777777" w:rsidR="00C44A35" w:rsidRPr="00360DD3" w:rsidRDefault="00C44A35" w:rsidP="00C44A3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Samoinicijativno mišljenje EGSO-a </w:t>
      </w:r>
      <w:hyperlink w:anchor=":~:text=The%20only%20reliable%20way%20to%20preserve%20the%20rainforests%20is%20through" w:history="1">
        <w:r>
          <w:rPr>
            <w:rStyle w:val="Hyperlink"/>
            <w:i/>
          </w:rPr>
          <w:t>„</w:t>
        </w:r>
        <w:r>
          <w:rPr>
            <w:rStyle w:val="Hyperlink"/>
          </w:rPr>
          <w:t>Učinak deforestacije amazonske prašume na klimatske promjene i globalni okoliš i posljedice za poduzeća, radnike i stanovništvo”</w:t>
        </w:r>
      </w:hyperlink>
      <w:r>
        <w:t xml:space="preserve"> </w:t>
      </w:r>
      <w:hyperlink r:id="rId5" w:history="1">
        <w:r>
          <w:rPr>
            <w:rStyle w:val="Hyperlink"/>
          </w:rPr>
          <w:t>(SL C/2024/6882, 28.11.2024.).</w:t>
        </w:r>
      </w:hyperlink>
    </w:p>
  </w:footnote>
  <w:footnote w:id="6">
    <w:p w14:paraId="2D4B8161" w14:textId="77777777" w:rsidR="00C44A35" w:rsidRPr="00360DD3" w:rsidRDefault="00C44A35" w:rsidP="00C44A35">
      <w:pPr>
        <w:pStyle w:val="FootnoteText"/>
      </w:pPr>
      <w:r>
        <w:rPr>
          <w:rStyle w:val="FootnoteReference"/>
        </w:rPr>
        <w:footnoteRef/>
      </w:r>
      <w:r>
        <w:tab/>
        <w:t xml:space="preserve">Mišljenje EGSO-a </w:t>
      </w:r>
      <w:hyperlink r:id="rId6" w:history="1">
        <w:r>
          <w:rPr>
            <w:rStyle w:val="Hyperlink"/>
          </w:rPr>
          <w:t>„Smanjenje rizika od krčenja i propadanja šuma povezanih s proizvodima koji se stavljaju na tržište EU-a”</w:t>
        </w:r>
      </w:hyperlink>
      <w:r>
        <w:t xml:space="preserve">, </w:t>
      </w:r>
      <w:hyperlink r:id="rId7" w:history="1">
        <w:r>
          <w:rPr>
            <w:rStyle w:val="Hyperlink"/>
          </w:rPr>
          <w:t>SL C 275, 18.7.2022., str. 88.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C11B" w14:textId="77777777" w:rsidR="00EE6F0B" w:rsidRPr="00EE6F0B" w:rsidRDefault="00EE6F0B" w:rsidP="00EE6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CF56" w14:textId="041A1C85" w:rsidR="00EE6F0B" w:rsidRPr="00EE6F0B" w:rsidRDefault="00EE6F0B" w:rsidP="00EE6F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285E" w14:textId="77777777" w:rsidR="00EE6F0B" w:rsidRPr="00EE6F0B" w:rsidRDefault="00EE6F0B" w:rsidP="00EE6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DDE088C8"/>
    <w:lvl w:ilvl="0">
      <w:numFmt w:val="decimal"/>
      <w:lvlText w:val="*"/>
      <w:lvlJc w:val="left"/>
    </w:lvl>
  </w:abstractNum>
  <w:abstractNum w:abstractNumId="2" w15:restartNumberingAfterBreak="0">
    <w:nsid w:val="01AD6BFB"/>
    <w:multiLevelType w:val="hybridMultilevel"/>
    <w:tmpl w:val="8DE8923A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B1E278B"/>
    <w:multiLevelType w:val="multilevel"/>
    <w:tmpl w:val="7CF2BA0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4" w15:restartNumberingAfterBreak="0">
    <w:nsid w:val="0C6E7E92"/>
    <w:multiLevelType w:val="hybridMultilevel"/>
    <w:tmpl w:val="D852615C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2805E4A"/>
    <w:multiLevelType w:val="hybridMultilevel"/>
    <w:tmpl w:val="0E9A9FEC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2A281C"/>
    <w:multiLevelType w:val="multilevel"/>
    <w:tmpl w:val="DC36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596CA9"/>
    <w:multiLevelType w:val="hybridMultilevel"/>
    <w:tmpl w:val="A2A65726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76B0C2D"/>
    <w:multiLevelType w:val="hybridMultilevel"/>
    <w:tmpl w:val="EA30BBB2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E64D01"/>
    <w:multiLevelType w:val="multilevel"/>
    <w:tmpl w:val="E362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E3335"/>
    <w:multiLevelType w:val="hybridMultilevel"/>
    <w:tmpl w:val="6742EDEA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4187467"/>
    <w:multiLevelType w:val="hybridMultilevel"/>
    <w:tmpl w:val="73644BDA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909E3"/>
    <w:multiLevelType w:val="hybridMultilevel"/>
    <w:tmpl w:val="FC481F60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6F77B86"/>
    <w:multiLevelType w:val="hybridMultilevel"/>
    <w:tmpl w:val="2D104712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AD155A9"/>
    <w:multiLevelType w:val="hybridMultilevel"/>
    <w:tmpl w:val="F09C53E4"/>
    <w:lvl w:ilvl="0" w:tplc="DDE08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E272C"/>
    <w:multiLevelType w:val="hybridMultilevel"/>
    <w:tmpl w:val="BBAC3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C0C48"/>
    <w:multiLevelType w:val="hybridMultilevel"/>
    <w:tmpl w:val="30EC54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4BED2">
      <w:start w:val="1"/>
      <w:numFmt w:val="lowerLetter"/>
      <w:lvlText w:val="%2."/>
      <w:lvlJc w:val="left"/>
      <w:pPr>
        <w:ind w:left="1440" w:hanging="360"/>
      </w:pPr>
    </w:lvl>
    <w:lvl w:ilvl="2" w:tplc="EDDA7C24">
      <w:start w:val="1"/>
      <w:numFmt w:val="lowerRoman"/>
      <w:lvlText w:val="%3."/>
      <w:lvlJc w:val="right"/>
      <w:pPr>
        <w:ind w:left="2160" w:hanging="180"/>
      </w:pPr>
    </w:lvl>
    <w:lvl w:ilvl="3" w:tplc="D6D8B25C">
      <w:start w:val="1"/>
      <w:numFmt w:val="decimal"/>
      <w:lvlText w:val="%4."/>
      <w:lvlJc w:val="left"/>
      <w:pPr>
        <w:ind w:left="2880" w:hanging="360"/>
      </w:pPr>
    </w:lvl>
    <w:lvl w:ilvl="4" w:tplc="15BC3358">
      <w:start w:val="1"/>
      <w:numFmt w:val="lowerLetter"/>
      <w:lvlText w:val="%5."/>
      <w:lvlJc w:val="left"/>
      <w:pPr>
        <w:ind w:left="3600" w:hanging="360"/>
      </w:pPr>
    </w:lvl>
    <w:lvl w:ilvl="5" w:tplc="286291C8">
      <w:start w:val="1"/>
      <w:numFmt w:val="lowerRoman"/>
      <w:lvlText w:val="%6."/>
      <w:lvlJc w:val="right"/>
      <w:pPr>
        <w:ind w:left="4320" w:hanging="180"/>
      </w:pPr>
    </w:lvl>
    <w:lvl w:ilvl="6" w:tplc="18BA1814">
      <w:start w:val="1"/>
      <w:numFmt w:val="decimal"/>
      <w:lvlText w:val="%7."/>
      <w:lvlJc w:val="left"/>
      <w:pPr>
        <w:ind w:left="5040" w:hanging="360"/>
      </w:pPr>
    </w:lvl>
    <w:lvl w:ilvl="7" w:tplc="288E5478">
      <w:start w:val="1"/>
      <w:numFmt w:val="lowerLetter"/>
      <w:lvlText w:val="%8."/>
      <w:lvlJc w:val="left"/>
      <w:pPr>
        <w:ind w:left="5760" w:hanging="360"/>
      </w:pPr>
    </w:lvl>
    <w:lvl w:ilvl="8" w:tplc="FE92EFC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E296A"/>
    <w:multiLevelType w:val="hybridMultilevel"/>
    <w:tmpl w:val="474C91D2"/>
    <w:lvl w:ilvl="0" w:tplc="DDE08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77714"/>
    <w:multiLevelType w:val="multilevel"/>
    <w:tmpl w:val="CEC6278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9" w15:restartNumberingAfterBreak="0">
    <w:nsid w:val="40BB0637"/>
    <w:multiLevelType w:val="multilevel"/>
    <w:tmpl w:val="D5C0BC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327BE6"/>
    <w:multiLevelType w:val="hybridMultilevel"/>
    <w:tmpl w:val="8EA829E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21321"/>
    <w:multiLevelType w:val="hybridMultilevel"/>
    <w:tmpl w:val="401829F8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36F3E"/>
    <w:multiLevelType w:val="hybridMultilevel"/>
    <w:tmpl w:val="BA1E8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72E15"/>
    <w:multiLevelType w:val="hybridMultilevel"/>
    <w:tmpl w:val="49D49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94E770">
      <w:start w:val="1"/>
      <w:numFmt w:val="lowerLetter"/>
      <w:lvlText w:val="%2."/>
      <w:lvlJc w:val="left"/>
      <w:pPr>
        <w:ind w:left="1440" w:hanging="360"/>
      </w:pPr>
    </w:lvl>
    <w:lvl w:ilvl="2" w:tplc="48F2FBB0">
      <w:start w:val="1"/>
      <w:numFmt w:val="lowerRoman"/>
      <w:lvlText w:val="%3."/>
      <w:lvlJc w:val="right"/>
      <w:pPr>
        <w:ind w:left="2160" w:hanging="180"/>
      </w:pPr>
    </w:lvl>
    <w:lvl w:ilvl="3" w:tplc="194A9B02">
      <w:start w:val="1"/>
      <w:numFmt w:val="decimal"/>
      <w:lvlText w:val="%4."/>
      <w:lvlJc w:val="left"/>
      <w:pPr>
        <w:ind w:left="2880" w:hanging="360"/>
      </w:pPr>
    </w:lvl>
    <w:lvl w:ilvl="4" w:tplc="10E6AFD6">
      <w:start w:val="1"/>
      <w:numFmt w:val="lowerLetter"/>
      <w:lvlText w:val="%5."/>
      <w:lvlJc w:val="left"/>
      <w:pPr>
        <w:ind w:left="3600" w:hanging="360"/>
      </w:pPr>
    </w:lvl>
    <w:lvl w:ilvl="5" w:tplc="59546A76">
      <w:start w:val="1"/>
      <w:numFmt w:val="lowerRoman"/>
      <w:lvlText w:val="%6."/>
      <w:lvlJc w:val="right"/>
      <w:pPr>
        <w:ind w:left="4320" w:hanging="180"/>
      </w:pPr>
    </w:lvl>
    <w:lvl w:ilvl="6" w:tplc="B28879B6">
      <w:start w:val="1"/>
      <w:numFmt w:val="decimal"/>
      <w:lvlText w:val="%7."/>
      <w:lvlJc w:val="left"/>
      <w:pPr>
        <w:ind w:left="5040" w:hanging="360"/>
      </w:pPr>
    </w:lvl>
    <w:lvl w:ilvl="7" w:tplc="C930E540">
      <w:start w:val="1"/>
      <w:numFmt w:val="lowerLetter"/>
      <w:lvlText w:val="%8."/>
      <w:lvlJc w:val="left"/>
      <w:pPr>
        <w:ind w:left="5760" w:hanging="360"/>
      </w:pPr>
    </w:lvl>
    <w:lvl w:ilvl="8" w:tplc="766A47C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A6BF8"/>
    <w:multiLevelType w:val="hybridMultilevel"/>
    <w:tmpl w:val="9A2AC15E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34897"/>
    <w:multiLevelType w:val="hybridMultilevel"/>
    <w:tmpl w:val="2DF20D56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46E239B"/>
    <w:multiLevelType w:val="hybridMultilevel"/>
    <w:tmpl w:val="4378B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F1DCB"/>
    <w:multiLevelType w:val="hybridMultilevel"/>
    <w:tmpl w:val="5F1059D2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E014D1"/>
    <w:multiLevelType w:val="hybridMultilevel"/>
    <w:tmpl w:val="84DED000"/>
    <w:lvl w:ilvl="0" w:tplc="4D64522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6B3767B2"/>
    <w:multiLevelType w:val="hybridMultilevel"/>
    <w:tmpl w:val="CF9ADD5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051B82"/>
    <w:multiLevelType w:val="hybridMultilevel"/>
    <w:tmpl w:val="06A2BD0C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D790D12"/>
    <w:multiLevelType w:val="hybridMultilevel"/>
    <w:tmpl w:val="A63CD1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C55E4"/>
    <w:multiLevelType w:val="multilevel"/>
    <w:tmpl w:val="3FF64D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7D7BDC"/>
    <w:multiLevelType w:val="hybridMultilevel"/>
    <w:tmpl w:val="193433BE"/>
    <w:lvl w:ilvl="0" w:tplc="89029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05596"/>
    <w:multiLevelType w:val="hybridMultilevel"/>
    <w:tmpl w:val="3730B994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B251903"/>
    <w:multiLevelType w:val="singleLevel"/>
    <w:tmpl w:val="DDE088C8"/>
    <w:lvl w:ilvl="0">
      <w:numFmt w:val="decimal"/>
      <w:lvlText w:val="*"/>
      <w:lvlJc w:val="left"/>
    </w:lvl>
  </w:abstractNum>
  <w:num w:numId="1">
    <w:abstractNumId w:val="0"/>
  </w:num>
  <w:num w:numId="2">
    <w:abstractNumId w:val="28"/>
  </w:num>
  <w:num w:numId="3">
    <w:abstractNumId w:val="33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5">
    <w:abstractNumId w:val="29"/>
  </w:num>
  <w:num w:numId="6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7">
    <w:abstractNumId w:val="9"/>
  </w:num>
  <w:num w:numId="8">
    <w:abstractNumId w:val="6"/>
  </w:num>
  <w:num w:numId="9">
    <w:abstractNumId w:val="31"/>
  </w:num>
  <w:num w:numId="10">
    <w:abstractNumId w:val="14"/>
  </w:num>
  <w:num w:numId="11">
    <w:abstractNumId w:val="17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6"/>
  </w:num>
  <w:num w:numId="15">
    <w:abstractNumId w:val="27"/>
  </w:num>
  <w:num w:numId="16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17">
    <w:abstractNumId w:val="16"/>
  </w:num>
  <w:num w:numId="18">
    <w:abstractNumId w:val="8"/>
  </w:num>
  <w:num w:numId="19">
    <w:abstractNumId w:val="5"/>
  </w:num>
  <w:num w:numId="20">
    <w:abstractNumId w:val="18"/>
  </w:num>
  <w:num w:numId="21">
    <w:abstractNumId w:val="32"/>
  </w:num>
  <w:num w:numId="22">
    <w:abstractNumId w:val="13"/>
  </w:num>
  <w:num w:numId="23">
    <w:abstractNumId w:val="34"/>
  </w:num>
  <w:num w:numId="24">
    <w:abstractNumId w:val="30"/>
  </w:num>
  <w:num w:numId="25">
    <w:abstractNumId w:val="2"/>
  </w:num>
  <w:num w:numId="26">
    <w:abstractNumId w:val="19"/>
  </w:num>
  <w:num w:numId="27">
    <w:abstractNumId w:val="20"/>
  </w:num>
  <w:num w:numId="28">
    <w:abstractNumId w:val="21"/>
  </w:num>
  <w:num w:numId="29">
    <w:abstractNumId w:val="4"/>
  </w:num>
  <w:num w:numId="30">
    <w:abstractNumId w:val="11"/>
  </w:num>
  <w:num w:numId="31">
    <w:abstractNumId w:val="24"/>
  </w:num>
  <w:num w:numId="32">
    <w:abstractNumId w:val="10"/>
  </w:num>
  <w:num w:numId="33">
    <w:abstractNumId w:val="7"/>
  </w:num>
  <w:num w:numId="34">
    <w:abstractNumId w:val="25"/>
  </w:num>
  <w:num w:numId="35">
    <w:abstractNumId w:val="12"/>
  </w:num>
  <w:num w:numId="36">
    <w:abstractNumId w:val="29"/>
  </w:num>
  <w:num w:numId="3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lvl w:ilvl="0">
        <w:numFmt w:val="bullet"/>
        <w:lvlText w:val=""/>
        <w:lvlJc w:val="left"/>
        <w:pPr>
          <w:ind w:left="0" w:hanging="360"/>
        </w:pPr>
        <w:rPr>
          <w:rFonts w:ascii="Symbol" w:hAnsi="Symbol" w:hint="default"/>
          <w:color w:val="auto"/>
        </w:rPr>
      </w:lvl>
    </w:lvlOverride>
  </w:num>
  <w:num w:numId="39">
    <w:abstractNumId w:val="15"/>
  </w:num>
  <w:num w:numId="40">
    <w:abstractNumId w:val="22"/>
  </w:num>
  <w:num w:numId="41">
    <w:abstractNumId w:val="3"/>
  </w:num>
  <w:num w:numId="42">
    <w:abstractNumId w:val="9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C0"/>
    <w:rsid w:val="0000352F"/>
    <w:rsid w:val="00010A4D"/>
    <w:rsid w:val="000122F3"/>
    <w:rsid w:val="00034990"/>
    <w:rsid w:val="0005334D"/>
    <w:rsid w:val="00054433"/>
    <w:rsid w:val="00054C58"/>
    <w:rsid w:val="00056F0F"/>
    <w:rsid w:val="00063DFF"/>
    <w:rsid w:val="00085AF6"/>
    <w:rsid w:val="000A1597"/>
    <w:rsid w:val="000C7C8B"/>
    <w:rsid w:val="000D1F2B"/>
    <w:rsid w:val="000D394D"/>
    <w:rsid w:val="000E7346"/>
    <w:rsid w:val="001307DF"/>
    <w:rsid w:val="00145DF7"/>
    <w:rsid w:val="00194E7D"/>
    <w:rsid w:val="001A7442"/>
    <w:rsid w:val="001E391D"/>
    <w:rsid w:val="00237C67"/>
    <w:rsid w:val="002A5636"/>
    <w:rsid w:val="002B0636"/>
    <w:rsid w:val="002B5AEF"/>
    <w:rsid w:val="002B7981"/>
    <w:rsid w:val="002D3663"/>
    <w:rsid w:val="003066BE"/>
    <w:rsid w:val="003227CC"/>
    <w:rsid w:val="00326313"/>
    <w:rsid w:val="00340927"/>
    <w:rsid w:val="0036320A"/>
    <w:rsid w:val="00366C6A"/>
    <w:rsid w:val="00381A92"/>
    <w:rsid w:val="00384191"/>
    <w:rsid w:val="00395794"/>
    <w:rsid w:val="003C16C3"/>
    <w:rsid w:val="003D4EDF"/>
    <w:rsid w:val="003F190C"/>
    <w:rsid w:val="003F326D"/>
    <w:rsid w:val="003F79EF"/>
    <w:rsid w:val="0040402B"/>
    <w:rsid w:val="0043191A"/>
    <w:rsid w:val="00446882"/>
    <w:rsid w:val="004503DC"/>
    <w:rsid w:val="00463600"/>
    <w:rsid w:val="00465162"/>
    <w:rsid w:val="004A5CD7"/>
    <w:rsid w:val="004A6CE5"/>
    <w:rsid w:val="004D7AC0"/>
    <w:rsid w:val="004E64BE"/>
    <w:rsid w:val="00505C80"/>
    <w:rsid w:val="00515DDF"/>
    <w:rsid w:val="00532089"/>
    <w:rsid w:val="00537F29"/>
    <w:rsid w:val="005650A9"/>
    <w:rsid w:val="00586B4B"/>
    <w:rsid w:val="00591A62"/>
    <w:rsid w:val="00593110"/>
    <w:rsid w:val="005A0BDA"/>
    <w:rsid w:val="005A2512"/>
    <w:rsid w:val="005B225E"/>
    <w:rsid w:val="005B6DD4"/>
    <w:rsid w:val="005E7651"/>
    <w:rsid w:val="00601DF4"/>
    <w:rsid w:val="00612898"/>
    <w:rsid w:val="00625CA3"/>
    <w:rsid w:val="00635AF7"/>
    <w:rsid w:val="00641262"/>
    <w:rsid w:val="006559C7"/>
    <w:rsid w:val="00665929"/>
    <w:rsid w:val="00673B8C"/>
    <w:rsid w:val="0068013D"/>
    <w:rsid w:val="00685A3A"/>
    <w:rsid w:val="006D249E"/>
    <w:rsid w:val="006D2C8A"/>
    <w:rsid w:val="006D2D64"/>
    <w:rsid w:val="006E6F14"/>
    <w:rsid w:val="007068C8"/>
    <w:rsid w:val="00707689"/>
    <w:rsid w:val="0072769B"/>
    <w:rsid w:val="00734270"/>
    <w:rsid w:val="00740A23"/>
    <w:rsid w:val="007417EF"/>
    <w:rsid w:val="00754027"/>
    <w:rsid w:val="00766B1A"/>
    <w:rsid w:val="0076787A"/>
    <w:rsid w:val="007B245D"/>
    <w:rsid w:val="007B326F"/>
    <w:rsid w:val="007F5784"/>
    <w:rsid w:val="00802750"/>
    <w:rsid w:val="00803D75"/>
    <w:rsid w:val="0080647A"/>
    <w:rsid w:val="00811D4F"/>
    <w:rsid w:val="00836765"/>
    <w:rsid w:val="00845F24"/>
    <w:rsid w:val="008541DE"/>
    <w:rsid w:val="008633EF"/>
    <w:rsid w:val="00871818"/>
    <w:rsid w:val="0088219D"/>
    <w:rsid w:val="00896BC8"/>
    <w:rsid w:val="008A27AD"/>
    <w:rsid w:val="008A6059"/>
    <w:rsid w:val="008B60A3"/>
    <w:rsid w:val="008C414B"/>
    <w:rsid w:val="008D0052"/>
    <w:rsid w:val="009041AE"/>
    <w:rsid w:val="00926A3C"/>
    <w:rsid w:val="00946B15"/>
    <w:rsid w:val="009679E7"/>
    <w:rsid w:val="00973F68"/>
    <w:rsid w:val="00993489"/>
    <w:rsid w:val="009E1915"/>
    <w:rsid w:val="009E4148"/>
    <w:rsid w:val="009F1AE3"/>
    <w:rsid w:val="00A00905"/>
    <w:rsid w:val="00A20E9D"/>
    <w:rsid w:val="00A23E40"/>
    <w:rsid w:val="00A272B2"/>
    <w:rsid w:val="00A44608"/>
    <w:rsid w:val="00A50553"/>
    <w:rsid w:val="00A51688"/>
    <w:rsid w:val="00A96C92"/>
    <w:rsid w:val="00AA61BE"/>
    <w:rsid w:val="00B005F2"/>
    <w:rsid w:val="00B203DA"/>
    <w:rsid w:val="00B3176C"/>
    <w:rsid w:val="00B518C9"/>
    <w:rsid w:val="00B730AD"/>
    <w:rsid w:val="00B8543B"/>
    <w:rsid w:val="00B94F6D"/>
    <w:rsid w:val="00BA2A2C"/>
    <w:rsid w:val="00BB4CB5"/>
    <w:rsid w:val="00BC676C"/>
    <w:rsid w:val="00BE54B3"/>
    <w:rsid w:val="00BF235F"/>
    <w:rsid w:val="00BF3C21"/>
    <w:rsid w:val="00C008B4"/>
    <w:rsid w:val="00C1207D"/>
    <w:rsid w:val="00C17ABD"/>
    <w:rsid w:val="00C2078A"/>
    <w:rsid w:val="00C24C34"/>
    <w:rsid w:val="00C26C67"/>
    <w:rsid w:val="00C44A35"/>
    <w:rsid w:val="00C61F36"/>
    <w:rsid w:val="00C62A6C"/>
    <w:rsid w:val="00C7741D"/>
    <w:rsid w:val="00C821A5"/>
    <w:rsid w:val="00C82E34"/>
    <w:rsid w:val="00C913CA"/>
    <w:rsid w:val="00CC18D0"/>
    <w:rsid w:val="00D07777"/>
    <w:rsid w:val="00D40BB6"/>
    <w:rsid w:val="00D43613"/>
    <w:rsid w:val="00D6499D"/>
    <w:rsid w:val="00D7076A"/>
    <w:rsid w:val="00D81F5E"/>
    <w:rsid w:val="00D92269"/>
    <w:rsid w:val="00DB1B79"/>
    <w:rsid w:val="00DE176A"/>
    <w:rsid w:val="00DF03F8"/>
    <w:rsid w:val="00E00A6B"/>
    <w:rsid w:val="00E13363"/>
    <w:rsid w:val="00E22D43"/>
    <w:rsid w:val="00E77899"/>
    <w:rsid w:val="00E82D3E"/>
    <w:rsid w:val="00E95CBE"/>
    <w:rsid w:val="00E963DF"/>
    <w:rsid w:val="00E972B2"/>
    <w:rsid w:val="00EA023B"/>
    <w:rsid w:val="00EA066E"/>
    <w:rsid w:val="00EB462E"/>
    <w:rsid w:val="00ED76AC"/>
    <w:rsid w:val="00EE643E"/>
    <w:rsid w:val="00EE6F0B"/>
    <w:rsid w:val="00EF2BEB"/>
    <w:rsid w:val="00F104CA"/>
    <w:rsid w:val="00F2608E"/>
    <w:rsid w:val="00F26C84"/>
    <w:rsid w:val="00F41BE1"/>
    <w:rsid w:val="00F65006"/>
    <w:rsid w:val="00F733BE"/>
    <w:rsid w:val="00F73CD8"/>
    <w:rsid w:val="00F83C17"/>
    <w:rsid w:val="00F96D7F"/>
    <w:rsid w:val="00FC43EF"/>
    <w:rsid w:val="00FC456F"/>
    <w:rsid w:val="00FC6741"/>
    <w:rsid w:val="00FE5F71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2DD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AC0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D7AC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4D7AC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AC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aliases w:val="Footnote symbol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7AC0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B518C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612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82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E97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8D0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BC6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053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B85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465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8A6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685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685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836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012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237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C91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450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rsid w:val="00ED7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rsid w:val="009F1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A27A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6F0F"/>
    <w:rPr>
      <w:color w:val="605E5C"/>
      <w:shd w:val="clear" w:color="auto" w:fill="E1DFDD"/>
    </w:rPr>
  </w:style>
  <w:style w:type="table" w:customStyle="1" w:styleId="TableGrid19">
    <w:name w:val="Table Grid19"/>
    <w:basedOn w:val="TableNormal"/>
    <w:next w:val="TableGrid"/>
    <w:rsid w:val="00CC1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1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1DE"/>
    <w:rPr>
      <w:rFonts w:ascii="Segoe UI" w:eastAsia="Times New Roman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EE643E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BB4CB5"/>
    <w:pPr>
      <w:spacing w:before="100" w:beforeAutospacing="1" w:after="100" w:afterAutospacing="1" w:line="240" w:lineRule="auto"/>
      <w:jc w:val="left"/>
    </w:pPr>
    <w:rPr>
      <w:sz w:val="24"/>
      <w:szCs w:val="24"/>
      <w:lang w:eastAsia="fr-BE"/>
    </w:rPr>
  </w:style>
  <w:style w:type="character" w:styleId="Strong">
    <w:name w:val="Strong"/>
    <w:basedOn w:val="DefaultParagraphFont"/>
    <w:uiPriority w:val="22"/>
    <w:qFormat/>
    <w:rsid w:val="00BB4CB5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0D1F2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msearch.eesc.europa.eu/search/opinion" TargetMode="External"/><Relationship Id="rId18" Type="http://schemas.openxmlformats.org/officeDocument/2006/relationships/hyperlink" Target="mailto:Georgios.Meleas@eesc.europa.eu" TargetMode="External"/><Relationship Id="rId26" Type="http://schemas.openxmlformats.org/officeDocument/2006/relationships/hyperlink" Target="https://www.eesc.europa.eu/hr/our-work/opinions-information-reports/opinions/eu-space-act" TargetMode="External"/><Relationship Id="rId39" Type="http://schemas.openxmlformats.org/officeDocument/2006/relationships/hyperlink" Target="mailto:Martine.Delanoy@eesc.europa.eu" TargetMode="External"/><Relationship Id="rId21" Type="http://schemas.openxmlformats.org/officeDocument/2006/relationships/hyperlink" Target="https://www.eesc.europa.eu/hr/our-work/opinions-information-reports/opinions/agoraeu-and-justice-programmes" TargetMode="External"/><Relationship Id="rId34" Type="http://schemas.openxmlformats.org/officeDocument/2006/relationships/hyperlink" Target="https://www.eesc.europa.eu/hr/our-work/opinions-information-reports/opinions/competitiveness-fund" TargetMode="External"/><Relationship Id="rId42" Type="http://schemas.openxmlformats.org/officeDocument/2006/relationships/hyperlink" Target="mailto:Marie-Laurence.Drillon@eesc.europa.eu" TargetMode="External"/><Relationship Id="rId47" Type="http://schemas.openxmlformats.org/officeDocument/2006/relationships/hyperlink" Target="https://www.eesc.europa.eu/hr/our-work/opinions-information-reports/opinions/facilitating-potential-permanent-materials-eu-circular-economy" TargetMode="External"/><Relationship Id="rId50" Type="http://schemas.openxmlformats.org/officeDocument/2006/relationships/hyperlink" Target="mailto:Adam.Dorywalski@eesc.europa.eu" TargetMode="External"/><Relationship Id="rId55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eesc.europa.eu/en/our-work/opinions-information-reports/plenary-session-summaries" TargetMode="External"/><Relationship Id="rId17" Type="http://schemas.openxmlformats.org/officeDocument/2006/relationships/hyperlink" Target="https://www.eesc.europa.eu/hr/our-work/opinions-information-reports/opinions/establishing-european-fund-regional-development-including-european-territorial-cooperation-interreg-and-cohesion-fund" TargetMode="External"/><Relationship Id="rId25" Type="http://schemas.openxmlformats.org/officeDocument/2006/relationships/hyperlink" Target="mailto:Maja.Radman@eesc.europa.eu" TargetMode="External"/><Relationship Id="rId33" Type="http://schemas.openxmlformats.org/officeDocument/2006/relationships/hyperlink" Target="mailto:Silvia.Staffa@eesc.europa.eu" TargetMode="External"/><Relationship Id="rId38" Type="http://schemas.openxmlformats.org/officeDocument/2006/relationships/hyperlink" Target="https://www.eesc.europa.eu/hr/our-work/opinions-information-reports/opinions/amendment-deforestation-regulation-eu-20231115" TargetMode="External"/><Relationship Id="rId46" Type="http://schemas.openxmlformats.org/officeDocument/2006/relationships/hyperlink" Target="mailto:Katarina.Albrechtova@eesc.europ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eorgios.Meleas@eesc.europa.eu" TargetMode="External"/><Relationship Id="rId20" Type="http://schemas.openxmlformats.org/officeDocument/2006/relationships/hyperlink" Target="mailto:june.bedaton@eesc.europa.eu" TargetMode="External"/><Relationship Id="rId29" Type="http://schemas.openxmlformats.org/officeDocument/2006/relationships/hyperlink" Target="mailto:Albert.Precup@eesc.europa.eu" TargetMode="External"/><Relationship Id="rId41" Type="http://schemas.openxmlformats.org/officeDocument/2006/relationships/hyperlink" Target="mailto:Arturo.Iniguez@eesc.europa.eu" TargetMode="Externa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eur-lex.europa.eu/eli/C/2023/874/oj" TargetMode="External"/><Relationship Id="rId32" Type="http://schemas.openxmlformats.org/officeDocument/2006/relationships/hyperlink" Target="https://www.eesc.europa.eu/hr/our-work/opinions-information-reports/opinions/report-competition-policy-2024" TargetMode="External"/><Relationship Id="rId37" Type="http://schemas.openxmlformats.org/officeDocument/2006/relationships/hyperlink" Target="mailto:Annalisa.Tessarolo@eesc.europa.eu" TargetMode="External"/><Relationship Id="rId40" Type="http://schemas.openxmlformats.org/officeDocument/2006/relationships/hyperlink" Target="https://www.eesc.europa.eu/en/our-work/opinions-information-reports/opinions/revision-union-civil-protection-mechanism" TargetMode="External"/><Relationship Id="rId45" Type="http://schemas.openxmlformats.org/officeDocument/2006/relationships/hyperlink" Target="https://www.eesc.europa.eu/en/our-work/opinions-information-reports/opinions/predictable-and-common-european-way-forward-ukrainians-eu" TargetMode="External"/><Relationship Id="rId53" Type="http://schemas.openxmlformats.org/officeDocument/2006/relationships/footer" Target="footer2.xml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esc.europa.eu/hr/our-work/opinions-information-reports/opinions/implementation-eu-macro-regional-strategies-5th-report" TargetMode="External"/><Relationship Id="rId23" Type="http://schemas.openxmlformats.org/officeDocument/2006/relationships/hyperlink" Target="https://www.eesc.europa.eu/hr/our-work/opinions-information-reports/opinions/co2-emission-class-heavy-duty-vehicles-trailers-0" TargetMode="External"/><Relationship Id="rId28" Type="http://schemas.openxmlformats.org/officeDocument/2006/relationships/hyperlink" Target="https://www.eesc.europa.eu/hr/our-work/opinions-information-reports/opinions/nuclear-illustrative-programme-1" TargetMode="External"/><Relationship Id="rId36" Type="http://schemas.openxmlformats.org/officeDocument/2006/relationships/hyperlink" Target="https://www.eesc.europa.eu/hr/our-work/opinions-information-reports/opinions/review-european-public-procurement-legal-framework" TargetMode="External"/><Relationship Id="rId49" Type="http://schemas.openxmlformats.org/officeDocument/2006/relationships/hyperlink" Target="https://www.eesc.europa.eu/hr/our-work/opinions-information-reports/opinions/industrial-cooperatives-tool-challenge-inclusive-and-sustainable-competitiveness" TargetMode="Externa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eesc.europa.eu/hr/our-work/opinions-information-reports/opinions/labour-rights-journalists-and-media-professionals-safeguard-independence-and-truthful-information" TargetMode="External"/><Relationship Id="rId31" Type="http://schemas.openxmlformats.org/officeDocument/2006/relationships/hyperlink" Target="mailto:Annalisa.Tessarolo@eesc.europa.eu" TargetMode="External"/><Relationship Id="rId44" Type="http://schemas.openxmlformats.org/officeDocument/2006/relationships/hyperlink" Target="mailto:Daniele.Vitali@eesc.europa.eu" TargetMode="External"/><Relationship Id="rId52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Alessia.Cova@eesc.europa.eu" TargetMode="External"/><Relationship Id="rId27" Type="http://schemas.openxmlformats.org/officeDocument/2006/relationships/hyperlink" Target="mailto:GiorgiaAndrea.Bordignon@eesc.europa.eu" TargetMode="External"/><Relationship Id="rId30" Type="http://schemas.openxmlformats.org/officeDocument/2006/relationships/hyperlink" Target="https://www.eesc.europa.eu/hr/our-work/opinions-information-reports/opinions/single-market-strategy" TargetMode="External"/><Relationship Id="rId35" Type="http://schemas.openxmlformats.org/officeDocument/2006/relationships/hyperlink" Target="mailto:Silvia.Staffa@eesc.europa.eu" TargetMode="External"/><Relationship Id="rId43" Type="http://schemas.openxmlformats.org/officeDocument/2006/relationships/hyperlink" Target="https://www.eesc.europa.eu/en/our-work/opinions-information-reports/opinions/global-europe-multiannual-financial-framework-proposal" TargetMode="External"/><Relationship Id="rId48" Type="http://schemas.openxmlformats.org/officeDocument/2006/relationships/hyperlink" Target="mailto:Adam.Dorywalski@eesc.europa.eu" TargetMode="External"/><Relationship Id="rId56" Type="http://schemas.openxmlformats.org/officeDocument/2006/relationships/footer" Target="footer4.xml"/><Relationship Id="rId8" Type="http://schemas.openxmlformats.org/officeDocument/2006/relationships/webSettings" Target="webSetting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igital-strategy.ec.europa.eu/en/library/recommendation-protection-safety-and-empowerment-journalists" TargetMode="External"/><Relationship Id="rId7" Type="http://schemas.openxmlformats.org/officeDocument/2006/relationships/hyperlink" Target="https://eur-lex.europa.eu/legal-content/HR/TXT/?uri=uriserv%3AOJ.C_.2022.275.01.0088.01.ENG&amp;toc=OJ%3AC%3A2022%3A275%3ATOC" TargetMode="External"/><Relationship Id="rId2" Type="http://schemas.openxmlformats.org/officeDocument/2006/relationships/hyperlink" Target="https://eur-lex.europa.eu/legal-content/HR/TXT/?uri=CELEX%3A52022XC0930%2802%29" TargetMode="External"/><Relationship Id="rId1" Type="http://schemas.openxmlformats.org/officeDocument/2006/relationships/hyperlink" Target="https://eur-lex.europa.eu/legal-content/HR/TXT/?uri=legissum:4623532" TargetMode="External"/><Relationship Id="rId6" Type="http://schemas.openxmlformats.org/officeDocument/2006/relationships/hyperlink" Target="https://www.eesc.europa.eu/hr/our-work/opinions-information-reports/opinions/minimising-risk-deforestation-and-forest-degradation-associated-products-placed-eu-market" TargetMode="External"/><Relationship Id="rId5" Type="http://schemas.openxmlformats.org/officeDocument/2006/relationships/hyperlink" Target="https://eur-lex.europa.eu/legal-content/HR/TXT/?uri=OJ:C_202406882" TargetMode="External"/><Relationship Id="rId4" Type="http://schemas.openxmlformats.org/officeDocument/2006/relationships/hyperlink" Target="http://data.europa.eu/eli/C/2025/114/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192796EE9568A4C8E77C6EF5F22B614" ma:contentTypeVersion="4" ma:contentTypeDescription="Defines the documents for Document Manager V2" ma:contentTypeScope="" ma:versionID="b9faea45a7e02bbb816d4162149d5e49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27994258-8564-426c-a7a1-d6286d62992e" targetNamespace="http://schemas.microsoft.com/office/2006/metadata/properties" ma:root="true" ma:fieldsID="af51dee0f9c2d9a0a51b5858d1a4441d" ns2:_="" ns3:_="" ns4:_="">
    <xsd:import namespace="1a33af13-4045-4f88-9d7b-618e30f79918"/>
    <xsd:import namespace="http://schemas.microsoft.com/sharepoint/v3/fields"/>
    <xsd:import namespace="27994258-8564-426c-a7a1-d6286d6299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4258-8564-426c-a7a1-d6286d62992e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A6WAAD5KZT2Q-284857674-6406</_dlc_DocId>
    <_dlc_DocIdUrl xmlns="1a33af13-4045-4f88-9d7b-618e30f79918">
      <Url>http://dm/eesc/2025/_layouts/15/DocIdRedir.aspx?ID=A6WAAD5KZT2Q-284857674-6406</Url>
      <Description>A6WAAD5KZT2Q-284857674-6406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2025-12-19T12:00:00+00:00</ProductionDate>
    <DocumentNumber xmlns="27994258-8564-426c-a7a1-d6286d62992e">3552</DocumentNumber>
    <FicheYear xmlns="1a33af13-4045-4f88-9d7b-618e30f79918" xsi:nil="true"/>
    <DossierNumber xmlns="1a33af13-4045-4f88-9d7b-618e30f7991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TaxCatchAll xmlns="1a33af13-4045-4f88-9d7b-618e30f79918">
      <Value>67</Value>
      <Value>50</Value>
      <Value>47</Value>
      <Value>46</Value>
      <Value>42</Value>
      <Value>41</Value>
      <Value>40</Value>
      <Value>39</Value>
      <Value>37</Value>
      <Value>36</Value>
      <Value>35</Value>
      <Value>34</Value>
      <Value>33</Value>
      <Value>31</Value>
      <Value>30</Value>
      <Value>29</Value>
      <Value>28</Value>
      <Value>27</Value>
      <Value>24</Value>
      <Value>23</Value>
      <Value>19</Value>
      <Value>16</Value>
      <Value>15</Value>
      <Value>13</Value>
      <Value>12</Value>
      <Value>8</Value>
      <Value>5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DocumentLanguage_0>
    <MeetingDate xmlns="1a33af13-4045-4f88-9d7b-618e30f79918">2026-01-21T12:00:00+00:00</MeetingDate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297819</FicheNumber>
    <OriginalSender xmlns="1a33af13-4045-4f88-9d7b-618e30f79918">
      <UserInfo>
        <DisplayName>Briski Petra</DisplayName>
        <AccountId>1551</AccountId>
        <AccountType/>
      </UserInfo>
    </OriginalSender>
    <DocumentPart xmlns="1a33af13-4045-4f88-9d7b-618e30f79918">0</DocumentPart>
    <AdoptionDate xmlns="1a33af13-4045-4f88-9d7b-618e30f79918" xsi:nil="true"/>
    <RequestingService xmlns="1a33af13-4045-4f88-9d7b-618e30f79918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27994258-8564-426c-a7a1-d6286d62992e" xsi:nil="true"/>
    <DossierName_0 xmlns="http://schemas.microsoft.com/sharepoint/v3/fields">
      <Terms xmlns="http://schemas.microsoft.com/office/infopath/2007/PartnerControls"/>
    </DossierName_0>
    <DocumentVersion xmlns="1a33af13-4045-4f88-9d7b-618e30f79918">0</DocumentVersion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5982D98-2B49-4D8D-9E82-3A196D630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74885-68D2-4693-9872-00BD2AE49653}"/>
</file>

<file path=customXml/itemProps3.xml><?xml version="1.0" encoding="utf-8"?>
<ds:datastoreItem xmlns:ds="http://schemas.openxmlformats.org/officeDocument/2006/customXml" ds:itemID="{FA5B0471-EE33-4BA9-BB89-D492EFC236E6}">
  <ds:schemaRefs>
    <ds:schemaRef ds:uri="http://schemas.microsoft.com/office/2006/metadata/properties"/>
    <ds:schemaRef ds:uri="http://schemas.microsoft.com/office/infopath/2007/PartnerControls"/>
    <ds:schemaRef ds:uri="bdd5dab9-bfdd-4431-a245-30f3c6677de9"/>
    <ds:schemaRef ds:uri="http://schemas.microsoft.com/sharepoint/v3/fields"/>
    <ds:schemaRef ds:uri="eb21defb-1074-42ca-8d3e-c3f375910b41"/>
  </ds:schemaRefs>
</ds:datastoreItem>
</file>

<file path=customXml/itemProps4.xml><?xml version="1.0" encoding="utf-8"?>
<ds:datastoreItem xmlns:ds="http://schemas.openxmlformats.org/officeDocument/2006/customXml" ds:itemID="{4550B7D9-B944-4719-A93C-2F495E0415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6853</Words>
  <Characters>37692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EESC new model</vt:lpstr>
    </vt:vector>
  </TitlesOfParts>
  <Manager/>
  <Company/>
  <LinksUpToDate>false</LinksUpToDate>
  <CharactersWithSpaces>44457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mišljenja - 601. plenarno zasjedanje - prosinac 2025.</dc:title>
  <dc:subject>ADMIN</dc:subject>
  <dc:creator/>
  <cp:keywords>COR-EESC-2022-02583-00-00-ADMIN-TRA-EN</cp:keywords>
  <dc:description>Rapporteur:  - Original language: EN - Date of document: 20/05/2022 - Date of meeting:  - External documents:  - Administrator:  SUCIU Serban</dc:description>
  <cp:lastModifiedBy/>
  <cp:revision>16</cp:revision>
  <dcterms:created xsi:type="dcterms:W3CDTF">2025-12-17T14:57:00Z</dcterms:created>
  <dcterms:modified xsi:type="dcterms:W3CDTF">2025-12-19T15:32:00Z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15/12/2025, 02/05/2022, 02/05/2022, 28/06/2021</vt:lpwstr>
  </property>
  <property fmtid="{D5CDD505-2E9C-101B-9397-08002B2CF9AE}" pid="4" name="Pref_Time">
    <vt:lpwstr>11:21:32, 12:28:29, 12:25:37, 08:41:48</vt:lpwstr>
  </property>
  <property fmtid="{D5CDD505-2E9C-101B-9397-08002B2CF9AE}" pid="5" name="Pref_User">
    <vt:lpwstr>jhvi, enied, enied, enied</vt:lpwstr>
  </property>
  <property fmtid="{D5CDD505-2E9C-101B-9397-08002B2CF9AE}" pid="6" name="Pref_FileName">
    <vt:lpwstr>EESC-2025-03552-00-00-TCD-ORI.docx, Summary of opinions.docx, COR-EESC-2022-02370-00-00-ADMIN-ORI.docx, Synthese des avis Template.docx</vt:lpwstr>
  </property>
  <property fmtid="{D5CDD505-2E9C-101B-9397-08002B2CF9AE}" pid="7" name="ContentTypeId">
    <vt:lpwstr>0x010100EA97B91038054C99906057A708A1480A00B192796EE9568A4C8E77C6EF5F22B614</vt:lpwstr>
  </property>
  <property fmtid="{D5CDD505-2E9C-101B-9397-08002B2CF9AE}" pid="8" name="_dlc_DocIdItemGuid">
    <vt:lpwstr>56dc88ca-630f-43d8-abcc-9c247e74c849</vt:lpwstr>
  </property>
  <property fmtid="{D5CDD505-2E9C-101B-9397-08002B2CF9AE}" pid="9" name="AvailableTranslations">
    <vt:lpwstr>23;#DE|f6b31e5a-26fa-4935-b661-318e46daf27e;#30;#LT|a7ff5ce7-6123-4f68-865a-a57c31810414;#28;#SV|c2ed69e7-a339-43d7-8f22-d93680a92aa0;#27;#NL|55c6556c-b4f4-441d-9acf-c498d4f838bd;#41;#ET|ff6c3f4c-b02c-4c3c-ab07-2c37995a7a0a;#5;#EN|f2175f21-25d7-44a3-96da-d6a61b075e1b;#35;#FI|87606a43-d45f-42d6-b8c9-e1a3457db5b7;#39;#LV|46f7e311-5d9f-4663-b433-18aeccb7ace7;#40;#DA|5d49c027-8956-412b-aa16-e85a0f96ad0e;#42;#EL|6d4f4d51-af9b-4650-94b4-4276bee85c91;#34;#IT|0774613c-01ed-4e5d-a25d-11d2388de825;#46;#SK|46d9fce0-ef79-4f71-b89b-cd6aa82426b8;#12;#FR|d2afafd3-4c81-4f60-8f52-ee33f2f54ff3;#50;#HR|2f555653-ed1a-4fe6-8362-9082d95989e5;#31;#SL|98a412ae-eb01-49e9-ae3d-585a81724cfc;#29;#CS|72f9705b-0217-4fd3-bea2-cbc7ed80e26e;#37;#HU|6b229040-c589-4408-b4c1-4285663d20a8;#36;#RO|feb747a2-64cd-4299-af12-4833ddc30497;#16;#ES|e7a6b05b-ae16-40c8-add9-68b64b03aeba;#33;#PT|50ccc04a-eadd-42ae-a0cb-acaf45f812ba;#24;#PL|1e03da61-4678-4e07-b136-b5024ca9197b;#47;#BG|1a1b3951-7821-4e6a-85f5-5673fc08bd2c</vt:lpwstr>
  </property>
  <property fmtid="{D5CDD505-2E9C-101B-9397-08002B2CF9AE}" pid="10" name="DocumentType_0">
    <vt:lpwstr>TCD|cd9d6eb6-3f4f-424a-b2d1-57c9d450eaaf</vt:lpwstr>
  </property>
  <property fmtid="{D5CDD505-2E9C-101B-9397-08002B2CF9AE}" pid="11" name="DocumentSource_0">
    <vt:lpwstr>EESC|422833ec-8d7e-4e65-8e4e-8bed07ffb729</vt:lpwstr>
  </property>
  <property fmtid="{D5CDD505-2E9C-101B-9397-08002B2CF9AE}" pid="12" name="ProductionDate">
    <vt:filetime>2022-05-18T12:00:00Z</vt:filetime>
  </property>
  <property fmtid="{D5CDD505-2E9C-101B-9397-08002B2CF9AE}" pid="13" name="DocumentNumber">
    <vt:i4>3552</vt:i4>
  </property>
  <property fmtid="{D5CDD505-2E9C-101B-9397-08002B2CF9AE}" pid="14" name="DocumentVersion">
    <vt:i4>0</vt:i4>
  </property>
  <property fmtid="{D5CDD505-2E9C-101B-9397-08002B2CF9AE}" pid="15" name="DocumentStatus">
    <vt:lpwstr>13;#TRA|150d2a88-1431-44e6-a8ca-0bb753ab8672</vt:lpwstr>
  </property>
  <property fmtid="{D5CDD505-2E9C-101B-9397-08002B2CF9AE}" pid="16" name="DossierName">
    <vt:lpwstr/>
  </property>
  <property fmtid="{D5CDD505-2E9C-101B-9397-08002B2CF9AE}" pid="17" name="Confidentiality_0">
    <vt:lpwstr>Unrestricted|826e22d7-d029-4ec0-a450-0c28ff673572</vt:lpwstr>
  </property>
  <property fmtid="{D5CDD505-2E9C-101B-9397-08002B2CF9AE}" pid="18" name="Confidentiality">
    <vt:lpwstr>15;#Unrestricted|826e22d7-d029-4ec0-a450-0c28ff673572</vt:lpwstr>
  </property>
  <property fmtid="{D5CDD505-2E9C-101B-9397-08002B2CF9AE}" pid="19" name="OriginalLanguage">
    <vt:lpwstr>5;#EN|f2175f21-25d7-44a3-96da-d6a61b075e1b</vt:lpwstr>
  </property>
  <property fmtid="{D5CDD505-2E9C-101B-9397-08002B2CF9AE}" pid="20" name="MeetingName">
    <vt:lpwstr>67;#SPL-CES|32d8cb1f-c9ec-4365-95c7-8385a18618ac</vt:lpwstr>
  </property>
  <property fmtid="{D5CDD505-2E9C-101B-9397-08002B2CF9AE}" pid="21" name="TaxCatchAll">
    <vt:lpwstr>67;#SPL-CES|32d8cb1f-c9ec-4365-95c7-8385a18618ac;#15;#Unrestricted|826e22d7-d029-4ec0-a450-0c28ff673572;#13;#TRA|150d2a88-1431-44e6-a8ca-0bb753ab8672;#12;#FR|d2afafd3-4c81-4f60-8f52-ee33f2f54ff3;#8;#Final|ea5e6674-7b27-4bac-b091-73adbb394efe;#5;#EN|f2175f21-25d7-44a3-96da-d6a61b075e1b;#16;#ES|e7a6b05b-ae16-40c8-add9-68b64b03aeba;#19;#TCD|cd9d6eb6-3f4f-424a-b2d1-57c9d450eaaf;#1;#EESC|422833ec-8d7e-4e65-8e4e-8bed07ffb729;#34;#IT|0774613c-01ed-4e5d-a25d-11d2388de825</vt:lpwstr>
  </property>
  <property fmtid="{D5CDD505-2E9C-101B-9397-08002B2CF9AE}" pid="22" name="DocumentLanguage_0">
    <vt:lpwstr>EN|f2175f21-25d7-44a3-96da-d6a61b075e1b</vt:lpwstr>
  </property>
  <property fmtid="{D5CDD505-2E9C-101B-9397-08002B2CF9AE}" pid="23" name="VersionStatus_0">
    <vt:lpwstr>Final|ea5e6674-7b27-4bac-b091-73adbb394efe</vt:lpwstr>
  </property>
  <property fmtid="{D5CDD505-2E9C-101B-9397-08002B2CF9AE}" pid="24" name="VersionStatus">
    <vt:lpwstr>8;#Final|ea5e6674-7b27-4bac-b091-73adbb394efe</vt:lpwstr>
  </property>
  <property fmtid="{D5CDD505-2E9C-101B-9397-08002B2CF9AE}" pid="25" name="DocumentYear">
    <vt:i4>2025</vt:i4>
  </property>
  <property fmtid="{D5CDD505-2E9C-101B-9397-08002B2CF9AE}" pid="26" name="FicheNumber">
    <vt:i4>297819</vt:i4>
  </property>
  <property fmtid="{D5CDD505-2E9C-101B-9397-08002B2CF9AE}" pid="27" name="OriginalSender">
    <vt:lpwstr>1528;#TDriveSVCUserProd</vt:lpwstr>
  </property>
  <property fmtid="{D5CDD505-2E9C-101B-9397-08002B2CF9AE}" pid="28" name="DocumentPart">
    <vt:i4>0</vt:i4>
  </property>
  <property fmtid="{D5CDD505-2E9C-101B-9397-08002B2CF9AE}" pid="29" name="DocumentSource">
    <vt:lpwstr>1;#EESC|422833ec-8d7e-4e65-8e4e-8bed07ffb729</vt:lpwstr>
  </property>
  <property fmtid="{D5CDD505-2E9C-101B-9397-08002B2CF9AE}" pid="30" name="DocumentType">
    <vt:lpwstr>19;#TCD|cd9d6eb6-3f4f-424a-b2d1-57c9d450eaaf</vt:lpwstr>
  </property>
  <property fmtid="{D5CDD505-2E9C-101B-9397-08002B2CF9AE}" pid="31" name="RequestingService">
    <vt:lpwstr>Greffe</vt:lpwstr>
  </property>
  <property fmtid="{D5CDD505-2E9C-101B-9397-08002B2CF9AE}" pid="32" name="DocumentLanguage">
    <vt:lpwstr>50;#HR|2f555653-ed1a-4fe6-8362-9082d95989e5</vt:lpwstr>
  </property>
  <property fmtid="{D5CDD505-2E9C-101B-9397-08002B2CF9AE}" pid="33" name="AvailableTranslations_0">
    <vt:lpwstr>EN|f2175f21-25d7-44a3-96da-d6a61b075e1b;IT|0774613c-01ed-4e5d-a25d-11d2388de825;FR|d2afafd3-4c81-4f60-8f52-ee33f2f54ff3;ES|e7a6b05b-ae16-40c8-add9-68b64b03aeba</vt:lpwstr>
  </property>
  <property fmtid="{D5CDD505-2E9C-101B-9397-08002B2CF9AE}" pid="34" name="DocumentStatus_0">
    <vt:lpwstr>TRA|150d2a88-1431-44e6-a8ca-0bb753ab8672</vt:lpwstr>
  </property>
  <property fmtid="{D5CDD505-2E9C-101B-9397-08002B2CF9AE}" pid="35" name="OriginalLanguage_0">
    <vt:lpwstr>EN|f2175f21-25d7-44a3-96da-d6a61b075e1b</vt:lpwstr>
  </property>
  <property fmtid="{D5CDD505-2E9C-101B-9397-08002B2CF9AE}" pid="36" name="_docset_NoMedatataSyncRequired">
    <vt:lpwstr>False</vt:lpwstr>
  </property>
  <property fmtid="{D5CDD505-2E9C-101B-9397-08002B2CF9AE}" pid="37" name="MeetingName_0">
    <vt:lpwstr>SPL-CES|32d8cb1f-c9ec-4365-95c7-8385a18618ac</vt:lpwstr>
  </property>
  <property fmtid="{D5CDD505-2E9C-101B-9397-08002B2CF9AE}" pid="38" name="DossierName_0">
    <vt:lpwstr/>
  </property>
  <property fmtid="{D5CDD505-2E9C-101B-9397-08002B2CF9AE}" pid="39" name="MeetingDate">
    <vt:filetime>2026-01-21T12:00:00Z</vt:filetime>
  </property>
</Properties>
</file>