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6D915BD2" w:rsidR="004D7AC0" w:rsidRDefault="005865B2" w:rsidP="004D7AC0">
      <w:pPr>
        <w:jc w:val="center"/>
      </w:pPr>
      <w:r>
        <w:rPr>
          <w:noProof/>
        </w:rPr>
        <w:drawing>
          <wp:inline distT="0" distB="0" distL="0" distR="0" wp14:anchorId="5391B2A3" wp14:editId="37BD206A">
            <wp:extent cx="1792605" cy="1239520"/>
            <wp:effectExtent l="0" t="0" r="0" b="0"/>
            <wp:docPr id="1" name="Picture 1" title="EESCLogo_FR"/>
            <wp:cNvGraphicFramePr/>
            <a:graphic xmlns:a="http://schemas.openxmlformats.org/drawingml/2006/main">
              <a:graphicData uri="http://schemas.openxmlformats.org/drawingml/2006/picture">
                <pic:pic xmlns:pic="http://schemas.openxmlformats.org/drawingml/2006/picture">
                  <pic:nvPicPr>
                    <pic:cNvPr id="1" name="Picture 1"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7C7C74E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Bruxelles, le 17 décembre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w:t>
            </w:r>
            <w:r>
              <w:rPr>
                <w:b/>
                <w:sz w:val="32"/>
                <w:vertAlign w:val="superscript"/>
              </w:rPr>
              <w:t>e</w:t>
            </w:r>
            <w:r>
              <w:rPr>
                <w:b/>
                <w:sz w:val="32"/>
              </w:rPr>
              <w:t> SESSION PLÉNIÈRE</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et 4 décembre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SYNTHÈSE DES AVIS, RÉSOLUTIONS ET RAPPORTS D’INFORMATION/D’ÉVALUATION ADOPTÉS</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Ce document est disponible dans toutes les langues officielles de l’Union européenne</w:t>
            </w:r>
            <w:r>
              <w:br/>
              <w:t>sur le site internet du CESE à l’adresse suivante:</w:t>
            </w:r>
            <w:r>
              <w:br/>
            </w:r>
            <w:r>
              <w:br/>
            </w:r>
            <w:hyperlink r:id="rId12" w:history="1">
              <w:r>
                <w:rPr>
                  <w:rStyle w:val="Hyperlink"/>
                </w:rPr>
                <w:t>https://www.eesc.europa.eu/fr/our-work/opinions-information-reports/plenary-session-summaries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Les avis mentionnés peuvent être consultés en ligne au moyen du moteur de recherche du CESE:</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Table des matières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412F0159" w14:textId="275C1FCD" w:rsidR="009F3671" w:rsidRDefault="004D7AC0" w:rsidP="009F3671">
          <w:pPr>
            <w:pStyle w:val="TOC1"/>
            <w:tabs>
              <w:tab w:val="clear" w:pos="9063"/>
              <w:tab w:val="right" w:leader="dot" w:pos="9498"/>
            </w:tabs>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216797862" w:history="1">
            <w:r w:rsidR="009F3671" w:rsidRPr="00DD304E">
              <w:rPr>
                <w:rStyle w:val="Hyperlink"/>
                <w:b/>
                <w:noProof/>
              </w:rPr>
              <w:t>1.</w:t>
            </w:r>
            <w:r w:rsidR="009F3671">
              <w:rPr>
                <w:rFonts w:asciiTheme="minorHAnsi" w:eastAsiaTheme="minorEastAsia" w:hAnsiTheme="minorHAnsi" w:cstheme="minorBidi"/>
                <w:noProof/>
                <w:lang w:val="fr-BE" w:eastAsia="fr-BE"/>
              </w:rPr>
              <w:tab/>
            </w:r>
            <w:r w:rsidR="009F3671" w:rsidRPr="00DD304E">
              <w:rPr>
                <w:rStyle w:val="Hyperlink"/>
                <w:b/>
                <w:noProof/>
              </w:rPr>
              <w:t>UNION ÉCONOMIQUE ET MONÉTAIRE ET COHÉSION ÉCONOMIQUE ET SOCIALE</w:t>
            </w:r>
            <w:r w:rsidR="009F3671">
              <w:rPr>
                <w:noProof/>
                <w:webHidden/>
              </w:rPr>
              <w:tab/>
            </w:r>
            <w:r w:rsidR="009F3671">
              <w:rPr>
                <w:noProof/>
                <w:webHidden/>
              </w:rPr>
              <w:fldChar w:fldCharType="begin"/>
            </w:r>
            <w:r w:rsidR="009F3671">
              <w:rPr>
                <w:noProof/>
                <w:webHidden/>
              </w:rPr>
              <w:instrText xml:space="preserve"> PAGEREF _Toc216797862 \h </w:instrText>
            </w:r>
            <w:r w:rsidR="009F3671">
              <w:rPr>
                <w:noProof/>
                <w:webHidden/>
              </w:rPr>
            </w:r>
            <w:r w:rsidR="009F3671">
              <w:rPr>
                <w:noProof/>
                <w:webHidden/>
              </w:rPr>
              <w:fldChar w:fldCharType="separate"/>
            </w:r>
            <w:r w:rsidR="004632C1">
              <w:rPr>
                <w:noProof/>
                <w:webHidden/>
              </w:rPr>
              <w:t>3</w:t>
            </w:r>
            <w:r w:rsidR="009F3671">
              <w:rPr>
                <w:noProof/>
                <w:webHidden/>
              </w:rPr>
              <w:fldChar w:fldCharType="end"/>
            </w:r>
          </w:hyperlink>
        </w:p>
        <w:p w14:paraId="6A1B5E49" w14:textId="0F7A589D" w:rsidR="009F3671" w:rsidRDefault="009F3671" w:rsidP="009F3671">
          <w:pPr>
            <w:pStyle w:val="TOC2"/>
            <w:tabs>
              <w:tab w:val="clear" w:pos="9063"/>
              <w:tab w:val="right" w:leader="dot" w:pos="9498"/>
            </w:tabs>
            <w:rPr>
              <w:rFonts w:asciiTheme="minorHAnsi" w:eastAsiaTheme="minorEastAsia" w:hAnsiTheme="minorHAnsi" w:cstheme="minorBidi"/>
              <w:noProof/>
              <w:lang w:val="fr-BE" w:eastAsia="fr-BE"/>
            </w:rPr>
          </w:pPr>
          <w:r w:rsidRPr="009F3671">
            <w:rPr>
              <w:b/>
              <w:bCs/>
              <w:noProof/>
            </w:rPr>
            <w:t>2</w:t>
          </w:r>
          <w:r>
            <w:rPr>
              <w:noProof/>
            </w:rPr>
            <w:tab/>
          </w:r>
          <w:r w:rsidRPr="009F3671">
            <w:rPr>
              <w:b/>
              <w:bCs/>
              <w:noProof/>
            </w:rPr>
            <w:t>EMPLOI, AFFAIRES SOCIALES ET CITOYENNETÉ</w:t>
          </w:r>
          <w:r w:rsidRPr="009F3671">
            <w:rPr>
              <w:noProof/>
              <w:webHidden/>
            </w:rPr>
            <w:tab/>
          </w:r>
          <w:r>
            <w:rPr>
              <w:noProof/>
              <w:webHidden/>
            </w:rPr>
            <w:t>6</w:t>
          </w:r>
        </w:p>
        <w:p w14:paraId="36FD173F" w14:textId="7C7FB35A" w:rsidR="009F3671" w:rsidRDefault="00086F62" w:rsidP="009F3671">
          <w:pPr>
            <w:pStyle w:val="TOC1"/>
            <w:tabs>
              <w:tab w:val="clear" w:pos="9063"/>
              <w:tab w:val="right" w:leader="dot" w:pos="9498"/>
            </w:tabs>
            <w:rPr>
              <w:rFonts w:asciiTheme="minorHAnsi" w:eastAsiaTheme="minorEastAsia" w:hAnsiTheme="minorHAnsi" w:cstheme="minorBidi"/>
              <w:noProof/>
              <w:lang w:val="fr-BE" w:eastAsia="fr-BE"/>
            </w:rPr>
          </w:pPr>
          <w:hyperlink w:anchor="_Toc216797867" w:history="1">
            <w:r w:rsidR="009F3671" w:rsidRPr="00DD304E">
              <w:rPr>
                <w:rStyle w:val="Hyperlink"/>
                <w:b/>
                <w:noProof/>
              </w:rPr>
              <w:t>3.</w:t>
            </w:r>
            <w:r w:rsidR="009F3671">
              <w:rPr>
                <w:rFonts w:asciiTheme="minorHAnsi" w:eastAsiaTheme="minorEastAsia" w:hAnsiTheme="minorHAnsi" w:cstheme="minorBidi"/>
                <w:noProof/>
                <w:lang w:val="fr-BE" w:eastAsia="fr-BE"/>
              </w:rPr>
              <w:tab/>
            </w:r>
            <w:r w:rsidR="009F3671" w:rsidRPr="00DD304E">
              <w:rPr>
                <w:rStyle w:val="Hyperlink"/>
                <w:b/>
                <w:noProof/>
              </w:rPr>
              <w:t>TRANSPORTS, ÉNERGIE, INFRASTRUCTURES ET SOCIÉTÉ DE L’INFORMATION</w:t>
            </w:r>
            <w:r w:rsidR="009F3671">
              <w:rPr>
                <w:noProof/>
                <w:webHidden/>
              </w:rPr>
              <w:tab/>
            </w:r>
            <w:r w:rsidR="009F3671">
              <w:rPr>
                <w:noProof/>
                <w:webHidden/>
              </w:rPr>
              <w:fldChar w:fldCharType="begin"/>
            </w:r>
            <w:r w:rsidR="009F3671">
              <w:rPr>
                <w:noProof/>
                <w:webHidden/>
              </w:rPr>
              <w:instrText xml:space="preserve"> PAGEREF _Toc216797867 \h </w:instrText>
            </w:r>
            <w:r w:rsidR="009F3671">
              <w:rPr>
                <w:noProof/>
                <w:webHidden/>
              </w:rPr>
            </w:r>
            <w:r w:rsidR="009F3671">
              <w:rPr>
                <w:noProof/>
                <w:webHidden/>
              </w:rPr>
              <w:fldChar w:fldCharType="separate"/>
            </w:r>
            <w:r w:rsidR="004632C1">
              <w:rPr>
                <w:noProof/>
                <w:webHidden/>
              </w:rPr>
              <w:t>9</w:t>
            </w:r>
            <w:r w:rsidR="009F3671">
              <w:rPr>
                <w:noProof/>
                <w:webHidden/>
              </w:rPr>
              <w:fldChar w:fldCharType="end"/>
            </w:r>
          </w:hyperlink>
        </w:p>
        <w:p w14:paraId="2671A7FA" w14:textId="769B208F" w:rsidR="009F3671" w:rsidRDefault="00086F62" w:rsidP="009F3671">
          <w:pPr>
            <w:pStyle w:val="TOC1"/>
            <w:tabs>
              <w:tab w:val="clear" w:pos="9063"/>
              <w:tab w:val="right" w:leader="dot" w:pos="9498"/>
            </w:tabs>
            <w:rPr>
              <w:rFonts w:asciiTheme="minorHAnsi" w:eastAsiaTheme="minorEastAsia" w:hAnsiTheme="minorHAnsi" w:cstheme="minorBidi"/>
              <w:noProof/>
              <w:lang w:val="fr-BE" w:eastAsia="fr-BE"/>
            </w:rPr>
          </w:pPr>
          <w:hyperlink w:anchor="_Toc216797868" w:history="1">
            <w:r w:rsidR="009F3671" w:rsidRPr="00DD304E">
              <w:rPr>
                <w:rStyle w:val="Hyperlink"/>
                <w:b/>
                <w:noProof/>
              </w:rPr>
              <w:t>4.</w:t>
            </w:r>
            <w:r w:rsidR="009F3671">
              <w:rPr>
                <w:rFonts w:asciiTheme="minorHAnsi" w:eastAsiaTheme="minorEastAsia" w:hAnsiTheme="minorHAnsi" w:cstheme="minorBidi"/>
                <w:noProof/>
                <w:lang w:val="fr-BE" w:eastAsia="fr-BE"/>
              </w:rPr>
              <w:tab/>
            </w:r>
            <w:r w:rsidR="009F3671" w:rsidRPr="00DD304E">
              <w:rPr>
                <w:rStyle w:val="Hyperlink"/>
                <w:b/>
                <w:noProof/>
              </w:rPr>
              <w:t>MARCHÉ UNIQUE, PRODUCTION ET CONSOMMATION</w:t>
            </w:r>
            <w:r w:rsidR="009F3671">
              <w:rPr>
                <w:noProof/>
                <w:webHidden/>
              </w:rPr>
              <w:tab/>
            </w:r>
            <w:r w:rsidR="009F3671">
              <w:rPr>
                <w:noProof/>
                <w:webHidden/>
              </w:rPr>
              <w:fldChar w:fldCharType="begin"/>
            </w:r>
            <w:r w:rsidR="009F3671">
              <w:rPr>
                <w:noProof/>
                <w:webHidden/>
              </w:rPr>
              <w:instrText xml:space="preserve"> PAGEREF _Toc216797868 \h </w:instrText>
            </w:r>
            <w:r w:rsidR="009F3671">
              <w:rPr>
                <w:noProof/>
                <w:webHidden/>
              </w:rPr>
            </w:r>
            <w:r w:rsidR="009F3671">
              <w:rPr>
                <w:noProof/>
                <w:webHidden/>
              </w:rPr>
              <w:fldChar w:fldCharType="separate"/>
            </w:r>
            <w:r w:rsidR="004632C1">
              <w:rPr>
                <w:noProof/>
                <w:webHidden/>
              </w:rPr>
              <w:t>12</w:t>
            </w:r>
            <w:r w:rsidR="009F3671">
              <w:rPr>
                <w:noProof/>
                <w:webHidden/>
              </w:rPr>
              <w:fldChar w:fldCharType="end"/>
            </w:r>
          </w:hyperlink>
        </w:p>
        <w:p w14:paraId="7145DE5C" w14:textId="15CB4895" w:rsidR="009F3671" w:rsidRDefault="00086F62" w:rsidP="009F3671">
          <w:pPr>
            <w:pStyle w:val="TOC1"/>
            <w:tabs>
              <w:tab w:val="clear" w:pos="9063"/>
              <w:tab w:val="right" w:leader="dot" w:pos="9498"/>
            </w:tabs>
            <w:rPr>
              <w:rFonts w:asciiTheme="minorHAnsi" w:eastAsiaTheme="minorEastAsia" w:hAnsiTheme="minorHAnsi" w:cstheme="minorBidi"/>
              <w:noProof/>
              <w:lang w:val="fr-BE" w:eastAsia="fr-BE"/>
            </w:rPr>
          </w:pPr>
          <w:hyperlink w:anchor="_Toc216797869" w:history="1">
            <w:r w:rsidR="009F3671" w:rsidRPr="00DD304E">
              <w:rPr>
                <w:rStyle w:val="Hyperlink"/>
                <w:b/>
                <w:noProof/>
              </w:rPr>
              <w:t>5.</w:t>
            </w:r>
            <w:r w:rsidR="009F3671">
              <w:rPr>
                <w:rFonts w:asciiTheme="minorHAnsi" w:eastAsiaTheme="minorEastAsia" w:hAnsiTheme="minorHAnsi" w:cstheme="minorBidi"/>
                <w:noProof/>
                <w:lang w:val="fr-BE" w:eastAsia="fr-BE"/>
              </w:rPr>
              <w:tab/>
            </w:r>
            <w:r w:rsidR="009F3671" w:rsidRPr="00DD304E">
              <w:rPr>
                <w:rStyle w:val="Hyperlink"/>
                <w:b/>
                <w:noProof/>
              </w:rPr>
              <w:t>AGRICULTURE, DÉVELOPPEMENT RURAL ET ENVIRONNEMENT</w:t>
            </w:r>
            <w:r w:rsidR="009F3671">
              <w:rPr>
                <w:noProof/>
                <w:webHidden/>
              </w:rPr>
              <w:tab/>
            </w:r>
            <w:r w:rsidR="009F3671">
              <w:rPr>
                <w:noProof/>
                <w:webHidden/>
              </w:rPr>
              <w:fldChar w:fldCharType="begin"/>
            </w:r>
            <w:r w:rsidR="009F3671">
              <w:rPr>
                <w:noProof/>
                <w:webHidden/>
              </w:rPr>
              <w:instrText xml:space="preserve"> PAGEREF _Toc216797869 \h </w:instrText>
            </w:r>
            <w:r w:rsidR="009F3671">
              <w:rPr>
                <w:noProof/>
                <w:webHidden/>
              </w:rPr>
            </w:r>
            <w:r w:rsidR="009F3671">
              <w:rPr>
                <w:noProof/>
                <w:webHidden/>
              </w:rPr>
              <w:fldChar w:fldCharType="separate"/>
            </w:r>
            <w:r w:rsidR="004632C1">
              <w:rPr>
                <w:noProof/>
                <w:webHidden/>
              </w:rPr>
              <w:t>17</w:t>
            </w:r>
            <w:r w:rsidR="009F3671">
              <w:rPr>
                <w:noProof/>
                <w:webHidden/>
              </w:rPr>
              <w:fldChar w:fldCharType="end"/>
            </w:r>
          </w:hyperlink>
        </w:p>
        <w:p w14:paraId="207066A3" w14:textId="11AB4A7E" w:rsidR="009F3671" w:rsidRDefault="00086F62" w:rsidP="009F3671">
          <w:pPr>
            <w:pStyle w:val="TOC1"/>
            <w:tabs>
              <w:tab w:val="clear" w:pos="9063"/>
              <w:tab w:val="right" w:leader="dot" w:pos="9498"/>
            </w:tabs>
            <w:rPr>
              <w:rFonts w:asciiTheme="minorHAnsi" w:eastAsiaTheme="minorEastAsia" w:hAnsiTheme="minorHAnsi" w:cstheme="minorBidi"/>
              <w:noProof/>
              <w:lang w:val="fr-BE" w:eastAsia="fr-BE"/>
            </w:rPr>
          </w:pPr>
          <w:hyperlink w:anchor="_Toc216797870" w:history="1">
            <w:r w:rsidR="009F3671" w:rsidRPr="00DD304E">
              <w:rPr>
                <w:rStyle w:val="Hyperlink"/>
                <w:b/>
                <w:noProof/>
              </w:rPr>
              <w:t>6.</w:t>
            </w:r>
            <w:r w:rsidR="009F3671">
              <w:rPr>
                <w:rFonts w:asciiTheme="minorHAnsi" w:eastAsiaTheme="minorEastAsia" w:hAnsiTheme="minorHAnsi" w:cstheme="minorBidi"/>
                <w:noProof/>
                <w:lang w:val="fr-BE" w:eastAsia="fr-BE"/>
              </w:rPr>
              <w:tab/>
            </w:r>
            <w:r w:rsidR="009F3671" w:rsidRPr="00DD304E">
              <w:rPr>
                <w:rStyle w:val="Hyperlink"/>
                <w:b/>
                <w:noProof/>
              </w:rPr>
              <w:t>RELATIONS EXTÉRIEURES</w:t>
            </w:r>
            <w:r w:rsidR="009F3671">
              <w:rPr>
                <w:noProof/>
                <w:webHidden/>
              </w:rPr>
              <w:tab/>
            </w:r>
            <w:r w:rsidR="009F3671">
              <w:rPr>
                <w:noProof/>
                <w:webHidden/>
              </w:rPr>
              <w:fldChar w:fldCharType="begin"/>
            </w:r>
            <w:r w:rsidR="009F3671">
              <w:rPr>
                <w:noProof/>
                <w:webHidden/>
              </w:rPr>
              <w:instrText xml:space="preserve"> PAGEREF _Toc216797870 \h </w:instrText>
            </w:r>
            <w:r w:rsidR="009F3671">
              <w:rPr>
                <w:noProof/>
                <w:webHidden/>
              </w:rPr>
            </w:r>
            <w:r w:rsidR="009F3671">
              <w:rPr>
                <w:noProof/>
                <w:webHidden/>
              </w:rPr>
              <w:fldChar w:fldCharType="separate"/>
            </w:r>
            <w:r w:rsidR="004632C1">
              <w:rPr>
                <w:noProof/>
                <w:webHidden/>
              </w:rPr>
              <w:t>19</w:t>
            </w:r>
            <w:r w:rsidR="009F3671">
              <w:rPr>
                <w:noProof/>
                <w:webHidden/>
              </w:rPr>
              <w:fldChar w:fldCharType="end"/>
            </w:r>
          </w:hyperlink>
        </w:p>
        <w:p w14:paraId="131E2E65" w14:textId="33F45F95" w:rsidR="009F3671" w:rsidRDefault="00086F62" w:rsidP="009F3671">
          <w:pPr>
            <w:pStyle w:val="TOC1"/>
            <w:tabs>
              <w:tab w:val="clear" w:pos="9063"/>
              <w:tab w:val="right" w:leader="dot" w:pos="9498"/>
            </w:tabs>
            <w:rPr>
              <w:rFonts w:asciiTheme="minorHAnsi" w:eastAsiaTheme="minorEastAsia" w:hAnsiTheme="minorHAnsi" w:cstheme="minorBidi"/>
              <w:noProof/>
              <w:lang w:val="fr-BE" w:eastAsia="fr-BE"/>
            </w:rPr>
          </w:pPr>
          <w:hyperlink w:anchor="_Toc216797871" w:history="1">
            <w:r w:rsidR="009F3671" w:rsidRPr="00DD304E">
              <w:rPr>
                <w:rStyle w:val="Hyperlink"/>
                <w:b/>
                <w:noProof/>
              </w:rPr>
              <w:t>7.</w:t>
            </w:r>
            <w:r w:rsidR="009F3671">
              <w:rPr>
                <w:rFonts w:asciiTheme="minorHAnsi" w:eastAsiaTheme="minorEastAsia" w:hAnsiTheme="minorHAnsi" w:cstheme="minorBidi"/>
                <w:noProof/>
                <w:lang w:val="fr-BE" w:eastAsia="fr-BE"/>
              </w:rPr>
              <w:tab/>
            </w:r>
            <w:r w:rsidR="009F3671" w:rsidRPr="00DD304E">
              <w:rPr>
                <w:rStyle w:val="Hyperlink"/>
                <w:b/>
                <w:noProof/>
              </w:rPr>
              <w:t>COMMISSION CONSULTATIVE DES MUTATIONS INDUSTRIELLES</w:t>
            </w:r>
            <w:r w:rsidR="009F3671">
              <w:rPr>
                <w:noProof/>
                <w:webHidden/>
              </w:rPr>
              <w:tab/>
            </w:r>
            <w:r w:rsidR="009F3671">
              <w:rPr>
                <w:noProof/>
                <w:webHidden/>
              </w:rPr>
              <w:fldChar w:fldCharType="begin"/>
            </w:r>
            <w:r w:rsidR="009F3671">
              <w:rPr>
                <w:noProof/>
                <w:webHidden/>
              </w:rPr>
              <w:instrText xml:space="preserve"> PAGEREF _Toc216797871 \h </w:instrText>
            </w:r>
            <w:r w:rsidR="009F3671">
              <w:rPr>
                <w:noProof/>
                <w:webHidden/>
              </w:rPr>
            </w:r>
            <w:r w:rsidR="009F3671">
              <w:rPr>
                <w:noProof/>
                <w:webHidden/>
              </w:rPr>
              <w:fldChar w:fldCharType="separate"/>
            </w:r>
            <w:r w:rsidR="004632C1">
              <w:rPr>
                <w:noProof/>
                <w:webHidden/>
              </w:rPr>
              <w:t>22</w:t>
            </w:r>
            <w:r w:rsidR="009F3671">
              <w:rPr>
                <w:noProof/>
                <w:webHidden/>
              </w:rPr>
              <w:fldChar w:fldCharType="end"/>
            </w:r>
          </w:hyperlink>
        </w:p>
        <w:p w14:paraId="4982DD6A" w14:textId="07E68E7E"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0F1BD5B1" w14:textId="5473DFC5" w:rsidR="009F3671" w:rsidRDefault="004D7AC0" w:rsidP="009F3671">
      <w:pPr>
        <w:pStyle w:val="Heading1"/>
        <w:ind w:left="720" w:hanging="720"/>
        <w:rPr>
          <w:b/>
        </w:rPr>
      </w:pPr>
      <w:bookmarkStart w:id="0" w:name="_Toc216797862"/>
      <w:r>
        <w:rPr>
          <w:b/>
        </w:rPr>
        <w:lastRenderedPageBreak/>
        <w:t>UNION ÉCONOMIQUE ET MONÉTAIRE ET COHÉSION ÉCONOMIQUE ET SOCIALE</w:t>
      </w:r>
      <w:bookmarkEnd w:id="0"/>
    </w:p>
    <w:p w14:paraId="30F7C28F" w14:textId="77777777" w:rsidR="009F3671" w:rsidRDefault="009F3671" w:rsidP="009F3671"/>
    <w:p w14:paraId="2BEFB56D" w14:textId="77777777" w:rsidR="009F3671" w:rsidRDefault="00086F62" w:rsidP="009F3671">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9F3671">
          <w:rPr>
            <w:rStyle w:val="Hyperlink"/>
            <w:b/>
            <w:i/>
            <w:sz w:val="28"/>
          </w:rPr>
          <w:t xml:space="preserve">Mise en œuvre des stratégies </w:t>
        </w:r>
        <w:proofErr w:type="spellStart"/>
        <w:r w:rsidR="009F3671">
          <w:rPr>
            <w:rStyle w:val="Hyperlink"/>
            <w:b/>
            <w:i/>
            <w:sz w:val="28"/>
          </w:rPr>
          <w:t>macrorégionales</w:t>
        </w:r>
        <w:proofErr w:type="spellEnd"/>
        <w:r w:rsidR="009F3671">
          <w:rPr>
            <w:rStyle w:val="Hyperlink"/>
            <w:b/>
            <w:i/>
            <w:sz w:val="28"/>
          </w:rPr>
          <w:t xml:space="preserve"> de l’Union européenne — 5</w:t>
        </w:r>
        <w:r w:rsidR="009F3671">
          <w:rPr>
            <w:rStyle w:val="Hyperlink"/>
            <w:b/>
            <w:i/>
            <w:sz w:val="28"/>
            <w:vertAlign w:val="superscript"/>
          </w:rPr>
          <w:t>e</w:t>
        </w:r>
        <w:r w:rsidR="009F3671">
          <w:rPr>
            <w:rStyle w:val="Hyperlink"/>
            <w:b/>
            <w:i/>
            <w:sz w:val="28"/>
          </w:rPr>
          <w:t> rapport</w:t>
        </w:r>
      </w:hyperlink>
    </w:p>
    <w:p w14:paraId="260FE965" w14:textId="77777777" w:rsidR="009F3671" w:rsidRPr="008151EF" w:rsidRDefault="009F3671" w:rsidP="009F3671">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F3671" w:rsidRPr="00A6689B" w14:paraId="3E9EFABA" w14:textId="77777777" w:rsidTr="0045750F">
        <w:tc>
          <w:tcPr>
            <w:tcW w:w="1701" w:type="dxa"/>
          </w:tcPr>
          <w:p w14:paraId="4B799684" w14:textId="77777777" w:rsidR="009F3671" w:rsidRPr="00A6689B" w:rsidRDefault="009F3671" w:rsidP="0045750F">
            <w:pPr>
              <w:tabs>
                <w:tab w:val="center" w:pos="284"/>
              </w:tabs>
              <w:ind w:left="266" w:hanging="266"/>
              <w:rPr>
                <w:b/>
              </w:rPr>
            </w:pPr>
            <w:r>
              <w:rPr>
                <w:b/>
              </w:rPr>
              <w:t>Rapporteur</w:t>
            </w:r>
          </w:p>
        </w:tc>
        <w:tc>
          <w:tcPr>
            <w:tcW w:w="7621" w:type="dxa"/>
          </w:tcPr>
          <w:p w14:paraId="12902318" w14:textId="77777777" w:rsidR="009F3671" w:rsidRPr="00A37E38" w:rsidRDefault="009F3671" w:rsidP="0045750F">
            <w:pPr>
              <w:tabs>
                <w:tab w:val="center" w:pos="284"/>
              </w:tabs>
              <w:ind w:left="266" w:hanging="266"/>
              <w:rPr>
                <w:bCs/>
              </w:rPr>
            </w:pPr>
            <w:r>
              <w:t>M. Stefano PALMIERI (groupe des travailleurs — Italie)</w:t>
            </w:r>
          </w:p>
        </w:tc>
      </w:tr>
      <w:tr w:rsidR="009F3671" w:rsidRPr="00D12508" w14:paraId="7CAFF7D1" w14:textId="77777777" w:rsidTr="0045750F">
        <w:tc>
          <w:tcPr>
            <w:tcW w:w="1701" w:type="dxa"/>
          </w:tcPr>
          <w:p w14:paraId="74059572" w14:textId="77777777" w:rsidR="009F3671" w:rsidRPr="00A6689B" w:rsidRDefault="009F3671" w:rsidP="0045750F">
            <w:pPr>
              <w:tabs>
                <w:tab w:val="center" w:pos="284"/>
              </w:tabs>
              <w:ind w:left="266" w:hanging="266"/>
              <w:rPr>
                <w:b/>
              </w:rPr>
            </w:pPr>
            <w:r>
              <w:rPr>
                <w:b/>
              </w:rPr>
              <w:t>Références</w:t>
            </w:r>
          </w:p>
        </w:tc>
        <w:tc>
          <w:tcPr>
            <w:tcW w:w="7621" w:type="dxa"/>
          </w:tcPr>
          <w:p w14:paraId="15433B7D" w14:textId="77777777" w:rsidR="009F3671" w:rsidRPr="00861FFD" w:rsidRDefault="009F3671" w:rsidP="0045750F">
            <w:pPr>
              <w:tabs>
                <w:tab w:val="center" w:pos="284"/>
              </w:tabs>
              <w:ind w:left="266" w:hanging="266"/>
            </w:pPr>
            <w:r>
              <w:t>COM(2025) 191 final; COM(2025) 196 final</w:t>
            </w:r>
          </w:p>
          <w:p w14:paraId="4F4DF4AA" w14:textId="77777777" w:rsidR="009F3671" w:rsidRPr="00861FFD" w:rsidRDefault="009F3671" w:rsidP="0045750F">
            <w:pPr>
              <w:tabs>
                <w:tab w:val="center" w:pos="284"/>
              </w:tabs>
              <w:ind w:left="266" w:hanging="266"/>
            </w:pPr>
            <w:r>
              <w:t>EESC-2025-02216-00-00-AC-TRA</w:t>
            </w:r>
          </w:p>
        </w:tc>
      </w:tr>
    </w:tbl>
    <w:p w14:paraId="05C319DF" w14:textId="49781DCB" w:rsidR="009F3671" w:rsidRDefault="009F3671" w:rsidP="009F3671">
      <w:pPr>
        <w:keepNext/>
        <w:keepLines/>
        <w:tabs>
          <w:tab w:val="center" w:pos="284"/>
        </w:tabs>
        <w:spacing w:before="120"/>
        <w:ind w:left="266" w:hanging="266"/>
        <w:rPr>
          <w:b/>
        </w:rPr>
      </w:pPr>
      <w:r>
        <w:rPr>
          <w:b/>
        </w:rPr>
        <w:t>Points clés</w:t>
      </w:r>
    </w:p>
    <w:p w14:paraId="201BC539" w14:textId="77777777" w:rsidR="009F3671" w:rsidRDefault="009F3671" w:rsidP="009F3671">
      <w:pPr>
        <w:keepNext/>
        <w:keepLines/>
        <w:tabs>
          <w:tab w:val="center" w:pos="284"/>
        </w:tabs>
        <w:spacing w:before="120"/>
        <w:ind w:left="266" w:hanging="266"/>
        <w:rPr>
          <w:b/>
        </w:rPr>
      </w:pPr>
    </w:p>
    <w:p w14:paraId="28C426C0" w14:textId="77777777" w:rsidR="009F3671" w:rsidRDefault="009F3671" w:rsidP="009F3671">
      <w:pPr>
        <w:rPr>
          <w:bCs/>
          <w:iCs/>
        </w:rPr>
      </w:pPr>
      <w:r>
        <w:t>Le CESE:</w:t>
      </w:r>
    </w:p>
    <w:p w14:paraId="080F6A12" w14:textId="77777777" w:rsidR="009F3671" w:rsidRDefault="009F3671" w:rsidP="009F3671">
      <w:pPr>
        <w:pStyle w:val="ListParagraph"/>
        <w:numPr>
          <w:ilvl w:val="0"/>
          <w:numId w:val="5"/>
        </w:numPr>
        <w:overflowPunct w:val="0"/>
        <w:autoSpaceDE w:val="0"/>
        <w:autoSpaceDN w:val="0"/>
        <w:adjustRightInd w:val="0"/>
        <w:textAlignment w:val="baseline"/>
      </w:pPr>
      <w:r>
        <w:t xml:space="preserve">reconnaît le rôle que jouent les stratégies </w:t>
      </w:r>
      <w:proofErr w:type="spellStart"/>
      <w:r>
        <w:t>macrorégionales</w:t>
      </w:r>
      <w:proofErr w:type="spellEnd"/>
      <w:r>
        <w:t xml:space="preserve"> pour créer des synergies à plusieurs niveaux entre les politiques, les programmes et les acteurs. Elles ont soutenu la transition écologique et numérique et permis de développer une importante capacité de résilience et de solidarité durant la pandémie et les crises que nous traversons actuellement;</w:t>
      </w:r>
    </w:p>
    <w:p w14:paraId="5264F19B" w14:textId="77777777" w:rsidR="009F3671" w:rsidRDefault="009F3671" w:rsidP="009F3671">
      <w:pPr>
        <w:pStyle w:val="ListParagraph"/>
        <w:numPr>
          <w:ilvl w:val="0"/>
          <w:numId w:val="5"/>
        </w:numPr>
        <w:overflowPunct w:val="0"/>
        <w:autoSpaceDE w:val="0"/>
        <w:autoSpaceDN w:val="0"/>
        <w:adjustRightInd w:val="0"/>
        <w:textAlignment w:val="baseline"/>
      </w:pPr>
      <w:r>
        <w:t>demande que l’on renforce la gouvernance verticale et horizontale à plusieurs niveaux en veillant à ce que les structures locales y soient associées;</w:t>
      </w:r>
    </w:p>
    <w:p w14:paraId="0595A293" w14:textId="77777777" w:rsidR="009F3671" w:rsidRDefault="009F3671" w:rsidP="009F3671">
      <w:pPr>
        <w:pStyle w:val="ListParagraph"/>
        <w:numPr>
          <w:ilvl w:val="0"/>
          <w:numId w:val="5"/>
        </w:numPr>
        <w:overflowPunct w:val="0"/>
        <w:autoSpaceDE w:val="0"/>
        <w:autoSpaceDN w:val="0"/>
        <w:adjustRightInd w:val="0"/>
        <w:textAlignment w:val="baseline"/>
      </w:pPr>
      <w:r>
        <w:t xml:space="preserve">porte un regard favorable sur les processus de révision des stratégies et préconise à cet égard un renforcement de la dimension sociale, de la participation des citoyens (y compris des jeunes) et de la coopération interrégionale. Les stratégies </w:t>
      </w:r>
      <w:proofErr w:type="spellStart"/>
      <w:r>
        <w:t>macrorégionales</w:t>
      </w:r>
      <w:proofErr w:type="spellEnd"/>
      <w:r>
        <w:t xml:space="preserve"> doivent servir de laboratoires pour l’inclusion et les innovations sociales et soutenir ce faisant la fiscalité écologique et le capital humain;</w:t>
      </w:r>
    </w:p>
    <w:p w14:paraId="588A9E05" w14:textId="77777777" w:rsidR="009F3671" w:rsidRDefault="009F3671" w:rsidP="009F3671">
      <w:pPr>
        <w:pStyle w:val="ListParagraph"/>
        <w:numPr>
          <w:ilvl w:val="0"/>
          <w:numId w:val="5"/>
        </w:numPr>
        <w:overflowPunct w:val="0"/>
        <w:autoSpaceDE w:val="0"/>
        <w:autoSpaceDN w:val="0"/>
        <w:adjustRightInd w:val="0"/>
        <w:textAlignment w:val="baseline"/>
      </w:pPr>
      <w:r>
        <w:t xml:space="preserve">prend note des résultats que la stratégie </w:t>
      </w:r>
      <w:proofErr w:type="spellStart"/>
      <w:r>
        <w:t>macrorégionale</w:t>
      </w:r>
      <w:proofErr w:type="spellEnd"/>
      <w:r>
        <w:t xml:space="preserve"> pour la mer Baltique (EUSBSR) a permis d’obtenir en faveur de la durabilité et des liaisons dans cette région. Sa révision de 2021 y a renforcé la coopération et la gestion, grâce à la mise en place d’un «point stratégique». Bien que les relations avec la Russie et la Biélorussie aient été suspendues, la stratégie reste valable;</w:t>
      </w:r>
    </w:p>
    <w:p w14:paraId="58DCFDA2" w14:textId="77777777" w:rsidR="009F3671" w:rsidRDefault="009F3671" w:rsidP="009F3671">
      <w:pPr>
        <w:pStyle w:val="ListParagraph"/>
        <w:numPr>
          <w:ilvl w:val="0"/>
          <w:numId w:val="5"/>
        </w:numPr>
        <w:overflowPunct w:val="0"/>
        <w:autoSpaceDE w:val="0"/>
        <w:autoSpaceDN w:val="0"/>
        <w:adjustRightInd w:val="0"/>
        <w:textAlignment w:val="baseline"/>
      </w:pPr>
      <w:r>
        <w:t xml:space="preserve">relève les progrès obtenus par la stratégie </w:t>
      </w:r>
      <w:proofErr w:type="spellStart"/>
      <w:r>
        <w:t>macrorégionale</w:t>
      </w:r>
      <w:proofErr w:type="spellEnd"/>
      <w:r>
        <w:t xml:space="preserve"> pour le Danube (EUSDR). Sa révision de 2020 a renforcé sa cohérence vis-à-vis des priorités de l’Union ainsi que la participation des jeunes, même si le tableau reste inégal et le degré d’engagement politique variable. Les présidences ont relancé l’innovation et la gouvernance dans la région;</w:t>
      </w:r>
    </w:p>
    <w:p w14:paraId="30FB0532" w14:textId="77777777" w:rsidR="009F3671" w:rsidRDefault="009F3671" w:rsidP="009F3671">
      <w:pPr>
        <w:pStyle w:val="ListParagraph"/>
        <w:numPr>
          <w:ilvl w:val="0"/>
          <w:numId w:val="5"/>
        </w:numPr>
        <w:overflowPunct w:val="0"/>
        <w:autoSpaceDE w:val="0"/>
        <w:autoSpaceDN w:val="0"/>
        <w:adjustRightInd w:val="0"/>
        <w:textAlignment w:val="baseline"/>
      </w:pPr>
      <w:r>
        <w:t xml:space="preserve">met en avant les résultats obtenus par la stratégie </w:t>
      </w:r>
      <w:proofErr w:type="spellStart"/>
      <w:r>
        <w:t>macrorégionale</w:t>
      </w:r>
      <w:proofErr w:type="spellEnd"/>
      <w:r>
        <w:t xml:space="preserve"> pour la région de l’Adriatique et de la mer Ionienne (EUSAIR), dont le plan d’action a récemment été mis à jour avec l’introduction d’un cinquième pilier, dans le domaine social. La stratégie intègre l’élargissement, l’économie circulaire et la numérisation, et elle renforce les partenariats et la résilience;</w:t>
      </w:r>
    </w:p>
    <w:p w14:paraId="290324BC" w14:textId="77777777" w:rsidR="009F3671" w:rsidRDefault="009F3671" w:rsidP="009F3671">
      <w:pPr>
        <w:pStyle w:val="ListParagraph"/>
        <w:numPr>
          <w:ilvl w:val="0"/>
          <w:numId w:val="5"/>
        </w:numPr>
        <w:overflowPunct w:val="0"/>
        <w:autoSpaceDE w:val="0"/>
        <w:autoSpaceDN w:val="0"/>
        <w:adjustRightInd w:val="0"/>
        <w:textAlignment w:val="baseline"/>
      </w:pPr>
      <w:r>
        <w:t xml:space="preserve">porte un regard positif sur la stratégie </w:t>
      </w:r>
      <w:proofErr w:type="spellStart"/>
      <w:r>
        <w:t>macrorégionale</w:t>
      </w:r>
      <w:proofErr w:type="spellEnd"/>
      <w:r>
        <w:t xml:space="preserve"> pour les Alpes (EUSALP), dans laquelle la coopération a été consolidée et la gouvernance stabilisée, avec une ouverture aux pays tiers. Sa révision intègre les priorités dans les domaines du numérique, des ressources hydriques et de l’économie circulaire;</w:t>
      </w:r>
    </w:p>
    <w:p w14:paraId="78A50467" w14:textId="77777777" w:rsidR="009F3671" w:rsidRDefault="009F3671" w:rsidP="009F3671">
      <w:pPr>
        <w:pStyle w:val="ListParagraph"/>
        <w:numPr>
          <w:ilvl w:val="0"/>
          <w:numId w:val="5"/>
        </w:numPr>
        <w:overflowPunct w:val="0"/>
        <w:autoSpaceDE w:val="0"/>
        <w:autoSpaceDN w:val="0"/>
        <w:adjustRightInd w:val="0"/>
        <w:textAlignment w:val="baseline"/>
      </w:pPr>
      <w:r>
        <w:t xml:space="preserve">note que l’élargissement aux Balkans occidentaux, à l’Ukraine et à la Moldavie constitue une priorité stratégique et que les stratégies </w:t>
      </w:r>
      <w:proofErr w:type="spellStart"/>
      <w:r>
        <w:t>macrorégionales</w:t>
      </w:r>
      <w:proofErr w:type="spellEnd"/>
      <w:r>
        <w:t xml:space="preserve"> sont de nature à renforcer la coopération et les capacités institutionnelles;</w:t>
      </w:r>
    </w:p>
    <w:p w14:paraId="6DA6E7E4" w14:textId="77777777" w:rsidR="009F3671" w:rsidRDefault="009F3671" w:rsidP="009F3671">
      <w:pPr>
        <w:pStyle w:val="ListParagraph"/>
        <w:numPr>
          <w:ilvl w:val="0"/>
          <w:numId w:val="5"/>
        </w:numPr>
        <w:overflowPunct w:val="0"/>
        <w:autoSpaceDE w:val="0"/>
        <w:autoSpaceDN w:val="0"/>
        <w:adjustRightInd w:val="0"/>
        <w:textAlignment w:val="baseline"/>
      </w:pPr>
      <w:r>
        <w:t xml:space="preserve">relève que l’agression militaire de l’Ukraine par la Russie a confirmé le rôle joué par les stratégies </w:t>
      </w:r>
      <w:proofErr w:type="spellStart"/>
      <w:r>
        <w:t>macrorégionales</w:t>
      </w:r>
      <w:proofErr w:type="spellEnd"/>
      <w:r>
        <w:t xml:space="preserve"> en tant qu’instruments de solidarité et de résilience; </w:t>
      </w:r>
    </w:p>
    <w:p w14:paraId="371AF510" w14:textId="77777777" w:rsidR="009F3671" w:rsidRDefault="009F3671" w:rsidP="009F3671">
      <w:pPr>
        <w:pStyle w:val="ListParagraph"/>
        <w:numPr>
          <w:ilvl w:val="0"/>
          <w:numId w:val="5"/>
        </w:numPr>
        <w:overflowPunct w:val="0"/>
        <w:autoSpaceDE w:val="0"/>
        <w:autoSpaceDN w:val="0"/>
        <w:adjustRightInd w:val="0"/>
        <w:textAlignment w:val="baseline"/>
      </w:pPr>
      <w:r>
        <w:t xml:space="preserve">considère que l’approche territorialisée des stratégies </w:t>
      </w:r>
      <w:proofErr w:type="spellStart"/>
      <w:r>
        <w:t>macrorégionales</w:t>
      </w:r>
      <w:proofErr w:type="spellEnd"/>
      <w:r>
        <w:t xml:space="preserve"> est fondamentale, adaptant les priorités européennes aux spécificités des territoires et favorisant la cohésion au moyen d’outils tels que </w:t>
      </w:r>
      <w:r>
        <w:lastRenderedPageBreak/>
        <w:t xml:space="preserve">le «développement local mené par les acteurs locaux» (DLAL) et grâce à des initiatives innovantes pour promouvoir la participation des citoyens et des jeunes; </w:t>
      </w:r>
    </w:p>
    <w:p w14:paraId="20383B8F" w14:textId="77777777" w:rsidR="009F3671" w:rsidRDefault="009F3671" w:rsidP="009F3671">
      <w:pPr>
        <w:pStyle w:val="ListParagraph"/>
        <w:numPr>
          <w:ilvl w:val="0"/>
          <w:numId w:val="5"/>
        </w:numPr>
        <w:overflowPunct w:val="0"/>
        <w:autoSpaceDE w:val="0"/>
        <w:autoSpaceDN w:val="0"/>
        <w:adjustRightInd w:val="0"/>
        <w:textAlignment w:val="baseline"/>
      </w:pPr>
      <w:r>
        <w:t xml:space="preserve">préconise un renforcement de la gouvernance et des financements moyennant l’intégration des priorités des stratégies </w:t>
      </w:r>
      <w:proofErr w:type="spellStart"/>
      <w:r>
        <w:t>macrorégionales</w:t>
      </w:r>
      <w:proofErr w:type="spellEnd"/>
      <w:r>
        <w:t xml:space="preserve"> dans les principaux programmes de l’Union européenne. Il est nécessaire de renforcer les compétences locales, de consolider les partenariats et d’associer activement la société civile et les jeunes; </w:t>
      </w:r>
    </w:p>
    <w:p w14:paraId="2851A123" w14:textId="77777777" w:rsidR="009F3671" w:rsidRDefault="009F3671" w:rsidP="009F3671">
      <w:pPr>
        <w:pStyle w:val="ListParagraph"/>
        <w:numPr>
          <w:ilvl w:val="0"/>
          <w:numId w:val="5"/>
        </w:numPr>
        <w:overflowPunct w:val="0"/>
        <w:autoSpaceDE w:val="0"/>
        <w:autoSpaceDN w:val="0"/>
        <w:adjustRightInd w:val="0"/>
        <w:textAlignment w:val="baseline"/>
      </w:pPr>
      <w:r>
        <w:t xml:space="preserve">est d’avis que le nouveau cadre financier pluriannuel, pour la période 2028-2034, comporte des risques pour le bon fonctionnement des stratégies </w:t>
      </w:r>
      <w:proofErr w:type="spellStart"/>
      <w:r>
        <w:t>macrorégionales</w:t>
      </w:r>
      <w:proofErr w:type="spellEnd"/>
      <w:r>
        <w:t xml:space="preserve">. Il est donc essentiel que les priorités relatives aux stratégies </w:t>
      </w:r>
      <w:proofErr w:type="spellStart"/>
      <w:r>
        <w:t>macrorégionales</w:t>
      </w:r>
      <w:proofErr w:type="spellEnd"/>
      <w:r>
        <w:t xml:space="preserve"> soient incluses dans les plans de partenariat;</w:t>
      </w:r>
    </w:p>
    <w:p w14:paraId="5E9F7A6E" w14:textId="77777777" w:rsidR="009F3671" w:rsidRDefault="009F3671" w:rsidP="009F3671">
      <w:pPr>
        <w:pStyle w:val="ListParagraph"/>
        <w:numPr>
          <w:ilvl w:val="0"/>
          <w:numId w:val="5"/>
        </w:numPr>
        <w:overflowPunct w:val="0"/>
        <w:autoSpaceDE w:val="0"/>
        <w:autoSpaceDN w:val="0"/>
        <w:adjustRightInd w:val="0"/>
        <w:textAlignment w:val="baseline"/>
      </w:pPr>
      <w:r>
        <w:t xml:space="preserve">souligne la nécessité d’une gouvernance transparente, responsable et exempte de corruption au sein des institutions participant aux stratégies </w:t>
      </w:r>
      <w:proofErr w:type="spellStart"/>
      <w:r>
        <w:t>macrorégionales</w:t>
      </w:r>
      <w:proofErr w:type="spellEnd"/>
      <w:r>
        <w:t>;</w:t>
      </w:r>
    </w:p>
    <w:p w14:paraId="2728A913" w14:textId="77777777" w:rsidR="009F3671" w:rsidRPr="00D12508" w:rsidRDefault="009F3671" w:rsidP="009F3671">
      <w:pPr>
        <w:pStyle w:val="ListParagraph"/>
        <w:numPr>
          <w:ilvl w:val="0"/>
          <w:numId w:val="5"/>
        </w:numPr>
        <w:overflowPunct w:val="0"/>
        <w:autoSpaceDE w:val="0"/>
        <w:autoSpaceDN w:val="0"/>
        <w:adjustRightInd w:val="0"/>
        <w:textAlignment w:val="baseline"/>
        <w:rPr>
          <w:bCs/>
          <w:iCs/>
        </w:rPr>
      </w:pPr>
      <w:r>
        <w:t xml:space="preserve">préconise la création d’une nouvelle </w:t>
      </w:r>
      <w:proofErr w:type="spellStart"/>
      <w:r>
        <w:t>macrorégion</w:t>
      </w:r>
      <w:proofErr w:type="spellEnd"/>
      <w:r>
        <w:t xml:space="preserve"> pour la Méditerranée afin de relever des défis communs tels que le changement climatique, les flux migratoires, la transition énergétique et la durabilité dans le domaine de l’eau.</w:t>
      </w:r>
    </w:p>
    <w:p w14:paraId="5DEB12F2" w14:textId="77777777" w:rsidR="009F3671" w:rsidRPr="00DE6065" w:rsidRDefault="009F3671" w:rsidP="009F3671">
      <w:pPr>
        <w:pStyle w:val="ListParagraph"/>
        <w:ind w:left="360"/>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9F3671" w:rsidRPr="00A6689B" w14:paraId="7CD71555" w14:textId="77777777" w:rsidTr="0045750F">
        <w:tc>
          <w:tcPr>
            <w:tcW w:w="1418" w:type="dxa"/>
          </w:tcPr>
          <w:p w14:paraId="1E42ADF9" w14:textId="77777777" w:rsidR="009F3671" w:rsidRPr="00A6689B" w:rsidRDefault="009F3671" w:rsidP="0045750F">
            <w:pPr>
              <w:rPr>
                <w:i/>
              </w:rPr>
            </w:pPr>
            <w:r>
              <w:rPr>
                <w:b/>
                <w:i/>
              </w:rPr>
              <w:t>Contact</w:t>
            </w:r>
          </w:p>
        </w:tc>
        <w:tc>
          <w:tcPr>
            <w:tcW w:w="7904" w:type="dxa"/>
          </w:tcPr>
          <w:p w14:paraId="7F18FE0C" w14:textId="77777777" w:rsidR="009F3671" w:rsidRPr="00165B52" w:rsidRDefault="009F3671" w:rsidP="0045750F">
            <w:pPr>
              <w:rPr>
                <w:i/>
              </w:rPr>
            </w:pPr>
            <w:r>
              <w:rPr>
                <w:i/>
              </w:rPr>
              <w:t>Georgios MELEAS</w:t>
            </w:r>
          </w:p>
        </w:tc>
      </w:tr>
      <w:tr w:rsidR="009F3671" w:rsidRPr="00A6689B" w14:paraId="539B8FC9" w14:textId="77777777" w:rsidTr="0045750F">
        <w:tc>
          <w:tcPr>
            <w:tcW w:w="1418" w:type="dxa"/>
          </w:tcPr>
          <w:p w14:paraId="625A4B33" w14:textId="77777777" w:rsidR="009F3671" w:rsidRPr="00A6689B" w:rsidRDefault="009F3671" w:rsidP="0045750F">
            <w:pPr>
              <w:rPr>
                <w:i/>
              </w:rPr>
            </w:pPr>
            <w:r>
              <w:rPr>
                <w:i/>
              </w:rPr>
              <w:t>Tél.</w:t>
            </w:r>
          </w:p>
        </w:tc>
        <w:tc>
          <w:tcPr>
            <w:tcW w:w="7904" w:type="dxa"/>
          </w:tcPr>
          <w:p w14:paraId="3D03BDF7" w14:textId="77777777" w:rsidR="009F3671" w:rsidRPr="00A6689B" w:rsidRDefault="009F3671" w:rsidP="0045750F">
            <w:pPr>
              <w:rPr>
                <w:i/>
              </w:rPr>
            </w:pPr>
            <w:r>
              <w:rPr>
                <w:i/>
              </w:rPr>
              <w:t>+32 2</w:t>
            </w:r>
            <w:r>
              <w:t xml:space="preserve"> </w:t>
            </w:r>
            <w:r>
              <w:rPr>
                <w:i/>
              </w:rPr>
              <w:t>546 9795</w:t>
            </w:r>
          </w:p>
        </w:tc>
      </w:tr>
      <w:tr w:rsidR="009F3671" w:rsidRPr="00A6689B" w14:paraId="51597564" w14:textId="77777777" w:rsidTr="0045750F">
        <w:tc>
          <w:tcPr>
            <w:tcW w:w="1418" w:type="dxa"/>
          </w:tcPr>
          <w:p w14:paraId="11E7F0CF" w14:textId="77777777" w:rsidR="009F3671" w:rsidRPr="00A6689B" w:rsidRDefault="009F3671" w:rsidP="0045750F">
            <w:pPr>
              <w:rPr>
                <w:i/>
              </w:rPr>
            </w:pPr>
            <w:r>
              <w:rPr>
                <w:i/>
              </w:rPr>
              <w:t>Courriel</w:t>
            </w:r>
          </w:p>
        </w:tc>
        <w:tc>
          <w:tcPr>
            <w:tcW w:w="7904" w:type="dxa"/>
          </w:tcPr>
          <w:p w14:paraId="0A0DE010" w14:textId="77777777" w:rsidR="009F3671" w:rsidRPr="00D12508" w:rsidRDefault="00086F62" w:rsidP="0045750F">
            <w:pPr>
              <w:rPr>
                <w:i/>
                <w:iCs/>
              </w:rPr>
            </w:pPr>
            <w:hyperlink r:id="rId21" w:history="1">
              <w:r w:rsidR="009F3671">
                <w:rPr>
                  <w:rStyle w:val="Hyperlink"/>
                  <w:i/>
                </w:rPr>
                <w:t>Georgios.Meleas@eesc.europa.eu</w:t>
              </w:r>
            </w:hyperlink>
          </w:p>
        </w:tc>
      </w:tr>
    </w:tbl>
    <w:p w14:paraId="6FF96447" w14:textId="77777777" w:rsidR="009F3671" w:rsidRDefault="009F3671" w:rsidP="009F3671">
      <w:pPr>
        <w:widowControl w:val="0"/>
        <w:numPr>
          <w:ilvl w:val="0"/>
          <w:numId w:val="4"/>
        </w:numPr>
        <w:overflowPunct w:val="0"/>
        <w:autoSpaceDE w:val="0"/>
        <w:autoSpaceDN w:val="0"/>
        <w:adjustRightInd w:val="0"/>
        <w:spacing w:after="120"/>
        <w:ind w:hanging="567"/>
        <w:textAlignment w:val="baseline"/>
        <w:rPr>
          <w:b/>
          <w:i/>
          <w:iCs/>
          <w:sz w:val="28"/>
          <w:szCs w:val="28"/>
        </w:rPr>
      </w:pPr>
      <w:r>
        <w:br w:type="page"/>
      </w:r>
      <w:bookmarkStart w:id="1" w:name="_Toc75527081"/>
      <w:r>
        <w:lastRenderedPageBreak/>
        <w:fldChar w:fldCharType="begin"/>
      </w:r>
      <w:r>
        <w:instrText xml:space="preserve"> HYPERLINK "https://www.eesc.europa.eu/fr/our-work/opinions-information-reports/opinions/etablissement-du-fonds-europeen-de-developpement-regional-y-compris-pour-la-cooperation-territoriale-europeenne-interreg" </w:instrText>
      </w:r>
      <w:r>
        <w:fldChar w:fldCharType="separate"/>
      </w:r>
      <w:r>
        <w:rPr>
          <w:rStyle w:val="Hyperlink"/>
          <w:b/>
          <w:i/>
          <w:sz w:val="28"/>
        </w:rPr>
        <w:t>Établissement du Fonds européen de développement régional, y compris en faveur de la coopération territoriale européenne (Interreg), et du Fonds de cohésion</w:t>
      </w:r>
      <w:r>
        <w:rPr>
          <w:rStyle w:val="Hyperlink"/>
          <w:b/>
          <w:i/>
          <w:sz w:val="28"/>
        </w:rPr>
        <w:fldChar w:fldCharType="end"/>
      </w:r>
    </w:p>
    <w:p w14:paraId="4D88E7A9" w14:textId="77777777" w:rsidR="009F3671" w:rsidRPr="008151EF" w:rsidRDefault="009F3671" w:rsidP="009F3671">
      <w:pPr>
        <w:widowControl w:val="0"/>
        <w:ind w:left="284"/>
        <w:rPr>
          <w:b/>
          <w:i/>
          <w:iCs/>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9F3671" w:rsidRPr="00A6689B" w14:paraId="56106944" w14:textId="77777777" w:rsidTr="0045750F">
        <w:tc>
          <w:tcPr>
            <w:tcW w:w="1701" w:type="dxa"/>
          </w:tcPr>
          <w:p w14:paraId="182C1F94" w14:textId="77777777" w:rsidR="009F3671" w:rsidRPr="00A6689B" w:rsidRDefault="009F3671" w:rsidP="0045750F">
            <w:pPr>
              <w:tabs>
                <w:tab w:val="center" w:pos="284"/>
              </w:tabs>
              <w:ind w:left="266" w:hanging="266"/>
              <w:rPr>
                <w:b/>
              </w:rPr>
            </w:pPr>
            <w:r>
              <w:rPr>
                <w:b/>
              </w:rPr>
              <w:t>Rapporteur</w:t>
            </w:r>
          </w:p>
        </w:tc>
        <w:tc>
          <w:tcPr>
            <w:tcW w:w="7621" w:type="dxa"/>
          </w:tcPr>
          <w:p w14:paraId="6FC43ACB" w14:textId="77777777" w:rsidR="009F3671" w:rsidRPr="00A37E38" w:rsidRDefault="009F3671" w:rsidP="0045750F">
            <w:pPr>
              <w:tabs>
                <w:tab w:val="center" w:pos="284"/>
              </w:tabs>
              <w:ind w:left="266" w:hanging="266"/>
              <w:rPr>
                <w:bCs/>
              </w:rPr>
            </w:pPr>
            <w:r>
              <w:t>David SVENTEK (groupe des employeurs — CZ)</w:t>
            </w:r>
          </w:p>
        </w:tc>
      </w:tr>
      <w:tr w:rsidR="009F3671" w:rsidRPr="009B5E14" w14:paraId="643C0571" w14:textId="77777777" w:rsidTr="0045750F">
        <w:tc>
          <w:tcPr>
            <w:tcW w:w="1701" w:type="dxa"/>
          </w:tcPr>
          <w:p w14:paraId="4EA348B8" w14:textId="77777777" w:rsidR="009F3671" w:rsidRPr="00A6689B" w:rsidRDefault="009F3671" w:rsidP="0045750F">
            <w:pPr>
              <w:tabs>
                <w:tab w:val="center" w:pos="284"/>
              </w:tabs>
              <w:ind w:left="266" w:hanging="266"/>
              <w:rPr>
                <w:b/>
              </w:rPr>
            </w:pPr>
            <w:r>
              <w:rPr>
                <w:b/>
              </w:rPr>
              <w:t>Référence</w:t>
            </w:r>
          </w:p>
        </w:tc>
        <w:tc>
          <w:tcPr>
            <w:tcW w:w="7621" w:type="dxa"/>
          </w:tcPr>
          <w:p w14:paraId="69298DB6" w14:textId="77777777" w:rsidR="009F3671" w:rsidRPr="00861FFD" w:rsidRDefault="009F3671" w:rsidP="0045750F">
            <w:pPr>
              <w:tabs>
                <w:tab w:val="center" w:pos="284"/>
              </w:tabs>
              <w:ind w:left="266" w:hanging="266"/>
            </w:pPr>
            <w:r>
              <w:t>COM(2025) 552 final — 2025/0289 (COD)</w:t>
            </w:r>
          </w:p>
          <w:p w14:paraId="7A2E7B45" w14:textId="77777777" w:rsidR="009F3671" w:rsidRPr="00861FFD" w:rsidRDefault="009F3671" w:rsidP="0045750F">
            <w:pPr>
              <w:tabs>
                <w:tab w:val="center" w:pos="284"/>
              </w:tabs>
              <w:ind w:left="266" w:hanging="266"/>
            </w:pPr>
            <w:r>
              <w:t>EESC-2025-03305-00-00-AC-TRA</w:t>
            </w:r>
          </w:p>
        </w:tc>
      </w:tr>
    </w:tbl>
    <w:p w14:paraId="6DA9B829" w14:textId="6469D254" w:rsidR="009F3671" w:rsidRDefault="009F3671" w:rsidP="009F3671">
      <w:pPr>
        <w:keepNext/>
        <w:keepLines/>
        <w:tabs>
          <w:tab w:val="center" w:pos="284"/>
        </w:tabs>
        <w:spacing w:before="120"/>
        <w:ind w:left="266" w:hanging="266"/>
        <w:rPr>
          <w:b/>
        </w:rPr>
      </w:pPr>
      <w:r>
        <w:rPr>
          <w:b/>
        </w:rPr>
        <w:t>Points clés</w:t>
      </w:r>
    </w:p>
    <w:p w14:paraId="4AB6CA50" w14:textId="77777777" w:rsidR="009F3671" w:rsidRDefault="009F3671" w:rsidP="009F3671">
      <w:pPr>
        <w:keepNext/>
        <w:keepLines/>
        <w:tabs>
          <w:tab w:val="center" w:pos="284"/>
        </w:tabs>
        <w:spacing w:before="120"/>
        <w:ind w:left="266" w:hanging="266"/>
        <w:rPr>
          <w:b/>
        </w:rPr>
      </w:pPr>
    </w:p>
    <w:p w14:paraId="230ADD41" w14:textId="77777777" w:rsidR="009F3671" w:rsidRDefault="009F3671" w:rsidP="009F3671">
      <w:pPr>
        <w:rPr>
          <w:bCs/>
          <w:iCs/>
        </w:rPr>
      </w:pPr>
      <w:r>
        <w:t>Le CESE:</w:t>
      </w:r>
    </w:p>
    <w:p w14:paraId="72D6D0DD" w14:textId="77777777" w:rsidR="009F3671" w:rsidRDefault="009F3671" w:rsidP="009F3671">
      <w:pPr>
        <w:pStyle w:val="ListParagraph"/>
        <w:numPr>
          <w:ilvl w:val="0"/>
          <w:numId w:val="5"/>
        </w:numPr>
        <w:overflowPunct w:val="0"/>
        <w:autoSpaceDE w:val="0"/>
        <w:autoSpaceDN w:val="0"/>
        <w:adjustRightInd w:val="0"/>
        <w:textAlignment w:val="baseline"/>
      </w:pPr>
      <w:r>
        <w:t>souligne que la nécessité de réduire les disparités régionales et territoriales demeure l’une des principales priorités de l’intégration européenne et que l’utilisation d’instruments traditionnels, éprouvés et efficaces de la politique de cohésion représente la bonne voie à suivre pour soutenir une prospérité durable dans toutes les régions de l’Union;</w:t>
      </w:r>
    </w:p>
    <w:p w14:paraId="3617AEB7" w14:textId="77777777" w:rsidR="009F3671" w:rsidRDefault="009F3671" w:rsidP="009F3671">
      <w:pPr>
        <w:pStyle w:val="ListParagraph"/>
        <w:numPr>
          <w:ilvl w:val="0"/>
          <w:numId w:val="5"/>
        </w:numPr>
        <w:overflowPunct w:val="0"/>
        <w:autoSpaceDE w:val="0"/>
        <w:autoSpaceDN w:val="0"/>
        <w:adjustRightInd w:val="0"/>
        <w:textAlignment w:val="baseline"/>
      </w:pPr>
      <w:r>
        <w:t>recommande de clarifier le rôle du FEDER et du Fonds de cohésion au sein du Fonds de partenariat national et régional (Fonds PNR), non seulement par des objectifs généraux et spécifiques, mais aussi en précisant le libellé du règlement; se féliciterait de ce que le projet de règlement sur lequel porte le présent avis soit plus précis et complété au moins par une annexe fournissant des orientations quant à la manière d’intégrer efficacement le FEDER et le Fonds de cohésion dans le Fonds PNR;</w:t>
      </w:r>
    </w:p>
    <w:p w14:paraId="459662D8" w14:textId="77777777" w:rsidR="009F3671" w:rsidRDefault="009F3671" w:rsidP="009F3671">
      <w:pPr>
        <w:pStyle w:val="ListParagraph"/>
        <w:numPr>
          <w:ilvl w:val="0"/>
          <w:numId w:val="5"/>
        </w:numPr>
        <w:overflowPunct w:val="0"/>
        <w:autoSpaceDE w:val="0"/>
        <w:autoSpaceDN w:val="0"/>
        <w:adjustRightInd w:val="0"/>
        <w:textAlignment w:val="baseline"/>
      </w:pPr>
      <w:r>
        <w:t>tient à rappeler que les nouvelles dispositions ne doivent pas conduire à une réduction de l’importance et de la mission du FEDER et du Fonds de cohésion, notamment pour soutenir le développement des régions qui sont en retard de développement et la transformation des zones industrielles; souligne l’importance du principe de partenariat dans la conception des futurs programmes;</w:t>
      </w:r>
    </w:p>
    <w:p w14:paraId="355AD36F" w14:textId="77777777" w:rsidR="009F3671" w:rsidRDefault="009F3671" w:rsidP="009F3671">
      <w:pPr>
        <w:pStyle w:val="ListParagraph"/>
        <w:numPr>
          <w:ilvl w:val="0"/>
          <w:numId w:val="5"/>
        </w:numPr>
        <w:overflowPunct w:val="0"/>
        <w:autoSpaceDE w:val="0"/>
        <w:autoSpaceDN w:val="0"/>
        <w:adjustRightInd w:val="0"/>
        <w:textAlignment w:val="baseline"/>
      </w:pPr>
      <w:r>
        <w:t>approuve le contenu et l’orientation thématique du futur programme Interreg et ses synergies avec le programme «L’Europe dans le monde» dans les cas spécifiques proposés;</w:t>
      </w:r>
    </w:p>
    <w:p w14:paraId="786E106E" w14:textId="77777777" w:rsidR="009F3671" w:rsidRDefault="009F3671" w:rsidP="009F3671">
      <w:pPr>
        <w:pStyle w:val="ListParagraph"/>
        <w:numPr>
          <w:ilvl w:val="0"/>
          <w:numId w:val="5"/>
        </w:numPr>
        <w:overflowPunct w:val="0"/>
        <w:autoSpaceDE w:val="0"/>
        <w:autoSpaceDN w:val="0"/>
        <w:adjustRightInd w:val="0"/>
        <w:textAlignment w:val="baseline"/>
      </w:pPr>
      <w:r>
        <w:t>souscrit, d’une façon générale, à l’approche innovante de la proposition en ce qui concerne l’avenir du programme Interreg établi, notamment en ce qui concerne l’acceptation de la structure de mise en œuvre au niveau des différents chapitres du plan Interreg;</w:t>
      </w:r>
    </w:p>
    <w:p w14:paraId="31793443" w14:textId="77777777" w:rsidR="009F3671" w:rsidRDefault="009F3671" w:rsidP="009F3671">
      <w:pPr>
        <w:pStyle w:val="ListParagraph"/>
        <w:numPr>
          <w:ilvl w:val="0"/>
          <w:numId w:val="5"/>
        </w:numPr>
        <w:overflowPunct w:val="0"/>
        <w:autoSpaceDE w:val="0"/>
        <w:autoSpaceDN w:val="0"/>
        <w:adjustRightInd w:val="0"/>
        <w:textAlignment w:val="baseline"/>
      </w:pPr>
      <w:r>
        <w:t>attire l’attention sur le risque qui existe que les acteurs concernés au niveau régional transfrontalier ne parviennent pas à dégager un accord, sachant que le projet de règlement n’est pas très détaillé; recommande l’adoption de l’acte d’exécution immédiatement après celle du règlement;</w:t>
      </w:r>
    </w:p>
    <w:p w14:paraId="11D6C230" w14:textId="77777777" w:rsidR="009F3671" w:rsidRDefault="009F3671" w:rsidP="009F3671">
      <w:pPr>
        <w:pStyle w:val="ListParagraph"/>
        <w:numPr>
          <w:ilvl w:val="0"/>
          <w:numId w:val="5"/>
        </w:numPr>
        <w:overflowPunct w:val="0"/>
        <w:autoSpaceDE w:val="0"/>
        <w:autoSpaceDN w:val="0"/>
        <w:adjustRightInd w:val="0"/>
        <w:textAlignment w:val="baseline"/>
      </w:pPr>
      <w:r>
        <w:t>préconise de veiller à ce que l’interprétation et la mise en œuvre des fonds au niveau des États membres soient comparables et à ce qu’il n’y ait pas de différences significatives entre les États membres;</w:t>
      </w:r>
    </w:p>
    <w:p w14:paraId="76E468BA" w14:textId="77777777" w:rsidR="009F3671" w:rsidRDefault="009F3671" w:rsidP="009F3671">
      <w:pPr>
        <w:pStyle w:val="ListParagraph"/>
        <w:numPr>
          <w:ilvl w:val="0"/>
          <w:numId w:val="5"/>
        </w:numPr>
        <w:overflowPunct w:val="0"/>
        <w:autoSpaceDE w:val="0"/>
        <w:autoSpaceDN w:val="0"/>
        <w:adjustRightInd w:val="0"/>
        <w:textAlignment w:val="baseline"/>
      </w:pPr>
      <w:r>
        <w:t>soutient la simplification des procédures administratives et de mise en œuvre en vue d’une utilisation plus efficace des fonds;</w:t>
      </w:r>
    </w:p>
    <w:p w14:paraId="339297BD" w14:textId="1E696F84" w:rsidR="009F3671" w:rsidRPr="009F3671" w:rsidRDefault="009F3671" w:rsidP="009F3671">
      <w:pPr>
        <w:pStyle w:val="ListParagraph"/>
        <w:numPr>
          <w:ilvl w:val="0"/>
          <w:numId w:val="5"/>
        </w:numPr>
        <w:overflowPunct w:val="0"/>
        <w:autoSpaceDE w:val="0"/>
        <w:autoSpaceDN w:val="0"/>
        <w:adjustRightInd w:val="0"/>
        <w:textAlignment w:val="baseline"/>
        <w:rPr>
          <w:bCs/>
          <w:iCs/>
        </w:rPr>
      </w:pPr>
      <w:r>
        <w:t>apprécie que la proposition de règlement relatif au FEDER et au Fonds de cohésion prévoie aussi la possibilité de soutenir le développement urbain durable et, dans ce cadre, des stratégies intégrées de développement urbain et territorial axées sur le développement durable et répondant aux problèmes qui se posent dans les domaines de l’environnement, de l’énergie et du climat, d’une transition équitable vers une économie propre, neutre pour le climat et résiliente, en accordant une attention particulière au logement abordable, à la pauvreté, au patrimoine culturel et à l’utilisation du potentiel des technologies numériques au service de l’innovation et de l’efficacité énergétique.</w:t>
      </w:r>
    </w:p>
    <w:p w14:paraId="4DE7E61B" w14:textId="77777777" w:rsidR="009F3671" w:rsidRPr="00F124CF" w:rsidRDefault="009F3671" w:rsidP="009F3671">
      <w:pPr>
        <w:pStyle w:val="ListParagraph"/>
        <w:overflowPunct w:val="0"/>
        <w:autoSpaceDE w:val="0"/>
        <w:autoSpaceDN w:val="0"/>
        <w:adjustRightInd w:val="0"/>
        <w:ind w:left="360"/>
        <w:textAlignment w:val="baseline"/>
        <w:rPr>
          <w:bCs/>
          <w:iC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9F3671" w:rsidRPr="00A6689B" w14:paraId="27CA90F8" w14:textId="77777777" w:rsidTr="0045750F">
        <w:tc>
          <w:tcPr>
            <w:tcW w:w="1418" w:type="dxa"/>
          </w:tcPr>
          <w:p w14:paraId="19D4045B" w14:textId="77777777" w:rsidR="009F3671" w:rsidRPr="00A6689B" w:rsidRDefault="009F3671" w:rsidP="0045750F">
            <w:pPr>
              <w:rPr>
                <w:i/>
              </w:rPr>
            </w:pPr>
            <w:r>
              <w:rPr>
                <w:b/>
                <w:i/>
              </w:rPr>
              <w:lastRenderedPageBreak/>
              <w:t>Contact</w:t>
            </w:r>
          </w:p>
        </w:tc>
        <w:tc>
          <w:tcPr>
            <w:tcW w:w="7904" w:type="dxa"/>
          </w:tcPr>
          <w:p w14:paraId="75B7D09A" w14:textId="77777777" w:rsidR="009F3671" w:rsidRPr="00165B52" w:rsidRDefault="009F3671" w:rsidP="0045750F">
            <w:pPr>
              <w:rPr>
                <w:i/>
              </w:rPr>
            </w:pPr>
            <w:r>
              <w:rPr>
                <w:i/>
              </w:rPr>
              <w:t>Georgios MELEAS</w:t>
            </w:r>
          </w:p>
        </w:tc>
      </w:tr>
      <w:tr w:rsidR="009F3671" w:rsidRPr="00A6689B" w14:paraId="22A85654" w14:textId="77777777" w:rsidTr="0045750F">
        <w:tc>
          <w:tcPr>
            <w:tcW w:w="1418" w:type="dxa"/>
          </w:tcPr>
          <w:p w14:paraId="212838A9" w14:textId="77777777" w:rsidR="009F3671" w:rsidRPr="00A6689B" w:rsidRDefault="009F3671" w:rsidP="0045750F">
            <w:pPr>
              <w:rPr>
                <w:i/>
              </w:rPr>
            </w:pPr>
            <w:r>
              <w:rPr>
                <w:i/>
              </w:rPr>
              <w:t>Tél.:</w:t>
            </w:r>
          </w:p>
        </w:tc>
        <w:tc>
          <w:tcPr>
            <w:tcW w:w="7904" w:type="dxa"/>
          </w:tcPr>
          <w:p w14:paraId="1F127893" w14:textId="77777777" w:rsidR="009F3671" w:rsidRPr="00A6689B" w:rsidRDefault="009F3671" w:rsidP="0045750F">
            <w:pPr>
              <w:rPr>
                <w:i/>
              </w:rPr>
            </w:pPr>
            <w:r>
              <w:rPr>
                <w:i/>
              </w:rPr>
              <w:t>+32 2</w:t>
            </w:r>
            <w:r>
              <w:t xml:space="preserve"> </w:t>
            </w:r>
            <w:r>
              <w:rPr>
                <w:i/>
              </w:rPr>
              <w:t>546 9795</w:t>
            </w:r>
          </w:p>
        </w:tc>
      </w:tr>
      <w:tr w:rsidR="009F3671" w:rsidRPr="00A6689B" w14:paraId="77600B52" w14:textId="77777777" w:rsidTr="0045750F">
        <w:tc>
          <w:tcPr>
            <w:tcW w:w="1418" w:type="dxa"/>
          </w:tcPr>
          <w:p w14:paraId="2F048D76" w14:textId="77777777" w:rsidR="009F3671" w:rsidRPr="00A6689B" w:rsidRDefault="009F3671" w:rsidP="0045750F">
            <w:pPr>
              <w:rPr>
                <w:i/>
              </w:rPr>
            </w:pPr>
            <w:r>
              <w:rPr>
                <w:i/>
              </w:rPr>
              <w:t>Courriel:</w:t>
            </w:r>
          </w:p>
        </w:tc>
        <w:tc>
          <w:tcPr>
            <w:tcW w:w="7904" w:type="dxa"/>
          </w:tcPr>
          <w:p w14:paraId="5CB3C381" w14:textId="77777777" w:rsidR="009F3671" w:rsidRPr="009B5E14" w:rsidRDefault="00086F62" w:rsidP="0045750F">
            <w:pPr>
              <w:rPr>
                <w:i/>
                <w:iCs/>
              </w:rPr>
            </w:pPr>
            <w:hyperlink r:id="rId22" w:history="1">
              <w:r w:rsidR="009F3671">
                <w:rPr>
                  <w:rStyle w:val="Hyperlink"/>
                  <w:i/>
                </w:rPr>
                <w:t>Georgios.Meleas@eesc.europa.eu</w:t>
              </w:r>
            </w:hyperlink>
          </w:p>
        </w:tc>
      </w:tr>
      <w:bookmarkEnd w:id="1"/>
    </w:tbl>
    <w:p w14:paraId="7C5C5E5B" w14:textId="51A8C27F" w:rsidR="009F3671" w:rsidRDefault="009F3671" w:rsidP="009F3671"/>
    <w:p w14:paraId="523A541C" w14:textId="77777777" w:rsidR="009F3671" w:rsidRDefault="009F3671" w:rsidP="009F3671"/>
    <w:p w14:paraId="5FC2426F" w14:textId="49DCE30A" w:rsidR="009F3671" w:rsidRPr="009F3671" w:rsidRDefault="009F3671" w:rsidP="009F3671">
      <w:pPr>
        <w:pStyle w:val="ListParagraph"/>
        <w:numPr>
          <w:ilvl w:val="0"/>
          <w:numId w:val="41"/>
        </w:numPr>
        <w:ind w:hanging="720"/>
      </w:pPr>
      <w:r>
        <w:rPr>
          <w:b/>
        </w:rPr>
        <w:t>EMPLOI, AFFAIRES SOCIALES ET CITOYENNETÉ</w:t>
      </w:r>
    </w:p>
    <w:p w14:paraId="0203F323" w14:textId="77777777" w:rsidR="00C24C34" w:rsidRDefault="00C24C34" w:rsidP="004D7AC0"/>
    <w:p w14:paraId="2FF56D47" w14:textId="77777777" w:rsidR="003B65A4" w:rsidRPr="00A04AFA" w:rsidRDefault="00086F62" w:rsidP="003B65A4">
      <w:pPr>
        <w:widowControl w:val="0"/>
        <w:numPr>
          <w:ilvl w:val="0"/>
          <w:numId w:val="6"/>
        </w:numPr>
        <w:overflowPunct w:val="0"/>
        <w:autoSpaceDE w:val="0"/>
        <w:autoSpaceDN w:val="0"/>
        <w:adjustRightInd w:val="0"/>
        <w:ind w:left="567" w:hanging="567"/>
        <w:textAlignment w:val="baseline"/>
        <w:rPr>
          <w:rStyle w:val="Hyperlink"/>
          <w:b/>
        </w:rPr>
      </w:pPr>
      <w:hyperlink r:id="rId23" w:history="1">
        <w:r w:rsidR="003B65A4">
          <w:rPr>
            <w:rStyle w:val="Hyperlink"/>
            <w:b/>
            <w:i/>
            <w:sz w:val="28"/>
          </w:rPr>
          <w:t>Les droits des journalistes en matière de travail</w:t>
        </w:r>
      </w:hyperlink>
    </w:p>
    <w:p w14:paraId="756DF8F5" w14:textId="77777777" w:rsidR="003B65A4" w:rsidRPr="00175210" w:rsidRDefault="003B65A4" w:rsidP="003B65A4">
      <w:pPr>
        <w:tabs>
          <w:tab w:val="center" w:pos="284"/>
        </w:tabs>
        <w:ind w:left="567" w:hanging="567"/>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46"/>
      </w:tblGrid>
      <w:tr w:rsidR="003B65A4" w:rsidRPr="00C67392" w14:paraId="796B026F" w14:textId="77777777" w:rsidTr="0045750F">
        <w:tc>
          <w:tcPr>
            <w:tcW w:w="1701" w:type="dxa"/>
          </w:tcPr>
          <w:p w14:paraId="16F4C9BD" w14:textId="77777777" w:rsidR="003B65A4" w:rsidRDefault="003B65A4" w:rsidP="0045750F">
            <w:pPr>
              <w:tabs>
                <w:tab w:val="center" w:pos="284"/>
              </w:tabs>
              <w:ind w:left="567" w:hanging="567"/>
              <w:rPr>
                <w:b/>
              </w:rPr>
            </w:pPr>
            <w:r>
              <w:rPr>
                <w:b/>
              </w:rPr>
              <w:t>Rapporteur</w:t>
            </w:r>
          </w:p>
          <w:p w14:paraId="47EC1F84" w14:textId="77777777" w:rsidR="003B65A4" w:rsidRPr="00A6689B" w:rsidRDefault="003B65A4" w:rsidP="0045750F">
            <w:pPr>
              <w:tabs>
                <w:tab w:val="center" w:pos="284"/>
              </w:tabs>
              <w:ind w:left="567" w:hanging="567"/>
              <w:rPr>
                <w:b/>
              </w:rPr>
            </w:pPr>
            <w:r>
              <w:rPr>
                <w:b/>
              </w:rPr>
              <w:t>Corapporteur</w:t>
            </w:r>
          </w:p>
        </w:tc>
        <w:tc>
          <w:tcPr>
            <w:tcW w:w="8046" w:type="dxa"/>
          </w:tcPr>
          <w:p w14:paraId="4881EC36" w14:textId="77777777" w:rsidR="003B65A4" w:rsidRDefault="003B65A4" w:rsidP="0045750F">
            <w:pPr>
              <w:ind w:left="567" w:hanging="567"/>
            </w:pPr>
            <w:r>
              <w:t>José Antonio MORENO DÍAZ (groupe des travailleurs — Espagne)</w:t>
            </w:r>
          </w:p>
          <w:p w14:paraId="3B4FA49E" w14:textId="77777777" w:rsidR="003B65A4" w:rsidRPr="00C67392" w:rsidRDefault="003B65A4" w:rsidP="0045750F">
            <w:pPr>
              <w:ind w:left="567" w:hanging="567"/>
            </w:pPr>
            <w:r>
              <w:t>Christian MOOS (groupe des organisations de la société civile — Allemagne)</w:t>
            </w:r>
          </w:p>
        </w:tc>
      </w:tr>
      <w:tr w:rsidR="003B65A4" w:rsidRPr="00CA1E86" w14:paraId="550EC6B9" w14:textId="77777777" w:rsidTr="0045750F">
        <w:tc>
          <w:tcPr>
            <w:tcW w:w="1701" w:type="dxa"/>
            <w:vMerge w:val="restart"/>
          </w:tcPr>
          <w:p w14:paraId="19494FA4" w14:textId="77777777" w:rsidR="003B65A4" w:rsidRPr="0085657A" w:rsidRDefault="003B65A4" w:rsidP="0045750F">
            <w:pPr>
              <w:tabs>
                <w:tab w:val="center" w:pos="284"/>
              </w:tabs>
              <w:ind w:left="567" w:hanging="567"/>
              <w:rPr>
                <w:bCs/>
                <w:lang w:val="en-US"/>
              </w:rPr>
            </w:pPr>
          </w:p>
          <w:p w14:paraId="2C810F09" w14:textId="77777777" w:rsidR="003B65A4" w:rsidRPr="00A6689B" w:rsidRDefault="003B65A4" w:rsidP="0045750F">
            <w:pPr>
              <w:tabs>
                <w:tab w:val="center" w:pos="284"/>
              </w:tabs>
              <w:ind w:left="567" w:hanging="567"/>
              <w:rPr>
                <w:b/>
              </w:rPr>
            </w:pPr>
            <w:r>
              <w:rPr>
                <w:b/>
              </w:rPr>
              <w:t>Références</w:t>
            </w:r>
          </w:p>
        </w:tc>
        <w:tc>
          <w:tcPr>
            <w:tcW w:w="8046" w:type="dxa"/>
          </w:tcPr>
          <w:p w14:paraId="6E2A988B" w14:textId="77777777" w:rsidR="003B65A4" w:rsidRDefault="003B65A4" w:rsidP="0045750F">
            <w:pPr>
              <w:tabs>
                <w:tab w:val="center" w:pos="284"/>
              </w:tabs>
              <w:ind w:left="567" w:hanging="567"/>
              <w:rPr>
                <w:lang w:val="pt-PT"/>
              </w:rPr>
            </w:pPr>
          </w:p>
          <w:p w14:paraId="732B0940" w14:textId="77777777" w:rsidR="003B65A4" w:rsidRPr="00A04AFA" w:rsidRDefault="003B65A4" w:rsidP="0045750F">
            <w:pPr>
              <w:tabs>
                <w:tab w:val="center" w:pos="284"/>
              </w:tabs>
              <w:ind w:left="567" w:hanging="567"/>
            </w:pPr>
            <w:r>
              <w:t>EESC-2025-01400-00-00-AC-TRA</w:t>
            </w:r>
          </w:p>
        </w:tc>
      </w:tr>
      <w:tr w:rsidR="003B65A4" w:rsidRPr="00CA1E86" w14:paraId="7121B8F4" w14:textId="77777777" w:rsidTr="0045750F">
        <w:tc>
          <w:tcPr>
            <w:tcW w:w="1701" w:type="dxa"/>
            <w:vMerge/>
          </w:tcPr>
          <w:p w14:paraId="32EA8565" w14:textId="77777777" w:rsidR="003B65A4" w:rsidRPr="00A04AFA" w:rsidRDefault="003B65A4" w:rsidP="0045750F">
            <w:pPr>
              <w:tabs>
                <w:tab w:val="center" w:pos="284"/>
              </w:tabs>
              <w:ind w:left="266" w:hanging="266"/>
              <w:rPr>
                <w:b/>
                <w:lang w:val="pt-PT"/>
              </w:rPr>
            </w:pPr>
          </w:p>
        </w:tc>
        <w:tc>
          <w:tcPr>
            <w:tcW w:w="8046" w:type="dxa"/>
          </w:tcPr>
          <w:p w14:paraId="6A0C3387" w14:textId="77777777" w:rsidR="003B65A4" w:rsidRPr="00724561" w:rsidRDefault="003B65A4" w:rsidP="0045750F">
            <w:pPr>
              <w:tabs>
                <w:tab w:val="center" w:pos="284"/>
              </w:tabs>
              <w:ind w:left="266" w:hanging="266"/>
              <w:rPr>
                <w:sz w:val="16"/>
                <w:szCs w:val="16"/>
                <w:lang w:val="pt-PT"/>
              </w:rPr>
            </w:pPr>
          </w:p>
        </w:tc>
      </w:tr>
    </w:tbl>
    <w:p w14:paraId="35C14C99" w14:textId="77777777" w:rsidR="003B65A4" w:rsidRDefault="003B65A4" w:rsidP="003B65A4">
      <w:pPr>
        <w:keepNext/>
        <w:keepLines/>
        <w:tabs>
          <w:tab w:val="center" w:pos="284"/>
        </w:tabs>
        <w:ind w:left="266" w:hanging="266"/>
        <w:rPr>
          <w:b/>
        </w:rPr>
      </w:pPr>
      <w:r>
        <w:rPr>
          <w:b/>
        </w:rPr>
        <w:t>Points clés</w:t>
      </w:r>
    </w:p>
    <w:p w14:paraId="53A4490C" w14:textId="77777777" w:rsidR="003B65A4" w:rsidRPr="0085657A" w:rsidRDefault="003B65A4" w:rsidP="003B65A4">
      <w:pPr>
        <w:keepNext/>
        <w:keepLines/>
        <w:tabs>
          <w:tab w:val="center" w:pos="284"/>
        </w:tabs>
        <w:ind w:left="266" w:hanging="266"/>
        <w:rPr>
          <w:bCs/>
        </w:rPr>
      </w:pPr>
    </w:p>
    <w:p w14:paraId="6093256D" w14:textId="77777777" w:rsidR="003B65A4" w:rsidRPr="00443B69" w:rsidRDefault="003B65A4" w:rsidP="003B65A4">
      <w:pPr>
        <w:keepNext/>
        <w:keepLines/>
        <w:tabs>
          <w:tab w:val="center" w:pos="284"/>
        </w:tabs>
        <w:ind w:left="266" w:hanging="266"/>
        <w:rPr>
          <w:b/>
          <w:bCs/>
        </w:rPr>
      </w:pPr>
      <w:r>
        <w:t>Le CESE:</w:t>
      </w:r>
    </w:p>
    <w:p w14:paraId="080FBF29" w14:textId="77777777" w:rsidR="003B65A4" w:rsidRPr="00220959" w:rsidRDefault="003B65A4" w:rsidP="003B65A4">
      <w:pPr>
        <w:pStyle w:val="Heading2"/>
        <w:ind w:left="567" w:hanging="567"/>
      </w:pPr>
      <w:bookmarkStart w:id="2" w:name="_Toc216797719"/>
      <w:bookmarkStart w:id="3" w:name="_Toc216797762"/>
      <w:bookmarkStart w:id="4" w:name="_Toc216797863"/>
      <w:r>
        <w:t>demande instamment aux pouvoirs publics de prendre d’urgence des mesures de protection contre l’insécurité croissante dont pâtissent les journalistes, et souhaite que la législation européenne sur la liberté des médias soit pleinement appliquée. Il plaide aussi pour la mise en place d’un soutien indépendant aux médias venant s’ajouter aux subventions existantes pour garantir la durabilité du secteur européen des médias, et aussi pour une augmentation massive des fonds destinés à la protection d’un écosystème d’information fiable;</w:t>
      </w:r>
      <w:bookmarkEnd w:id="2"/>
      <w:bookmarkEnd w:id="3"/>
      <w:bookmarkEnd w:id="4"/>
    </w:p>
    <w:p w14:paraId="5F254556" w14:textId="77777777" w:rsidR="003B65A4" w:rsidRPr="00443B69" w:rsidRDefault="003B65A4" w:rsidP="003B65A4">
      <w:pPr>
        <w:pStyle w:val="Heading2"/>
        <w:ind w:left="567" w:hanging="567"/>
        <w:rPr>
          <w:bCs/>
        </w:rPr>
      </w:pPr>
      <w:bookmarkStart w:id="5" w:name="_Toc216797720"/>
      <w:bookmarkStart w:id="6" w:name="_Toc216797763"/>
      <w:bookmarkStart w:id="7" w:name="_Toc216797864"/>
      <w:r>
        <w:t>préconise que la Commission présente un ensemble ambitieux de mesures stratégiques et d’investissements visant à favoriser des emplois de qualité dans le secteur des médias, et exhorte les gouvernements à promouvoir le dialogue social et la négociation collective pour l’ensemble des journalistes, y compris les indépendants, en transposant, le cas échéant, la directive relative à des salaires minimaux adéquats</w:t>
      </w:r>
      <w:r w:rsidRPr="00220959">
        <w:rPr>
          <w:sz w:val="24"/>
          <w:szCs w:val="24"/>
          <w:vertAlign w:val="superscript"/>
        </w:rPr>
        <w:footnoteReference w:id="1"/>
      </w:r>
      <w:r>
        <w:t>, et en tenant compte des lignes directrices relatives à l’application du droit de la concurrence de l’Union aux conventions collectives concernant les travailleurs indépendants sans salariés</w:t>
      </w:r>
      <w:r w:rsidRPr="00220959">
        <w:rPr>
          <w:sz w:val="24"/>
          <w:szCs w:val="24"/>
          <w:vertAlign w:val="superscript"/>
        </w:rPr>
        <w:footnoteReference w:id="2"/>
      </w:r>
      <w:r>
        <w:t>. Il souhaite de surcroît que la Commission et les États membres luttent contre le faux travail indépendant;</w:t>
      </w:r>
      <w:bookmarkEnd w:id="5"/>
      <w:bookmarkEnd w:id="6"/>
      <w:bookmarkEnd w:id="7"/>
    </w:p>
    <w:p w14:paraId="33E1CBFC" w14:textId="77777777" w:rsidR="003B65A4" w:rsidRPr="00E351AA" w:rsidRDefault="003B65A4" w:rsidP="003B65A4">
      <w:pPr>
        <w:pStyle w:val="Heading2"/>
        <w:ind w:left="567" w:hanging="567"/>
      </w:pPr>
      <w:bookmarkStart w:id="8" w:name="_Toc216797721"/>
      <w:bookmarkStart w:id="9" w:name="_Toc216797764"/>
      <w:bookmarkStart w:id="10" w:name="_Toc216797865"/>
      <w:r>
        <w:t>invite la Commission à donner suite à la recommandation concernant la protection, la sécurité et le renforcement des moyens d’action des journalistes</w:t>
      </w:r>
      <w:r w:rsidRPr="00220959">
        <w:rPr>
          <w:sz w:val="24"/>
          <w:szCs w:val="24"/>
          <w:vertAlign w:val="superscript"/>
        </w:rPr>
        <w:footnoteReference w:id="3"/>
      </w:r>
      <w:r>
        <w:t>, et souligne la nécessité d’un dialogue plus approfondi avec les organisations de journalistes pour mettre en place des structures susceptibles de préserver la sécurité des journalistes; Les journalistes sont des travailleurs fortement exposés au stress, à l’épuisement professionnel, au harcèlement en ligne et à la surcharge numérique. Il serait opportun que la Commission réfléchisse à la manière d’assurer le suivi qui s’impose à la résolution du Parlement européen du 10 mars 2022, qui réclame l’adoption d’une directive sur les risques psychosociaux. Le Comité est disposé à émettre un avis sur cette question</w:t>
      </w:r>
      <w:r w:rsidRPr="00C510E4">
        <w:rPr>
          <w:rStyle w:val="FootnoteReference"/>
        </w:rPr>
        <w:footnoteReference w:id="4"/>
      </w:r>
      <w:r>
        <w:t>.</w:t>
      </w:r>
      <w:bookmarkEnd w:id="8"/>
      <w:bookmarkEnd w:id="9"/>
      <w:bookmarkEnd w:id="10"/>
    </w:p>
    <w:p w14:paraId="785B50EB" w14:textId="77777777" w:rsidR="003B65A4" w:rsidRDefault="003B65A4" w:rsidP="003B65A4">
      <w:pPr>
        <w:pStyle w:val="Heading2"/>
        <w:pBdr>
          <w:top w:val="nil"/>
          <w:left w:val="nil"/>
          <w:bottom w:val="nil"/>
          <w:right w:val="nil"/>
          <w:between w:val="nil"/>
        </w:pBdr>
        <w:ind w:left="567" w:hanging="567"/>
      </w:pPr>
      <w:bookmarkStart w:id="11" w:name="_Toc216797722"/>
      <w:bookmarkStart w:id="12" w:name="_Toc216797765"/>
      <w:bookmarkStart w:id="13" w:name="_Toc216797866"/>
      <w:r>
        <w:t xml:space="preserve">prie la Commission européenne de surveiller l’application du cadre législatif de l’Union sur l’utilisation de l’intelligence artificielle (IA) afin de protéger les journalistes, et encourage les </w:t>
      </w:r>
      <w:r>
        <w:lastRenderedPageBreak/>
        <w:t>syndicats de journalistes et les organisations de médias à aborder la question de l’utilisation de l’IA dans les rédactions comme une problématique relevant du dialogue social. Il demande aussi le financement de projets qui développent la maîtrise de l’IA par les journalistes, l’examen des possibilités d’envisager les moyens de cofinancer des «académies européennes du journalisme», la formation, et éventuellement des subventions pour les salaires des jeunes journalistes issus d’entreprises de médias qui répondent à des normes élevées en matière de journalisme de qualité et de conditions de travail.</w:t>
      </w:r>
      <w:bookmarkEnd w:id="11"/>
      <w:bookmarkEnd w:id="12"/>
      <w:bookmarkEnd w:id="13"/>
    </w:p>
    <w:p w14:paraId="623C476C" w14:textId="77777777" w:rsidR="003B65A4" w:rsidRPr="00E15E37" w:rsidRDefault="003B65A4" w:rsidP="003B65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3B65A4" w:rsidRPr="00A6689B" w14:paraId="231C42F5" w14:textId="77777777" w:rsidTr="0045750F">
        <w:tc>
          <w:tcPr>
            <w:tcW w:w="1210" w:type="dxa"/>
          </w:tcPr>
          <w:p w14:paraId="3D8CE469" w14:textId="77777777" w:rsidR="003B65A4" w:rsidRPr="00A6689B" w:rsidRDefault="003B65A4" w:rsidP="0045750F">
            <w:pPr>
              <w:spacing w:line="240" w:lineRule="auto"/>
              <w:rPr>
                <w:i/>
              </w:rPr>
            </w:pPr>
            <w:r>
              <w:rPr>
                <w:b/>
                <w:i/>
              </w:rPr>
              <w:t>Contact</w:t>
            </w:r>
          </w:p>
        </w:tc>
        <w:tc>
          <w:tcPr>
            <w:tcW w:w="4493" w:type="dxa"/>
          </w:tcPr>
          <w:p w14:paraId="61235261" w14:textId="77777777" w:rsidR="003B65A4" w:rsidRPr="00A6689B" w:rsidRDefault="003B65A4" w:rsidP="0045750F">
            <w:pPr>
              <w:spacing w:line="240" w:lineRule="auto"/>
              <w:ind w:hanging="12"/>
              <w:rPr>
                <w:i/>
              </w:rPr>
            </w:pPr>
            <w:r>
              <w:rPr>
                <w:i/>
              </w:rPr>
              <w:t xml:space="preserve">June </w:t>
            </w:r>
            <w:proofErr w:type="spellStart"/>
            <w:r>
              <w:rPr>
                <w:i/>
              </w:rPr>
              <w:t>Bedaton</w:t>
            </w:r>
            <w:proofErr w:type="spellEnd"/>
          </w:p>
        </w:tc>
      </w:tr>
      <w:tr w:rsidR="003B65A4" w:rsidRPr="00A6689B" w14:paraId="63793832" w14:textId="77777777" w:rsidTr="0045750F">
        <w:tc>
          <w:tcPr>
            <w:tcW w:w="1210" w:type="dxa"/>
          </w:tcPr>
          <w:p w14:paraId="0E41842D" w14:textId="77777777" w:rsidR="003B65A4" w:rsidRPr="00A6689B" w:rsidRDefault="003B65A4" w:rsidP="0045750F">
            <w:pPr>
              <w:spacing w:line="240" w:lineRule="auto"/>
              <w:rPr>
                <w:i/>
              </w:rPr>
            </w:pPr>
            <w:r>
              <w:rPr>
                <w:i/>
              </w:rPr>
              <w:t>Tél.</w:t>
            </w:r>
          </w:p>
        </w:tc>
        <w:tc>
          <w:tcPr>
            <w:tcW w:w="4493" w:type="dxa"/>
          </w:tcPr>
          <w:p w14:paraId="02787DA8" w14:textId="77777777" w:rsidR="003B65A4" w:rsidRPr="00A6689B" w:rsidRDefault="003B65A4" w:rsidP="0045750F">
            <w:pPr>
              <w:spacing w:line="240" w:lineRule="auto"/>
              <w:rPr>
                <w:i/>
              </w:rPr>
            </w:pPr>
            <w:r>
              <w:rPr>
                <w:i/>
              </w:rPr>
              <w:t>+32 2 546 8134</w:t>
            </w:r>
          </w:p>
        </w:tc>
      </w:tr>
      <w:tr w:rsidR="003B65A4" w:rsidRPr="00A6689B" w14:paraId="40B55499" w14:textId="77777777" w:rsidTr="0045750F">
        <w:tc>
          <w:tcPr>
            <w:tcW w:w="1210" w:type="dxa"/>
          </w:tcPr>
          <w:p w14:paraId="3C6DCFC7" w14:textId="77777777" w:rsidR="003B65A4" w:rsidRPr="00A6689B" w:rsidRDefault="003B65A4" w:rsidP="0045750F">
            <w:pPr>
              <w:spacing w:line="240" w:lineRule="auto"/>
              <w:rPr>
                <w:i/>
              </w:rPr>
            </w:pPr>
            <w:r>
              <w:rPr>
                <w:i/>
              </w:rPr>
              <w:t>Courriel</w:t>
            </w:r>
          </w:p>
        </w:tc>
        <w:tc>
          <w:tcPr>
            <w:tcW w:w="4493" w:type="dxa"/>
          </w:tcPr>
          <w:p w14:paraId="5BC8C834" w14:textId="77777777" w:rsidR="003B65A4" w:rsidRPr="00A153DB" w:rsidRDefault="00086F62" w:rsidP="0045750F">
            <w:pPr>
              <w:spacing w:line="240" w:lineRule="auto"/>
              <w:rPr>
                <w:i/>
                <w:iCs/>
              </w:rPr>
            </w:pPr>
            <w:hyperlink r:id="rId24" w:history="1">
              <w:r w:rsidR="003B65A4">
                <w:rPr>
                  <w:rStyle w:val="Hyperlink"/>
                  <w:i/>
                </w:rPr>
                <w:t>june.bedaton@eesc.europa.eu</w:t>
              </w:r>
            </w:hyperlink>
            <w:r w:rsidR="003B65A4">
              <w:rPr>
                <w:i/>
              </w:rPr>
              <w:t xml:space="preserve"> </w:t>
            </w:r>
          </w:p>
        </w:tc>
      </w:tr>
    </w:tbl>
    <w:p w14:paraId="077B4608" w14:textId="77777777" w:rsidR="003B65A4" w:rsidRDefault="003B65A4" w:rsidP="003B65A4">
      <w:pPr>
        <w:rPr>
          <w:lang w:val="nl-BE"/>
        </w:rPr>
      </w:pPr>
    </w:p>
    <w:p w14:paraId="7907E1CC" w14:textId="77777777" w:rsidR="003B65A4" w:rsidRPr="00A04AFA" w:rsidRDefault="004D7AC0" w:rsidP="003B65A4">
      <w:pPr>
        <w:widowControl w:val="0"/>
        <w:numPr>
          <w:ilvl w:val="0"/>
          <w:numId w:val="6"/>
        </w:numPr>
        <w:overflowPunct w:val="0"/>
        <w:autoSpaceDE w:val="0"/>
        <w:autoSpaceDN w:val="0"/>
        <w:adjustRightInd w:val="0"/>
        <w:ind w:left="567" w:hanging="567"/>
        <w:textAlignment w:val="baseline"/>
        <w:rPr>
          <w:rStyle w:val="Hyperlink"/>
          <w:b/>
        </w:rPr>
      </w:pPr>
      <w:r>
        <w:br w:type="page"/>
      </w:r>
      <w:hyperlink r:id="rId25" w:history="1">
        <w:r w:rsidR="003B65A4">
          <w:rPr>
            <w:rStyle w:val="Hyperlink"/>
            <w:b/>
            <w:i/>
            <w:sz w:val="28"/>
          </w:rPr>
          <w:t xml:space="preserve">Programmes </w:t>
        </w:r>
        <w:proofErr w:type="spellStart"/>
        <w:r w:rsidR="003B65A4">
          <w:rPr>
            <w:rStyle w:val="Hyperlink"/>
            <w:b/>
            <w:i/>
            <w:sz w:val="28"/>
          </w:rPr>
          <w:t>AgoraEU</w:t>
        </w:r>
        <w:proofErr w:type="spellEnd"/>
        <w:r w:rsidR="003B65A4">
          <w:rPr>
            <w:rStyle w:val="Hyperlink"/>
            <w:b/>
            <w:i/>
            <w:sz w:val="28"/>
          </w:rPr>
          <w:t xml:space="preserve"> et «Justice»</w:t>
        </w:r>
      </w:hyperlink>
    </w:p>
    <w:p w14:paraId="3E6E4B7E" w14:textId="77777777" w:rsidR="003B65A4" w:rsidRPr="00175210" w:rsidRDefault="003B65A4" w:rsidP="003B65A4">
      <w:pPr>
        <w:tabs>
          <w:tab w:val="center" w:pos="284"/>
        </w:tabs>
        <w:ind w:left="567" w:hanging="567"/>
        <w:rPr>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3B65A4" w:rsidRPr="00003787" w14:paraId="33074DD3" w14:textId="77777777" w:rsidTr="0045750F">
        <w:tc>
          <w:tcPr>
            <w:tcW w:w="1701" w:type="dxa"/>
          </w:tcPr>
          <w:p w14:paraId="2852E855" w14:textId="77777777" w:rsidR="003B65A4" w:rsidRPr="00A6689B" w:rsidRDefault="003B65A4" w:rsidP="0045750F">
            <w:pPr>
              <w:tabs>
                <w:tab w:val="center" w:pos="284"/>
              </w:tabs>
              <w:ind w:left="567" w:hanging="567"/>
              <w:rPr>
                <w:b/>
              </w:rPr>
            </w:pPr>
            <w:r>
              <w:rPr>
                <w:b/>
              </w:rPr>
              <w:t>Rapporteur</w:t>
            </w:r>
          </w:p>
        </w:tc>
        <w:tc>
          <w:tcPr>
            <w:tcW w:w="6237" w:type="dxa"/>
          </w:tcPr>
          <w:p w14:paraId="0FA7CA44" w14:textId="77777777" w:rsidR="003B65A4" w:rsidRPr="00003787" w:rsidRDefault="003B65A4" w:rsidP="0045750F">
            <w:pPr>
              <w:ind w:left="567" w:hanging="567"/>
            </w:pPr>
            <w:proofErr w:type="spellStart"/>
            <w:r>
              <w:t>Ionuț</w:t>
            </w:r>
            <w:proofErr w:type="spellEnd"/>
            <w:r>
              <w:t> SIBIAN (groupe des organisations de la société civile — RO)</w:t>
            </w:r>
          </w:p>
        </w:tc>
      </w:tr>
      <w:tr w:rsidR="003B65A4" w:rsidRPr="00CA1E86" w14:paraId="2C08A7BE" w14:textId="77777777" w:rsidTr="0045750F">
        <w:tc>
          <w:tcPr>
            <w:tcW w:w="1701" w:type="dxa"/>
            <w:vMerge w:val="restart"/>
          </w:tcPr>
          <w:p w14:paraId="3A415731" w14:textId="77777777" w:rsidR="003B65A4" w:rsidRPr="00003787" w:rsidRDefault="003B65A4" w:rsidP="0045750F">
            <w:pPr>
              <w:tabs>
                <w:tab w:val="center" w:pos="284"/>
              </w:tabs>
              <w:ind w:left="567" w:hanging="567"/>
              <w:rPr>
                <w:b/>
                <w:lang w:val="en-US"/>
              </w:rPr>
            </w:pPr>
          </w:p>
          <w:p w14:paraId="77BACDD6" w14:textId="77777777" w:rsidR="003B65A4" w:rsidRPr="00A6689B" w:rsidRDefault="003B65A4" w:rsidP="0045750F">
            <w:pPr>
              <w:tabs>
                <w:tab w:val="center" w:pos="284"/>
              </w:tabs>
              <w:ind w:left="567" w:hanging="567"/>
              <w:rPr>
                <w:b/>
              </w:rPr>
            </w:pPr>
            <w:r>
              <w:rPr>
                <w:b/>
              </w:rPr>
              <w:t>Références</w:t>
            </w:r>
          </w:p>
        </w:tc>
        <w:tc>
          <w:tcPr>
            <w:tcW w:w="6237" w:type="dxa"/>
          </w:tcPr>
          <w:p w14:paraId="54777F2E" w14:textId="77777777" w:rsidR="003B65A4" w:rsidRDefault="003B65A4" w:rsidP="0045750F">
            <w:pPr>
              <w:tabs>
                <w:tab w:val="center" w:pos="284"/>
              </w:tabs>
              <w:ind w:left="567" w:hanging="567"/>
              <w:rPr>
                <w:lang w:val="pt-PT"/>
              </w:rPr>
            </w:pPr>
          </w:p>
          <w:p w14:paraId="0756EC0B" w14:textId="77777777" w:rsidR="003B65A4" w:rsidRDefault="003B65A4" w:rsidP="0045750F">
            <w:pPr>
              <w:tabs>
                <w:tab w:val="center" w:pos="284"/>
              </w:tabs>
              <w:ind w:left="567" w:hanging="567"/>
            </w:pPr>
            <w:r>
              <w:t>EESC-2025-02823-00-00-AC</w:t>
            </w:r>
          </w:p>
          <w:p w14:paraId="2CAA1DCA" w14:textId="77777777" w:rsidR="003B65A4" w:rsidRDefault="003B65A4" w:rsidP="0045750F">
            <w:pPr>
              <w:tabs>
                <w:tab w:val="center" w:pos="284"/>
              </w:tabs>
              <w:ind w:left="567" w:hanging="567"/>
            </w:pPr>
            <w:r>
              <w:t>COM(2025) 463 final</w:t>
            </w:r>
          </w:p>
          <w:p w14:paraId="1545A647" w14:textId="77777777" w:rsidR="003B65A4" w:rsidRPr="00A04AFA" w:rsidRDefault="003B65A4" w:rsidP="0045750F">
            <w:pPr>
              <w:tabs>
                <w:tab w:val="center" w:pos="284"/>
              </w:tabs>
              <w:ind w:left="567" w:hanging="567"/>
            </w:pPr>
            <w:r>
              <w:t>COM(2025) 550 final</w:t>
            </w:r>
          </w:p>
        </w:tc>
      </w:tr>
      <w:tr w:rsidR="003B65A4" w:rsidRPr="00AF7F99" w14:paraId="542BB4A3" w14:textId="77777777" w:rsidTr="0045750F">
        <w:tc>
          <w:tcPr>
            <w:tcW w:w="1701" w:type="dxa"/>
            <w:vMerge/>
          </w:tcPr>
          <w:p w14:paraId="6317F578" w14:textId="77777777" w:rsidR="003B65A4" w:rsidRPr="00A04AFA" w:rsidRDefault="003B65A4" w:rsidP="0045750F">
            <w:pPr>
              <w:tabs>
                <w:tab w:val="center" w:pos="284"/>
              </w:tabs>
              <w:ind w:left="266" w:hanging="266"/>
              <w:rPr>
                <w:b/>
                <w:lang w:val="pt-PT"/>
              </w:rPr>
            </w:pPr>
          </w:p>
        </w:tc>
        <w:tc>
          <w:tcPr>
            <w:tcW w:w="6237" w:type="dxa"/>
          </w:tcPr>
          <w:p w14:paraId="2930E771" w14:textId="77777777" w:rsidR="003B65A4" w:rsidRPr="00AF7F99" w:rsidRDefault="003B65A4" w:rsidP="0045750F">
            <w:pPr>
              <w:tabs>
                <w:tab w:val="center" w:pos="284"/>
              </w:tabs>
              <w:ind w:left="266" w:hanging="266"/>
              <w:rPr>
                <w:sz w:val="2"/>
                <w:szCs w:val="2"/>
                <w:lang w:val="pt-PT"/>
              </w:rPr>
            </w:pPr>
          </w:p>
        </w:tc>
      </w:tr>
    </w:tbl>
    <w:p w14:paraId="2BBDC235" w14:textId="77777777" w:rsidR="003B65A4" w:rsidRDefault="003B65A4" w:rsidP="003B65A4">
      <w:pPr>
        <w:keepNext/>
        <w:keepLines/>
        <w:tabs>
          <w:tab w:val="center" w:pos="284"/>
        </w:tabs>
        <w:ind w:left="266" w:hanging="266"/>
        <w:rPr>
          <w:b/>
        </w:rPr>
      </w:pPr>
      <w:r>
        <w:rPr>
          <w:b/>
        </w:rPr>
        <w:t>Points clés</w:t>
      </w:r>
    </w:p>
    <w:p w14:paraId="29D041CC" w14:textId="77777777" w:rsidR="003B65A4" w:rsidRDefault="003B65A4" w:rsidP="003B65A4">
      <w:pPr>
        <w:keepNext/>
        <w:keepLines/>
        <w:tabs>
          <w:tab w:val="center" w:pos="284"/>
        </w:tabs>
        <w:ind w:left="266" w:hanging="266"/>
        <w:rPr>
          <w:b/>
        </w:rPr>
      </w:pPr>
    </w:p>
    <w:p w14:paraId="35790115" w14:textId="77777777" w:rsidR="003B65A4" w:rsidRPr="002010CB" w:rsidRDefault="003B65A4" w:rsidP="003B65A4">
      <w:pPr>
        <w:pStyle w:val="NormalWeb"/>
        <w:spacing w:before="0" w:beforeAutospacing="0" w:after="0" w:afterAutospacing="0" w:line="288" w:lineRule="auto"/>
        <w:jc w:val="both"/>
        <w:rPr>
          <w:sz w:val="22"/>
          <w:szCs w:val="22"/>
        </w:rPr>
      </w:pPr>
      <w:r>
        <w:rPr>
          <w:rStyle w:val="Strong"/>
          <w:sz w:val="22"/>
        </w:rPr>
        <w:t>Le CESE:</w:t>
      </w:r>
    </w:p>
    <w:p w14:paraId="7E2B5186"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accueille favorablement les propositions de la Commission relatives aux programmes «</w:t>
      </w:r>
      <w:proofErr w:type="spellStart"/>
      <w:r>
        <w:rPr>
          <w:sz w:val="22"/>
        </w:rPr>
        <w:t>AgoraEU</w:t>
      </w:r>
      <w:proofErr w:type="spellEnd"/>
      <w:r>
        <w:rPr>
          <w:sz w:val="22"/>
        </w:rPr>
        <w:t>» et «Justice», et exhorte le Parlement et le Conseil à les approuver sans réduire l’enveloppe financière proposée;</w:t>
      </w:r>
    </w:p>
    <w:p w14:paraId="5EE38C25"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invite à reconnaître explicitement le rôle des activités de plaidoyer en tant que composante essentielle du travail des organisations de la société civile ainsi que la participation de ces dernières à l’élaboration des politiques afin de renforcer la démocratie et la résilience;</w:t>
      </w:r>
    </w:p>
    <w:p w14:paraId="5A845B0E"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recommande d’inclure des subventions de fonctionnement pour les différents volets d’</w:t>
      </w:r>
      <w:proofErr w:type="spellStart"/>
      <w:r>
        <w:rPr>
          <w:sz w:val="22"/>
        </w:rPr>
        <w:t>AgoraEU</w:t>
      </w:r>
      <w:proofErr w:type="spellEnd"/>
      <w:r>
        <w:rPr>
          <w:sz w:val="22"/>
        </w:rPr>
        <w:t xml:space="preserve"> afin de renforcer la stabilité institutionnelle des organisations de la société civile, et d’étendre les subventions de fonctionnement au titre du programme «Justice» aux organisations à but non lucratif d’intérêt général européen;</w:t>
      </w:r>
    </w:p>
    <w:p w14:paraId="22A60C58"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défend le maintien du mécanisme de soutien financier à des tiers au moyen d’organisations intermédiaires pour atteindre les groupes de plus petite taille et de terrain, et appelle à garantir l’indépendance des intermédiaires et la conformité de leurs méthodes de gouvernance avec la charte des droits fondamentaux de l’Union européenne en tant que critères de sélection déterminants. Le Comité demande également de clarifier les taux de cofinancement, et recommande un taux de financement de l’Union allant jusqu’à 100 % pour les intermédiaires et les bénéficiaires finaux qui mettent en œuvre des activités déléguées;</w:t>
      </w:r>
    </w:p>
    <w:p w14:paraId="573440CB"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juge nécessaire d’adapter le mandat et les ressources des bureaux «Europe créative» pour soutenir efficacement le champ d’action élargi d’</w:t>
      </w:r>
      <w:proofErr w:type="spellStart"/>
      <w:r>
        <w:rPr>
          <w:sz w:val="22"/>
        </w:rPr>
        <w:t>AgoraEU</w:t>
      </w:r>
      <w:proofErr w:type="spellEnd"/>
      <w:r>
        <w:rPr>
          <w:sz w:val="22"/>
        </w:rPr>
        <w:t xml:space="preserve"> dans les secteurs culturel, médiatique et civique;</w:t>
      </w:r>
    </w:p>
    <w:p w14:paraId="0AA687C3"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réclame une flexibilité et des garanties (comme une indexation et des mécanismes correcteurs) concernant les montants forfaitaires et les subventions pluriannuelles afin d’éviter toute contrainte financière sur les bénéficiaires;</w:t>
      </w:r>
    </w:p>
    <w:p w14:paraId="31B2F96A"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demande de mieux décrire les synergies entre le Fonds européen pour la compétitivité et le volet «MÉDIA+» d’</w:t>
      </w:r>
      <w:proofErr w:type="spellStart"/>
      <w:r>
        <w:rPr>
          <w:sz w:val="22"/>
        </w:rPr>
        <w:t>AgoraEU</w:t>
      </w:r>
      <w:proofErr w:type="spellEnd"/>
      <w:r>
        <w:rPr>
          <w:sz w:val="22"/>
        </w:rPr>
        <w:t>, et exhorte la Commission à mettre en relation les bénéficiaires de subventions et à élaborer un plan d’action pour rendre opérationnel le financement combiné et cumulé au titre des deux règlements, en prévoyant des appels conjoints, une coopération entre les DG et un suivi de la performance;</w:t>
      </w:r>
    </w:p>
    <w:p w14:paraId="3A172C7A"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recommande de renforcer l’accent mis sur les droits des victimes et l’accès à la justice dans le programme «Justice», notamment au moyen de financements dédiés aux réseaux d’aide, de formations à l’intention des praticiens et d’une aide juridictionnelle transfrontière;</w:t>
      </w:r>
    </w:p>
    <w:p w14:paraId="26121D69"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appelle à remédier aux déséquilibres de financement au sein de l’Union, en particulier la fracture est-ouest, pour les deux programmes;</w:t>
      </w:r>
    </w:p>
    <w:p w14:paraId="1FFF1DDD" w14:textId="77777777" w:rsidR="003B65A4" w:rsidRPr="002010CB"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déplore la disparition du groupe de dialogue civil du règlement «</w:t>
      </w:r>
      <w:proofErr w:type="spellStart"/>
      <w:r>
        <w:rPr>
          <w:sz w:val="22"/>
        </w:rPr>
        <w:t>AgoraEU</w:t>
      </w:r>
      <w:proofErr w:type="spellEnd"/>
      <w:r>
        <w:rPr>
          <w:sz w:val="22"/>
        </w:rPr>
        <w:t>» et demande instamment qu’il soit rétabli;</w:t>
      </w:r>
    </w:p>
    <w:p w14:paraId="19295D29" w14:textId="77777777" w:rsidR="003B65A4" w:rsidRPr="00995261" w:rsidRDefault="003B65A4" w:rsidP="003B65A4">
      <w:pPr>
        <w:pStyle w:val="NormalWeb"/>
        <w:numPr>
          <w:ilvl w:val="0"/>
          <w:numId w:val="7"/>
        </w:numPr>
        <w:tabs>
          <w:tab w:val="clear" w:pos="720"/>
          <w:tab w:val="num" w:pos="567"/>
        </w:tabs>
        <w:spacing w:before="0" w:beforeAutospacing="0" w:after="0" w:afterAutospacing="0" w:line="288" w:lineRule="auto"/>
        <w:ind w:left="567" w:hanging="567"/>
        <w:jc w:val="both"/>
        <w:rPr>
          <w:sz w:val="22"/>
          <w:szCs w:val="22"/>
        </w:rPr>
      </w:pPr>
      <w:r>
        <w:rPr>
          <w:sz w:val="22"/>
        </w:rPr>
        <w:t xml:space="preserve">fait valoir que pour être efficaces, les programmes ont besoin d’infrastructures et d’un cofinancement adéquats au niveau national, et propose de faire dépendre l’accès aux fonds de l’Union en gestion </w:t>
      </w:r>
      <w:r>
        <w:rPr>
          <w:sz w:val="22"/>
        </w:rPr>
        <w:lastRenderedPageBreak/>
        <w:t>partagée de la capacité des États membres à démontrer leur soutien aux objectifs des programmes «</w:t>
      </w:r>
      <w:proofErr w:type="spellStart"/>
      <w:r>
        <w:rPr>
          <w:sz w:val="22"/>
        </w:rPr>
        <w:t>AgoraEU</w:t>
      </w:r>
      <w:proofErr w:type="spellEnd"/>
      <w:r>
        <w:rPr>
          <w:sz w:val="22"/>
        </w:rPr>
        <w:t>» et «Justice».</w:t>
      </w:r>
    </w:p>
    <w:p w14:paraId="62E7B85F" w14:textId="77777777" w:rsidR="003B65A4" w:rsidRPr="002010CB" w:rsidRDefault="003B65A4" w:rsidP="003B65A4">
      <w:pPr>
        <w:pStyle w:val="NormalWeb"/>
        <w:spacing w:before="0" w:beforeAutospacing="0" w:after="0" w:afterAutospacing="0" w:line="288" w:lineRule="auto"/>
        <w:ind w:left="567"/>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3B65A4" w:rsidRPr="00A6689B" w14:paraId="2496C8B5" w14:textId="77777777" w:rsidTr="0045750F">
        <w:tc>
          <w:tcPr>
            <w:tcW w:w="1210" w:type="dxa"/>
          </w:tcPr>
          <w:p w14:paraId="6E99037A" w14:textId="77777777" w:rsidR="003B65A4" w:rsidRPr="00A6689B" w:rsidRDefault="003B65A4" w:rsidP="0045750F">
            <w:pPr>
              <w:spacing w:line="240" w:lineRule="auto"/>
              <w:rPr>
                <w:i/>
              </w:rPr>
            </w:pPr>
            <w:r>
              <w:rPr>
                <w:b/>
                <w:i/>
              </w:rPr>
              <w:t>Contact</w:t>
            </w:r>
          </w:p>
        </w:tc>
        <w:tc>
          <w:tcPr>
            <w:tcW w:w="4493" w:type="dxa"/>
          </w:tcPr>
          <w:p w14:paraId="7F275FE5" w14:textId="77777777" w:rsidR="003B65A4" w:rsidRPr="00A6689B" w:rsidRDefault="003B65A4" w:rsidP="0045750F">
            <w:pPr>
              <w:spacing w:line="240" w:lineRule="auto"/>
              <w:ind w:hanging="12"/>
              <w:rPr>
                <w:i/>
              </w:rPr>
            </w:pPr>
            <w:r>
              <w:rPr>
                <w:i/>
              </w:rPr>
              <w:t>Alessia COVA</w:t>
            </w:r>
          </w:p>
        </w:tc>
      </w:tr>
      <w:tr w:rsidR="003B65A4" w:rsidRPr="00A6689B" w14:paraId="1A12D3D6" w14:textId="77777777" w:rsidTr="0045750F">
        <w:tc>
          <w:tcPr>
            <w:tcW w:w="1210" w:type="dxa"/>
          </w:tcPr>
          <w:p w14:paraId="479E8C9D" w14:textId="77777777" w:rsidR="003B65A4" w:rsidRPr="00A6689B" w:rsidRDefault="003B65A4" w:rsidP="0045750F">
            <w:pPr>
              <w:spacing w:line="240" w:lineRule="auto"/>
              <w:rPr>
                <w:i/>
              </w:rPr>
            </w:pPr>
            <w:r>
              <w:rPr>
                <w:i/>
              </w:rPr>
              <w:t>Tél.</w:t>
            </w:r>
          </w:p>
        </w:tc>
        <w:tc>
          <w:tcPr>
            <w:tcW w:w="4493" w:type="dxa"/>
          </w:tcPr>
          <w:p w14:paraId="28853A1B" w14:textId="77777777" w:rsidR="003B65A4" w:rsidRPr="00A6689B" w:rsidRDefault="003B65A4" w:rsidP="0045750F">
            <w:pPr>
              <w:spacing w:line="240" w:lineRule="auto"/>
              <w:rPr>
                <w:i/>
              </w:rPr>
            </w:pPr>
            <w:r>
              <w:rPr>
                <w:i/>
              </w:rPr>
              <w:t>+32 25469426</w:t>
            </w:r>
          </w:p>
        </w:tc>
      </w:tr>
      <w:tr w:rsidR="003B65A4" w:rsidRPr="00A6689B" w14:paraId="675A00EB" w14:textId="77777777" w:rsidTr="0045750F">
        <w:tc>
          <w:tcPr>
            <w:tcW w:w="1210" w:type="dxa"/>
          </w:tcPr>
          <w:p w14:paraId="5F556ACB" w14:textId="77777777" w:rsidR="003B65A4" w:rsidRPr="00A6689B" w:rsidRDefault="003B65A4" w:rsidP="0045750F">
            <w:pPr>
              <w:spacing w:line="240" w:lineRule="auto"/>
              <w:rPr>
                <w:i/>
              </w:rPr>
            </w:pPr>
            <w:r>
              <w:rPr>
                <w:i/>
              </w:rPr>
              <w:t>Courriel</w:t>
            </w:r>
          </w:p>
        </w:tc>
        <w:tc>
          <w:tcPr>
            <w:tcW w:w="4493" w:type="dxa"/>
          </w:tcPr>
          <w:p w14:paraId="6AEED478" w14:textId="77777777" w:rsidR="003B65A4" w:rsidRPr="00A153DB" w:rsidRDefault="00086F62" w:rsidP="0045750F">
            <w:pPr>
              <w:spacing w:line="240" w:lineRule="auto"/>
              <w:rPr>
                <w:i/>
                <w:iCs/>
              </w:rPr>
            </w:pPr>
            <w:hyperlink r:id="rId26" w:history="1">
              <w:r w:rsidR="003B65A4">
                <w:rPr>
                  <w:rStyle w:val="Hyperlink"/>
                  <w:i/>
                </w:rPr>
                <w:t>Alessia.Cova@eesc.europa.eu</w:t>
              </w:r>
            </w:hyperlink>
          </w:p>
        </w:tc>
      </w:tr>
    </w:tbl>
    <w:p w14:paraId="4982DDC5" w14:textId="5E2E29D0" w:rsidR="004D7AC0" w:rsidRDefault="004D7AC0" w:rsidP="003B65A4">
      <w:pPr>
        <w:widowControl w:val="0"/>
        <w:overflowPunct w:val="0"/>
        <w:autoSpaceDE w:val="0"/>
        <w:autoSpaceDN w:val="0"/>
        <w:adjustRightInd w:val="0"/>
        <w:textAlignment w:val="baseline"/>
      </w:pPr>
    </w:p>
    <w:p w14:paraId="2C0708E6" w14:textId="77777777" w:rsidR="003B65A4" w:rsidRDefault="003B65A4" w:rsidP="003B65A4">
      <w:pPr>
        <w:widowControl w:val="0"/>
        <w:overflowPunct w:val="0"/>
        <w:autoSpaceDE w:val="0"/>
        <w:autoSpaceDN w:val="0"/>
        <w:adjustRightInd w:val="0"/>
        <w:textAlignment w:val="baseline"/>
      </w:pPr>
    </w:p>
    <w:p w14:paraId="4982DDC6" w14:textId="77777777" w:rsidR="004D7AC0" w:rsidRPr="003B65A4" w:rsidRDefault="004D7AC0" w:rsidP="003B65A4">
      <w:pPr>
        <w:pStyle w:val="Heading1"/>
        <w:numPr>
          <w:ilvl w:val="0"/>
          <w:numId w:val="40"/>
        </w:numPr>
        <w:ind w:left="720" w:hanging="720"/>
        <w:rPr>
          <w:b/>
        </w:rPr>
      </w:pPr>
      <w:bookmarkStart w:id="14" w:name="_Toc24617160"/>
      <w:bookmarkStart w:id="15" w:name="_Toc75527082"/>
      <w:bookmarkStart w:id="16" w:name="_Toc216797867"/>
      <w:r w:rsidRPr="003B65A4">
        <w:rPr>
          <w:b/>
        </w:rPr>
        <w:t>TRANSPORTS, ÉNERGIE, INFRASTRUCTURES ET SOCIÉTÉ DE L’INFORMATION</w:t>
      </w:r>
      <w:bookmarkEnd w:id="14"/>
      <w:bookmarkEnd w:id="15"/>
      <w:bookmarkEnd w:id="16"/>
    </w:p>
    <w:p w14:paraId="4982DDC7" w14:textId="77777777" w:rsidR="004D7AC0" w:rsidRDefault="004D7AC0" w:rsidP="004D7AC0"/>
    <w:p w14:paraId="28E8464F" w14:textId="77777777" w:rsidR="003B65A4" w:rsidRPr="00327164" w:rsidRDefault="00086F62" w:rsidP="003B65A4">
      <w:pPr>
        <w:widowControl w:val="0"/>
        <w:numPr>
          <w:ilvl w:val="0"/>
          <w:numId w:val="16"/>
        </w:numPr>
        <w:overflowPunct w:val="0"/>
        <w:autoSpaceDE w:val="0"/>
        <w:autoSpaceDN w:val="0"/>
        <w:adjustRightInd w:val="0"/>
        <w:ind w:hanging="567"/>
        <w:textAlignment w:val="baseline"/>
        <w:rPr>
          <w:rStyle w:val="Hyperlink"/>
          <w:sz w:val="20"/>
        </w:rPr>
      </w:pPr>
      <w:hyperlink r:id="rId27" w:history="1">
        <w:r w:rsidR="003B65A4">
          <w:rPr>
            <w:rStyle w:val="Hyperlink"/>
            <w:b/>
            <w:i/>
            <w:sz w:val="28"/>
          </w:rPr>
          <w:t>Classe d’émissions de CO</w:t>
        </w:r>
        <w:r w:rsidR="003B65A4">
          <w:rPr>
            <w:rStyle w:val="Hyperlink"/>
            <w:b/>
            <w:i/>
            <w:sz w:val="28"/>
            <w:vertAlign w:val="subscript"/>
          </w:rPr>
          <w:t>2</w:t>
        </w:r>
        <w:r w:rsidR="003B65A4">
          <w:rPr>
            <w:rStyle w:val="Hyperlink"/>
            <w:b/>
            <w:i/>
            <w:sz w:val="28"/>
          </w:rPr>
          <w:t xml:space="preserve"> des véhicules lourds avec remorques</w:t>
        </w:r>
      </w:hyperlink>
    </w:p>
    <w:p w14:paraId="71DE1013" w14:textId="77777777" w:rsidR="003B65A4" w:rsidRPr="00AC7B06" w:rsidRDefault="003B65A4" w:rsidP="003B65A4">
      <w:pPr>
        <w:widowControl w:val="0"/>
        <w:ind w:left="567"/>
        <w:rPr>
          <w:sz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3B65A4" w:rsidRPr="00E454A2" w14:paraId="3E980D1C" w14:textId="77777777" w:rsidTr="0045750F">
        <w:tc>
          <w:tcPr>
            <w:tcW w:w="1701" w:type="dxa"/>
          </w:tcPr>
          <w:p w14:paraId="6F1B9EC3" w14:textId="77777777" w:rsidR="003B65A4" w:rsidRPr="00AC7B06" w:rsidRDefault="003B65A4" w:rsidP="0045750F">
            <w:pPr>
              <w:tabs>
                <w:tab w:val="center" w:pos="284"/>
              </w:tabs>
              <w:ind w:left="596" w:hanging="709"/>
              <w:rPr>
                <w:b/>
              </w:rPr>
            </w:pPr>
            <w:r>
              <w:rPr>
                <w:b/>
              </w:rPr>
              <w:t>Rapporteur</w:t>
            </w:r>
          </w:p>
        </w:tc>
        <w:tc>
          <w:tcPr>
            <w:tcW w:w="7621" w:type="dxa"/>
          </w:tcPr>
          <w:p w14:paraId="11A69468" w14:textId="77777777" w:rsidR="003B65A4" w:rsidRPr="00603EF6" w:rsidRDefault="003B65A4" w:rsidP="0045750F">
            <w:pPr>
              <w:tabs>
                <w:tab w:val="center" w:pos="284"/>
              </w:tabs>
              <w:ind w:left="720" w:hanging="720"/>
              <w:rPr>
                <w:bCs/>
              </w:rPr>
            </w:pPr>
            <w:r>
              <w:t>Avis de catégorie C</w:t>
            </w:r>
          </w:p>
        </w:tc>
      </w:tr>
      <w:tr w:rsidR="003B65A4" w:rsidRPr="00E454A2" w14:paraId="53CB00D7" w14:textId="77777777" w:rsidTr="0045750F">
        <w:tc>
          <w:tcPr>
            <w:tcW w:w="1701" w:type="dxa"/>
          </w:tcPr>
          <w:p w14:paraId="6A3BAEE8" w14:textId="77777777" w:rsidR="003B65A4" w:rsidRPr="00AC7B06" w:rsidRDefault="003B65A4" w:rsidP="0045750F">
            <w:pPr>
              <w:tabs>
                <w:tab w:val="center" w:pos="284"/>
              </w:tabs>
              <w:ind w:left="596" w:hanging="709"/>
              <w:rPr>
                <w:b/>
              </w:rPr>
            </w:pPr>
            <w:r>
              <w:rPr>
                <w:b/>
              </w:rPr>
              <w:t>Références</w:t>
            </w:r>
          </w:p>
        </w:tc>
        <w:tc>
          <w:tcPr>
            <w:tcW w:w="7621" w:type="dxa"/>
          </w:tcPr>
          <w:p w14:paraId="0EB1DBEB" w14:textId="77777777" w:rsidR="003B65A4" w:rsidRPr="00E454A2" w:rsidRDefault="003B65A4" w:rsidP="0045750F">
            <w:pPr>
              <w:tabs>
                <w:tab w:val="center" w:pos="284"/>
              </w:tabs>
              <w:ind w:left="720" w:hanging="720"/>
              <w:rPr>
                <w:bCs/>
              </w:rPr>
            </w:pPr>
            <w:r>
              <w:t>COM(2025) 589 final — 2023/0134 (COD)</w:t>
            </w:r>
          </w:p>
          <w:p w14:paraId="584E6D7C" w14:textId="77777777" w:rsidR="003B65A4" w:rsidRPr="00AC7B06" w:rsidRDefault="003B65A4" w:rsidP="0045750F">
            <w:pPr>
              <w:tabs>
                <w:tab w:val="center" w:pos="284"/>
              </w:tabs>
              <w:ind w:left="720" w:hanging="720"/>
            </w:pPr>
            <w:r>
              <w:t>EESC-2023-03779-00-AC</w:t>
            </w:r>
          </w:p>
        </w:tc>
      </w:tr>
    </w:tbl>
    <w:p w14:paraId="2DEC2D4B" w14:textId="77777777" w:rsidR="003B65A4" w:rsidRDefault="003B65A4" w:rsidP="003B65A4">
      <w:pPr>
        <w:keepNext/>
        <w:keepLines/>
        <w:tabs>
          <w:tab w:val="center" w:pos="284"/>
        </w:tabs>
        <w:ind w:left="720" w:hanging="720"/>
        <w:rPr>
          <w:b/>
        </w:rPr>
      </w:pPr>
    </w:p>
    <w:p w14:paraId="58927361" w14:textId="77777777" w:rsidR="003B65A4" w:rsidRPr="00AC7B06" w:rsidRDefault="003B65A4" w:rsidP="003B65A4">
      <w:pPr>
        <w:keepNext/>
        <w:keepLines/>
        <w:tabs>
          <w:tab w:val="center" w:pos="284"/>
        </w:tabs>
        <w:ind w:left="720" w:hanging="720"/>
        <w:rPr>
          <w:b/>
        </w:rPr>
      </w:pPr>
      <w:r>
        <w:rPr>
          <w:b/>
        </w:rPr>
        <w:t>Points clés</w:t>
      </w:r>
    </w:p>
    <w:p w14:paraId="056147FA" w14:textId="77777777" w:rsidR="003B65A4" w:rsidRPr="00AC7B06" w:rsidRDefault="003B65A4" w:rsidP="003B65A4">
      <w:pPr>
        <w:keepNext/>
        <w:keepLines/>
        <w:tabs>
          <w:tab w:val="center" w:pos="284"/>
        </w:tabs>
        <w:ind w:left="720" w:hanging="720"/>
        <w:rPr>
          <w:b/>
        </w:rPr>
      </w:pPr>
    </w:p>
    <w:p w14:paraId="0012FF57" w14:textId="77777777" w:rsidR="003B65A4" w:rsidRPr="00603EF6" w:rsidRDefault="003B65A4" w:rsidP="003B65A4">
      <w:pPr>
        <w:widowControl w:val="0"/>
        <w:numPr>
          <w:ilvl w:val="0"/>
          <w:numId w:val="16"/>
        </w:numPr>
        <w:overflowPunct w:val="0"/>
        <w:autoSpaceDE w:val="0"/>
        <w:autoSpaceDN w:val="0"/>
        <w:adjustRightInd w:val="0"/>
        <w:ind w:hanging="567"/>
        <w:textAlignment w:val="baseline"/>
        <w:rPr>
          <w:bCs/>
          <w:iCs/>
        </w:rPr>
      </w:pPr>
      <w:r>
        <w:t>Étant donné qu’il s’est déjà prononcé sur le contenu de la proposition en objet dans son avis TEN/815 sur la «Classe d’émissions de CO</w:t>
      </w:r>
      <w:r>
        <w:rPr>
          <w:vertAlign w:val="subscript"/>
        </w:rPr>
        <w:t>2</w:t>
      </w:r>
      <w:r>
        <w:t xml:space="preserve"> des véhicules lourds avec remorques» [</w:t>
      </w:r>
      <w:hyperlink r:id="rId28" w:history="1">
        <w:r>
          <w:rPr>
            <w:rStyle w:val="Hyperlink"/>
          </w:rPr>
          <w:t>C/2023/874</w:t>
        </w:r>
      </w:hyperlink>
      <w:r>
        <w:t>], adopté le 20 septembre 2023, le Comité a décidé de ne pas procéder à l’élaboration d’un nouvel avis en la matière, mais de se référer à la position qu’il avait soutenue dans le document susmentionné.</w:t>
      </w:r>
    </w:p>
    <w:p w14:paraId="73DA64F3" w14:textId="77777777" w:rsidR="003B65A4" w:rsidRPr="00AC7B06" w:rsidRDefault="003B65A4" w:rsidP="003B65A4">
      <w:pPr>
        <w:widowControl w:val="0"/>
        <w:ind w:left="720" w:hanging="720"/>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3B65A4" w:rsidRPr="00AC7B06" w14:paraId="3A3EE986" w14:textId="77777777" w:rsidTr="0045750F">
        <w:tc>
          <w:tcPr>
            <w:tcW w:w="1418" w:type="dxa"/>
          </w:tcPr>
          <w:p w14:paraId="1C5FAEE6" w14:textId="77777777" w:rsidR="003B65A4" w:rsidRPr="00AC7B06" w:rsidRDefault="003B65A4" w:rsidP="0045750F">
            <w:pPr>
              <w:ind w:left="720" w:hanging="720"/>
              <w:rPr>
                <w:i/>
              </w:rPr>
            </w:pPr>
            <w:r>
              <w:rPr>
                <w:b/>
                <w:i/>
              </w:rPr>
              <w:t>Contact</w:t>
            </w:r>
          </w:p>
        </w:tc>
        <w:tc>
          <w:tcPr>
            <w:tcW w:w="7904" w:type="dxa"/>
          </w:tcPr>
          <w:p w14:paraId="1DC56EF8" w14:textId="77777777" w:rsidR="003B65A4" w:rsidRPr="00AC7B06" w:rsidRDefault="003B65A4" w:rsidP="0045750F">
            <w:pPr>
              <w:ind w:left="720" w:hanging="720"/>
              <w:rPr>
                <w:i/>
              </w:rPr>
            </w:pPr>
            <w:r>
              <w:rPr>
                <w:i/>
              </w:rPr>
              <w:t>Maja RADMAN</w:t>
            </w:r>
          </w:p>
        </w:tc>
      </w:tr>
      <w:tr w:rsidR="003B65A4" w:rsidRPr="00AC7B06" w14:paraId="0E5F38DE" w14:textId="77777777" w:rsidTr="0045750F">
        <w:tc>
          <w:tcPr>
            <w:tcW w:w="1418" w:type="dxa"/>
          </w:tcPr>
          <w:p w14:paraId="1A9193D2" w14:textId="77777777" w:rsidR="003B65A4" w:rsidRPr="00AC7B06" w:rsidRDefault="003B65A4" w:rsidP="0045750F">
            <w:pPr>
              <w:ind w:left="720" w:hanging="720"/>
              <w:rPr>
                <w:i/>
              </w:rPr>
            </w:pPr>
            <w:r>
              <w:rPr>
                <w:i/>
              </w:rPr>
              <w:t>Tél.</w:t>
            </w:r>
          </w:p>
        </w:tc>
        <w:tc>
          <w:tcPr>
            <w:tcW w:w="7904" w:type="dxa"/>
          </w:tcPr>
          <w:p w14:paraId="5DE0A678" w14:textId="77777777" w:rsidR="003B65A4" w:rsidRPr="00AC7B06" w:rsidRDefault="003B65A4" w:rsidP="0045750F">
            <w:pPr>
              <w:ind w:left="720" w:hanging="720"/>
              <w:rPr>
                <w:i/>
              </w:rPr>
            </w:pPr>
            <w:r>
              <w:rPr>
                <w:i/>
              </w:rPr>
              <w:t>+32 2 546 9051</w:t>
            </w:r>
          </w:p>
        </w:tc>
      </w:tr>
      <w:tr w:rsidR="003B65A4" w:rsidRPr="00A6689B" w14:paraId="09763ED6" w14:textId="77777777" w:rsidTr="0045750F">
        <w:tc>
          <w:tcPr>
            <w:tcW w:w="1418" w:type="dxa"/>
          </w:tcPr>
          <w:p w14:paraId="76154602" w14:textId="77777777" w:rsidR="003B65A4" w:rsidRPr="00AC7B06" w:rsidRDefault="003B65A4" w:rsidP="0045750F">
            <w:pPr>
              <w:ind w:left="720" w:hanging="720"/>
              <w:rPr>
                <w:i/>
              </w:rPr>
            </w:pPr>
            <w:r>
              <w:rPr>
                <w:i/>
              </w:rPr>
              <w:t>Courriel</w:t>
            </w:r>
          </w:p>
        </w:tc>
        <w:tc>
          <w:tcPr>
            <w:tcW w:w="7904" w:type="dxa"/>
          </w:tcPr>
          <w:p w14:paraId="292B9EC2" w14:textId="77777777" w:rsidR="003B65A4" w:rsidRPr="00A6689B" w:rsidRDefault="00086F62" w:rsidP="0045750F">
            <w:pPr>
              <w:ind w:left="720" w:hanging="720"/>
              <w:rPr>
                <w:i/>
              </w:rPr>
            </w:pPr>
            <w:hyperlink r:id="rId29" w:history="1">
              <w:r w:rsidR="003B65A4">
                <w:rPr>
                  <w:rStyle w:val="Hyperlink"/>
                  <w:i/>
                </w:rPr>
                <w:t>Maja.Radman@eesc.europa.eu</w:t>
              </w:r>
            </w:hyperlink>
          </w:p>
        </w:tc>
      </w:tr>
    </w:tbl>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76C21909" w14:textId="77777777" w:rsidR="003B65A4" w:rsidRPr="003211C3" w:rsidRDefault="003B65A4" w:rsidP="003B65A4">
      <w:pPr>
        <w:widowControl w:val="0"/>
        <w:numPr>
          <w:ilvl w:val="0"/>
          <w:numId w:val="16"/>
        </w:numPr>
        <w:overflowPunct w:val="0"/>
        <w:autoSpaceDE w:val="0"/>
        <w:autoSpaceDN w:val="0"/>
        <w:adjustRightInd w:val="0"/>
        <w:spacing w:line="240" w:lineRule="auto"/>
        <w:ind w:hanging="567"/>
        <w:textAlignment w:val="baseline"/>
        <w:rPr>
          <w:rStyle w:val="Hyperlink"/>
          <w:sz w:val="24"/>
          <w:szCs w:val="24"/>
        </w:rPr>
      </w:pPr>
      <w:r>
        <w:rPr>
          <w:b/>
          <w:i/>
          <w:sz w:val="28"/>
        </w:rPr>
        <w:t xml:space="preserve">— </w:t>
      </w:r>
      <w:r>
        <w:rPr>
          <w:b/>
          <w:i/>
          <w:sz w:val="28"/>
        </w:rPr>
        <w:fldChar w:fldCharType="begin"/>
      </w:r>
      <w:r>
        <w:rPr>
          <w:b/>
          <w:i/>
          <w:sz w:val="28"/>
        </w:rPr>
        <w:instrText xml:space="preserve"> HYPERLINK "https://www.eesc.europa.eu/fr/our-work/opinions-information-reports/opinions/legislation-spatiale-de-lue" </w:instrText>
      </w:r>
      <w:r>
        <w:rPr>
          <w:b/>
          <w:i/>
          <w:sz w:val="28"/>
        </w:rPr>
        <w:fldChar w:fldCharType="separate"/>
      </w:r>
      <w:r>
        <w:rPr>
          <w:rStyle w:val="Hyperlink"/>
          <w:b/>
          <w:i/>
          <w:sz w:val="28"/>
        </w:rPr>
        <w:t>Acte législatif européen sur l’espace</w:t>
      </w:r>
    </w:p>
    <w:p w14:paraId="0F475F31" w14:textId="77777777" w:rsidR="003B65A4" w:rsidRPr="000D0411" w:rsidRDefault="003B65A4" w:rsidP="003B65A4">
      <w:pPr>
        <w:tabs>
          <w:tab w:val="center" w:pos="284"/>
        </w:tabs>
        <w:spacing w:line="240" w:lineRule="auto"/>
        <w:ind w:left="266" w:hanging="266"/>
        <w:rPr>
          <w:b/>
          <w:sz w:val="14"/>
        </w:rPr>
      </w:pPr>
      <w:r>
        <w:rPr>
          <w:b/>
          <w:i/>
          <w:sz w:val="28"/>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3B65A4" w:rsidRPr="0083314C" w14:paraId="78126C7D" w14:textId="77777777" w:rsidTr="0045750F">
        <w:tc>
          <w:tcPr>
            <w:tcW w:w="1701" w:type="dxa"/>
          </w:tcPr>
          <w:p w14:paraId="401B8416" w14:textId="77777777" w:rsidR="003B65A4" w:rsidRPr="00A6689B" w:rsidRDefault="003B65A4" w:rsidP="0045750F">
            <w:pPr>
              <w:tabs>
                <w:tab w:val="center" w:pos="284"/>
              </w:tabs>
              <w:spacing w:line="240" w:lineRule="auto"/>
              <w:ind w:left="266" w:hanging="266"/>
              <w:rPr>
                <w:b/>
              </w:rPr>
            </w:pPr>
            <w:r>
              <w:rPr>
                <w:b/>
              </w:rPr>
              <w:t>Rapporteur</w:t>
            </w:r>
          </w:p>
        </w:tc>
        <w:tc>
          <w:tcPr>
            <w:tcW w:w="5387" w:type="dxa"/>
          </w:tcPr>
          <w:p w14:paraId="7AA71D0D" w14:textId="77777777" w:rsidR="003B65A4" w:rsidRPr="0083314C" w:rsidRDefault="003B65A4" w:rsidP="0045750F">
            <w:pPr>
              <w:tabs>
                <w:tab w:val="center" w:pos="284"/>
              </w:tabs>
              <w:spacing w:line="240" w:lineRule="auto"/>
              <w:ind w:left="266" w:hanging="266"/>
            </w:pPr>
            <w:r>
              <w:t>Angelo PAGLIARA (groupe des travailleurs — IT)</w:t>
            </w:r>
          </w:p>
        </w:tc>
      </w:tr>
      <w:tr w:rsidR="003B65A4" w:rsidRPr="00A6689B" w14:paraId="1C027D6D" w14:textId="77777777" w:rsidTr="0045750F">
        <w:tc>
          <w:tcPr>
            <w:tcW w:w="7088" w:type="dxa"/>
            <w:gridSpan w:val="2"/>
          </w:tcPr>
          <w:p w14:paraId="75D8DF7C" w14:textId="77777777" w:rsidR="003B65A4" w:rsidRPr="0083314C" w:rsidRDefault="003B65A4" w:rsidP="0045750F">
            <w:pPr>
              <w:tabs>
                <w:tab w:val="center" w:pos="284"/>
              </w:tabs>
              <w:spacing w:line="240" w:lineRule="auto"/>
              <w:ind w:left="266" w:hanging="266"/>
              <w:rPr>
                <w:lang w:val="en-US"/>
              </w:rPr>
            </w:pPr>
          </w:p>
        </w:tc>
      </w:tr>
      <w:tr w:rsidR="003B65A4" w:rsidRPr="00A6689B" w14:paraId="377A7627" w14:textId="77777777" w:rsidTr="0045750F">
        <w:tc>
          <w:tcPr>
            <w:tcW w:w="1701" w:type="dxa"/>
            <w:vMerge w:val="restart"/>
          </w:tcPr>
          <w:p w14:paraId="26928F4C" w14:textId="77777777" w:rsidR="003B65A4" w:rsidRPr="00A6689B" w:rsidRDefault="003B65A4" w:rsidP="0045750F">
            <w:pPr>
              <w:tabs>
                <w:tab w:val="center" w:pos="284"/>
              </w:tabs>
              <w:spacing w:line="240" w:lineRule="auto"/>
              <w:ind w:left="266" w:hanging="266"/>
              <w:rPr>
                <w:b/>
              </w:rPr>
            </w:pPr>
            <w:r>
              <w:rPr>
                <w:b/>
              </w:rPr>
              <w:t xml:space="preserve">Références </w:t>
            </w:r>
          </w:p>
        </w:tc>
        <w:tc>
          <w:tcPr>
            <w:tcW w:w="5387" w:type="dxa"/>
          </w:tcPr>
          <w:p w14:paraId="5F902223" w14:textId="77777777" w:rsidR="003B65A4" w:rsidRPr="0083314C" w:rsidRDefault="003B65A4" w:rsidP="0045750F">
            <w:pPr>
              <w:tabs>
                <w:tab w:val="center" w:pos="284"/>
              </w:tabs>
              <w:spacing w:line="240" w:lineRule="auto"/>
              <w:ind w:left="266" w:hanging="266"/>
            </w:pPr>
            <w:r>
              <w:t>COM(2025) 335 final</w:t>
            </w:r>
          </w:p>
        </w:tc>
      </w:tr>
      <w:tr w:rsidR="003B65A4" w:rsidRPr="00A6689B" w14:paraId="4669722E" w14:textId="77777777" w:rsidTr="0045750F">
        <w:tc>
          <w:tcPr>
            <w:tcW w:w="1701" w:type="dxa"/>
            <w:vMerge/>
          </w:tcPr>
          <w:p w14:paraId="70137D0C" w14:textId="77777777" w:rsidR="003B65A4" w:rsidRPr="00A6689B" w:rsidRDefault="003B65A4" w:rsidP="0045750F">
            <w:pPr>
              <w:tabs>
                <w:tab w:val="center" w:pos="284"/>
              </w:tabs>
              <w:spacing w:line="240" w:lineRule="auto"/>
              <w:ind w:left="266" w:hanging="266"/>
              <w:rPr>
                <w:b/>
                <w:lang w:val="en-US"/>
              </w:rPr>
            </w:pPr>
          </w:p>
        </w:tc>
        <w:tc>
          <w:tcPr>
            <w:tcW w:w="5387" w:type="dxa"/>
          </w:tcPr>
          <w:p w14:paraId="36B12F1E" w14:textId="77777777" w:rsidR="003B65A4" w:rsidRPr="0083314C" w:rsidRDefault="003B65A4" w:rsidP="0045750F">
            <w:pPr>
              <w:tabs>
                <w:tab w:val="center" w:pos="284"/>
              </w:tabs>
              <w:spacing w:line="240" w:lineRule="auto"/>
              <w:ind w:left="266" w:hanging="266"/>
            </w:pPr>
            <w:r>
              <w:t>EESC-2024-00225-00-00-AC</w:t>
            </w:r>
          </w:p>
        </w:tc>
      </w:tr>
    </w:tbl>
    <w:p w14:paraId="564E3835" w14:textId="77777777" w:rsidR="003B65A4" w:rsidRPr="000D0411" w:rsidRDefault="003B65A4" w:rsidP="003B65A4">
      <w:pPr>
        <w:tabs>
          <w:tab w:val="center" w:pos="284"/>
        </w:tabs>
        <w:spacing w:line="240" w:lineRule="auto"/>
        <w:ind w:left="266" w:hanging="266"/>
        <w:rPr>
          <w:sz w:val="14"/>
          <w:szCs w:val="14"/>
        </w:rPr>
      </w:pPr>
    </w:p>
    <w:p w14:paraId="11CF3FDE" w14:textId="77777777" w:rsidR="003B65A4" w:rsidRPr="004F3EB7" w:rsidRDefault="003B65A4" w:rsidP="003B65A4">
      <w:pPr>
        <w:keepNext/>
        <w:keepLines/>
        <w:tabs>
          <w:tab w:val="center" w:pos="284"/>
        </w:tabs>
        <w:spacing w:line="240" w:lineRule="auto"/>
        <w:ind w:left="266" w:hanging="266"/>
        <w:rPr>
          <w:b/>
        </w:rPr>
      </w:pPr>
      <w:r>
        <w:rPr>
          <w:b/>
        </w:rPr>
        <w:t>Points clés</w:t>
      </w:r>
    </w:p>
    <w:p w14:paraId="56D1EFBA" w14:textId="77777777" w:rsidR="003B65A4" w:rsidRPr="009B2453" w:rsidRDefault="003B65A4" w:rsidP="003B65A4">
      <w:pPr>
        <w:keepNext/>
        <w:keepLines/>
        <w:tabs>
          <w:tab w:val="center" w:pos="284"/>
        </w:tabs>
        <w:spacing w:line="240" w:lineRule="auto"/>
        <w:ind w:left="266" w:hanging="266"/>
        <w:rPr>
          <w:bCs/>
          <w:sz w:val="18"/>
          <w:szCs w:val="18"/>
        </w:rPr>
      </w:pPr>
    </w:p>
    <w:p w14:paraId="4EE6A8BB" w14:textId="77777777" w:rsidR="003B65A4" w:rsidRPr="004F3EB7" w:rsidRDefault="003B65A4" w:rsidP="003B65A4">
      <w:pPr>
        <w:spacing w:line="240" w:lineRule="auto"/>
        <w:rPr>
          <w:bCs/>
          <w:iCs/>
        </w:rPr>
      </w:pPr>
      <w:r>
        <w:t>Le CESE:</w:t>
      </w:r>
    </w:p>
    <w:p w14:paraId="01E3F8EF" w14:textId="77777777" w:rsidR="003B65A4" w:rsidRPr="004F3EB7" w:rsidRDefault="003B65A4" w:rsidP="003B65A4">
      <w:pPr>
        <w:numPr>
          <w:ilvl w:val="0"/>
          <w:numId w:val="16"/>
        </w:numPr>
        <w:ind w:hanging="567"/>
      </w:pPr>
      <w:r>
        <w:t xml:space="preserve">recommande que </w:t>
      </w:r>
      <w:r>
        <w:rPr>
          <w:b/>
        </w:rPr>
        <w:t>les investissements publics européens dans l’espace soient renforcés</w:t>
      </w:r>
      <w:r>
        <w:t xml:space="preserve"> de manière structurelle et immédiate et que les investissements spatiaux soient portés à </w:t>
      </w:r>
      <w:r>
        <w:rPr>
          <w:b/>
        </w:rPr>
        <w:t>au moins 0,2 % du PIB d’ici à 2030</w:t>
      </w:r>
      <w:r>
        <w:t>;</w:t>
      </w:r>
    </w:p>
    <w:p w14:paraId="21D1AAFD" w14:textId="77777777" w:rsidR="003B65A4" w:rsidRPr="004F3EB7" w:rsidRDefault="003B65A4" w:rsidP="003B65A4">
      <w:pPr>
        <w:numPr>
          <w:ilvl w:val="0"/>
          <w:numId w:val="16"/>
        </w:numPr>
        <w:ind w:hanging="567"/>
      </w:pPr>
      <w:r>
        <w:t xml:space="preserve">préconise de </w:t>
      </w:r>
      <w:r>
        <w:rPr>
          <w:b/>
        </w:rPr>
        <w:t>préciser la manière dont l’article 114 du traité peut servir de base juridique pour l’établissement et le fonctionnement du marché intérieur des produits et services spatiaux et des données spatiales</w:t>
      </w:r>
      <w:r>
        <w:t xml:space="preserve"> et suggère d’introduire une clause prévoyant que les dispositions de l’acte législatif sur l’espace doivent être interprétées à la lumière des </w:t>
      </w:r>
      <w:r>
        <w:rPr>
          <w:b/>
        </w:rPr>
        <w:t>obligations internationales déjà contractées par les États membres</w:t>
      </w:r>
      <w:r>
        <w:t>;</w:t>
      </w:r>
    </w:p>
    <w:p w14:paraId="03996E4E" w14:textId="77777777" w:rsidR="003B65A4" w:rsidRPr="004F3EB7" w:rsidRDefault="003B65A4" w:rsidP="003B65A4">
      <w:pPr>
        <w:numPr>
          <w:ilvl w:val="0"/>
          <w:numId w:val="16"/>
        </w:numPr>
        <w:ind w:hanging="567"/>
      </w:pPr>
      <w:r>
        <w:t xml:space="preserve">préconise de préciser les </w:t>
      </w:r>
      <w:r>
        <w:rPr>
          <w:b/>
        </w:rPr>
        <w:t>raisons pour lesquelles le titre I mentionne uniquement le critère de l’État d’établissement de l’opérateur ou de l’opérateur spatial d’un pays tiers</w:t>
      </w:r>
      <w:r>
        <w:t xml:space="preserve">, sans faire une quelconque référence à leur pays de nationalité, et prône par ailleurs une </w:t>
      </w:r>
      <w:r>
        <w:rPr>
          <w:b/>
        </w:rPr>
        <w:t>clarification de l’article 6, paragraphe 3, afin de garantir une meilleure coordination avec les législations spatiales nationales des États membres</w:t>
      </w:r>
      <w:r>
        <w:t xml:space="preserve"> qui déterminent, sur la base de la nationalité des opérateurs ou du territoire à partir duquel ils opèrent, quels sont ceux qui sont tenus d’obtenir une autorisation d’exercer des activités spatiales;</w:t>
      </w:r>
    </w:p>
    <w:p w14:paraId="302947E8" w14:textId="77777777" w:rsidR="003B65A4" w:rsidRPr="004F3EB7" w:rsidRDefault="003B65A4" w:rsidP="003B65A4">
      <w:pPr>
        <w:numPr>
          <w:ilvl w:val="0"/>
          <w:numId w:val="16"/>
        </w:numPr>
        <w:ind w:hanging="567"/>
      </w:pPr>
      <w:r>
        <w:t xml:space="preserve">recommande de </w:t>
      </w:r>
      <w:r>
        <w:rPr>
          <w:b/>
        </w:rPr>
        <w:t>clarifier, au titre II, le fonctionnement des dérogations et des marges de flexibilité ménagées pour le processus d’autorisation</w:t>
      </w:r>
      <w:r>
        <w:t>, en précisant les délais de procédure, l’applicabilité aux missions non commerciales, les pouvoirs d’inspection de la Commission et le rôle opérationnel de l’Agence spatiale européenne et de l’EUSPA;</w:t>
      </w:r>
    </w:p>
    <w:p w14:paraId="3AB85125" w14:textId="77777777" w:rsidR="003B65A4" w:rsidRPr="004F3EB7" w:rsidRDefault="003B65A4" w:rsidP="003B65A4">
      <w:pPr>
        <w:numPr>
          <w:ilvl w:val="0"/>
          <w:numId w:val="16"/>
        </w:numPr>
        <w:ind w:hanging="567"/>
      </w:pPr>
      <w:r>
        <w:t xml:space="preserve">recommande que soient définies précisément les </w:t>
      </w:r>
      <w:r>
        <w:rPr>
          <w:b/>
        </w:rPr>
        <w:t>limites dans lesquelles les États membres peuvent imposer des exigences plus strictes</w:t>
      </w:r>
      <w:r>
        <w:t xml:space="preserve"> en ce qui concerne la libre circulation des données et des services spatiaux dans l’Union;</w:t>
      </w:r>
    </w:p>
    <w:p w14:paraId="4C0DC551" w14:textId="77777777" w:rsidR="003B65A4" w:rsidRPr="004F3EB7" w:rsidRDefault="003B65A4" w:rsidP="003B65A4">
      <w:pPr>
        <w:numPr>
          <w:ilvl w:val="0"/>
          <w:numId w:val="16"/>
        </w:numPr>
        <w:ind w:hanging="567"/>
      </w:pPr>
      <w:r>
        <w:t xml:space="preserve">souligne la nécessité de </w:t>
      </w:r>
      <w:r>
        <w:rPr>
          <w:b/>
        </w:rPr>
        <w:t>renforcer le principe de reconnaissance mutuelle et de règles communes afin d’éviter la fragmentation</w:t>
      </w:r>
      <w:r>
        <w:t xml:space="preserve"> et les obstacles d’ordre administratif;</w:t>
      </w:r>
    </w:p>
    <w:p w14:paraId="47579C34" w14:textId="77777777" w:rsidR="003B65A4" w:rsidRPr="004F3EB7" w:rsidRDefault="003B65A4" w:rsidP="003B65A4">
      <w:pPr>
        <w:numPr>
          <w:ilvl w:val="0"/>
          <w:numId w:val="16"/>
        </w:numPr>
        <w:ind w:hanging="567"/>
      </w:pPr>
      <w:r>
        <w:t xml:space="preserve">recommande de </w:t>
      </w:r>
      <w:r>
        <w:rPr>
          <w:b/>
        </w:rPr>
        <w:t>lier la stratégie spatiale européenne à l’autonomie stratégique européenne</w:t>
      </w:r>
      <w:r>
        <w:t xml:space="preserve"> et de favoriser des </w:t>
      </w:r>
      <w:r>
        <w:rPr>
          <w:b/>
        </w:rPr>
        <w:t>écosystèmes complémentaires et l’effet multiplicateur de l’économie spatiale</w:t>
      </w:r>
      <w:r>
        <w:t xml:space="preserve"> au profit de secteurs spécifiques;</w:t>
      </w:r>
    </w:p>
    <w:p w14:paraId="07104053" w14:textId="77777777" w:rsidR="003B65A4" w:rsidRPr="004F3EB7" w:rsidRDefault="003B65A4" w:rsidP="003B65A4">
      <w:pPr>
        <w:numPr>
          <w:ilvl w:val="0"/>
          <w:numId w:val="16"/>
        </w:numPr>
        <w:ind w:hanging="567"/>
      </w:pPr>
      <w:r>
        <w:t xml:space="preserve">recommande l’élaboration d’une </w:t>
      </w:r>
      <w:r>
        <w:rPr>
          <w:b/>
        </w:rPr>
        <w:t>stratégie intégrée pour les compétences et les emplois spatiaux</w:t>
      </w:r>
      <w:r>
        <w:t xml:space="preserve"> et l’adoption d’une </w:t>
      </w:r>
      <w:r>
        <w:rPr>
          <w:b/>
        </w:rPr>
        <w:t>stratégie européenne en matière de compétences spatiales</w:t>
      </w:r>
      <w:r>
        <w:t>;</w:t>
      </w:r>
    </w:p>
    <w:p w14:paraId="158063EE" w14:textId="77777777" w:rsidR="003B65A4" w:rsidRPr="000D0411" w:rsidRDefault="003B65A4" w:rsidP="003B65A4">
      <w:pPr>
        <w:numPr>
          <w:ilvl w:val="0"/>
          <w:numId w:val="16"/>
        </w:numPr>
        <w:ind w:hanging="567"/>
        <w:jc w:val="left"/>
      </w:pPr>
      <w:r>
        <w:t xml:space="preserve">demande que des ressources suffisantes soient garanties, dans le prochain cadre financier pluriannuel 2028-2034, pour le </w:t>
      </w:r>
      <w:r>
        <w:rPr>
          <w:b/>
        </w:rPr>
        <w:t>renforcement opérationnel de l’EUSPA</w:t>
      </w:r>
      <w:r>
        <w:t>.</w:t>
      </w:r>
    </w:p>
    <w:p w14:paraId="798668A4" w14:textId="77777777" w:rsidR="003B65A4" w:rsidRPr="000D0411" w:rsidRDefault="003B65A4" w:rsidP="003B65A4">
      <w:pPr>
        <w:widowControl w:val="0"/>
        <w:spacing w:line="240" w:lineRule="auto"/>
        <w:rPr>
          <w:sz w:val="14"/>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B65A4" w:rsidRPr="004F3EB7" w14:paraId="4D61A97C" w14:textId="77777777" w:rsidTr="0045750F">
        <w:tc>
          <w:tcPr>
            <w:tcW w:w="1418" w:type="dxa"/>
          </w:tcPr>
          <w:p w14:paraId="34694AD9" w14:textId="77777777" w:rsidR="003B65A4" w:rsidRPr="004F3EB7" w:rsidRDefault="003B65A4" w:rsidP="0045750F">
            <w:pPr>
              <w:spacing w:line="240" w:lineRule="auto"/>
              <w:rPr>
                <w:i/>
              </w:rPr>
            </w:pPr>
            <w:r>
              <w:rPr>
                <w:b/>
                <w:i/>
              </w:rPr>
              <w:t>Contact</w:t>
            </w:r>
          </w:p>
        </w:tc>
        <w:tc>
          <w:tcPr>
            <w:tcW w:w="5670" w:type="dxa"/>
          </w:tcPr>
          <w:p w14:paraId="466936A1" w14:textId="77777777" w:rsidR="003B65A4" w:rsidRPr="004F3EB7" w:rsidRDefault="003B65A4" w:rsidP="0045750F">
            <w:pPr>
              <w:spacing w:line="240" w:lineRule="auto"/>
              <w:rPr>
                <w:i/>
              </w:rPr>
            </w:pPr>
            <w:proofErr w:type="spellStart"/>
            <w:r>
              <w:rPr>
                <w:i/>
              </w:rPr>
              <w:t>Giorgia</w:t>
            </w:r>
            <w:proofErr w:type="spellEnd"/>
            <w:r>
              <w:rPr>
                <w:i/>
              </w:rPr>
              <w:t> </w:t>
            </w:r>
            <w:proofErr w:type="spellStart"/>
            <w:r>
              <w:rPr>
                <w:i/>
              </w:rPr>
              <w:t>Bordignon</w:t>
            </w:r>
            <w:proofErr w:type="spellEnd"/>
          </w:p>
        </w:tc>
      </w:tr>
      <w:tr w:rsidR="003B65A4" w:rsidRPr="004F3EB7" w14:paraId="089693AE" w14:textId="77777777" w:rsidTr="0045750F">
        <w:tc>
          <w:tcPr>
            <w:tcW w:w="1418" w:type="dxa"/>
          </w:tcPr>
          <w:p w14:paraId="36AFE293" w14:textId="77777777" w:rsidR="003B65A4" w:rsidRPr="004F3EB7" w:rsidRDefault="003B65A4" w:rsidP="0045750F">
            <w:pPr>
              <w:spacing w:line="240" w:lineRule="auto"/>
              <w:rPr>
                <w:i/>
              </w:rPr>
            </w:pPr>
            <w:r>
              <w:rPr>
                <w:i/>
              </w:rPr>
              <w:t>Tél.</w:t>
            </w:r>
          </w:p>
        </w:tc>
        <w:tc>
          <w:tcPr>
            <w:tcW w:w="5670" w:type="dxa"/>
          </w:tcPr>
          <w:p w14:paraId="1493E3CB" w14:textId="77777777" w:rsidR="003B65A4" w:rsidRPr="004F3EB7" w:rsidRDefault="003B65A4" w:rsidP="0045750F">
            <w:pPr>
              <w:spacing w:line="240" w:lineRule="auto"/>
              <w:rPr>
                <w:i/>
              </w:rPr>
            </w:pPr>
            <w:r>
              <w:rPr>
                <w:i/>
                <w:iCs/>
              </w:rPr>
              <w:t>+32 2 546 8535</w:t>
            </w:r>
          </w:p>
        </w:tc>
      </w:tr>
      <w:tr w:rsidR="003B65A4" w:rsidRPr="004F3EB7" w14:paraId="33530BD2" w14:textId="77777777" w:rsidTr="0045750F">
        <w:tc>
          <w:tcPr>
            <w:tcW w:w="1418" w:type="dxa"/>
          </w:tcPr>
          <w:p w14:paraId="13AC1EC7" w14:textId="77777777" w:rsidR="003B65A4" w:rsidRPr="004F3EB7" w:rsidRDefault="003B65A4" w:rsidP="0045750F">
            <w:pPr>
              <w:spacing w:line="240" w:lineRule="auto"/>
              <w:rPr>
                <w:i/>
              </w:rPr>
            </w:pPr>
            <w:r>
              <w:rPr>
                <w:i/>
              </w:rPr>
              <w:t>Courriel</w:t>
            </w:r>
          </w:p>
        </w:tc>
        <w:tc>
          <w:tcPr>
            <w:tcW w:w="5670" w:type="dxa"/>
          </w:tcPr>
          <w:p w14:paraId="4D258458" w14:textId="77777777" w:rsidR="003B65A4" w:rsidRPr="004F3EB7" w:rsidRDefault="00086F62" w:rsidP="0045750F">
            <w:pPr>
              <w:spacing w:line="240" w:lineRule="auto"/>
              <w:rPr>
                <w:i/>
              </w:rPr>
            </w:pPr>
            <w:hyperlink r:id="rId30" w:history="1">
              <w:r w:rsidR="003B65A4">
                <w:rPr>
                  <w:rStyle w:val="Hyperlink"/>
                  <w:i/>
                </w:rPr>
                <w:t>GiorgiaAndrea.Bordignon@eesc.europa.eu</w:t>
              </w:r>
            </w:hyperlink>
            <w:r w:rsidR="003B65A4">
              <w:rPr>
                <w:i/>
              </w:rPr>
              <w:t xml:space="preserve"> </w:t>
            </w:r>
          </w:p>
        </w:tc>
      </w:tr>
    </w:tbl>
    <w:p w14:paraId="7416E75B" w14:textId="77777777" w:rsidR="00B8543B" w:rsidRDefault="00B8543B">
      <w:pPr>
        <w:spacing w:after="160" w:line="259" w:lineRule="auto"/>
        <w:jc w:val="left"/>
      </w:pPr>
      <w:r>
        <w:br w:type="page"/>
      </w:r>
    </w:p>
    <w:p w14:paraId="751D8C49" w14:textId="77777777" w:rsidR="003B65A4" w:rsidRPr="001424C7" w:rsidRDefault="00086F62" w:rsidP="003B65A4">
      <w:pPr>
        <w:widowControl w:val="0"/>
        <w:numPr>
          <w:ilvl w:val="0"/>
          <w:numId w:val="16"/>
        </w:numPr>
        <w:overflowPunct w:val="0"/>
        <w:autoSpaceDE w:val="0"/>
        <w:autoSpaceDN w:val="0"/>
        <w:adjustRightInd w:val="0"/>
        <w:ind w:hanging="567"/>
        <w:textAlignment w:val="baseline"/>
        <w:rPr>
          <w:sz w:val="20"/>
        </w:rPr>
      </w:pPr>
      <w:hyperlink r:id="rId31" w:history="1">
        <w:r w:rsidR="003B65A4">
          <w:rPr>
            <w:rStyle w:val="Hyperlink"/>
            <w:b/>
            <w:i/>
            <w:sz w:val="28"/>
          </w:rPr>
          <w:t>Programme indicatif nucléaire</w:t>
        </w:r>
      </w:hyperlink>
    </w:p>
    <w:p w14:paraId="099BD21F" w14:textId="77777777" w:rsidR="003B65A4" w:rsidRPr="00A6689B" w:rsidRDefault="003B65A4" w:rsidP="003B65A4">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B65A4" w:rsidRPr="00A6689B" w14:paraId="0260BBB5" w14:textId="77777777" w:rsidTr="0045750F">
        <w:tc>
          <w:tcPr>
            <w:tcW w:w="1951" w:type="dxa"/>
          </w:tcPr>
          <w:p w14:paraId="39D89DA5" w14:textId="77777777" w:rsidR="003B65A4" w:rsidRPr="00A6689B" w:rsidRDefault="003B65A4" w:rsidP="0045750F">
            <w:pPr>
              <w:tabs>
                <w:tab w:val="center" w:pos="284"/>
              </w:tabs>
              <w:ind w:left="266" w:hanging="266"/>
              <w:rPr>
                <w:b/>
              </w:rPr>
            </w:pPr>
            <w:r>
              <w:rPr>
                <w:b/>
              </w:rPr>
              <w:t>Rapporteur</w:t>
            </w:r>
          </w:p>
        </w:tc>
        <w:tc>
          <w:tcPr>
            <w:tcW w:w="7229" w:type="dxa"/>
          </w:tcPr>
          <w:p w14:paraId="46248720" w14:textId="77777777" w:rsidR="003B65A4" w:rsidRPr="00A6689B" w:rsidRDefault="003B65A4" w:rsidP="0045750F">
            <w:pPr>
              <w:tabs>
                <w:tab w:val="center" w:pos="284"/>
              </w:tabs>
              <w:ind w:left="266" w:hanging="266"/>
            </w:pPr>
            <w:r>
              <w:t>Dumitru FORNEA (groupe des travailleurs — RO)</w:t>
            </w:r>
          </w:p>
        </w:tc>
      </w:tr>
      <w:tr w:rsidR="003B65A4" w:rsidRPr="00A6689B" w14:paraId="60B9BB57" w14:textId="77777777" w:rsidTr="0045750F">
        <w:tc>
          <w:tcPr>
            <w:tcW w:w="1951" w:type="dxa"/>
          </w:tcPr>
          <w:p w14:paraId="540DC381" w14:textId="77777777" w:rsidR="003B65A4" w:rsidRPr="00A6689B" w:rsidRDefault="003B65A4" w:rsidP="0045750F">
            <w:pPr>
              <w:tabs>
                <w:tab w:val="center" w:pos="284"/>
              </w:tabs>
              <w:ind w:left="266" w:hanging="266"/>
              <w:rPr>
                <w:b/>
              </w:rPr>
            </w:pPr>
            <w:r>
              <w:rPr>
                <w:b/>
              </w:rPr>
              <w:t>Corapporteure</w:t>
            </w:r>
          </w:p>
        </w:tc>
        <w:tc>
          <w:tcPr>
            <w:tcW w:w="7229" w:type="dxa"/>
          </w:tcPr>
          <w:p w14:paraId="2F1200E9" w14:textId="77777777" w:rsidR="003B65A4" w:rsidRPr="00A6689B" w:rsidRDefault="003B65A4" w:rsidP="0045750F">
            <w:pPr>
              <w:tabs>
                <w:tab w:val="center" w:pos="284"/>
              </w:tabs>
              <w:ind w:left="266" w:hanging="266"/>
            </w:pPr>
            <w:r>
              <w:t>Alena MASTANTUONO (groupe des employeurs — CZ)</w:t>
            </w:r>
          </w:p>
        </w:tc>
      </w:tr>
      <w:tr w:rsidR="003B65A4" w:rsidRPr="00D25C71" w14:paraId="1AE4F8EB" w14:textId="77777777" w:rsidTr="0045750F">
        <w:tc>
          <w:tcPr>
            <w:tcW w:w="1951" w:type="dxa"/>
          </w:tcPr>
          <w:p w14:paraId="5054EA7F" w14:textId="77777777" w:rsidR="003B65A4" w:rsidRPr="00A6689B" w:rsidRDefault="003B65A4" w:rsidP="0045750F">
            <w:pPr>
              <w:tabs>
                <w:tab w:val="center" w:pos="284"/>
              </w:tabs>
              <w:ind w:left="266" w:hanging="266"/>
              <w:rPr>
                <w:b/>
              </w:rPr>
            </w:pPr>
            <w:r>
              <w:rPr>
                <w:b/>
              </w:rPr>
              <w:t>Références</w:t>
            </w:r>
          </w:p>
        </w:tc>
        <w:tc>
          <w:tcPr>
            <w:tcW w:w="7229" w:type="dxa"/>
          </w:tcPr>
          <w:p w14:paraId="64B4E792" w14:textId="77777777" w:rsidR="003B65A4" w:rsidRPr="00947EE1" w:rsidRDefault="003B65A4" w:rsidP="0045750F">
            <w:pPr>
              <w:tabs>
                <w:tab w:val="center" w:pos="284"/>
              </w:tabs>
              <w:ind w:left="266" w:hanging="266"/>
            </w:pPr>
            <w:r>
              <w:t>COM(2025) 315 final</w:t>
            </w:r>
          </w:p>
          <w:p w14:paraId="0B24B94A" w14:textId="77777777" w:rsidR="003B65A4" w:rsidRPr="00947EE1" w:rsidRDefault="003B65A4" w:rsidP="0045750F">
            <w:pPr>
              <w:tabs>
                <w:tab w:val="center" w:pos="284"/>
              </w:tabs>
              <w:ind w:left="266" w:hanging="266"/>
            </w:pPr>
            <w:r>
              <w:t>EESC-2025-02173-00-00-AC</w:t>
            </w:r>
          </w:p>
        </w:tc>
      </w:tr>
    </w:tbl>
    <w:p w14:paraId="5D2E0937" w14:textId="77777777" w:rsidR="003B65A4" w:rsidRPr="00947EE1" w:rsidRDefault="003B65A4" w:rsidP="003B65A4">
      <w:pPr>
        <w:tabs>
          <w:tab w:val="center" w:pos="284"/>
        </w:tabs>
        <w:ind w:left="266" w:hanging="266"/>
        <w:rPr>
          <w:lang w:val="pt-PT"/>
        </w:rPr>
      </w:pPr>
    </w:p>
    <w:p w14:paraId="4A246583" w14:textId="77777777" w:rsidR="003B65A4" w:rsidRPr="00A6689B" w:rsidRDefault="003B65A4" w:rsidP="003B65A4">
      <w:pPr>
        <w:keepNext/>
        <w:keepLines/>
        <w:tabs>
          <w:tab w:val="center" w:pos="284"/>
        </w:tabs>
        <w:ind w:left="266" w:hanging="266"/>
        <w:rPr>
          <w:b/>
        </w:rPr>
      </w:pPr>
      <w:r>
        <w:rPr>
          <w:b/>
        </w:rPr>
        <w:t>Points clés</w:t>
      </w:r>
    </w:p>
    <w:p w14:paraId="715726F5" w14:textId="77777777" w:rsidR="003B65A4" w:rsidRPr="00A6689B" w:rsidRDefault="003B65A4" w:rsidP="003B65A4">
      <w:pPr>
        <w:keepNext/>
        <w:keepLines/>
        <w:tabs>
          <w:tab w:val="center" w:pos="284"/>
        </w:tabs>
        <w:ind w:left="266" w:hanging="266"/>
        <w:rPr>
          <w:b/>
        </w:rPr>
      </w:pPr>
    </w:p>
    <w:p w14:paraId="377E7313" w14:textId="77777777" w:rsidR="003B65A4" w:rsidRPr="00A6689B" w:rsidRDefault="003B65A4" w:rsidP="003B65A4">
      <w:pPr>
        <w:rPr>
          <w:bCs/>
          <w:iCs/>
        </w:rPr>
      </w:pPr>
      <w:r>
        <w:t>Le CESE:</w:t>
      </w:r>
    </w:p>
    <w:p w14:paraId="0911734D" w14:textId="77777777" w:rsidR="003B65A4" w:rsidRPr="00947EE1" w:rsidRDefault="003B65A4" w:rsidP="003B65A4">
      <w:pPr>
        <w:widowControl w:val="0"/>
        <w:numPr>
          <w:ilvl w:val="0"/>
          <w:numId w:val="16"/>
        </w:numPr>
        <w:overflowPunct w:val="0"/>
        <w:autoSpaceDE w:val="0"/>
        <w:autoSpaceDN w:val="0"/>
        <w:adjustRightInd w:val="0"/>
        <w:ind w:hanging="567"/>
        <w:textAlignment w:val="baseline"/>
        <w:rPr>
          <w:bCs/>
          <w:iCs/>
        </w:rPr>
      </w:pPr>
      <w:r>
        <w:t>est d’avis que l’énergie nucléaire joue et continuera de jouer un rôle déterminant dans la décarbonation du continent européen et le renforcement de son autonomie stratégique dans les domaines de l’énergie et des technologies;</w:t>
      </w:r>
    </w:p>
    <w:p w14:paraId="7D810AD0" w14:textId="77777777" w:rsidR="003B65A4" w:rsidRPr="00A6689B" w:rsidRDefault="003B65A4" w:rsidP="003B65A4">
      <w:pPr>
        <w:widowControl w:val="0"/>
        <w:numPr>
          <w:ilvl w:val="0"/>
          <w:numId w:val="16"/>
        </w:numPr>
        <w:overflowPunct w:val="0"/>
        <w:autoSpaceDE w:val="0"/>
        <w:autoSpaceDN w:val="0"/>
        <w:adjustRightInd w:val="0"/>
        <w:ind w:hanging="567"/>
        <w:textAlignment w:val="baseline"/>
        <w:rPr>
          <w:bCs/>
          <w:iCs/>
        </w:rPr>
      </w:pPr>
      <w:r>
        <w:t>recommande que les investissements dans le domaine de l’énergie nucléaire soient soumis aux mêmes conditions que les énergies renouvelables;</w:t>
      </w:r>
    </w:p>
    <w:p w14:paraId="5A88D675" w14:textId="77777777" w:rsidR="003B65A4" w:rsidRPr="00A6689B" w:rsidRDefault="003B65A4" w:rsidP="003B65A4">
      <w:pPr>
        <w:widowControl w:val="0"/>
        <w:numPr>
          <w:ilvl w:val="0"/>
          <w:numId w:val="16"/>
        </w:numPr>
        <w:overflowPunct w:val="0"/>
        <w:autoSpaceDE w:val="0"/>
        <w:autoSpaceDN w:val="0"/>
        <w:adjustRightInd w:val="0"/>
        <w:ind w:hanging="567"/>
        <w:textAlignment w:val="baseline"/>
        <w:rPr>
          <w:bCs/>
          <w:iCs/>
        </w:rPr>
      </w:pPr>
      <w:r>
        <w:t>préconise d’accélérer les investissements au moyen de mesures financières et réglementaires spécifiques, comme un processus rationalisé en matière d’aides d’État, un accès aux fonds de cohésion de l’Union, des financements durables, des procédures d’autorisation plus efficaces et des décisions plus rapides à l’échelle européenne et nationale;</w:t>
      </w:r>
    </w:p>
    <w:p w14:paraId="4E981AF3" w14:textId="77777777" w:rsidR="003B65A4" w:rsidRDefault="003B65A4" w:rsidP="003B65A4">
      <w:pPr>
        <w:widowControl w:val="0"/>
        <w:numPr>
          <w:ilvl w:val="0"/>
          <w:numId w:val="16"/>
        </w:numPr>
        <w:overflowPunct w:val="0"/>
        <w:autoSpaceDE w:val="0"/>
        <w:autoSpaceDN w:val="0"/>
        <w:adjustRightInd w:val="0"/>
        <w:ind w:hanging="567"/>
        <w:textAlignment w:val="baseline"/>
        <w:rPr>
          <w:bCs/>
          <w:iCs/>
        </w:rPr>
      </w:pPr>
      <w:r>
        <w:t>juge le dialogue avec la société civile essentiel pour renforcer la confiance, l’appropriation et l’acceptation par la société;</w:t>
      </w:r>
    </w:p>
    <w:p w14:paraId="3C4EAAF4" w14:textId="77777777" w:rsidR="003B65A4" w:rsidRPr="00A6689B" w:rsidRDefault="003B65A4" w:rsidP="003B65A4">
      <w:pPr>
        <w:widowControl w:val="0"/>
        <w:numPr>
          <w:ilvl w:val="0"/>
          <w:numId w:val="16"/>
        </w:numPr>
        <w:overflowPunct w:val="0"/>
        <w:autoSpaceDE w:val="0"/>
        <w:autoSpaceDN w:val="0"/>
        <w:adjustRightInd w:val="0"/>
        <w:ind w:hanging="567"/>
        <w:textAlignment w:val="baseline"/>
        <w:rPr>
          <w:bCs/>
          <w:iCs/>
        </w:rPr>
      </w:pPr>
      <w:r>
        <w:t>appelle à un renforcement de la coopération entre États membres en matière de réglementation;</w:t>
      </w:r>
    </w:p>
    <w:p w14:paraId="310121D7" w14:textId="77777777" w:rsidR="003B65A4" w:rsidRPr="0040261B" w:rsidRDefault="003B65A4" w:rsidP="003B65A4">
      <w:pPr>
        <w:widowControl w:val="0"/>
        <w:numPr>
          <w:ilvl w:val="0"/>
          <w:numId w:val="16"/>
        </w:numPr>
        <w:overflowPunct w:val="0"/>
        <w:autoSpaceDE w:val="0"/>
        <w:autoSpaceDN w:val="0"/>
        <w:adjustRightInd w:val="0"/>
        <w:ind w:hanging="567"/>
        <w:textAlignment w:val="baseline"/>
      </w:pPr>
      <w:r>
        <w:t>suggère de prendre en compte le rôle de l’énergie nucléaire dans la stabilisation du réseau et invite à calculer dans le PINC les coûts systémiques que permet d’éviter l’intégration de l’énergie nucléaire.</w:t>
      </w:r>
    </w:p>
    <w:p w14:paraId="137C0EB9" w14:textId="77777777" w:rsidR="003B65A4" w:rsidRPr="000624A9" w:rsidRDefault="003B65A4" w:rsidP="003B65A4">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B65A4" w:rsidRPr="00A6689B" w14:paraId="42D7A5B8" w14:textId="77777777" w:rsidTr="0045750F">
        <w:tc>
          <w:tcPr>
            <w:tcW w:w="1951" w:type="dxa"/>
          </w:tcPr>
          <w:p w14:paraId="194D8BFA" w14:textId="77777777" w:rsidR="003B65A4" w:rsidRPr="00A6689B" w:rsidRDefault="003B65A4" w:rsidP="0045750F">
            <w:pPr>
              <w:rPr>
                <w:i/>
              </w:rPr>
            </w:pPr>
            <w:r>
              <w:rPr>
                <w:b/>
                <w:i/>
              </w:rPr>
              <w:t>Contact</w:t>
            </w:r>
          </w:p>
        </w:tc>
        <w:tc>
          <w:tcPr>
            <w:tcW w:w="7229" w:type="dxa"/>
          </w:tcPr>
          <w:p w14:paraId="4EFFB536" w14:textId="77777777" w:rsidR="003B65A4" w:rsidRPr="00A6689B" w:rsidRDefault="003B65A4" w:rsidP="0045750F">
            <w:pPr>
              <w:rPr>
                <w:i/>
              </w:rPr>
            </w:pPr>
            <w:r>
              <w:rPr>
                <w:i/>
              </w:rPr>
              <w:t>Albert PRECUP</w:t>
            </w:r>
          </w:p>
        </w:tc>
      </w:tr>
      <w:tr w:rsidR="003B65A4" w:rsidRPr="00A6689B" w14:paraId="0990DD6B" w14:textId="77777777" w:rsidTr="0045750F">
        <w:tc>
          <w:tcPr>
            <w:tcW w:w="1951" w:type="dxa"/>
          </w:tcPr>
          <w:p w14:paraId="65FD5A29" w14:textId="77777777" w:rsidR="003B65A4" w:rsidRPr="00A6689B" w:rsidRDefault="003B65A4" w:rsidP="0045750F">
            <w:pPr>
              <w:rPr>
                <w:i/>
              </w:rPr>
            </w:pPr>
            <w:r>
              <w:rPr>
                <w:i/>
              </w:rPr>
              <w:t>Tél.</w:t>
            </w:r>
          </w:p>
        </w:tc>
        <w:tc>
          <w:tcPr>
            <w:tcW w:w="7229" w:type="dxa"/>
          </w:tcPr>
          <w:p w14:paraId="4378BA53" w14:textId="77777777" w:rsidR="003B65A4" w:rsidRPr="00A6689B" w:rsidRDefault="003B65A4" w:rsidP="0045750F">
            <w:pPr>
              <w:rPr>
                <w:i/>
              </w:rPr>
            </w:pPr>
            <w:r>
              <w:rPr>
                <w:i/>
              </w:rPr>
              <w:t>+32 25469326</w:t>
            </w:r>
          </w:p>
        </w:tc>
      </w:tr>
      <w:tr w:rsidR="003B65A4" w:rsidRPr="00A6689B" w14:paraId="2AE3EB6A" w14:textId="77777777" w:rsidTr="0045750F">
        <w:tc>
          <w:tcPr>
            <w:tcW w:w="1951" w:type="dxa"/>
          </w:tcPr>
          <w:p w14:paraId="158B0E7E" w14:textId="77777777" w:rsidR="003B65A4" w:rsidRPr="00A6689B" w:rsidRDefault="003B65A4" w:rsidP="0045750F">
            <w:pPr>
              <w:rPr>
                <w:i/>
              </w:rPr>
            </w:pPr>
            <w:r>
              <w:rPr>
                <w:i/>
              </w:rPr>
              <w:t>Courriel</w:t>
            </w:r>
          </w:p>
        </w:tc>
        <w:tc>
          <w:tcPr>
            <w:tcW w:w="7229" w:type="dxa"/>
          </w:tcPr>
          <w:p w14:paraId="12B7A93B" w14:textId="77777777" w:rsidR="003B65A4" w:rsidRPr="00A6689B" w:rsidRDefault="00086F62" w:rsidP="0045750F">
            <w:pPr>
              <w:rPr>
                <w:i/>
              </w:rPr>
            </w:pPr>
            <w:hyperlink r:id="rId32" w:history="1">
              <w:r w:rsidR="003B65A4">
                <w:rPr>
                  <w:rStyle w:val="Hyperlink"/>
                  <w:i/>
                </w:rPr>
                <w:t>Albert.Precup@eesc.europa.eu</w:t>
              </w:r>
            </w:hyperlink>
          </w:p>
        </w:tc>
      </w:tr>
    </w:tbl>
    <w:p w14:paraId="4982DDF2" w14:textId="0D337987" w:rsidR="00BC676C" w:rsidRDefault="004D7AC0">
      <w:pPr>
        <w:spacing w:after="160" w:line="259" w:lineRule="auto"/>
        <w:jc w:val="left"/>
      </w:pPr>
      <w:r>
        <w:br w:type="page"/>
      </w:r>
    </w:p>
    <w:p w14:paraId="64D55A18" w14:textId="77777777" w:rsidR="004D7AC0" w:rsidRDefault="004D7AC0" w:rsidP="004D7AC0">
      <w:pPr>
        <w:spacing w:after="160" w:line="259" w:lineRule="auto"/>
        <w:jc w:val="left"/>
      </w:pPr>
    </w:p>
    <w:p w14:paraId="4982DDF3" w14:textId="77777777" w:rsidR="004D7AC0" w:rsidRDefault="004D7AC0" w:rsidP="004D7AC0">
      <w:pPr>
        <w:pStyle w:val="Heading1"/>
        <w:rPr>
          <w:b/>
        </w:rPr>
      </w:pPr>
      <w:bookmarkStart w:id="17" w:name="_Toc75527083"/>
      <w:bookmarkStart w:id="18" w:name="_Toc216797868"/>
      <w:r>
        <w:rPr>
          <w:b/>
        </w:rPr>
        <w:t>MARCHÉ UNIQUE, PRODUCTION ET CONSOMMATION</w:t>
      </w:r>
      <w:bookmarkEnd w:id="17"/>
      <w:bookmarkEnd w:id="18"/>
    </w:p>
    <w:p w14:paraId="4982DDF4" w14:textId="77777777" w:rsidR="004D7AC0" w:rsidRDefault="004D7AC0" w:rsidP="004D7AC0"/>
    <w:p w14:paraId="119866A5" w14:textId="77777777" w:rsidR="003B65A4" w:rsidRPr="0003586F" w:rsidRDefault="00086F62" w:rsidP="003B65A4">
      <w:pPr>
        <w:widowControl w:val="0"/>
        <w:numPr>
          <w:ilvl w:val="0"/>
          <w:numId w:val="16"/>
        </w:numPr>
        <w:overflowPunct w:val="0"/>
        <w:autoSpaceDE w:val="0"/>
        <w:autoSpaceDN w:val="0"/>
        <w:adjustRightInd w:val="0"/>
        <w:ind w:hanging="567"/>
        <w:textAlignment w:val="baseline"/>
        <w:rPr>
          <w:sz w:val="20"/>
        </w:rPr>
      </w:pPr>
      <w:hyperlink r:id="rId33" w:history="1">
        <w:r w:rsidR="003B65A4">
          <w:rPr>
            <w:rStyle w:val="Hyperlink"/>
            <w:b/>
            <w:i/>
            <w:sz w:val="28"/>
          </w:rPr>
          <w:t>Stratégie pour le marché unique</w:t>
        </w:r>
      </w:hyperlink>
    </w:p>
    <w:p w14:paraId="1EA67E31" w14:textId="77777777" w:rsidR="003B65A4" w:rsidRPr="00A6689B" w:rsidRDefault="003B65A4" w:rsidP="003B65A4">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3B65A4" w:rsidRPr="00A6689B" w14:paraId="3711D458" w14:textId="77777777" w:rsidTr="0045750F">
        <w:tc>
          <w:tcPr>
            <w:tcW w:w="1701" w:type="dxa"/>
          </w:tcPr>
          <w:p w14:paraId="7443E4C1" w14:textId="77777777" w:rsidR="003B65A4" w:rsidRPr="00A6689B" w:rsidRDefault="003B65A4" w:rsidP="0045750F">
            <w:pPr>
              <w:tabs>
                <w:tab w:val="center" w:pos="284"/>
              </w:tabs>
              <w:ind w:left="266" w:hanging="266"/>
              <w:rPr>
                <w:b/>
              </w:rPr>
            </w:pPr>
            <w:r>
              <w:rPr>
                <w:b/>
              </w:rPr>
              <w:t>Rapporteurs</w:t>
            </w:r>
          </w:p>
        </w:tc>
        <w:tc>
          <w:tcPr>
            <w:tcW w:w="6521" w:type="dxa"/>
          </w:tcPr>
          <w:p w14:paraId="6BABC0D6" w14:textId="77777777" w:rsidR="003B65A4" w:rsidRPr="00A6689B" w:rsidRDefault="003B65A4" w:rsidP="0045750F">
            <w:pPr>
              <w:tabs>
                <w:tab w:val="center" w:pos="284"/>
              </w:tabs>
              <w:ind w:left="266" w:hanging="266"/>
            </w:pPr>
            <w:r>
              <w:t>Émilie PROUZET (groupe des employeurs — FR)</w:t>
            </w:r>
          </w:p>
        </w:tc>
      </w:tr>
      <w:tr w:rsidR="003B65A4" w:rsidRPr="00A6689B" w14:paraId="00004F48" w14:textId="77777777" w:rsidTr="0045750F">
        <w:tc>
          <w:tcPr>
            <w:tcW w:w="1701" w:type="dxa"/>
          </w:tcPr>
          <w:p w14:paraId="420BFE86" w14:textId="77777777" w:rsidR="003B65A4" w:rsidRPr="00A6689B" w:rsidRDefault="003B65A4" w:rsidP="0045750F">
            <w:pPr>
              <w:tabs>
                <w:tab w:val="center" w:pos="284"/>
              </w:tabs>
              <w:ind w:left="266" w:hanging="266"/>
              <w:rPr>
                <w:b/>
                <w:lang w:val="en-US"/>
              </w:rPr>
            </w:pPr>
          </w:p>
        </w:tc>
        <w:tc>
          <w:tcPr>
            <w:tcW w:w="6521" w:type="dxa"/>
          </w:tcPr>
          <w:p w14:paraId="61302A40" w14:textId="77777777" w:rsidR="003B65A4" w:rsidRDefault="003B65A4" w:rsidP="0045750F">
            <w:pPr>
              <w:tabs>
                <w:tab w:val="center" w:pos="284"/>
              </w:tabs>
              <w:ind w:left="266" w:hanging="266"/>
            </w:pPr>
            <w:r>
              <w:t>Angelo PAGLIARA (groupe des travailleurs — IT)</w:t>
            </w:r>
          </w:p>
          <w:p w14:paraId="0FD1D5B6" w14:textId="77777777" w:rsidR="003B65A4" w:rsidRPr="000F7665" w:rsidRDefault="003B65A4" w:rsidP="0045750F">
            <w:pPr>
              <w:tabs>
                <w:tab w:val="center" w:pos="284"/>
              </w:tabs>
              <w:ind w:left="266" w:hanging="266"/>
            </w:pPr>
            <w:r>
              <w:t>Giuseppe GUERINI (groupe des organisations de la société civile — IT)</w:t>
            </w:r>
          </w:p>
        </w:tc>
      </w:tr>
      <w:tr w:rsidR="003B65A4" w:rsidRPr="00A6689B" w14:paraId="1CDD70BB" w14:textId="77777777" w:rsidTr="0045750F">
        <w:tc>
          <w:tcPr>
            <w:tcW w:w="8222" w:type="dxa"/>
            <w:gridSpan w:val="2"/>
          </w:tcPr>
          <w:p w14:paraId="26EE3E6C" w14:textId="77777777" w:rsidR="003B65A4" w:rsidRPr="00A6689B" w:rsidRDefault="003B65A4" w:rsidP="0045750F">
            <w:pPr>
              <w:tabs>
                <w:tab w:val="center" w:pos="284"/>
              </w:tabs>
              <w:spacing w:line="160" w:lineRule="exact"/>
              <w:ind w:left="266" w:hanging="266"/>
              <w:rPr>
                <w:lang w:val="en-US"/>
              </w:rPr>
            </w:pPr>
          </w:p>
        </w:tc>
      </w:tr>
      <w:tr w:rsidR="003B65A4" w:rsidRPr="00A6689B" w14:paraId="6C0BAF13" w14:textId="77777777" w:rsidTr="0045750F">
        <w:tc>
          <w:tcPr>
            <w:tcW w:w="1701" w:type="dxa"/>
            <w:vMerge w:val="restart"/>
          </w:tcPr>
          <w:p w14:paraId="763A7FBC" w14:textId="77777777" w:rsidR="003B65A4" w:rsidRPr="00A6689B" w:rsidRDefault="003B65A4" w:rsidP="0045750F">
            <w:pPr>
              <w:tabs>
                <w:tab w:val="center" w:pos="284"/>
              </w:tabs>
              <w:ind w:left="266" w:hanging="266"/>
              <w:rPr>
                <w:b/>
              </w:rPr>
            </w:pPr>
            <w:r>
              <w:rPr>
                <w:b/>
              </w:rPr>
              <w:t>Références</w:t>
            </w:r>
          </w:p>
        </w:tc>
        <w:tc>
          <w:tcPr>
            <w:tcW w:w="6521" w:type="dxa"/>
          </w:tcPr>
          <w:p w14:paraId="3D434C47" w14:textId="77777777" w:rsidR="003B65A4" w:rsidRPr="0018587A" w:rsidRDefault="003B65A4" w:rsidP="0045750F">
            <w:pPr>
              <w:tabs>
                <w:tab w:val="center" w:pos="284"/>
              </w:tabs>
              <w:ind w:left="266" w:hanging="266"/>
            </w:pPr>
            <w:r>
              <w:t>COM(2025) 500 final</w:t>
            </w:r>
          </w:p>
          <w:p w14:paraId="59D218BB" w14:textId="77777777" w:rsidR="003B65A4" w:rsidRPr="00A6689B" w:rsidRDefault="003B65A4" w:rsidP="0045750F">
            <w:pPr>
              <w:tabs>
                <w:tab w:val="center" w:pos="284"/>
              </w:tabs>
              <w:ind w:left="266" w:hanging="266"/>
            </w:pPr>
            <w:r>
              <w:t>EESC-2025-01859-00-00-AC</w:t>
            </w:r>
          </w:p>
        </w:tc>
      </w:tr>
      <w:tr w:rsidR="003B65A4" w:rsidRPr="00A6689B" w14:paraId="62E43166" w14:textId="77777777" w:rsidTr="0045750F">
        <w:tc>
          <w:tcPr>
            <w:tcW w:w="1701" w:type="dxa"/>
            <w:vMerge/>
          </w:tcPr>
          <w:p w14:paraId="17485062" w14:textId="77777777" w:rsidR="003B65A4" w:rsidRPr="00A6689B" w:rsidRDefault="003B65A4" w:rsidP="0045750F">
            <w:pPr>
              <w:tabs>
                <w:tab w:val="center" w:pos="284"/>
              </w:tabs>
              <w:ind w:left="266" w:hanging="266"/>
              <w:rPr>
                <w:b/>
                <w:lang w:val="en-US"/>
              </w:rPr>
            </w:pPr>
          </w:p>
        </w:tc>
        <w:tc>
          <w:tcPr>
            <w:tcW w:w="6521" w:type="dxa"/>
          </w:tcPr>
          <w:p w14:paraId="4C408968" w14:textId="77777777" w:rsidR="003B65A4" w:rsidRPr="00A6689B" w:rsidRDefault="003B65A4" w:rsidP="0045750F">
            <w:pPr>
              <w:tabs>
                <w:tab w:val="center" w:pos="284"/>
              </w:tabs>
              <w:ind w:left="266" w:hanging="266"/>
              <w:rPr>
                <w:lang w:val="en-US"/>
              </w:rPr>
            </w:pPr>
          </w:p>
        </w:tc>
      </w:tr>
    </w:tbl>
    <w:p w14:paraId="6747EEFE" w14:textId="77777777" w:rsidR="003B65A4" w:rsidRPr="00A6689B" w:rsidRDefault="003B65A4" w:rsidP="003B65A4">
      <w:pPr>
        <w:keepNext/>
        <w:keepLines/>
        <w:tabs>
          <w:tab w:val="center" w:pos="284"/>
        </w:tabs>
        <w:ind w:left="266" w:hanging="266"/>
        <w:rPr>
          <w:b/>
        </w:rPr>
      </w:pPr>
      <w:r>
        <w:rPr>
          <w:b/>
        </w:rPr>
        <w:t>Points clés</w:t>
      </w:r>
    </w:p>
    <w:p w14:paraId="4DA8776A" w14:textId="77777777" w:rsidR="003B65A4" w:rsidRPr="00A6689B" w:rsidRDefault="003B65A4" w:rsidP="003B65A4">
      <w:pPr>
        <w:keepNext/>
        <w:keepLines/>
        <w:tabs>
          <w:tab w:val="center" w:pos="284"/>
        </w:tabs>
        <w:ind w:left="266" w:hanging="266"/>
        <w:rPr>
          <w:b/>
        </w:rPr>
      </w:pPr>
    </w:p>
    <w:p w14:paraId="52FA01FC" w14:textId="77777777" w:rsidR="003B65A4" w:rsidRDefault="003B65A4" w:rsidP="003B65A4">
      <w:pPr>
        <w:rPr>
          <w:bCs/>
          <w:iCs/>
        </w:rPr>
      </w:pPr>
      <w:r>
        <w:t>Le CESE:</w:t>
      </w:r>
    </w:p>
    <w:p w14:paraId="5C2B10A3" w14:textId="77777777" w:rsidR="003B65A4" w:rsidRPr="00A6689B" w:rsidRDefault="003B65A4" w:rsidP="003B65A4">
      <w:pPr>
        <w:rPr>
          <w:bCs/>
          <w:iCs/>
        </w:rPr>
      </w:pPr>
    </w:p>
    <w:p w14:paraId="7B2A3339"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souscrit pleinement aux priorités recensées par la Commission européenne, qui répondent aux problématiques soulevées par les parties prenantes;</w:t>
      </w:r>
    </w:p>
    <w:p w14:paraId="1CFC1522" w14:textId="77777777" w:rsidR="003B65A4" w:rsidRPr="00260B52" w:rsidRDefault="003B65A4" w:rsidP="003B65A4">
      <w:pPr>
        <w:widowControl w:val="0"/>
        <w:ind w:left="567"/>
        <w:rPr>
          <w:bCs/>
          <w:iCs/>
        </w:rPr>
      </w:pPr>
    </w:p>
    <w:p w14:paraId="0DC383E9"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réaffirme que la simplification réglementaire doit se faire dans le plein respect des droits sociaux et des droits des travailleurs. Il est dès lors essentiel que le Parlement européen, les parlements nationaux et les partenaires sociaux soient structurellement associés dès les premières étapes du processus législatif;</w:t>
      </w:r>
    </w:p>
    <w:p w14:paraId="20A82ADB" w14:textId="77777777" w:rsidR="003B65A4" w:rsidRDefault="003B65A4" w:rsidP="003B65A4">
      <w:pPr>
        <w:widowControl w:val="0"/>
        <w:ind w:left="567"/>
        <w:rPr>
          <w:bCs/>
          <w:iCs/>
        </w:rPr>
      </w:pPr>
    </w:p>
    <w:p w14:paraId="6E80E9A6"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entend contribuer plus activement à la gouvernance du marché unique, notamment en endossant un rôle renforcé dans le cadre du groupe de travail sur le respect de l’application des règles du marché unique (SMET);</w:t>
      </w:r>
    </w:p>
    <w:p w14:paraId="62907A31" w14:textId="77777777" w:rsidR="003B65A4" w:rsidRPr="00260B52" w:rsidRDefault="003B65A4" w:rsidP="003B65A4">
      <w:pPr>
        <w:widowControl w:val="0"/>
        <w:ind w:left="567"/>
        <w:rPr>
          <w:bCs/>
          <w:iCs/>
        </w:rPr>
      </w:pPr>
    </w:p>
    <w:p w14:paraId="5BAC916D"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invite la Commission à présenter des propositions législatives visant à remédier aux contraintes d’approvisionnement dans les territoires et à harmoniser l’étiquetage des produits;</w:t>
      </w:r>
    </w:p>
    <w:p w14:paraId="0653E475" w14:textId="77777777" w:rsidR="003B65A4" w:rsidRPr="00260B52" w:rsidRDefault="003B65A4" w:rsidP="003B65A4">
      <w:pPr>
        <w:widowControl w:val="0"/>
        <w:ind w:left="567"/>
        <w:rPr>
          <w:bCs/>
          <w:iCs/>
        </w:rPr>
      </w:pPr>
    </w:p>
    <w:p w14:paraId="5B701885"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accueille favorablement l’annonce, par la Commission, d’une proposition relative à un «28</w:t>
      </w:r>
      <w:r>
        <w:rPr>
          <w:vertAlign w:val="superscript"/>
        </w:rPr>
        <w:t>e</w:t>
      </w:r>
      <w:r>
        <w:t> régime» facultatif pour les entreprises, mais il souligne que des garanties efficaces doivent être mises en place pour se prémunir contre de possibles abus;</w:t>
      </w:r>
    </w:p>
    <w:p w14:paraId="7669931C" w14:textId="77777777" w:rsidR="003B65A4" w:rsidRPr="00260B52" w:rsidRDefault="003B65A4" w:rsidP="003B65A4">
      <w:pPr>
        <w:widowControl w:val="0"/>
        <w:ind w:left="567"/>
        <w:rPr>
          <w:bCs/>
          <w:iCs/>
        </w:rPr>
      </w:pPr>
    </w:p>
    <w:p w14:paraId="4B3D8F7C"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reconnaît que la normalisation joue un rôle essentiel comme moteur de l’intégration et de l’innovation, mais souligne que les processus connexes doivent reposer sur les principes de transparence, d’inclusion et de participation structurée;</w:t>
      </w:r>
    </w:p>
    <w:p w14:paraId="13B65AB2" w14:textId="77777777" w:rsidR="003B65A4" w:rsidRPr="00260B52" w:rsidRDefault="003B65A4" w:rsidP="003B65A4">
      <w:pPr>
        <w:widowControl w:val="0"/>
        <w:ind w:left="567"/>
        <w:rPr>
          <w:bCs/>
          <w:iCs/>
        </w:rPr>
      </w:pPr>
    </w:p>
    <w:p w14:paraId="55C21F8D" w14:textId="77777777" w:rsidR="003B65A4" w:rsidRPr="00260B52" w:rsidRDefault="003B65A4" w:rsidP="003B65A4">
      <w:pPr>
        <w:keepLines/>
        <w:widowControl w:val="0"/>
        <w:numPr>
          <w:ilvl w:val="0"/>
          <w:numId w:val="16"/>
        </w:numPr>
        <w:overflowPunct w:val="0"/>
        <w:autoSpaceDE w:val="0"/>
        <w:autoSpaceDN w:val="0"/>
        <w:adjustRightInd w:val="0"/>
        <w:ind w:hanging="567"/>
        <w:textAlignment w:val="baseline"/>
        <w:rPr>
          <w:bCs/>
          <w:iCs/>
        </w:rPr>
      </w:pPr>
      <w:r>
        <w:t>est favorable à une simplification de la reconnaissance des qualifications professionnelles, y compris celles des ressortissants de pays tiers, mais ces qualifications doivent être clairement définies, vérifiables et de qualité avérée;</w:t>
      </w:r>
    </w:p>
    <w:p w14:paraId="1341499B" w14:textId="77777777" w:rsidR="003B65A4" w:rsidRPr="00260B52" w:rsidRDefault="003B65A4" w:rsidP="003B65A4">
      <w:pPr>
        <w:widowControl w:val="0"/>
        <w:ind w:left="567"/>
        <w:rPr>
          <w:bCs/>
          <w:iCs/>
        </w:rPr>
      </w:pPr>
    </w:p>
    <w:p w14:paraId="4AB16991"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est favorable au renforcement de l’Autorité européenne du travail (AET);</w:t>
      </w:r>
    </w:p>
    <w:p w14:paraId="132BCA9A" w14:textId="77777777" w:rsidR="003B65A4" w:rsidRPr="00260B52" w:rsidRDefault="003B65A4" w:rsidP="003B65A4">
      <w:pPr>
        <w:widowControl w:val="0"/>
        <w:ind w:left="567"/>
        <w:rPr>
          <w:bCs/>
          <w:iCs/>
        </w:rPr>
      </w:pPr>
    </w:p>
    <w:p w14:paraId="12083124" w14:textId="77777777" w:rsidR="003B65A4" w:rsidRPr="00260B52" w:rsidRDefault="003B65A4" w:rsidP="003B65A4">
      <w:pPr>
        <w:widowControl w:val="0"/>
        <w:numPr>
          <w:ilvl w:val="0"/>
          <w:numId w:val="16"/>
        </w:numPr>
        <w:overflowPunct w:val="0"/>
        <w:autoSpaceDE w:val="0"/>
        <w:autoSpaceDN w:val="0"/>
        <w:adjustRightInd w:val="0"/>
        <w:ind w:hanging="567"/>
        <w:textAlignment w:val="baseline"/>
        <w:rPr>
          <w:bCs/>
          <w:iCs/>
        </w:rPr>
      </w:pPr>
      <w:r>
        <w:t xml:space="preserve">demande que le périmètre d’application du marché unique soit étendu à des secteurs stratégiques tels que l’énergie et la finance. Il met en avant la nécessité d’un modèle de gouvernance inclusif et demande que la législation sur les marchés publics soit révisée. Dans le même temps, il convient de trouver des moyens appropriés de tenir compte des objectifs sociaux, environnementaux et d’innovation. </w:t>
      </w:r>
    </w:p>
    <w:p w14:paraId="66BA6968" w14:textId="77777777" w:rsidR="003B65A4" w:rsidRPr="000624A9" w:rsidRDefault="003B65A4" w:rsidP="003B65A4">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B65A4" w:rsidRPr="00A6689B" w14:paraId="41E2895A" w14:textId="77777777" w:rsidTr="0045750F">
        <w:tc>
          <w:tcPr>
            <w:tcW w:w="1418" w:type="dxa"/>
          </w:tcPr>
          <w:p w14:paraId="186AAF99" w14:textId="77777777" w:rsidR="003B65A4" w:rsidRPr="00A6689B" w:rsidRDefault="003B65A4" w:rsidP="0045750F">
            <w:pPr>
              <w:spacing w:line="240" w:lineRule="auto"/>
              <w:rPr>
                <w:i/>
              </w:rPr>
            </w:pPr>
            <w:r>
              <w:rPr>
                <w:b/>
                <w:i/>
              </w:rPr>
              <w:t>Contact</w:t>
            </w:r>
          </w:p>
        </w:tc>
        <w:tc>
          <w:tcPr>
            <w:tcW w:w="5670" w:type="dxa"/>
          </w:tcPr>
          <w:p w14:paraId="4FDF3AE0" w14:textId="77777777" w:rsidR="003B65A4" w:rsidRPr="00A6689B" w:rsidRDefault="003B65A4" w:rsidP="0045750F">
            <w:pPr>
              <w:spacing w:line="240" w:lineRule="auto"/>
              <w:rPr>
                <w:i/>
              </w:rPr>
            </w:pPr>
            <w:proofErr w:type="spellStart"/>
            <w:r>
              <w:rPr>
                <w:i/>
              </w:rPr>
              <w:t>Annalisa</w:t>
            </w:r>
            <w:proofErr w:type="spellEnd"/>
            <w:r>
              <w:rPr>
                <w:i/>
              </w:rPr>
              <w:t xml:space="preserve"> </w:t>
            </w:r>
            <w:proofErr w:type="spellStart"/>
            <w:r>
              <w:rPr>
                <w:i/>
              </w:rPr>
              <w:t>Tessarolo</w:t>
            </w:r>
            <w:proofErr w:type="spellEnd"/>
          </w:p>
        </w:tc>
      </w:tr>
      <w:tr w:rsidR="003B65A4" w:rsidRPr="00A6689B" w14:paraId="700C6685" w14:textId="77777777" w:rsidTr="0045750F">
        <w:tc>
          <w:tcPr>
            <w:tcW w:w="1418" w:type="dxa"/>
          </w:tcPr>
          <w:p w14:paraId="2ABC23B4" w14:textId="77777777" w:rsidR="003B65A4" w:rsidRPr="00A6689B" w:rsidRDefault="003B65A4" w:rsidP="0045750F">
            <w:pPr>
              <w:spacing w:line="240" w:lineRule="auto"/>
              <w:rPr>
                <w:i/>
              </w:rPr>
            </w:pPr>
            <w:r>
              <w:rPr>
                <w:i/>
              </w:rPr>
              <w:t>Tél.</w:t>
            </w:r>
          </w:p>
        </w:tc>
        <w:tc>
          <w:tcPr>
            <w:tcW w:w="5670" w:type="dxa"/>
            <w:shd w:val="clear" w:color="auto" w:fill="auto"/>
          </w:tcPr>
          <w:p w14:paraId="0EB27A59" w14:textId="77777777" w:rsidR="003B65A4" w:rsidRPr="00A6689B" w:rsidRDefault="003B65A4" w:rsidP="0045750F">
            <w:pPr>
              <w:spacing w:line="240" w:lineRule="auto"/>
              <w:rPr>
                <w:i/>
              </w:rPr>
            </w:pPr>
            <w:r>
              <w:rPr>
                <w:i/>
              </w:rPr>
              <w:t>+ 32 25469732</w:t>
            </w:r>
          </w:p>
        </w:tc>
      </w:tr>
      <w:tr w:rsidR="003B65A4" w:rsidRPr="00A6689B" w14:paraId="65656B82" w14:textId="77777777" w:rsidTr="0045750F">
        <w:tc>
          <w:tcPr>
            <w:tcW w:w="1418" w:type="dxa"/>
          </w:tcPr>
          <w:p w14:paraId="26C5F361" w14:textId="77777777" w:rsidR="003B65A4" w:rsidRPr="00A6689B" w:rsidRDefault="003B65A4" w:rsidP="0045750F">
            <w:pPr>
              <w:spacing w:line="240" w:lineRule="auto"/>
              <w:rPr>
                <w:i/>
              </w:rPr>
            </w:pPr>
            <w:r>
              <w:rPr>
                <w:i/>
              </w:rPr>
              <w:t>Courriel</w:t>
            </w:r>
          </w:p>
        </w:tc>
        <w:tc>
          <w:tcPr>
            <w:tcW w:w="5670" w:type="dxa"/>
          </w:tcPr>
          <w:p w14:paraId="13169BD8" w14:textId="77777777" w:rsidR="003B65A4" w:rsidRPr="00A6689B" w:rsidRDefault="00086F62" w:rsidP="0045750F">
            <w:pPr>
              <w:spacing w:line="240" w:lineRule="auto"/>
              <w:rPr>
                <w:i/>
              </w:rPr>
            </w:pPr>
            <w:hyperlink r:id="rId34" w:history="1">
              <w:r w:rsidR="003B65A4">
                <w:rPr>
                  <w:rStyle w:val="Hyperlink"/>
                  <w:i/>
                </w:rPr>
                <w:t>Annalisa.Tessarolo@eesc.europa.eu</w:t>
              </w:r>
            </w:hyperlink>
          </w:p>
        </w:tc>
      </w:tr>
    </w:tbl>
    <w:p w14:paraId="4982DE1C" w14:textId="2C7D6502" w:rsidR="00465162" w:rsidRDefault="00465162" w:rsidP="004D7AC0">
      <w:pPr>
        <w:pStyle w:val="ListParagraph"/>
        <w:ind w:left="0"/>
      </w:pPr>
    </w:p>
    <w:p w14:paraId="5644E3C6" w14:textId="77777777" w:rsidR="00A304C7" w:rsidRPr="0003586F" w:rsidRDefault="00465162" w:rsidP="00A304C7">
      <w:pPr>
        <w:widowControl w:val="0"/>
        <w:numPr>
          <w:ilvl w:val="0"/>
          <w:numId w:val="16"/>
        </w:numPr>
        <w:overflowPunct w:val="0"/>
        <w:autoSpaceDE w:val="0"/>
        <w:autoSpaceDN w:val="0"/>
        <w:adjustRightInd w:val="0"/>
        <w:ind w:hanging="567"/>
        <w:textAlignment w:val="baseline"/>
        <w:rPr>
          <w:sz w:val="20"/>
        </w:rPr>
      </w:pPr>
      <w:r>
        <w:br w:type="page"/>
      </w:r>
      <w:hyperlink r:id="rId35" w:tgtFrame="_blank" w:history="1">
        <w:r w:rsidR="00A304C7">
          <w:rPr>
            <w:rStyle w:val="Hyperlink"/>
            <w:b/>
            <w:i/>
            <w:sz w:val="28"/>
          </w:rPr>
          <w:t>Rapport sur la politique de concurrence 2024</w:t>
        </w:r>
      </w:hyperlink>
    </w:p>
    <w:p w14:paraId="2BE2F3C7" w14:textId="77777777" w:rsidR="00A304C7" w:rsidRPr="00A6689B" w:rsidRDefault="00A304C7" w:rsidP="00A304C7">
      <w:pPr>
        <w:tabs>
          <w:tab w:val="center" w:pos="284"/>
        </w:tabs>
        <w:ind w:left="266" w:hanging="266"/>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A304C7" w:rsidRPr="00A6689B" w14:paraId="0DAF7B1F" w14:textId="77777777" w:rsidTr="0045750F">
        <w:tc>
          <w:tcPr>
            <w:tcW w:w="1701" w:type="dxa"/>
          </w:tcPr>
          <w:p w14:paraId="3CAEF2C2" w14:textId="77777777" w:rsidR="00A304C7" w:rsidRPr="00A6689B" w:rsidRDefault="00A304C7" w:rsidP="0045750F">
            <w:pPr>
              <w:tabs>
                <w:tab w:val="center" w:pos="284"/>
              </w:tabs>
              <w:ind w:left="266" w:hanging="266"/>
              <w:rPr>
                <w:b/>
              </w:rPr>
            </w:pPr>
            <w:r>
              <w:rPr>
                <w:b/>
              </w:rPr>
              <w:t>Rapporteur</w:t>
            </w:r>
          </w:p>
        </w:tc>
        <w:tc>
          <w:tcPr>
            <w:tcW w:w="5387" w:type="dxa"/>
          </w:tcPr>
          <w:p w14:paraId="1EA3D1AC" w14:textId="77777777" w:rsidR="00A304C7" w:rsidRPr="00A6689B" w:rsidRDefault="00A304C7" w:rsidP="0045750F">
            <w:pPr>
              <w:tabs>
                <w:tab w:val="center" w:pos="284"/>
              </w:tabs>
              <w:ind w:left="266" w:hanging="266"/>
            </w:pPr>
            <w:r>
              <w:t>Andrea MONE (groupe des travailleurs — Italie)</w:t>
            </w:r>
          </w:p>
        </w:tc>
      </w:tr>
      <w:tr w:rsidR="00A304C7" w:rsidRPr="00A6689B" w14:paraId="1317469D" w14:textId="77777777" w:rsidTr="0045750F">
        <w:tc>
          <w:tcPr>
            <w:tcW w:w="7088" w:type="dxa"/>
            <w:gridSpan w:val="2"/>
          </w:tcPr>
          <w:p w14:paraId="2012FA41" w14:textId="77777777" w:rsidR="00A304C7" w:rsidRPr="00A6689B" w:rsidRDefault="00A304C7" w:rsidP="0045750F">
            <w:pPr>
              <w:tabs>
                <w:tab w:val="center" w:pos="284"/>
              </w:tabs>
              <w:spacing w:line="160" w:lineRule="exact"/>
              <w:ind w:left="266" w:hanging="266"/>
              <w:rPr>
                <w:lang w:val="en-US"/>
              </w:rPr>
            </w:pPr>
          </w:p>
        </w:tc>
      </w:tr>
      <w:tr w:rsidR="00A304C7" w:rsidRPr="00A6689B" w14:paraId="6037DFD1" w14:textId="77777777" w:rsidTr="0045750F">
        <w:tc>
          <w:tcPr>
            <w:tcW w:w="1701" w:type="dxa"/>
          </w:tcPr>
          <w:p w14:paraId="7EFCB4F2" w14:textId="77777777" w:rsidR="00A304C7" w:rsidRPr="00A6689B" w:rsidRDefault="00A304C7" w:rsidP="0045750F">
            <w:pPr>
              <w:tabs>
                <w:tab w:val="center" w:pos="284"/>
              </w:tabs>
              <w:ind w:left="266" w:hanging="266"/>
              <w:rPr>
                <w:b/>
              </w:rPr>
            </w:pPr>
            <w:r>
              <w:rPr>
                <w:b/>
              </w:rPr>
              <w:t>Références</w:t>
            </w:r>
          </w:p>
        </w:tc>
        <w:tc>
          <w:tcPr>
            <w:tcW w:w="5387" w:type="dxa"/>
          </w:tcPr>
          <w:p w14:paraId="3FB6A5CB" w14:textId="77777777" w:rsidR="00A304C7" w:rsidRPr="0018587A" w:rsidRDefault="00A304C7" w:rsidP="0045750F">
            <w:pPr>
              <w:tabs>
                <w:tab w:val="center" w:pos="284"/>
              </w:tabs>
              <w:ind w:left="266" w:hanging="266"/>
            </w:pPr>
            <w:r>
              <w:t>COM(2025) 181 final</w:t>
            </w:r>
          </w:p>
          <w:p w14:paraId="5D033C94" w14:textId="77777777" w:rsidR="00A304C7" w:rsidRPr="00A6689B" w:rsidRDefault="00A304C7" w:rsidP="0045750F">
            <w:pPr>
              <w:tabs>
                <w:tab w:val="center" w:pos="284"/>
              </w:tabs>
              <w:ind w:left="266" w:hanging="266"/>
            </w:pPr>
            <w:r>
              <w:t>EESC-2025-02299-00-00-AC</w:t>
            </w:r>
          </w:p>
        </w:tc>
      </w:tr>
    </w:tbl>
    <w:p w14:paraId="5A923DE6" w14:textId="77777777" w:rsidR="00A304C7" w:rsidRPr="00A6689B" w:rsidRDefault="00A304C7" w:rsidP="00A304C7">
      <w:pPr>
        <w:tabs>
          <w:tab w:val="center" w:pos="284"/>
        </w:tabs>
        <w:ind w:left="266" w:hanging="266"/>
      </w:pPr>
    </w:p>
    <w:p w14:paraId="375D8CC1" w14:textId="77777777" w:rsidR="00A304C7" w:rsidRPr="00A6689B" w:rsidRDefault="00A304C7" w:rsidP="00A304C7">
      <w:pPr>
        <w:keepNext/>
        <w:keepLines/>
        <w:tabs>
          <w:tab w:val="center" w:pos="284"/>
        </w:tabs>
        <w:ind w:left="266" w:hanging="266"/>
        <w:rPr>
          <w:b/>
        </w:rPr>
      </w:pPr>
      <w:r>
        <w:rPr>
          <w:b/>
        </w:rPr>
        <w:t>Points clés</w:t>
      </w:r>
    </w:p>
    <w:p w14:paraId="1AED86AE" w14:textId="77777777" w:rsidR="00A304C7" w:rsidRPr="00D5173F" w:rsidRDefault="00A304C7" w:rsidP="00A304C7">
      <w:pPr>
        <w:keepNext/>
        <w:keepLines/>
        <w:tabs>
          <w:tab w:val="center" w:pos="284"/>
        </w:tabs>
        <w:ind w:left="266" w:hanging="266"/>
        <w:rPr>
          <w:bCs/>
        </w:rPr>
      </w:pPr>
    </w:p>
    <w:p w14:paraId="25548E64" w14:textId="77777777" w:rsidR="00A304C7" w:rsidRDefault="00A304C7" w:rsidP="00A304C7">
      <w:pPr>
        <w:rPr>
          <w:bCs/>
          <w:iCs/>
        </w:rPr>
      </w:pPr>
      <w:r>
        <w:t>Le CESE:</w:t>
      </w:r>
    </w:p>
    <w:p w14:paraId="37E74940" w14:textId="77777777" w:rsidR="00A304C7" w:rsidRDefault="00A304C7" w:rsidP="00A304C7">
      <w:pPr>
        <w:numPr>
          <w:ilvl w:val="0"/>
          <w:numId w:val="8"/>
        </w:numPr>
        <w:tabs>
          <w:tab w:val="clear" w:pos="720"/>
        </w:tabs>
        <w:ind w:left="567" w:hanging="567"/>
      </w:pPr>
      <w:r>
        <w:t xml:space="preserve">se félicite de </w:t>
      </w:r>
      <w:r>
        <w:rPr>
          <w:b/>
        </w:rPr>
        <w:t>l’approche adoptée par la Commission en 2024 en matière d’application de la législation</w:t>
      </w:r>
      <w:r>
        <w:t>, qui aligne la politique de concurrence et les objectifs de l’Union européenne en ce qui concerne le numérique, l’écologie et la résilience, tout en préservant le bon fonctionnement et la compétitivité du marché intérieur;</w:t>
      </w:r>
    </w:p>
    <w:p w14:paraId="3EF1FB8F" w14:textId="77777777" w:rsidR="00A304C7" w:rsidRDefault="00A304C7" w:rsidP="00A304C7">
      <w:pPr>
        <w:numPr>
          <w:ilvl w:val="0"/>
          <w:numId w:val="8"/>
        </w:numPr>
        <w:tabs>
          <w:tab w:val="clear" w:pos="720"/>
        </w:tabs>
        <w:ind w:left="567" w:hanging="567"/>
      </w:pPr>
      <w:r>
        <w:t xml:space="preserve">soutient les efforts déployés par la Commission pour renforcer </w:t>
      </w:r>
      <w:r>
        <w:rPr>
          <w:b/>
        </w:rPr>
        <w:t>l’efficacité et la prévisibilité des règles de concurrence</w:t>
      </w:r>
      <w:r>
        <w:t>, y compris l’élaboration de nouvelles lignes directrices sur les pratiques d’éviction abusive découlant d’une position dominante, l’actualisation de la définition du marché en cause et l’amélioration des outils pour évaluer les effets sur le bien-être des consommateurs;</w:t>
      </w:r>
    </w:p>
    <w:p w14:paraId="644C7896" w14:textId="77777777" w:rsidR="00A304C7" w:rsidRDefault="00A304C7" w:rsidP="00A304C7">
      <w:pPr>
        <w:numPr>
          <w:ilvl w:val="0"/>
          <w:numId w:val="8"/>
        </w:numPr>
        <w:tabs>
          <w:tab w:val="clear" w:pos="720"/>
        </w:tabs>
        <w:ind w:left="567" w:hanging="567"/>
      </w:pPr>
      <w:r>
        <w:t xml:space="preserve">souligne qu’il est important de remédier aux problèmes de concurrence sur les </w:t>
      </w:r>
      <w:r>
        <w:rPr>
          <w:b/>
        </w:rPr>
        <w:t>marchés numériques</w:t>
      </w:r>
      <w:r>
        <w:t xml:space="preserve"> et encourage la Commission à continuer de renforcer l’application des règles prévues à la fois par les prescriptions traditionnelles relatives à la concurrence et par le règlement sur les marchés numériques, compte tenu des positions structurellement dominantes et des barrières à l’entrée qui caractérisent les modèles économiques fondés sur les plateformes;</w:t>
      </w:r>
    </w:p>
    <w:p w14:paraId="64BAF1F3" w14:textId="77777777" w:rsidR="00A304C7" w:rsidRDefault="00A304C7" w:rsidP="00A304C7">
      <w:pPr>
        <w:numPr>
          <w:ilvl w:val="0"/>
          <w:numId w:val="8"/>
        </w:numPr>
        <w:tabs>
          <w:tab w:val="clear" w:pos="720"/>
        </w:tabs>
        <w:ind w:left="567" w:hanging="567"/>
      </w:pPr>
      <w:r>
        <w:t xml:space="preserve">préconise un </w:t>
      </w:r>
      <w:r>
        <w:rPr>
          <w:b/>
        </w:rPr>
        <w:t>contrôle plus strict des concentrations</w:t>
      </w:r>
      <w:r>
        <w:t xml:space="preserve">, moyennant notamment un cadre pour examiner les acquisitions inférieures aux seuils prévus mais susceptibles de nuire à la concurrence («acquisitions prédatrices»), et demande qu’il soit </w:t>
      </w:r>
      <w:r>
        <w:rPr>
          <w:b/>
        </w:rPr>
        <w:t>davantage tenu compte des effets sur le marché du travail et de la dynamique de l’innovation</w:t>
      </w:r>
      <w:r>
        <w:t xml:space="preserve"> dans les évaluations des concentrations;</w:t>
      </w:r>
    </w:p>
    <w:p w14:paraId="72E0E0D9" w14:textId="77777777" w:rsidR="00A304C7" w:rsidRPr="0065464E" w:rsidRDefault="00A304C7" w:rsidP="00A304C7">
      <w:pPr>
        <w:numPr>
          <w:ilvl w:val="0"/>
          <w:numId w:val="8"/>
        </w:numPr>
        <w:tabs>
          <w:tab w:val="clear" w:pos="720"/>
        </w:tabs>
        <w:ind w:left="567" w:hanging="567"/>
      </w:pPr>
      <w:r>
        <w:t xml:space="preserve">souligne qu’il est nécessaire que les </w:t>
      </w:r>
      <w:r>
        <w:rPr>
          <w:b/>
        </w:rPr>
        <w:t>règles en matière d’aides d’État</w:t>
      </w:r>
      <w:r>
        <w:t xml:space="preserve"> — en particulier l’encadrement CISAF et les processus relatifs aux PIIEC — </w:t>
      </w:r>
      <w:r>
        <w:rPr>
          <w:b/>
        </w:rPr>
        <w:t>encouragent la participation transfrontière, réduisent la fragmentation et soutiennent les investissements stratégiques</w:t>
      </w:r>
      <w:r>
        <w:t xml:space="preserve"> qui sont essentiels au pacte pour une industrie propre, tout en garantissant la cohésion et des conditions de concurrence équitables entre les États membres.</w:t>
      </w:r>
    </w:p>
    <w:p w14:paraId="381EE26A" w14:textId="77777777" w:rsidR="00A304C7" w:rsidRPr="000624A9" w:rsidRDefault="00A304C7" w:rsidP="00A304C7">
      <w:pPr>
        <w:widowControl w:val="0"/>
        <w:ind w:left="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304C7" w:rsidRPr="00A6689B" w14:paraId="50B2C5AE" w14:textId="77777777" w:rsidTr="0045750F">
        <w:tc>
          <w:tcPr>
            <w:tcW w:w="1418" w:type="dxa"/>
          </w:tcPr>
          <w:p w14:paraId="13E0C079" w14:textId="77777777" w:rsidR="00A304C7" w:rsidRPr="00A6689B" w:rsidRDefault="00A304C7" w:rsidP="0045750F">
            <w:pPr>
              <w:spacing w:line="240" w:lineRule="auto"/>
              <w:rPr>
                <w:i/>
              </w:rPr>
            </w:pPr>
            <w:r>
              <w:rPr>
                <w:b/>
                <w:i/>
              </w:rPr>
              <w:t>Contact</w:t>
            </w:r>
          </w:p>
        </w:tc>
        <w:tc>
          <w:tcPr>
            <w:tcW w:w="5670" w:type="dxa"/>
          </w:tcPr>
          <w:p w14:paraId="30448BC5" w14:textId="77777777" w:rsidR="00A304C7" w:rsidRPr="00A6689B" w:rsidRDefault="00A304C7" w:rsidP="0045750F">
            <w:pPr>
              <w:spacing w:line="240" w:lineRule="auto"/>
              <w:rPr>
                <w:i/>
              </w:rPr>
            </w:pPr>
            <w:r>
              <w:rPr>
                <w:i/>
              </w:rPr>
              <w:t>Silvia Staffa</w:t>
            </w:r>
          </w:p>
        </w:tc>
      </w:tr>
      <w:tr w:rsidR="00A304C7" w:rsidRPr="00A6689B" w14:paraId="16C570CC" w14:textId="77777777" w:rsidTr="0045750F">
        <w:tc>
          <w:tcPr>
            <w:tcW w:w="1418" w:type="dxa"/>
          </w:tcPr>
          <w:p w14:paraId="75567821" w14:textId="77777777" w:rsidR="00A304C7" w:rsidRPr="00A6689B" w:rsidRDefault="00A304C7" w:rsidP="0045750F">
            <w:pPr>
              <w:spacing w:line="240" w:lineRule="auto"/>
              <w:rPr>
                <w:i/>
              </w:rPr>
            </w:pPr>
            <w:r>
              <w:rPr>
                <w:i/>
              </w:rPr>
              <w:t>Tél.</w:t>
            </w:r>
          </w:p>
        </w:tc>
        <w:tc>
          <w:tcPr>
            <w:tcW w:w="5670" w:type="dxa"/>
            <w:shd w:val="clear" w:color="auto" w:fill="auto"/>
          </w:tcPr>
          <w:p w14:paraId="114B749D" w14:textId="77777777" w:rsidR="00A304C7" w:rsidRPr="00A6689B" w:rsidRDefault="00A304C7" w:rsidP="0045750F">
            <w:pPr>
              <w:spacing w:line="240" w:lineRule="auto"/>
              <w:rPr>
                <w:i/>
              </w:rPr>
            </w:pPr>
            <w:r>
              <w:rPr>
                <w:i/>
              </w:rPr>
              <w:t>+ 32 2 546 8378</w:t>
            </w:r>
          </w:p>
        </w:tc>
      </w:tr>
      <w:tr w:rsidR="00A304C7" w:rsidRPr="00A6689B" w14:paraId="2893DDA3" w14:textId="77777777" w:rsidTr="0045750F">
        <w:tc>
          <w:tcPr>
            <w:tcW w:w="1418" w:type="dxa"/>
          </w:tcPr>
          <w:p w14:paraId="2F84F9B5" w14:textId="77777777" w:rsidR="00A304C7" w:rsidRPr="00A6689B" w:rsidRDefault="00A304C7" w:rsidP="0045750F">
            <w:pPr>
              <w:spacing w:line="240" w:lineRule="auto"/>
              <w:rPr>
                <w:i/>
              </w:rPr>
            </w:pPr>
            <w:r>
              <w:rPr>
                <w:i/>
              </w:rPr>
              <w:t>Courriel</w:t>
            </w:r>
          </w:p>
        </w:tc>
        <w:tc>
          <w:tcPr>
            <w:tcW w:w="5670" w:type="dxa"/>
          </w:tcPr>
          <w:p w14:paraId="1B6C660E" w14:textId="77777777" w:rsidR="00A304C7" w:rsidRPr="00A6689B" w:rsidRDefault="00086F62" w:rsidP="0045750F">
            <w:pPr>
              <w:spacing w:line="240" w:lineRule="auto"/>
              <w:rPr>
                <w:i/>
              </w:rPr>
            </w:pPr>
            <w:hyperlink r:id="rId36" w:history="1">
              <w:r w:rsidR="00A304C7">
                <w:rPr>
                  <w:rStyle w:val="Hyperlink"/>
                  <w:i/>
                </w:rPr>
                <w:t>Silvia.Staffa@eesc.europa.eu</w:t>
              </w:r>
            </w:hyperlink>
          </w:p>
        </w:tc>
      </w:tr>
    </w:tbl>
    <w:p w14:paraId="188BA022" w14:textId="77777777" w:rsidR="00A304C7" w:rsidRPr="0055472D" w:rsidRDefault="004D7AC0" w:rsidP="00A304C7">
      <w:pPr>
        <w:widowControl w:val="0"/>
        <w:numPr>
          <w:ilvl w:val="0"/>
          <w:numId w:val="16"/>
        </w:numPr>
        <w:overflowPunct w:val="0"/>
        <w:autoSpaceDE w:val="0"/>
        <w:autoSpaceDN w:val="0"/>
        <w:adjustRightInd w:val="0"/>
        <w:ind w:hanging="567"/>
        <w:textAlignment w:val="baseline"/>
        <w:rPr>
          <w:i/>
          <w:iCs/>
          <w:sz w:val="28"/>
          <w:szCs w:val="28"/>
        </w:rPr>
      </w:pPr>
      <w:r>
        <w:br w:type="page"/>
      </w:r>
      <w:hyperlink r:id="rId37" w:history="1">
        <w:r w:rsidR="00A304C7">
          <w:rPr>
            <w:rStyle w:val="Hyperlink"/>
            <w:b/>
            <w:i/>
            <w:sz w:val="28"/>
          </w:rPr>
          <w:t>Fonds pour la compétitivité</w:t>
        </w:r>
      </w:hyperlink>
    </w:p>
    <w:p w14:paraId="3F8B09F3" w14:textId="77777777" w:rsidR="00A304C7" w:rsidRPr="006F46D1" w:rsidRDefault="00A304C7" w:rsidP="00A304C7">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7582"/>
      </w:tblGrid>
      <w:tr w:rsidR="00A304C7" w:rsidRPr="00A6689B" w14:paraId="38EA7689" w14:textId="77777777" w:rsidTr="0045750F">
        <w:trPr>
          <w:trHeight w:val="406"/>
        </w:trPr>
        <w:tc>
          <w:tcPr>
            <w:tcW w:w="1108" w:type="pct"/>
          </w:tcPr>
          <w:p w14:paraId="54098D33" w14:textId="77777777" w:rsidR="00A304C7" w:rsidRPr="00A6689B" w:rsidRDefault="00A304C7" w:rsidP="0045750F">
            <w:pPr>
              <w:tabs>
                <w:tab w:val="center" w:pos="284"/>
              </w:tabs>
              <w:ind w:left="266" w:hanging="266"/>
              <w:rPr>
                <w:b/>
              </w:rPr>
            </w:pPr>
            <w:proofErr w:type="spellStart"/>
            <w:r>
              <w:rPr>
                <w:b/>
              </w:rPr>
              <w:t>Rapporteure</w:t>
            </w:r>
            <w:proofErr w:type="spellEnd"/>
          </w:p>
        </w:tc>
        <w:tc>
          <w:tcPr>
            <w:tcW w:w="3892" w:type="pct"/>
          </w:tcPr>
          <w:p w14:paraId="0D7ABE7D" w14:textId="77777777" w:rsidR="00A304C7" w:rsidRPr="009E78F1" w:rsidRDefault="00A304C7" w:rsidP="0045750F">
            <w:pPr>
              <w:tabs>
                <w:tab w:val="center" w:pos="0"/>
              </w:tabs>
              <w:ind w:left="266" w:hanging="266"/>
            </w:pPr>
            <w:r>
              <w:t>Milena ANGELOVA (groupe des employeurs, BG)</w:t>
            </w:r>
          </w:p>
        </w:tc>
      </w:tr>
      <w:tr w:rsidR="00A304C7" w:rsidRPr="0004565E" w14:paraId="54779324" w14:textId="77777777" w:rsidTr="0045750F">
        <w:tc>
          <w:tcPr>
            <w:tcW w:w="1108" w:type="pct"/>
          </w:tcPr>
          <w:p w14:paraId="15D2374B" w14:textId="77777777" w:rsidR="00A304C7" w:rsidRPr="00CB5569" w:rsidRDefault="00A304C7" w:rsidP="0045750F">
            <w:pPr>
              <w:tabs>
                <w:tab w:val="center" w:pos="284"/>
              </w:tabs>
              <w:ind w:left="266" w:hanging="266"/>
              <w:rPr>
                <w:b/>
              </w:rPr>
            </w:pPr>
            <w:r>
              <w:rPr>
                <w:b/>
              </w:rPr>
              <w:t>Références</w:t>
            </w:r>
          </w:p>
        </w:tc>
        <w:tc>
          <w:tcPr>
            <w:tcW w:w="3892" w:type="pct"/>
          </w:tcPr>
          <w:p w14:paraId="3CA003B3" w14:textId="77777777" w:rsidR="00A304C7" w:rsidRPr="00AF47F8" w:rsidRDefault="00A304C7" w:rsidP="0045750F">
            <w:pPr>
              <w:tabs>
                <w:tab w:val="center" w:pos="284"/>
              </w:tabs>
              <w:ind w:left="266" w:hanging="266"/>
            </w:pPr>
            <w:r>
              <w:t>COM(2025) 555 final – 2025/0555 (COD)</w:t>
            </w:r>
          </w:p>
          <w:p w14:paraId="61BAC07E" w14:textId="77777777" w:rsidR="00A304C7" w:rsidRPr="00AF47F8" w:rsidRDefault="00A304C7" w:rsidP="0045750F">
            <w:pPr>
              <w:tabs>
                <w:tab w:val="center" w:pos="284"/>
              </w:tabs>
              <w:ind w:left="266" w:hanging="266"/>
            </w:pPr>
            <w:r>
              <w:t>EESC-2025-02576-00-00-AC</w:t>
            </w:r>
          </w:p>
        </w:tc>
      </w:tr>
    </w:tbl>
    <w:p w14:paraId="0A549F1A" w14:textId="77777777" w:rsidR="00A304C7" w:rsidRPr="00AF47F8" w:rsidRDefault="00A304C7" w:rsidP="00A304C7">
      <w:pPr>
        <w:keepNext/>
        <w:keepLines/>
        <w:tabs>
          <w:tab w:val="center" w:pos="284"/>
        </w:tabs>
        <w:ind w:left="266" w:hanging="266"/>
        <w:rPr>
          <w:b/>
          <w:lang w:val="pt-PT"/>
        </w:rPr>
      </w:pPr>
    </w:p>
    <w:p w14:paraId="6B6865CF" w14:textId="77777777" w:rsidR="00A304C7" w:rsidRPr="00CB5569" w:rsidRDefault="00A304C7" w:rsidP="00A304C7">
      <w:pPr>
        <w:keepNext/>
        <w:keepLines/>
        <w:tabs>
          <w:tab w:val="center" w:pos="284"/>
        </w:tabs>
        <w:ind w:left="266" w:hanging="266"/>
        <w:rPr>
          <w:b/>
        </w:rPr>
      </w:pPr>
      <w:r>
        <w:rPr>
          <w:b/>
        </w:rPr>
        <w:t>Points clés</w:t>
      </w:r>
    </w:p>
    <w:p w14:paraId="1F16AD56" w14:textId="77777777" w:rsidR="00A304C7" w:rsidRPr="00601171" w:rsidRDefault="00A304C7" w:rsidP="00A304C7">
      <w:pPr>
        <w:keepNext/>
        <w:keepLines/>
        <w:tabs>
          <w:tab w:val="center" w:pos="284"/>
        </w:tabs>
        <w:ind w:left="266" w:hanging="266"/>
        <w:rPr>
          <w:bCs/>
        </w:rPr>
      </w:pPr>
    </w:p>
    <w:p w14:paraId="44048EE3" w14:textId="77777777" w:rsidR="00A304C7" w:rsidRPr="00601171" w:rsidRDefault="00A304C7" w:rsidP="00A304C7">
      <w:pPr>
        <w:rPr>
          <w:bCs/>
          <w:iCs/>
        </w:rPr>
      </w:pPr>
      <w:r>
        <w:t>Le CESE:</w:t>
      </w:r>
    </w:p>
    <w:p w14:paraId="7DEA81B6" w14:textId="77777777" w:rsidR="00A304C7" w:rsidRPr="00601171" w:rsidRDefault="00A304C7" w:rsidP="00A304C7">
      <w:pPr>
        <w:numPr>
          <w:ilvl w:val="0"/>
          <w:numId w:val="9"/>
        </w:numPr>
        <w:overflowPunct w:val="0"/>
        <w:autoSpaceDE w:val="0"/>
        <w:autoSpaceDN w:val="0"/>
        <w:adjustRightInd w:val="0"/>
        <w:ind w:left="567" w:hanging="567"/>
        <w:textAlignment w:val="baseline"/>
      </w:pPr>
      <w:r>
        <w:t xml:space="preserve">soutient la création du Fonds européen pour la compétitivité (FEC) en tant que pierre angulaire du prochain budget de l’Union et aussi que moteur d’innovation, de résilience et de sécurité, tout en soulignant que </w:t>
      </w:r>
      <w:r>
        <w:rPr>
          <w:b/>
        </w:rPr>
        <w:t>le financement devra s’inscrire fermement en cohérence avec la durabilité et l’économie sociale de marché de l’Union</w:t>
      </w:r>
      <w:r>
        <w:t>;</w:t>
      </w:r>
    </w:p>
    <w:p w14:paraId="287F2EDC" w14:textId="77777777" w:rsidR="00A304C7" w:rsidRPr="00601171" w:rsidRDefault="00A304C7" w:rsidP="00A304C7">
      <w:pPr>
        <w:numPr>
          <w:ilvl w:val="0"/>
          <w:numId w:val="9"/>
        </w:numPr>
        <w:overflowPunct w:val="0"/>
        <w:autoSpaceDE w:val="0"/>
        <w:autoSpaceDN w:val="0"/>
        <w:adjustRightInd w:val="0"/>
        <w:ind w:left="567" w:hanging="567"/>
        <w:textAlignment w:val="baseline"/>
      </w:pPr>
      <w:r>
        <w:rPr>
          <w:b/>
        </w:rPr>
        <w:t>appelle de ses vœux une sélection de projets à l’échelle de l’Union qui soit fondée sur le mérite</w:t>
      </w:r>
      <w:r>
        <w:t xml:space="preserve"> et assortie de critères clairs tels que l’excellence, l’orientation future et le potentiel économique; </w:t>
      </w:r>
      <w:r>
        <w:rPr>
          <w:b/>
        </w:rPr>
        <w:t>pour éviter les barrages nationaux</w:t>
      </w:r>
      <w:r>
        <w:t>, le CESE demande instamment l’instauration de procédures transparentes, l’égalité d’accès des demandeurs dans tous les États membres et la participation active des partenaires sociaux et de la société civile à la gouvernance;</w:t>
      </w:r>
    </w:p>
    <w:p w14:paraId="32357E9F" w14:textId="77777777" w:rsidR="00A304C7" w:rsidRPr="00601171" w:rsidRDefault="00A304C7" w:rsidP="00A304C7">
      <w:pPr>
        <w:numPr>
          <w:ilvl w:val="0"/>
          <w:numId w:val="9"/>
        </w:numPr>
        <w:overflowPunct w:val="0"/>
        <w:autoSpaceDE w:val="0"/>
        <w:autoSpaceDN w:val="0"/>
        <w:adjustRightInd w:val="0"/>
        <w:ind w:left="567" w:hanging="567"/>
        <w:textAlignment w:val="baseline"/>
      </w:pPr>
      <w:r>
        <w:rPr>
          <w:b/>
        </w:rPr>
        <w:t>recommande la mise en place d’une «validation par le marché»</w:t>
      </w:r>
      <w:r>
        <w:t>, qui exigerait que les projets sollicitant des compléments de financement européens, tels que les PIIEC ou d’autres investissements de grande ampleur, mobilisent d’abord une part de capitaux privés. Ce mécanisme de consultation des acteurs du marché contribuerait à valider la qualité des projets, réduire la politisation des décisions de financement et renforcer le lien entre aide publique et compétitivité réelle;</w:t>
      </w:r>
    </w:p>
    <w:p w14:paraId="4947654A" w14:textId="77777777" w:rsidR="00A304C7" w:rsidRPr="00601171" w:rsidRDefault="00A304C7" w:rsidP="00A304C7">
      <w:pPr>
        <w:numPr>
          <w:ilvl w:val="0"/>
          <w:numId w:val="9"/>
        </w:numPr>
        <w:overflowPunct w:val="0"/>
        <w:autoSpaceDE w:val="0"/>
        <w:autoSpaceDN w:val="0"/>
        <w:adjustRightInd w:val="0"/>
        <w:ind w:left="567" w:hanging="567"/>
        <w:textAlignment w:val="baseline"/>
      </w:pPr>
      <w:r>
        <w:rPr>
          <w:b/>
        </w:rPr>
        <w:t>souligne la nécessité de disposer d’outils solides d’évaluation et de prévention des risques</w:t>
      </w:r>
      <w:r>
        <w:t>, en veillant à ce que les ressources du FEC ne soient affectées qu’à des projets qui renforcent réellement la compétitivité de l’Europe et évitent de répéter les lacunes passées dans les programmes de financement de l’Union;</w:t>
      </w:r>
    </w:p>
    <w:p w14:paraId="5305A551" w14:textId="77777777" w:rsidR="00A304C7" w:rsidRPr="00601171" w:rsidRDefault="00A304C7" w:rsidP="00A304C7">
      <w:pPr>
        <w:numPr>
          <w:ilvl w:val="0"/>
          <w:numId w:val="9"/>
        </w:numPr>
        <w:overflowPunct w:val="0"/>
        <w:autoSpaceDE w:val="0"/>
        <w:autoSpaceDN w:val="0"/>
        <w:adjustRightInd w:val="0"/>
        <w:ind w:left="567" w:hanging="567"/>
        <w:textAlignment w:val="baseline"/>
      </w:pPr>
      <w:r>
        <w:t xml:space="preserve">affirme qu’il importe de </w:t>
      </w:r>
      <w:r>
        <w:rPr>
          <w:b/>
        </w:rPr>
        <w:t>soutenir les PME, les écosystèmes d’innovation régionaux et transfrontières et les investissements dans les compétences et le travail décent</w:t>
      </w:r>
      <w:r>
        <w:t>, tout en simplifiant les procédures et en garantissant une gouvernance transparente, prévisible et inclusive;</w:t>
      </w:r>
    </w:p>
    <w:p w14:paraId="1AA401AD" w14:textId="77777777" w:rsidR="00A304C7" w:rsidRPr="00601171" w:rsidRDefault="00A304C7" w:rsidP="00A304C7">
      <w:pPr>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8393"/>
      </w:tblGrid>
      <w:tr w:rsidR="00A304C7" w:rsidRPr="00A6689B" w14:paraId="55C72772" w14:textId="77777777" w:rsidTr="0045750F">
        <w:tc>
          <w:tcPr>
            <w:tcW w:w="742" w:type="pct"/>
          </w:tcPr>
          <w:p w14:paraId="20E0F6E2" w14:textId="77777777" w:rsidR="00A304C7" w:rsidRPr="00A6689B" w:rsidRDefault="00A304C7" w:rsidP="0045750F">
            <w:pPr>
              <w:rPr>
                <w:i/>
              </w:rPr>
            </w:pPr>
            <w:r>
              <w:rPr>
                <w:b/>
                <w:i/>
              </w:rPr>
              <w:t>Contact</w:t>
            </w:r>
          </w:p>
        </w:tc>
        <w:tc>
          <w:tcPr>
            <w:tcW w:w="4258" w:type="pct"/>
          </w:tcPr>
          <w:p w14:paraId="716BF5F2" w14:textId="77777777" w:rsidR="00A304C7" w:rsidRPr="00A6689B" w:rsidRDefault="00A304C7" w:rsidP="0045750F">
            <w:pPr>
              <w:rPr>
                <w:i/>
              </w:rPr>
            </w:pPr>
            <w:r>
              <w:rPr>
                <w:i/>
              </w:rPr>
              <w:t>Silvia STAFFA</w:t>
            </w:r>
          </w:p>
        </w:tc>
      </w:tr>
      <w:tr w:rsidR="00A304C7" w:rsidRPr="00A6689B" w14:paraId="65055EC8" w14:textId="77777777" w:rsidTr="0045750F">
        <w:tc>
          <w:tcPr>
            <w:tcW w:w="742" w:type="pct"/>
          </w:tcPr>
          <w:p w14:paraId="544114DB" w14:textId="77777777" w:rsidR="00A304C7" w:rsidRPr="00A6689B" w:rsidRDefault="00A304C7" w:rsidP="0045750F">
            <w:pPr>
              <w:rPr>
                <w:i/>
              </w:rPr>
            </w:pPr>
            <w:r>
              <w:rPr>
                <w:i/>
              </w:rPr>
              <w:t>Tél.</w:t>
            </w:r>
          </w:p>
        </w:tc>
        <w:tc>
          <w:tcPr>
            <w:tcW w:w="4258" w:type="pct"/>
          </w:tcPr>
          <w:p w14:paraId="5FCA0A98" w14:textId="77777777" w:rsidR="00A304C7" w:rsidRPr="00A6689B" w:rsidRDefault="00A304C7" w:rsidP="0045750F">
            <w:pPr>
              <w:rPr>
                <w:i/>
              </w:rPr>
            </w:pPr>
            <w:r>
              <w:rPr>
                <w:i/>
              </w:rPr>
              <w:t>+32 254 68378</w:t>
            </w:r>
          </w:p>
        </w:tc>
      </w:tr>
      <w:tr w:rsidR="00A304C7" w:rsidRPr="00A6689B" w14:paraId="29542DEB" w14:textId="77777777" w:rsidTr="0045750F">
        <w:tc>
          <w:tcPr>
            <w:tcW w:w="742" w:type="pct"/>
          </w:tcPr>
          <w:p w14:paraId="1A11F846" w14:textId="77777777" w:rsidR="00A304C7" w:rsidRPr="00A6689B" w:rsidRDefault="00A304C7" w:rsidP="0045750F">
            <w:pPr>
              <w:rPr>
                <w:i/>
              </w:rPr>
            </w:pPr>
            <w:r>
              <w:rPr>
                <w:i/>
              </w:rPr>
              <w:t>Courriel</w:t>
            </w:r>
          </w:p>
        </w:tc>
        <w:tc>
          <w:tcPr>
            <w:tcW w:w="4258" w:type="pct"/>
          </w:tcPr>
          <w:p w14:paraId="3E6E5232" w14:textId="77777777" w:rsidR="00A304C7" w:rsidRPr="00CB5569" w:rsidRDefault="00086F62" w:rsidP="0045750F">
            <w:pPr>
              <w:rPr>
                <w:i/>
                <w:iCs/>
                <w:sz w:val="20"/>
              </w:rPr>
            </w:pPr>
            <w:hyperlink r:id="rId38" w:history="1">
              <w:r w:rsidR="00A304C7">
                <w:rPr>
                  <w:rStyle w:val="Hyperlink"/>
                  <w:i/>
                  <w:sz w:val="20"/>
                </w:rPr>
                <w:t>Silvia.Staffa@eesc.europa.eu</w:t>
              </w:r>
            </w:hyperlink>
          </w:p>
        </w:tc>
      </w:tr>
    </w:tbl>
    <w:p w14:paraId="28855DAD" w14:textId="77777777" w:rsidR="00A304C7" w:rsidRPr="006F46D1" w:rsidRDefault="00685A3A" w:rsidP="00A304C7">
      <w:pPr>
        <w:widowControl w:val="0"/>
        <w:numPr>
          <w:ilvl w:val="0"/>
          <w:numId w:val="16"/>
        </w:numPr>
        <w:overflowPunct w:val="0"/>
        <w:autoSpaceDE w:val="0"/>
        <w:autoSpaceDN w:val="0"/>
        <w:adjustRightInd w:val="0"/>
        <w:ind w:hanging="567"/>
        <w:textAlignment w:val="baseline"/>
        <w:rPr>
          <w:sz w:val="20"/>
        </w:rPr>
      </w:pPr>
      <w:r>
        <w:br w:type="page"/>
      </w:r>
      <w:hyperlink r:id="rId39" w:history="1">
        <w:r w:rsidR="00A304C7">
          <w:rPr>
            <w:rStyle w:val="Hyperlink"/>
            <w:b/>
            <w:i/>
            <w:sz w:val="28"/>
          </w:rPr>
          <w:t>Révision du cadre juridique européen en matière de marchés publics</w:t>
        </w:r>
      </w:hyperlink>
    </w:p>
    <w:p w14:paraId="1F67917D" w14:textId="77777777" w:rsidR="00A304C7" w:rsidRPr="006F46D1" w:rsidRDefault="00A304C7" w:rsidP="00A304C7">
      <w:pPr>
        <w:tabs>
          <w:tab w:val="center" w:pos="284"/>
        </w:tabs>
        <w:ind w:left="266" w:hanging="266"/>
        <w:rPr>
          <w:b/>
          <w:lang w:val="en-US"/>
        </w:rPr>
      </w:pPr>
    </w:p>
    <w:tbl>
      <w:tblPr>
        <w:tblStyle w:val="TableGrid"/>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7582"/>
      </w:tblGrid>
      <w:tr w:rsidR="00A304C7" w:rsidRPr="00A6689B" w14:paraId="58AC0EE7" w14:textId="77777777" w:rsidTr="0045750F">
        <w:trPr>
          <w:trHeight w:val="406"/>
        </w:trPr>
        <w:tc>
          <w:tcPr>
            <w:tcW w:w="1108" w:type="pct"/>
          </w:tcPr>
          <w:p w14:paraId="63452181" w14:textId="77777777" w:rsidR="00A304C7" w:rsidRPr="00A6689B" w:rsidRDefault="00A304C7" w:rsidP="0045750F">
            <w:pPr>
              <w:tabs>
                <w:tab w:val="center" w:pos="284"/>
              </w:tabs>
              <w:ind w:left="266" w:hanging="266"/>
              <w:rPr>
                <w:b/>
              </w:rPr>
            </w:pPr>
            <w:r>
              <w:rPr>
                <w:b/>
              </w:rPr>
              <w:t>Rapporteur</w:t>
            </w:r>
          </w:p>
        </w:tc>
        <w:tc>
          <w:tcPr>
            <w:tcW w:w="3892" w:type="pct"/>
          </w:tcPr>
          <w:p w14:paraId="6E233B6F" w14:textId="77777777" w:rsidR="00A304C7" w:rsidRPr="009E78F1" w:rsidRDefault="00A304C7" w:rsidP="0045750F">
            <w:pPr>
              <w:tabs>
                <w:tab w:val="center" w:pos="0"/>
              </w:tabs>
              <w:ind w:left="266" w:hanging="266"/>
            </w:pPr>
            <w:r>
              <w:t>Philip VON BROCKDORFF (groupe des travailleurs — MT)</w:t>
            </w:r>
          </w:p>
        </w:tc>
      </w:tr>
      <w:tr w:rsidR="00A304C7" w:rsidRPr="00CB5569" w14:paraId="743E7CFF" w14:textId="77777777" w:rsidTr="0045750F">
        <w:tc>
          <w:tcPr>
            <w:tcW w:w="1108" w:type="pct"/>
          </w:tcPr>
          <w:p w14:paraId="5BC49E3D" w14:textId="77777777" w:rsidR="00A304C7" w:rsidRPr="00CB5569" w:rsidRDefault="00A304C7" w:rsidP="0045750F">
            <w:pPr>
              <w:tabs>
                <w:tab w:val="center" w:pos="284"/>
              </w:tabs>
              <w:ind w:left="266" w:hanging="266"/>
              <w:rPr>
                <w:b/>
              </w:rPr>
            </w:pPr>
            <w:r>
              <w:rPr>
                <w:b/>
              </w:rPr>
              <w:t>Références</w:t>
            </w:r>
          </w:p>
        </w:tc>
        <w:tc>
          <w:tcPr>
            <w:tcW w:w="3892" w:type="pct"/>
          </w:tcPr>
          <w:p w14:paraId="20F780B3" w14:textId="77777777" w:rsidR="00A304C7" w:rsidRPr="00CB5569" w:rsidRDefault="00A304C7" w:rsidP="0045750F">
            <w:pPr>
              <w:tabs>
                <w:tab w:val="center" w:pos="284"/>
              </w:tabs>
              <w:ind w:left="266" w:hanging="266"/>
            </w:pPr>
            <w:r>
              <w:t>Avis exploratoire</w:t>
            </w:r>
          </w:p>
          <w:p w14:paraId="52111424" w14:textId="77777777" w:rsidR="00A304C7" w:rsidRPr="00CB5569" w:rsidRDefault="00A304C7" w:rsidP="0045750F">
            <w:pPr>
              <w:tabs>
                <w:tab w:val="center" w:pos="284"/>
              </w:tabs>
              <w:ind w:left="266" w:hanging="266"/>
            </w:pPr>
            <w:r>
              <w:t>EESC-2025-01402-00-00-AC</w:t>
            </w:r>
          </w:p>
        </w:tc>
      </w:tr>
    </w:tbl>
    <w:p w14:paraId="1C4E2D43" w14:textId="77777777" w:rsidR="00A304C7" w:rsidRDefault="00A304C7" w:rsidP="00A304C7">
      <w:pPr>
        <w:keepNext/>
        <w:keepLines/>
        <w:tabs>
          <w:tab w:val="center" w:pos="284"/>
        </w:tabs>
        <w:ind w:left="266" w:hanging="266"/>
        <w:rPr>
          <w:b/>
        </w:rPr>
      </w:pPr>
    </w:p>
    <w:p w14:paraId="7E2B2918" w14:textId="77777777" w:rsidR="00A304C7" w:rsidRPr="00CB5569" w:rsidRDefault="00A304C7" w:rsidP="00A304C7">
      <w:pPr>
        <w:keepNext/>
        <w:keepLines/>
        <w:tabs>
          <w:tab w:val="center" w:pos="284"/>
        </w:tabs>
        <w:ind w:left="266" w:hanging="266"/>
        <w:rPr>
          <w:b/>
        </w:rPr>
      </w:pPr>
      <w:r>
        <w:rPr>
          <w:b/>
        </w:rPr>
        <w:t>Points clés</w:t>
      </w:r>
    </w:p>
    <w:p w14:paraId="58D4820A" w14:textId="77777777" w:rsidR="00A304C7" w:rsidRPr="00CB5569" w:rsidRDefault="00A304C7" w:rsidP="00A304C7">
      <w:pPr>
        <w:keepNext/>
        <w:keepLines/>
        <w:tabs>
          <w:tab w:val="center" w:pos="284"/>
        </w:tabs>
        <w:ind w:left="266" w:hanging="266"/>
        <w:rPr>
          <w:bCs/>
        </w:rPr>
      </w:pPr>
    </w:p>
    <w:p w14:paraId="6B8DB171" w14:textId="77777777" w:rsidR="00A304C7" w:rsidRDefault="00A304C7" w:rsidP="00A304C7">
      <w:r>
        <w:t>Le CESE:</w:t>
      </w:r>
    </w:p>
    <w:p w14:paraId="35DD26E6" w14:textId="77777777" w:rsidR="00A304C7" w:rsidRPr="009234A4" w:rsidRDefault="00A304C7" w:rsidP="00A304C7">
      <w:pPr>
        <w:pStyle w:val="ListParagraph"/>
        <w:numPr>
          <w:ilvl w:val="0"/>
          <w:numId w:val="10"/>
        </w:numPr>
        <w:spacing w:line="276" w:lineRule="auto"/>
        <w:ind w:left="567" w:hanging="567"/>
      </w:pPr>
      <w:r>
        <w:t>convient qu’une révision de la législation existante de l’Union est nécessaire pour renforcer la simplification, réduire les coûts administratifs et favoriser la poursuite de l’harmonisation au sein du marché unique;</w:t>
      </w:r>
    </w:p>
    <w:p w14:paraId="002A204C" w14:textId="77777777" w:rsidR="00A304C7" w:rsidRPr="009234A4" w:rsidRDefault="00A304C7" w:rsidP="00A304C7">
      <w:pPr>
        <w:pStyle w:val="ListParagraph"/>
        <w:numPr>
          <w:ilvl w:val="0"/>
          <w:numId w:val="10"/>
        </w:numPr>
        <w:spacing w:line="276" w:lineRule="auto"/>
        <w:ind w:left="567" w:hanging="567"/>
      </w:pPr>
      <w:r>
        <w:t>estime qu’une politique européenne durable en matière de marchés publics peut dépasser le paradigme étroit de la défaillance du marché en permettant la passation de marchés stratégiques et axés sur le bien-être public, considérer les critères sociaux, environnementaux et relatifs à l’innovation comme des objectifs d’égale importance et garantir un accès équitable aux marchés publics pour les opérateurs privés;</w:t>
      </w:r>
    </w:p>
    <w:p w14:paraId="6B25B5CF" w14:textId="77777777" w:rsidR="00A304C7" w:rsidRPr="00FC1593" w:rsidRDefault="00A304C7" w:rsidP="00A304C7">
      <w:pPr>
        <w:pStyle w:val="ListParagraph"/>
        <w:numPr>
          <w:ilvl w:val="0"/>
          <w:numId w:val="11"/>
        </w:numPr>
        <w:spacing w:line="276" w:lineRule="auto"/>
        <w:ind w:left="567" w:hanging="567"/>
      </w:pPr>
      <w:r>
        <w:t>considère que les marchés publics doivent être attribués sur la base du principe de l’«offre économiquement la plus avantageuse», tout en soulignant l’importance de critères autres que le prix, par exemple la qualité, l’innovation et les considérations environnementales, sociales et de durabilité, en particulier les droits des travailleurs et les conventions collectives;</w:t>
      </w:r>
    </w:p>
    <w:p w14:paraId="20BCBADE" w14:textId="77777777" w:rsidR="00A304C7" w:rsidRPr="00FC1593" w:rsidRDefault="00A304C7" w:rsidP="00A304C7">
      <w:pPr>
        <w:pStyle w:val="ListParagraph"/>
        <w:numPr>
          <w:ilvl w:val="0"/>
          <w:numId w:val="11"/>
        </w:numPr>
        <w:spacing w:line="276" w:lineRule="auto"/>
        <w:ind w:left="567" w:hanging="567"/>
      </w:pPr>
      <w:r>
        <w:t>préconise d’adopter une démarche globale en ce qui concerne les politiques relatives aux services d’intérêt général (SIG);</w:t>
      </w:r>
    </w:p>
    <w:p w14:paraId="03599179" w14:textId="77777777" w:rsidR="00A304C7" w:rsidRPr="00FC1593" w:rsidRDefault="00A304C7" w:rsidP="00A304C7">
      <w:pPr>
        <w:pStyle w:val="ListParagraph"/>
        <w:numPr>
          <w:ilvl w:val="0"/>
          <w:numId w:val="11"/>
        </w:numPr>
        <w:spacing w:line="276" w:lineRule="auto"/>
        <w:ind w:left="567" w:hanging="567"/>
      </w:pPr>
      <w:r>
        <w:t>est d’avis que les marchés publics ne devraient pas être attribués à des entreprises qui, systématiquement, portent atteinte aux droits fondamentaux des travailleurs ou ne respectent pas les conventions collectives par lesquelles elles sont liées;</w:t>
      </w:r>
    </w:p>
    <w:p w14:paraId="1E2E72A0" w14:textId="77777777" w:rsidR="00A304C7" w:rsidRPr="00FC1593" w:rsidRDefault="00A304C7" w:rsidP="00A304C7">
      <w:pPr>
        <w:pStyle w:val="ListParagraph"/>
        <w:numPr>
          <w:ilvl w:val="0"/>
          <w:numId w:val="11"/>
        </w:numPr>
        <w:spacing w:line="276" w:lineRule="auto"/>
        <w:ind w:left="567" w:hanging="567"/>
      </w:pPr>
      <w:r>
        <w:t>estime que, sous réserve de la mise en place de critères juridiques appropriés et en veillant à limiter au minimum les distorsions de la concurrence, la possibilité de recourir à la passation de marchés interne pour les entités juridiques contrôlées majoritairement et à l’attribution directe devrait être maintenue dans le cadre de la révision des directives de l’UE sur les marchés publics;</w:t>
      </w:r>
    </w:p>
    <w:p w14:paraId="76F02948" w14:textId="77777777" w:rsidR="00A304C7" w:rsidRPr="00FC1593" w:rsidRDefault="00A304C7" w:rsidP="00A304C7">
      <w:pPr>
        <w:pStyle w:val="ListParagraph"/>
        <w:numPr>
          <w:ilvl w:val="0"/>
          <w:numId w:val="11"/>
        </w:numPr>
        <w:spacing w:line="276" w:lineRule="auto"/>
        <w:ind w:left="567" w:hanging="567"/>
      </w:pPr>
      <w:r>
        <w:t>préconise d’introduire une obligation légale d’évaluer les effets des seuils existants pour les contrats de service public;</w:t>
      </w:r>
    </w:p>
    <w:p w14:paraId="766CA218" w14:textId="77777777" w:rsidR="00A304C7" w:rsidRPr="00FC1593" w:rsidRDefault="00A304C7" w:rsidP="00A304C7">
      <w:pPr>
        <w:pStyle w:val="ListParagraph"/>
        <w:numPr>
          <w:ilvl w:val="0"/>
          <w:numId w:val="11"/>
        </w:numPr>
        <w:spacing w:line="276" w:lineRule="auto"/>
        <w:ind w:left="567" w:hanging="567"/>
      </w:pPr>
      <w:r>
        <w:t>considère que les marchés publics peuvent soutenir une Europe socialement juste, écologiquement durable et résiliente sur le plan économique, dans l’intérêt du bien commun;</w:t>
      </w:r>
    </w:p>
    <w:p w14:paraId="40936522" w14:textId="77777777" w:rsidR="00A304C7" w:rsidRPr="009234A4" w:rsidRDefault="00A304C7" w:rsidP="00A304C7">
      <w:pPr>
        <w:pStyle w:val="ListParagraph"/>
        <w:numPr>
          <w:ilvl w:val="0"/>
          <w:numId w:val="11"/>
        </w:numPr>
        <w:spacing w:line="276" w:lineRule="auto"/>
        <w:ind w:left="567" w:hanging="567"/>
      </w:pPr>
      <w:r>
        <w:t>plaide en faveur de clauses obligatoires de révision du prix afin de tenir compte des changements liés aux salaires dans les conventions collectives et/ou la législation du travail, ou de l’inflation, ainsi que d’autres facteurs pertinents ayant une incidence sur l’exécution du marché, tels que les coûts de l’énergie.</w:t>
      </w:r>
    </w:p>
    <w:p w14:paraId="719BB146" w14:textId="77777777" w:rsidR="00A304C7" w:rsidRPr="00163218" w:rsidRDefault="00A304C7" w:rsidP="00A304C7">
      <w:pPr>
        <w:pStyle w:val="ListParagraph"/>
        <w:ind w:left="567"/>
        <w:rPr>
          <w:bCs/>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8393"/>
      </w:tblGrid>
      <w:tr w:rsidR="00A304C7" w:rsidRPr="00A6689B" w14:paraId="5F29597E" w14:textId="77777777" w:rsidTr="0045750F">
        <w:tc>
          <w:tcPr>
            <w:tcW w:w="742" w:type="pct"/>
          </w:tcPr>
          <w:p w14:paraId="7CECC828" w14:textId="77777777" w:rsidR="00A304C7" w:rsidRPr="00A6689B" w:rsidRDefault="00A304C7" w:rsidP="0045750F">
            <w:pPr>
              <w:spacing w:line="240" w:lineRule="auto"/>
              <w:rPr>
                <w:i/>
              </w:rPr>
            </w:pPr>
            <w:r>
              <w:rPr>
                <w:b/>
                <w:i/>
              </w:rPr>
              <w:t>Contact</w:t>
            </w:r>
          </w:p>
        </w:tc>
        <w:tc>
          <w:tcPr>
            <w:tcW w:w="4258" w:type="pct"/>
          </w:tcPr>
          <w:p w14:paraId="22C79EF1" w14:textId="77777777" w:rsidR="00A304C7" w:rsidRPr="00A6689B" w:rsidRDefault="00A304C7" w:rsidP="0045750F">
            <w:pPr>
              <w:spacing w:line="240" w:lineRule="auto"/>
              <w:rPr>
                <w:i/>
              </w:rPr>
            </w:pPr>
            <w:proofErr w:type="spellStart"/>
            <w:r>
              <w:rPr>
                <w:i/>
              </w:rPr>
              <w:t>Annalisa</w:t>
            </w:r>
            <w:proofErr w:type="spellEnd"/>
            <w:r>
              <w:rPr>
                <w:i/>
              </w:rPr>
              <w:t xml:space="preserve"> </w:t>
            </w:r>
            <w:proofErr w:type="spellStart"/>
            <w:r>
              <w:rPr>
                <w:i/>
              </w:rPr>
              <w:t>Tessarolo</w:t>
            </w:r>
            <w:proofErr w:type="spellEnd"/>
          </w:p>
        </w:tc>
      </w:tr>
      <w:tr w:rsidR="00A304C7" w:rsidRPr="00A6689B" w14:paraId="00DDE403" w14:textId="77777777" w:rsidTr="0045750F">
        <w:tc>
          <w:tcPr>
            <w:tcW w:w="742" w:type="pct"/>
          </w:tcPr>
          <w:p w14:paraId="505B1DB9" w14:textId="77777777" w:rsidR="00A304C7" w:rsidRPr="00A6689B" w:rsidRDefault="00A304C7" w:rsidP="0045750F">
            <w:pPr>
              <w:spacing w:line="240" w:lineRule="auto"/>
              <w:rPr>
                <w:i/>
              </w:rPr>
            </w:pPr>
            <w:r>
              <w:rPr>
                <w:i/>
              </w:rPr>
              <w:t>Tél.</w:t>
            </w:r>
          </w:p>
        </w:tc>
        <w:tc>
          <w:tcPr>
            <w:tcW w:w="4258" w:type="pct"/>
          </w:tcPr>
          <w:p w14:paraId="52903213" w14:textId="77777777" w:rsidR="00A304C7" w:rsidRPr="00A6689B" w:rsidRDefault="00A304C7" w:rsidP="0045750F">
            <w:pPr>
              <w:spacing w:line="240" w:lineRule="auto"/>
              <w:rPr>
                <w:i/>
              </w:rPr>
            </w:pPr>
            <w:r>
              <w:rPr>
                <w:i/>
              </w:rPr>
              <w:t>+ 32 2 546 9732</w:t>
            </w:r>
          </w:p>
        </w:tc>
      </w:tr>
      <w:tr w:rsidR="00A304C7" w:rsidRPr="00A6689B" w14:paraId="477B6A71" w14:textId="77777777" w:rsidTr="0045750F">
        <w:tc>
          <w:tcPr>
            <w:tcW w:w="742" w:type="pct"/>
          </w:tcPr>
          <w:p w14:paraId="5B810A26" w14:textId="77777777" w:rsidR="00A304C7" w:rsidRPr="00A6689B" w:rsidRDefault="00A304C7" w:rsidP="0045750F">
            <w:pPr>
              <w:spacing w:line="240" w:lineRule="auto"/>
              <w:rPr>
                <w:i/>
              </w:rPr>
            </w:pPr>
            <w:r>
              <w:rPr>
                <w:i/>
              </w:rPr>
              <w:t>Courriel</w:t>
            </w:r>
          </w:p>
        </w:tc>
        <w:tc>
          <w:tcPr>
            <w:tcW w:w="4258" w:type="pct"/>
          </w:tcPr>
          <w:p w14:paraId="006F4374" w14:textId="77777777" w:rsidR="00A304C7" w:rsidRPr="00CB5569" w:rsidRDefault="00086F62" w:rsidP="0045750F">
            <w:pPr>
              <w:spacing w:line="240" w:lineRule="auto"/>
              <w:rPr>
                <w:i/>
                <w:iCs/>
                <w:sz w:val="20"/>
              </w:rPr>
            </w:pPr>
            <w:hyperlink r:id="rId40" w:history="1">
              <w:r w:rsidR="00A304C7">
                <w:rPr>
                  <w:rStyle w:val="Hyperlink"/>
                  <w:i/>
                  <w:sz w:val="20"/>
                </w:rPr>
                <w:t>Annalisa.Tessarolo@eesc.europa.eu</w:t>
              </w:r>
            </w:hyperlink>
          </w:p>
        </w:tc>
      </w:tr>
    </w:tbl>
    <w:p w14:paraId="1E327181" w14:textId="64AF5ED2" w:rsidR="00685A3A" w:rsidRDefault="00685A3A" w:rsidP="00A304C7">
      <w:pPr>
        <w:widowControl w:val="0"/>
        <w:numPr>
          <w:ilvl w:val="0"/>
          <w:numId w:val="39"/>
        </w:numPr>
        <w:overflowPunct w:val="0"/>
        <w:autoSpaceDE w:val="0"/>
        <w:autoSpaceDN w:val="0"/>
        <w:adjustRightInd w:val="0"/>
        <w:ind w:hanging="567"/>
        <w:textAlignment w:val="baseline"/>
      </w:pPr>
      <w:r>
        <w:br w:type="page"/>
      </w:r>
    </w:p>
    <w:p w14:paraId="4982DE1E" w14:textId="5B30CC22" w:rsidR="004D7AC0" w:rsidRDefault="004D7AC0" w:rsidP="004D7AC0">
      <w:pPr>
        <w:spacing w:after="160" w:line="259" w:lineRule="auto"/>
        <w:jc w:val="left"/>
      </w:pPr>
    </w:p>
    <w:p w14:paraId="4982DE1F" w14:textId="77777777" w:rsidR="004D7AC0" w:rsidRDefault="004D7AC0" w:rsidP="004D7AC0">
      <w:pPr>
        <w:pStyle w:val="Heading1"/>
        <w:rPr>
          <w:b/>
        </w:rPr>
      </w:pPr>
      <w:bookmarkStart w:id="19" w:name="_Toc70322234"/>
      <w:bookmarkStart w:id="20" w:name="_Toc75527084"/>
      <w:bookmarkStart w:id="21" w:name="_Toc216797869"/>
      <w:r>
        <w:rPr>
          <w:b/>
        </w:rPr>
        <w:t>AGRICULTURE, DÉVELOPPEMENT RURAL ET ENVIRONNEMENT</w:t>
      </w:r>
      <w:bookmarkEnd w:id="19"/>
      <w:bookmarkEnd w:id="20"/>
      <w:bookmarkEnd w:id="21"/>
    </w:p>
    <w:p w14:paraId="4982DE20" w14:textId="77777777" w:rsidR="004D7AC0" w:rsidRDefault="004D7AC0" w:rsidP="004D7AC0"/>
    <w:p w14:paraId="55CE4C5E" w14:textId="77777777" w:rsidR="00A304C7" w:rsidRPr="00801D9D" w:rsidRDefault="00086F62" w:rsidP="00A304C7">
      <w:pPr>
        <w:widowControl w:val="0"/>
        <w:numPr>
          <w:ilvl w:val="0"/>
          <w:numId w:val="16"/>
        </w:numPr>
        <w:overflowPunct w:val="0"/>
        <w:autoSpaceDE w:val="0"/>
        <w:autoSpaceDN w:val="0"/>
        <w:adjustRightInd w:val="0"/>
        <w:ind w:hanging="567"/>
        <w:textAlignment w:val="baseline"/>
        <w:rPr>
          <w:b/>
        </w:rPr>
      </w:pPr>
      <w:hyperlink r:id="rId41" w:history="1">
        <w:r w:rsidR="00A304C7">
          <w:rPr>
            <w:rStyle w:val="Hyperlink"/>
            <w:b/>
            <w:i/>
            <w:sz w:val="28"/>
          </w:rPr>
          <w:t>Modification du règlement (UE) 2023/1115 sur la déforestation</w:t>
        </w:r>
      </w:hyperlink>
      <w:r w:rsidR="00A304C7">
        <w:rPr>
          <w:b/>
          <w:i/>
          <w:sz w:val="28"/>
        </w:rPr>
        <w:t xml:space="preserve"> </w:t>
      </w:r>
    </w:p>
    <w:p w14:paraId="56B8E17E" w14:textId="77777777" w:rsidR="00A304C7" w:rsidRPr="00801D9D" w:rsidRDefault="00A304C7" w:rsidP="00A304C7">
      <w:pPr>
        <w:widowControl w:val="0"/>
        <w:ind w:left="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A304C7" w:rsidRPr="00A6689B" w14:paraId="6BB098D5" w14:textId="77777777" w:rsidTr="0045750F">
        <w:tc>
          <w:tcPr>
            <w:tcW w:w="1077" w:type="pct"/>
            <w:vMerge w:val="restart"/>
          </w:tcPr>
          <w:p w14:paraId="0DAF7E4F" w14:textId="77777777" w:rsidR="00A304C7" w:rsidRPr="00A6689B" w:rsidRDefault="00A304C7" w:rsidP="0045750F">
            <w:pPr>
              <w:tabs>
                <w:tab w:val="center" w:pos="284"/>
              </w:tabs>
              <w:ind w:left="266" w:hanging="266"/>
              <w:rPr>
                <w:b/>
              </w:rPr>
            </w:pPr>
            <w:r>
              <w:rPr>
                <w:b/>
              </w:rPr>
              <w:t>Références</w:t>
            </w:r>
          </w:p>
        </w:tc>
        <w:tc>
          <w:tcPr>
            <w:tcW w:w="3923" w:type="pct"/>
          </w:tcPr>
          <w:p w14:paraId="208D66E1" w14:textId="77777777" w:rsidR="00A304C7" w:rsidRPr="00A6689B" w:rsidRDefault="00A304C7" w:rsidP="0045750F">
            <w:pPr>
              <w:tabs>
                <w:tab w:val="center" w:pos="284"/>
              </w:tabs>
              <w:ind w:left="266" w:right="-3091" w:hanging="266"/>
            </w:pPr>
            <w:r>
              <w:t>COM(2025) 652 final</w:t>
            </w:r>
          </w:p>
        </w:tc>
      </w:tr>
      <w:tr w:rsidR="00A304C7" w:rsidRPr="00A6689B" w14:paraId="3B73C751" w14:textId="77777777" w:rsidTr="0045750F">
        <w:tc>
          <w:tcPr>
            <w:tcW w:w="1077" w:type="pct"/>
            <w:vMerge/>
          </w:tcPr>
          <w:p w14:paraId="70E40E13" w14:textId="77777777" w:rsidR="00A304C7" w:rsidRPr="00A6689B" w:rsidRDefault="00A304C7" w:rsidP="0045750F">
            <w:pPr>
              <w:tabs>
                <w:tab w:val="center" w:pos="284"/>
              </w:tabs>
              <w:ind w:left="266" w:hanging="266"/>
              <w:rPr>
                <w:b/>
                <w:lang w:val="en-US"/>
              </w:rPr>
            </w:pPr>
          </w:p>
        </w:tc>
        <w:tc>
          <w:tcPr>
            <w:tcW w:w="3923" w:type="pct"/>
          </w:tcPr>
          <w:p w14:paraId="77FCE1EA" w14:textId="77777777" w:rsidR="00A304C7" w:rsidRPr="00A6689B" w:rsidRDefault="00A304C7" w:rsidP="0045750F">
            <w:pPr>
              <w:tabs>
                <w:tab w:val="center" w:pos="284"/>
              </w:tabs>
              <w:ind w:left="266" w:right="-3091" w:hanging="266"/>
            </w:pPr>
            <w:r>
              <w:t>EESC-2025-03869-00-00-AC-TRA</w:t>
            </w:r>
          </w:p>
        </w:tc>
      </w:tr>
    </w:tbl>
    <w:p w14:paraId="63B24B43" w14:textId="77777777" w:rsidR="00A304C7" w:rsidRDefault="00A304C7" w:rsidP="00A304C7">
      <w:pPr>
        <w:tabs>
          <w:tab w:val="center" w:pos="284"/>
        </w:tabs>
        <w:ind w:left="266" w:hanging="266"/>
        <w:rPr>
          <w:b/>
        </w:rPr>
      </w:pPr>
    </w:p>
    <w:p w14:paraId="49FE2534" w14:textId="77777777" w:rsidR="00A304C7" w:rsidRPr="00A6689B" w:rsidRDefault="00A304C7" w:rsidP="00A304C7">
      <w:pPr>
        <w:keepNext/>
        <w:keepLines/>
        <w:tabs>
          <w:tab w:val="center" w:pos="284"/>
        </w:tabs>
        <w:ind w:left="266" w:hanging="266"/>
        <w:rPr>
          <w:b/>
        </w:rPr>
      </w:pPr>
      <w:r>
        <w:rPr>
          <w:b/>
        </w:rPr>
        <w:t>Points clés</w:t>
      </w:r>
    </w:p>
    <w:p w14:paraId="35E609E4" w14:textId="77777777" w:rsidR="00A304C7" w:rsidRPr="00A6689B" w:rsidRDefault="00A304C7" w:rsidP="00A304C7">
      <w:pPr>
        <w:keepNext/>
        <w:keepLines/>
        <w:tabs>
          <w:tab w:val="center" w:pos="284"/>
        </w:tabs>
        <w:ind w:left="266" w:hanging="266"/>
        <w:rPr>
          <w:b/>
        </w:rPr>
      </w:pPr>
    </w:p>
    <w:p w14:paraId="55164D0A" w14:textId="77777777" w:rsidR="00A304C7" w:rsidRDefault="00A304C7" w:rsidP="00A304C7">
      <w:pPr>
        <w:rPr>
          <w:bCs/>
          <w:iCs/>
        </w:rPr>
      </w:pPr>
      <w:r>
        <w:t>Le CESE:</w:t>
      </w:r>
    </w:p>
    <w:p w14:paraId="539650F9" w14:textId="77777777" w:rsidR="00A304C7" w:rsidRPr="00A6689B" w:rsidRDefault="00A304C7" w:rsidP="00A304C7">
      <w:pPr>
        <w:rPr>
          <w:bCs/>
          <w:iCs/>
        </w:rPr>
      </w:pPr>
    </w:p>
    <w:p w14:paraId="48AD4037" w14:textId="77777777" w:rsidR="00A304C7" w:rsidRPr="00A6689B" w:rsidRDefault="00A304C7" w:rsidP="00A304C7">
      <w:pPr>
        <w:widowControl w:val="0"/>
        <w:numPr>
          <w:ilvl w:val="0"/>
          <w:numId w:val="16"/>
        </w:numPr>
        <w:overflowPunct w:val="0"/>
        <w:autoSpaceDE w:val="0"/>
        <w:autoSpaceDN w:val="0"/>
        <w:adjustRightInd w:val="0"/>
        <w:ind w:hanging="567"/>
        <w:textAlignment w:val="baseline"/>
        <w:rPr>
          <w:bCs/>
          <w:iCs/>
        </w:rPr>
      </w:pPr>
      <w:r>
        <w:t>s’est déjà prononcé sur le contenu de la proposition en objet dans ses avis EESC-2024-01183-00-00-AC-TRA, adopté le 19 septembre 2024</w:t>
      </w:r>
      <w:r w:rsidRPr="004B31EB">
        <w:rPr>
          <w:rStyle w:val="FootnoteReference"/>
          <w:sz w:val="18"/>
          <w:szCs w:val="14"/>
        </w:rPr>
        <w:footnoteReference w:id="5"/>
      </w:r>
      <w:r>
        <w:t>, et EESC-2021-05690-00-00-AC-TRA, adopté le 23 février 2022</w:t>
      </w:r>
      <w:r w:rsidRPr="004B31EB">
        <w:rPr>
          <w:rStyle w:val="FootnoteReference"/>
          <w:sz w:val="18"/>
          <w:szCs w:val="14"/>
        </w:rPr>
        <w:footnoteReference w:id="6"/>
      </w:r>
      <w:r>
        <w:t>, et a décidé de ne pas procéder à l’élaboration d’un nouvel avis en la matière, mais de se référer à la position qu’il avait soutenue dans les documents susmentionnés.</w:t>
      </w:r>
    </w:p>
    <w:p w14:paraId="4C501BE8" w14:textId="77777777" w:rsidR="00A304C7" w:rsidRPr="000624A9" w:rsidRDefault="00A304C7" w:rsidP="00A304C7">
      <w:pPr>
        <w:widowControl w:val="0"/>
        <w:ind w:left="567"/>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7733"/>
      </w:tblGrid>
      <w:tr w:rsidR="00A304C7" w:rsidRPr="00A6689B" w14:paraId="1FC162FA" w14:textId="77777777" w:rsidTr="0045750F">
        <w:tc>
          <w:tcPr>
            <w:tcW w:w="1078" w:type="pct"/>
          </w:tcPr>
          <w:p w14:paraId="384B7F1B" w14:textId="77777777" w:rsidR="00A304C7" w:rsidRPr="00A6689B" w:rsidRDefault="00A304C7" w:rsidP="0045750F">
            <w:pPr>
              <w:rPr>
                <w:i/>
              </w:rPr>
            </w:pPr>
            <w:r>
              <w:rPr>
                <w:b/>
                <w:i/>
              </w:rPr>
              <w:t>Contact</w:t>
            </w:r>
          </w:p>
        </w:tc>
        <w:tc>
          <w:tcPr>
            <w:tcW w:w="3922" w:type="pct"/>
          </w:tcPr>
          <w:p w14:paraId="4357F0E5" w14:textId="77777777" w:rsidR="00A304C7" w:rsidRPr="00A6689B" w:rsidRDefault="00A304C7" w:rsidP="0045750F">
            <w:pPr>
              <w:rPr>
                <w:i/>
              </w:rPr>
            </w:pPr>
            <w:r>
              <w:rPr>
                <w:i/>
              </w:rPr>
              <w:t>Martine DELANOY</w:t>
            </w:r>
          </w:p>
        </w:tc>
      </w:tr>
      <w:tr w:rsidR="00A304C7" w:rsidRPr="00A6689B" w14:paraId="49437840" w14:textId="77777777" w:rsidTr="0045750F">
        <w:tc>
          <w:tcPr>
            <w:tcW w:w="1078" w:type="pct"/>
          </w:tcPr>
          <w:p w14:paraId="58FEC5DE" w14:textId="77777777" w:rsidR="00A304C7" w:rsidRPr="00A6689B" w:rsidRDefault="00A304C7" w:rsidP="0045750F">
            <w:pPr>
              <w:rPr>
                <w:i/>
              </w:rPr>
            </w:pPr>
            <w:r>
              <w:rPr>
                <w:i/>
              </w:rPr>
              <w:t>Tél.</w:t>
            </w:r>
          </w:p>
        </w:tc>
        <w:tc>
          <w:tcPr>
            <w:tcW w:w="3922" w:type="pct"/>
          </w:tcPr>
          <w:p w14:paraId="40F9C691" w14:textId="77777777" w:rsidR="00A304C7" w:rsidRPr="00A6689B" w:rsidRDefault="00A304C7" w:rsidP="0045750F">
            <w:pPr>
              <w:rPr>
                <w:i/>
              </w:rPr>
            </w:pPr>
            <w:r>
              <w:rPr>
                <w:i/>
              </w:rPr>
              <w:t>+32 25469</w:t>
            </w:r>
            <w:r>
              <w:t>802</w:t>
            </w:r>
          </w:p>
        </w:tc>
      </w:tr>
      <w:tr w:rsidR="00A304C7" w:rsidRPr="00A6689B" w14:paraId="016AFC67" w14:textId="77777777" w:rsidTr="0045750F">
        <w:tc>
          <w:tcPr>
            <w:tcW w:w="1078" w:type="pct"/>
          </w:tcPr>
          <w:p w14:paraId="3C690558" w14:textId="77777777" w:rsidR="00A304C7" w:rsidRPr="00A6689B" w:rsidRDefault="00A304C7" w:rsidP="0045750F">
            <w:pPr>
              <w:rPr>
                <w:i/>
              </w:rPr>
            </w:pPr>
            <w:r>
              <w:rPr>
                <w:i/>
              </w:rPr>
              <w:t>Courriel</w:t>
            </w:r>
          </w:p>
        </w:tc>
        <w:tc>
          <w:tcPr>
            <w:tcW w:w="3922" w:type="pct"/>
          </w:tcPr>
          <w:p w14:paraId="23FECF7F" w14:textId="77777777" w:rsidR="00A304C7" w:rsidRPr="00A6689B" w:rsidRDefault="00086F62" w:rsidP="0045750F">
            <w:pPr>
              <w:rPr>
                <w:i/>
              </w:rPr>
            </w:pPr>
            <w:hyperlink r:id="rId42" w:history="1">
              <w:r w:rsidR="00A304C7">
                <w:rPr>
                  <w:rStyle w:val="Hyperlink"/>
                  <w:i/>
                </w:rPr>
                <w:t>Martine.Delanoy@eesc.europa.eu</w:t>
              </w:r>
            </w:hyperlink>
          </w:p>
        </w:tc>
      </w:tr>
    </w:tbl>
    <w:p w14:paraId="7B893721" w14:textId="77777777" w:rsidR="00673B8C" w:rsidRDefault="00673B8C">
      <w:pPr>
        <w:spacing w:after="160" w:line="259" w:lineRule="auto"/>
        <w:jc w:val="left"/>
      </w:pPr>
    </w:p>
    <w:p w14:paraId="24AAA063" w14:textId="77777777" w:rsidR="00A304C7" w:rsidRPr="0003586F" w:rsidRDefault="007F5784" w:rsidP="00A304C7">
      <w:pPr>
        <w:widowControl w:val="0"/>
        <w:numPr>
          <w:ilvl w:val="0"/>
          <w:numId w:val="17"/>
        </w:numPr>
        <w:overflowPunct w:val="0"/>
        <w:autoSpaceDE w:val="0"/>
        <w:autoSpaceDN w:val="0"/>
        <w:adjustRightInd w:val="0"/>
        <w:ind w:left="567" w:hanging="567"/>
        <w:textAlignment w:val="baseline"/>
        <w:rPr>
          <w:sz w:val="20"/>
        </w:rPr>
      </w:pPr>
      <w:r>
        <w:br w:type="page"/>
      </w:r>
      <w:hyperlink r:id="rId43">
        <w:r w:rsidR="00A304C7">
          <w:rPr>
            <w:rStyle w:val="Hyperlink"/>
            <w:b/>
            <w:i/>
            <w:sz w:val="28"/>
          </w:rPr>
          <w:t>Révision du mécanisme de protection civile de l’Union</w:t>
        </w:r>
      </w:hyperlink>
    </w:p>
    <w:p w14:paraId="40D7CE9B" w14:textId="77777777" w:rsidR="00A304C7" w:rsidRPr="00A6689B" w:rsidRDefault="00A304C7" w:rsidP="00A304C7">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A304C7" w:rsidRPr="00A6689B" w14:paraId="6EC23760" w14:textId="77777777" w:rsidTr="0045750F">
        <w:tc>
          <w:tcPr>
            <w:tcW w:w="1077" w:type="pct"/>
          </w:tcPr>
          <w:p w14:paraId="321DE594" w14:textId="77777777" w:rsidR="00A304C7" w:rsidRPr="00A6689B" w:rsidRDefault="00A304C7" w:rsidP="0045750F">
            <w:pPr>
              <w:tabs>
                <w:tab w:val="center" w:pos="284"/>
              </w:tabs>
              <w:ind w:left="266" w:hanging="266"/>
              <w:rPr>
                <w:b/>
              </w:rPr>
            </w:pPr>
            <w:r>
              <w:rPr>
                <w:b/>
              </w:rPr>
              <w:t>Rapporteur</w:t>
            </w:r>
          </w:p>
        </w:tc>
        <w:tc>
          <w:tcPr>
            <w:tcW w:w="3923" w:type="pct"/>
          </w:tcPr>
          <w:p w14:paraId="3FFD2D5E" w14:textId="77777777" w:rsidR="00A304C7" w:rsidRPr="00A6689B" w:rsidRDefault="00A304C7" w:rsidP="0045750F">
            <w:pPr>
              <w:tabs>
                <w:tab w:val="center" w:pos="284"/>
              </w:tabs>
              <w:ind w:left="266" w:right="-3091" w:hanging="266"/>
            </w:pPr>
            <w:r>
              <w:t>Florian MARIN</w:t>
            </w:r>
          </w:p>
        </w:tc>
      </w:tr>
      <w:tr w:rsidR="00A304C7" w:rsidRPr="00A6689B" w14:paraId="467A90C3" w14:textId="77777777" w:rsidTr="0045750F">
        <w:tc>
          <w:tcPr>
            <w:tcW w:w="1077" w:type="pct"/>
          </w:tcPr>
          <w:p w14:paraId="2BD361FA" w14:textId="77777777" w:rsidR="00A304C7" w:rsidRPr="00A6689B" w:rsidRDefault="00A304C7" w:rsidP="0045750F">
            <w:pPr>
              <w:tabs>
                <w:tab w:val="center" w:pos="284"/>
              </w:tabs>
              <w:ind w:left="266" w:hanging="266"/>
              <w:rPr>
                <w:b/>
              </w:rPr>
            </w:pPr>
            <w:r>
              <w:rPr>
                <w:b/>
              </w:rPr>
              <w:t>Références</w:t>
            </w:r>
          </w:p>
        </w:tc>
        <w:tc>
          <w:tcPr>
            <w:tcW w:w="3923" w:type="pct"/>
          </w:tcPr>
          <w:p w14:paraId="67627049" w14:textId="77777777" w:rsidR="00A304C7" w:rsidRPr="00A6689B" w:rsidRDefault="00A304C7" w:rsidP="0045750F">
            <w:pPr>
              <w:tabs>
                <w:tab w:val="center" w:pos="284"/>
              </w:tabs>
              <w:ind w:left="266" w:right="-3091" w:hanging="266"/>
            </w:pPr>
            <w:r>
              <w:t>EESC-2025-03573-00-00-AC</w:t>
            </w:r>
          </w:p>
        </w:tc>
      </w:tr>
    </w:tbl>
    <w:p w14:paraId="6710666C" w14:textId="77777777" w:rsidR="00A304C7" w:rsidRDefault="00A304C7" w:rsidP="00A304C7">
      <w:pPr>
        <w:tabs>
          <w:tab w:val="center" w:pos="284"/>
        </w:tabs>
        <w:spacing w:line="269" w:lineRule="auto"/>
        <w:ind w:left="266" w:hanging="266"/>
        <w:rPr>
          <w:b/>
        </w:rPr>
      </w:pPr>
    </w:p>
    <w:p w14:paraId="7B36386A" w14:textId="77777777" w:rsidR="00A304C7" w:rsidRPr="00A6689B" w:rsidRDefault="00A304C7" w:rsidP="00A304C7">
      <w:pPr>
        <w:keepNext/>
        <w:keepLines/>
        <w:tabs>
          <w:tab w:val="center" w:pos="284"/>
        </w:tabs>
        <w:spacing w:line="269" w:lineRule="auto"/>
        <w:ind w:left="266" w:hanging="266"/>
        <w:rPr>
          <w:b/>
        </w:rPr>
      </w:pPr>
      <w:r>
        <w:rPr>
          <w:b/>
        </w:rPr>
        <w:t>Points clés</w:t>
      </w:r>
    </w:p>
    <w:p w14:paraId="6A1F2C06" w14:textId="77777777" w:rsidR="00A304C7" w:rsidRPr="00A6689B" w:rsidRDefault="00A304C7" w:rsidP="00A304C7">
      <w:pPr>
        <w:keepNext/>
        <w:keepLines/>
        <w:tabs>
          <w:tab w:val="center" w:pos="284"/>
        </w:tabs>
        <w:spacing w:line="269" w:lineRule="auto"/>
        <w:ind w:left="266" w:hanging="266"/>
        <w:rPr>
          <w:b/>
        </w:rPr>
      </w:pPr>
    </w:p>
    <w:p w14:paraId="48E8C336" w14:textId="77777777" w:rsidR="00A304C7" w:rsidRPr="00A6689B" w:rsidRDefault="00A304C7" w:rsidP="00A304C7">
      <w:pPr>
        <w:spacing w:line="269" w:lineRule="auto"/>
      </w:pPr>
      <w:r>
        <w:t>Le CESE recommande:</w:t>
      </w:r>
    </w:p>
    <w:p w14:paraId="2495D113"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faire preuve d’une </w:t>
      </w:r>
      <w:r>
        <w:rPr>
          <w:b/>
        </w:rPr>
        <w:t>plus grande ambition</w:t>
      </w:r>
      <w:r>
        <w:t xml:space="preserve"> en matière de réduction et de prévention des risques de catastrophe, plutôt que de se concentrer principalement sur les capacités de réaction. La mise en place d’un mécanisme de protection civile de l’Union (MPCU) efficace et intégré doit comprendre un </w:t>
      </w:r>
      <w:r>
        <w:rPr>
          <w:b/>
        </w:rPr>
        <w:t>cadre global pour les politiques de réduction des risques</w:t>
      </w:r>
      <w:r>
        <w:t xml:space="preserve"> dans l’ensemble de l’UE et insister davantage sur la prévention </w:t>
      </w:r>
      <w:proofErr w:type="spellStart"/>
      <w:r>
        <w:rPr>
          <w:b/>
        </w:rPr>
        <w:t>transsectorielle</w:t>
      </w:r>
      <w:proofErr w:type="spellEnd"/>
      <w:r>
        <w:rPr>
          <w:b/>
        </w:rPr>
        <w:t xml:space="preserve"> et transfrontière</w:t>
      </w:r>
      <w:r>
        <w:t xml:space="preserve"> des catastrophes. Il convient en outre de mettre ces éléments en œuvre dans le cadre d’un système global de gestion des risques;</w:t>
      </w:r>
    </w:p>
    <w:p w14:paraId="2282934E"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w:t>
      </w:r>
      <w:r>
        <w:rPr>
          <w:b/>
        </w:rPr>
        <w:t>réduire les charges administratives</w:t>
      </w:r>
      <w:r>
        <w:t xml:space="preserve">, de supprimer les chevauchements, de mettre à niveau les systèmes de données et de soutien inadaptés, d’augmenter les ressources humaines formées et d’investir dans des capacités interopérables fondées sur des normes et des parcours de formation communs, tout en garantissant des </w:t>
      </w:r>
      <w:r>
        <w:rPr>
          <w:b/>
        </w:rPr>
        <w:t>conditions de travail de qualité</w:t>
      </w:r>
      <w:r>
        <w:t xml:space="preserve"> comme éléments indispensables au renforcement de la résilience sociétale dans le cadre d’une approche des crises qui englobe l’ensemble de la société;</w:t>
      </w:r>
    </w:p>
    <w:p w14:paraId="0659E32B"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w:t>
      </w:r>
      <w:r>
        <w:rPr>
          <w:b/>
        </w:rPr>
        <w:t>mieux anticiper et comprendre</w:t>
      </w:r>
      <w:r>
        <w:t xml:space="preserve"> les catastrophes et les crises, tout en tenant compte du rôle de la propagande et de la désinformation dans l’amplification du stress social;</w:t>
      </w:r>
    </w:p>
    <w:p w14:paraId="416C9534"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renforcer le MPCU au moyen d’un </w:t>
      </w:r>
      <w:r>
        <w:rPr>
          <w:b/>
        </w:rPr>
        <w:t>financement supplémentaire</w:t>
      </w:r>
      <w:r>
        <w:t>, en particulier en ce qui concerne les groupes et régions vulnérables, y compris les régions ultrapériphériques et celles proches de zones de guerre;</w:t>
      </w:r>
    </w:p>
    <w:p w14:paraId="7DA4C8A6"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d’assurer la </w:t>
      </w:r>
      <w:r>
        <w:rPr>
          <w:b/>
        </w:rPr>
        <w:t>cohérence avec les plans de partenariat national et régional</w:t>
      </w:r>
      <w:r>
        <w:t xml:space="preserve"> (plans PNR) proposés pour la période de programmation 2028-2034;</w:t>
      </w:r>
    </w:p>
    <w:p w14:paraId="35B28390"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w:t>
      </w:r>
      <w:r>
        <w:rPr>
          <w:b/>
        </w:rPr>
        <w:t>renforcer les complémentarités</w:t>
      </w:r>
      <w:r>
        <w:t xml:space="preserve"> entre les instruments existants, tels que l’instrument «Agir pour la sécurité de l’Europe par le renforcement de l’industrie européenne de la défense», le corps européen de solidarité et le MPCU;</w:t>
      </w:r>
    </w:p>
    <w:p w14:paraId="1C6DFD83"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garantir un </w:t>
      </w:r>
      <w:r>
        <w:rPr>
          <w:b/>
        </w:rPr>
        <w:t>financement</w:t>
      </w:r>
      <w:r>
        <w:t xml:space="preserve"> suffisant et stable </w:t>
      </w:r>
      <w:r>
        <w:rPr>
          <w:b/>
        </w:rPr>
        <w:t>pour les pompiers professionnels et le personnel de santé</w:t>
      </w:r>
      <w:r>
        <w:t xml:space="preserve"> afin de maintenir l’efficacité et la rapidité de réaction dans le cadre du MPCU, tout en renforçant le rôle des volontaires;</w:t>
      </w:r>
    </w:p>
    <w:p w14:paraId="42A34808"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de veiller à ce que le </w:t>
      </w:r>
      <w:r>
        <w:rPr>
          <w:b/>
        </w:rPr>
        <w:t>MPCU offre la souplesse nécessaire</w:t>
      </w:r>
      <w:r>
        <w:t xml:space="preserve"> pour respecter la diversité des systèmes nationaux de gestion des catastrophes, tout </w:t>
      </w:r>
      <w:r>
        <w:rPr>
          <w:b/>
        </w:rPr>
        <w:t>en assurant</w:t>
      </w:r>
      <w:r>
        <w:t xml:space="preserve">, avec la pleine participation de la société civile organisée, </w:t>
      </w:r>
      <w:r>
        <w:rPr>
          <w:b/>
        </w:rPr>
        <w:t>la coopération et la coordination transfrontières</w:t>
      </w:r>
      <w:r>
        <w:t xml:space="preserve"> en vue d’une réaction rapide et efficace aux catastrophes, qui ne connaissent pas de frontières;</w:t>
      </w:r>
    </w:p>
    <w:p w14:paraId="0D0F32A7"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d’adapter les règles en matière de marchés publics afin de </w:t>
      </w:r>
      <w:r>
        <w:rPr>
          <w:b/>
        </w:rPr>
        <w:t>garantir un acheminement rapide et efficace de fournitures</w:t>
      </w:r>
      <w:r>
        <w:t xml:space="preserve"> et de services essentiels en temps de crise;</w:t>
      </w:r>
    </w:p>
    <w:p w14:paraId="1B16D8AF" w14:textId="77777777" w:rsidR="00A304C7" w:rsidRDefault="00A304C7" w:rsidP="00A304C7">
      <w:pPr>
        <w:widowControl w:val="0"/>
        <w:numPr>
          <w:ilvl w:val="0"/>
          <w:numId w:val="17"/>
        </w:numPr>
        <w:overflowPunct w:val="0"/>
        <w:autoSpaceDE w:val="0"/>
        <w:autoSpaceDN w:val="0"/>
        <w:adjustRightInd w:val="0"/>
        <w:spacing w:line="269" w:lineRule="auto"/>
        <w:ind w:left="567" w:hanging="567"/>
        <w:textAlignment w:val="baseline"/>
      </w:pPr>
      <w:r>
        <w:t xml:space="preserve">d’établir un </w:t>
      </w:r>
      <w:r>
        <w:rPr>
          <w:b/>
        </w:rPr>
        <w:t>formulaire normalisé pour la notification des catastrophes</w:t>
      </w:r>
      <w:r>
        <w:t>, qui doit être utilisé par tous les États membres.</w:t>
      </w:r>
    </w:p>
    <w:p w14:paraId="568364E6" w14:textId="77777777" w:rsidR="00A304C7" w:rsidRPr="000624A9" w:rsidRDefault="00A304C7" w:rsidP="00A304C7">
      <w:pPr>
        <w:widowControl w:val="0"/>
        <w:spacing w:line="269" w:lineRule="auto"/>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A304C7" w:rsidRPr="00A6689B" w14:paraId="0CCEBC74" w14:textId="77777777" w:rsidTr="0045750F">
        <w:tc>
          <w:tcPr>
            <w:tcW w:w="1077" w:type="pct"/>
          </w:tcPr>
          <w:p w14:paraId="09C2B5A8" w14:textId="77777777" w:rsidR="00A304C7" w:rsidRPr="00A6689B" w:rsidRDefault="00A304C7" w:rsidP="00A304C7">
            <w:pPr>
              <w:spacing w:line="269" w:lineRule="auto"/>
              <w:rPr>
                <w:i/>
                <w:iCs/>
              </w:rPr>
            </w:pPr>
            <w:r>
              <w:rPr>
                <w:b/>
                <w:i/>
              </w:rPr>
              <w:t>Contact</w:t>
            </w:r>
          </w:p>
        </w:tc>
        <w:tc>
          <w:tcPr>
            <w:tcW w:w="3923" w:type="pct"/>
          </w:tcPr>
          <w:p w14:paraId="0DBFA94E" w14:textId="77777777" w:rsidR="00A304C7" w:rsidRPr="00A6689B" w:rsidRDefault="00A304C7" w:rsidP="00A304C7">
            <w:pPr>
              <w:spacing w:line="269" w:lineRule="auto"/>
              <w:rPr>
                <w:i/>
                <w:iCs/>
              </w:rPr>
            </w:pPr>
            <w:r>
              <w:rPr>
                <w:i/>
              </w:rPr>
              <w:t>Arturo </w:t>
            </w:r>
            <w:proofErr w:type="spellStart"/>
            <w:r>
              <w:rPr>
                <w:i/>
              </w:rPr>
              <w:t>Íñiguez</w:t>
            </w:r>
            <w:proofErr w:type="spellEnd"/>
            <w:r>
              <w:rPr>
                <w:i/>
              </w:rPr>
              <w:t> Yuste</w:t>
            </w:r>
          </w:p>
        </w:tc>
      </w:tr>
      <w:tr w:rsidR="00A304C7" w:rsidRPr="00A6689B" w14:paraId="4659F635" w14:textId="77777777" w:rsidTr="0045750F">
        <w:tc>
          <w:tcPr>
            <w:tcW w:w="1077" w:type="pct"/>
          </w:tcPr>
          <w:p w14:paraId="72205A92" w14:textId="77777777" w:rsidR="00A304C7" w:rsidRPr="00A6689B" w:rsidRDefault="00A304C7" w:rsidP="00A304C7">
            <w:pPr>
              <w:spacing w:line="269" w:lineRule="auto"/>
              <w:rPr>
                <w:i/>
              </w:rPr>
            </w:pPr>
            <w:r>
              <w:rPr>
                <w:i/>
              </w:rPr>
              <w:t>Tél.</w:t>
            </w:r>
          </w:p>
        </w:tc>
        <w:tc>
          <w:tcPr>
            <w:tcW w:w="3923" w:type="pct"/>
          </w:tcPr>
          <w:p w14:paraId="5E3F883A" w14:textId="77777777" w:rsidR="00A304C7" w:rsidRPr="00A6689B" w:rsidRDefault="00A304C7" w:rsidP="00A304C7">
            <w:pPr>
              <w:spacing w:line="269" w:lineRule="auto"/>
              <w:rPr>
                <w:i/>
              </w:rPr>
            </w:pPr>
            <w:r>
              <w:rPr>
                <w:i/>
              </w:rPr>
              <w:t>+32 2 546 8768</w:t>
            </w:r>
          </w:p>
        </w:tc>
      </w:tr>
      <w:tr w:rsidR="00A304C7" w:rsidRPr="00A6689B" w14:paraId="2EDDCB13" w14:textId="77777777" w:rsidTr="0045750F">
        <w:tc>
          <w:tcPr>
            <w:tcW w:w="1077" w:type="pct"/>
          </w:tcPr>
          <w:p w14:paraId="044720A1" w14:textId="77777777" w:rsidR="00A304C7" w:rsidRPr="00A6689B" w:rsidRDefault="00A304C7" w:rsidP="00A304C7">
            <w:pPr>
              <w:spacing w:line="269" w:lineRule="auto"/>
              <w:rPr>
                <w:i/>
              </w:rPr>
            </w:pPr>
            <w:r>
              <w:rPr>
                <w:i/>
              </w:rPr>
              <w:t>Courriel</w:t>
            </w:r>
          </w:p>
        </w:tc>
        <w:tc>
          <w:tcPr>
            <w:tcW w:w="3923" w:type="pct"/>
          </w:tcPr>
          <w:p w14:paraId="37BB7E01" w14:textId="77777777" w:rsidR="00A304C7" w:rsidRPr="00A6689B" w:rsidRDefault="00086F62" w:rsidP="00A304C7">
            <w:pPr>
              <w:spacing w:line="269" w:lineRule="auto"/>
              <w:rPr>
                <w:i/>
              </w:rPr>
            </w:pPr>
            <w:hyperlink r:id="rId44" w:history="1">
              <w:r w:rsidR="00A304C7">
                <w:rPr>
                  <w:rStyle w:val="Hyperlink"/>
                  <w:i/>
                </w:rPr>
                <w:t>Arturo.Iniguez@eesc.europa.eu</w:t>
              </w:r>
            </w:hyperlink>
          </w:p>
        </w:tc>
      </w:tr>
    </w:tbl>
    <w:p w14:paraId="73A0193B" w14:textId="77777777" w:rsidR="00395794" w:rsidRDefault="00395794" w:rsidP="00A304C7">
      <w:pPr>
        <w:spacing w:line="269" w:lineRule="auto"/>
        <w:jc w:val="left"/>
      </w:pPr>
      <w:r>
        <w:br w:type="page"/>
      </w:r>
    </w:p>
    <w:p w14:paraId="0B0F00AD" w14:textId="77777777" w:rsidR="007F5784" w:rsidRDefault="007F5784">
      <w:pPr>
        <w:spacing w:after="160" w:line="259" w:lineRule="auto"/>
        <w:jc w:val="left"/>
      </w:pPr>
    </w:p>
    <w:p w14:paraId="14026A78" w14:textId="4FAE1588" w:rsidR="007F5784" w:rsidRDefault="007F5784" w:rsidP="007F5784">
      <w:pPr>
        <w:pStyle w:val="Heading1"/>
        <w:rPr>
          <w:b/>
        </w:rPr>
      </w:pPr>
      <w:bookmarkStart w:id="22" w:name="_Toc216797870"/>
      <w:r>
        <w:rPr>
          <w:b/>
        </w:rPr>
        <w:t>RELATIONS EXTÉRIEURES</w:t>
      </w:r>
      <w:bookmarkEnd w:id="22"/>
    </w:p>
    <w:p w14:paraId="3BBB3E68" w14:textId="77777777" w:rsidR="007F5784" w:rsidRDefault="007F5784" w:rsidP="007F5784"/>
    <w:p w14:paraId="3D2EFA0C" w14:textId="77777777" w:rsidR="00A304C7" w:rsidRPr="00C733BA" w:rsidRDefault="00A304C7" w:rsidP="00A304C7">
      <w:pPr>
        <w:pStyle w:val="ListParagraph"/>
        <w:widowControl w:val="0"/>
        <w:numPr>
          <w:ilvl w:val="0"/>
          <w:numId w:val="15"/>
        </w:numPr>
        <w:spacing w:line="276" w:lineRule="auto"/>
        <w:ind w:left="567" w:hanging="567"/>
        <w:jc w:val="left"/>
        <w:rPr>
          <w:sz w:val="28"/>
          <w:szCs w:val="28"/>
        </w:rPr>
      </w:pPr>
      <w:r w:rsidRPr="00C733BA">
        <w:rPr>
          <w:b/>
          <w:i/>
          <w:sz w:val="28"/>
          <w:lang w:eastAsia="zh-CN"/>
        </w:rPr>
        <w:fldChar w:fldCharType="begin"/>
      </w:r>
      <w:r w:rsidRPr="00C733BA">
        <w:rPr>
          <w:b/>
          <w:i/>
          <w:sz w:val="28"/>
        </w:rPr>
        <w:instrText>HYPERLINK "https://www.eesc.europa.eu/fr/our-work/opinions-information-reports/opinions/european-unions-strategic-approach-black-sea-region"</w:instrText>
      </w:r>
      <w:r w:rsidRPr="00C733BA">
        <w:rPr>
          <w:b/>
          <w:i/>
          <w:sz w:val="28"/>
          <w:lang w:eastAsia="zh-CN"/>
        </w:rPr>
        <w:fldChar w:fldCharType="separate"/>
      </w:r>
      <w:r>
        <w:rPr>
          <w:rStyle w:val="Hyperlink"/>
          <w:b/>
          <w:i/>
          <w:sz w:val="28"/>
        </w:rPr>
        <w:t>L’approche stratégique de l’Union européenne à l’égard de la région de la mer Noire</w:t>
      </w:r>
    </w:p>
    <w:p w14:paraId="4E3B7367" w14:textId="77777777" w:rsidR="00A304C7" w:rsidRPr="00A6689B" w:rsidRDefault="00A304C7" w:rsidP="00A304C7">
      <w:pPr>
        <w:tabs>
          <w:tab w:val="center" w:pos="284"/>
        </w:tabs>
        <w:ind w:left="266" w:hanging="266"/>
        <w:rPr>
          <w:b/>
        </w:rPr>
      </w:pPr>
      <w:r w:rsidRPr="00C733BA">
        <w:rPr>
          <w:b/>
          <w:i/>
          <w:sz w:val="28"/>
        </w:rPr>
        <w:fldChar w:fldCharType="end"/>
      </w:r>
    </w:p>
    <w:tbl>
      <w:tblPr>
        <w:tblStyle w:val="TableGrid"/>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7546"/>
      </w:tblGrid>
      <w:tr w:rsidR="00A304C7" w:rsidRPr="00A6689B" w14:paraId="76335F9E" w14:textId="77777777" w:rsidTr="0045750F">
        <w:trPr>
          <w:trHeight w:val="445"/>
        </w:trPr>
        <w:tc>
          <w:tcPr>
            <w:tcW w:w="1111" w:type="pct"/>
          </w:tcPr>
          <w:p w14:paraId="59C7167A" w14:textId="77777777" w:rsidR="00A304C7" w:rsidRPr="00A6689B" w:rsidRDefault="00A304C7" w:rsidP="0045750F">
            <w:pPr>
              <w:tabs>
                <w:tab w:val="center" w:pos="284"/>
              </w:tabs>
              <w:ind w:left="266" w:hanging="266"/>
              <w:rPr>
                <w:b/>
              </w:rPr>
            </w:pPr>
            <w:proofErr w:type="spellStart"/>
            <w:r>
              <w:rPr>
                <w:b/>
              </w:rPr>
              <w:t>Rapporteure</w:t>
            </w:r>
            <w:proofErr w:type="spellEnd"/>
          </w:p>
        </w:tc>
        <w:tc>
          <w:tcPr>
            <w:tcW w:w="3889" w:type="pct"/>
          </w:tcPr>
          <w:p w14:paraId="45B61AEA" w14:textId="77777777" w:rsidR="00A304C7" w:rsidRPr="00C733BA" w:rsidRDefault="00A304C7" w:rsidP="0045750F">
            <w:pPr>
              <w:tabs>
                <w:tab w:val="center" w:pos="284"/>
              </w:tabs>
              <w:ind w:left="266" w:hanging="266"/>
            </w:pPr>
            <w:r>
              <w:t>Milena ANGELOVA (groupe des employeurs, Bulgarie)</w:t>
            </w:r>
          </w:p>
        </w:tc>
      </w:tr>
      <w:tr w:rsidR="00A304C7" w:rsidRPr="00A6689B" w14:paraId="729D0B35" w14:textId="77777777" w:rsidTr="0045750F">
        <w:tc>
          <w:tcPr>
            <w:tcW w:w="1111" w:type="pct"/>
          </w:tcPr>
          <w:p w14:paraId="2BE81DB8" w14:textId="77777777" w:rsidR="00A304C7" w:rsidRPr="00A6689B" w:rsidRDefault="00A304C7" w:rsidP="0045750F">
            <w:pPr>
              <w:tabs>
                <w:tab w:val="center" w:pos="284"/>
              </w:tabs>
              <w:ind w:left="266" w:hanging="266"/>
              <w:rPr>
                <w:b/>
              </w:rPr>
            </w:pPr>
            <w:r>
              <w:rPr>
                <w:b/>
              </w:rPr>
              <w:t>Référence</w:t>
            </w:r>
          </w:p>
        </w:tc>
        <w:tc>
          <w:tcPr>
            <w:tcW w:w="3889" w:type="pct"/>
          </w:tcPr>
          <w:p w14:paraId="02C8F649" w14:textId="77777777" w:rsidR="00A304C7" w:rsidRPr="00A6689B" w:rsidRDefault="00A304C7" w:rsidP="0045750F">
            <w:pPr>
              <w:tabs>
                <w:tab w:val="center" w:pos="284"/>
              </w:tabs>
              <w:ind w:left="266" w:hanging="266"/>
            </w:pPr>
            <w:r>
              <w:t>EESC-2025-02608-00-00-AC</w:t>
            </w:r>
          </w:p>
        </w:tc>
      </w:tr>
    </w:tbl>
    <w:p w14:paraId="0DC3F568" w14:textId="77777777" w:rsidR="00A304C7" w:rsidRDefault="00A304C7" w:rsidP="00A304C7">
      <w:pPr>
        <w:keepNext/>
        <w:keepLines/>
        <w:tabs>
          <w:tab w:val="center" w:pos="284"/>
        </w:tabs>
        <w:spacing w:line="269" w:lineRule="auto"/>
        <w:ind w:left="266" w:hanging="266"/>
        <w:rPr>
          <w:b/>
        </w:rPr>
      </w:pPr>
    </w:p>
    <w:p w14:paraId="31AA58A5" w14:textId="77777777" w:rsidR="00A304C7" w:rsidRPr="00A6689B" w:rsidRDefault="00A304C7" w:rsidP="00A304C7">
      <w:pPr>
        <w:keepNext/>
        <w:keepLines/>
        <w:tabs>
          <w:tab w:val="center" w:pos="284"/>
        </w:tabs>
        <w:spacing w:line="269" w:lineRule="auto"/>
        <w:ind w:left="266" w:hanging="266"/>
        <w:rPr>
          <w:b/>
        </w:rPr>
      </w:pPr>
      <w:r>
        <w:rPr>
          <w:b/>
        </w:rPr>
        <w:t>Points clés</w:t>
      </w:r>
    </w:p>
    <w:p w14:paraId="6F177ED1" w14:textId="77777777" w:rsidR="00A304C7" w:rsidRPr="00A6689B" w:rsidRDefault="00A304C7" w:rsidP="00A304C7">
      <w:pPr>
        <w:keepNext/>
        <w:keepLines/>
        <w:tabs>
          <w:tab w:val="center" w:pos="284"/>
        </w:tabs>
        <w:spacing w:line="269" w:lineRule="auto"/>
        <w:ind w:left="266" w:hanging="266"/>
        <w:rPr>
          <w:b/>
        </w:rPr>
      </w:pPr>
    </w:p>
    <w:p w14:paraId="7368FFB3" w14:textId="77777777" w:rsidR="00A304C7" w:rsidRPr="00FC4BF3" w:rsidRDefault="00A304C7" w:rsidP="00A304C7">
      <w:pPr>
        <w:spacing w:line="269" w:lineRule="auto"/>
        <w:rPr>
          <w:bCs/>
          <w:iCs/>
        </w:rPr>
      </w:pPr>
      <w:r>
        <w:t>Le CESE:</w:t>
      </w:r>
    </w:p>
    <w:p w14:paraId="1E2665E6" w14:textId="77777777" w:rsidR="00A304C7" w:rsidRPr="00E24C2F" w:rsidRDefault="00A304C7" w:rsidP="00A304C7">
      <w:pPr>
        <w:pStyle w:val="ListParagraph"/>
        <w:numPr>
          <w:ilvl w:val="0"/>
          <w:numId w:val="14"/>
        </w:numPr>
        <w:spacing w:line="269" w:lineRule="auto"/>
        <w:ind w:left="567" w:hanging="567"/>
        <w:rPr>
          <w:bCs/>
          <w:iCs/>
        </w:rPr>
      </w:pPr>
      <w:r>
        <w:t>se félicite de l’</w:t>
      </w:r>
      <w:r>
        <w:rPr>
          <w:b/>
        </w:rPr>
        <w:t>initiative, attendue de longue date</w:t>
      </w:r>
      <w:r>
        <w:t xml:space="preserve">, consistant à accorder une </w:t>
      </w:r>
      <w:r>
        <w:rPr>
          <w:b/>
        </w:rPr>
        <w:t>attention particulière à la région de la mer Noire</w:t>
      </w:r>
      <w:r>
        <w:t xml:space="preserve"> et proposant à cette fin une approche stratégique de l’Union européenne; fait toutefois observer que la proposition </w:t>
      </w:r>
      <w:r>
        <w:rPr>
          <w:b/>
        </w:rPr>
        <w:t>arrive avec un certain retard</w:t>
      </w:r>
      <w:r>
        <w:t xml:space="preserve"> et invite à prévoir des </w:t>
      </w:r>
      <w:r>
        <w:rPr>
          <w:b/>
        </w:rPr>
        <w:t>actions rapides et décisives pour la mettre en œuvre</w:t>
      </w:r>
      <w:r>
        <w:t xml:space="preserve">, </w:t>
      </w:r>
      <w:r>
        <w:rPr>
          <w:b/>
        </w:rPr>
        <w:t>adossées à des ressources suffisantes</w:t>
      </w:r>
      <w:r>
        <w:t>;</w:t>
      </w:r>
    </w:p>
    <w:p w14:paraId="421FE360" w14:textId="77777777" w:rsidR="00A304C7" w:rsidRPr="00E24C2F" w:rsidRDefault="00A304C7" w:rsidP="00A304C7">
      <w:pPr>
        <w:pStyle w:val="ListParagraph"/>
        <w:numPr>
          <w:ilvl w:val="0"/>
          <w:numId w:val="14"/>
        </w:numPr>
        <w:spacing w:line="269" w:lineRule="auto"/>
        <w:ind w:left="567" w:hanging="567"/>
        <w:rPr>
          <w:bCs/>
          <w:iCs/>
        </w:rPr>
      </w:pPr>
      <w:r>
        <w:t xml:space="preserve">déplore qu’alors que </w:t>
      </w:r>
      <w:r>
        <w:rPr>
          <w:b/>
        </w:rPr>
        <w:t>tous les pays de la région</w:t>
      </w:r>
      <w:r>
        <w:t xml:space="preserve"> subissent les </w:t>
      </w:r>
      <w:r>
        <w:rPr>
          <w:b/>
        </w:rPr>
        <w:t>conséquences négatives des hostilités militaires</w:t>
      </w:r>
      <w:r>
        <w:t xml:space="preserve">, </w:t>
      </w:r>
      <w:r>
        <w:rPr>
          <w:b/>
        </w:rPr>
        <w:t>ils n’aient pas tous reçu un soutien social et économique ciblé en proportion de leurs efforts et de leurs sacrifices</w:t>
      </w:r>
      <w:r>
        <w:t>;</w:t>
      </w:r>
    </w:p>
    <w:p w14:paraId="5C62A3E7" w14:textId="77777777" w:rsidR="00A304C7" w:rsidRPr="00E24C2F" w:rsidRDefault="00A304C7" w:rsidP="00A304C7">
      <w:pPr>
        <w:pStyle w:val="ListParagraph"/>
        <w:numPr>
          <w:ilvl w:val="0"/>
          <w:numId w:val="14"/>
        </w:numPr>
        <w:spacing w:line="269" w:lineRule="auto"/>
        <w:ind w:left="567" w:hanging="567"/>
        <w:rPr>
          <w:bCs/>
          <w:iCs/>
        </w:rPr>
      </w:pPr>
      <w:r>
        <w:t xml:space="preserve">demande instamment à la Commission européenne de </w:t>
      </w:r>
      <w:r>
        <w:rPr>
          <w:b/>
        </w:rPr>
        <w:t>procéder rapidement</w:t>
      </w:r>
      <w:r>
        <w:t xml:space="preserve">, idéalement avant la fin de 2025, en consultation avec les États membres de l’UE, les pays de la région de la mer Noire et toutes les parties prenantes, </w:t>
      </w:r>
      <w:r>
        <w:rPr>
          <w:b/>
        </w:rPr>
        <w:t>à l’élaboration d’une stratégie pragmatique et correctement financée pour le développement de la région</w:t>
      </w:r>
      <w:r>
        <w:t>;</w:t>
      </w:r>
    </w:p>
    <w:p w14:paraId="4F36C071" w14:textId="77777777" w:rsidR="00A304C7" w:rsidRPr="00E24C2F" w:rsidRDefault="00A304C7" w:rsidP="00A304C7">
      <w:pPr>
        <w:pStyle w:val="ListParagraph"/>
        <w:numPr>
          <w:ilvl w:val="0"/>
          <w:numId w:val="14"/>
        </w:numPr>
        <w:spacing w:line="269" w:lineRule="auto"/>
        <w:ind w:left="567" w:hanging="567"/>
        <w:rPr>
          <w:bCs/>
          <w:iCs/>
        </w:rPr>
      </w:pPr>
      <w:r>
        <w:t xml:space="preserve">regrette que la </w:t>
      </w:r>
      <w:r>
        <w:rPr>
          <w:b/>
        </w:rPr>
        <w:t>précédente politique-cadre de l’UE pour la région</w:t>
      </w:r>
      <w:r>
        <w:t xml:space="preserve"> (la synergie de la mer Noire, datant de 2007) n’ait pas couvert la </w:t>
      </w:r>
      <w:r>
        <w:rPr>
          <w:b/>
        </w:rPr>
        <w:t>dimension sécuritaire</w:t>
      </w:r>
      <w:r>
        <w:t xml:space="preserve"> et souligne que </w:t>
      </w:r>
      <w:r>
        <w:rPr>
          <w:b/>
        </w:rPr>
        <w:t>les initiatives de l’UE en matière de sécurité dans la région de la mer Noire doivent produire des résultats tangibles</w:t>
      </w:r>
      <w:r>
        <w:t>;</w:t>
      </w:r>
    </w:p>
    <w:p w14:paraId="02817BA2" w14:textId="77777777" w:rsidR="00A304C7" w:rsidRPr="00E24C2F" w:rsidRDefault="00A304C7" w:rsidP="00A304C7">
      <w:pPr>
        <w:pStyle w:val="ListParagraph"/>
        <w:numPr>
          <w:ilvl w:val="0"/>
          <w:numId w:val="14"/>
        </w:numPr>
        <w:spacing w:line="269" w:lineRule="auto"/>
        <w:ind w:left="567" w:hanging="567"/>
        <w:rPr>
          <w:bCs/>
          <w:iCs/>
        </w:rPr>
      </w:pPr>
      <w:r>
        <w:t xml:space="preserve">souligne que </w:t>
      </w:r>
      <w:r>
        <w:rPr>
          <w:b/>
        </w:rPr>
        <w:t>l’instauration d’une paix durable est une condition préalable nécessaire et essentielle au développement économique durable</w:t>
      </w:r>
      <w:r>
        <w:t xml:space="preserve"> et constate avec regret que cet aspect ne figure pas parmi les objectifs du document;</w:t>
      </w:r>
    </w:p>
    <w:p w14:paraId="3C709B64" w14:textId="77777777" w:rsidR="00A304C7" w:rsidRPr="00E24C2F" w:rsidRDefault="00A304C7" w:rsidP="00A304C7">
      <w:pPr>
        <w:pStyle w:val="ListParagraph"/>
        <w:numPr>
          <w:ilvl w:val="0"/>
          <w:numId w:val="14"/>
        </w:numPr>
        <w:spacing w:line="269" w:lineRule="auto"/>
        <w:ind w:left="567" w:hanging="567"/>
        <w:rPr>
          <w:bCs/>
          <w:iCs/>
        </w:rPr>
      </w:pPr>
      <w:r>
        <w:t xml:space="preserve">estime que la </w:t>
      </w:r>
      <w:r>
        <w:rPr>
          <w:b/>
        </w:rPr>
        <w:t>principale contrainte qui pèse sur l’approche stratégique</w:t>
      </w:r>
      <w:r>
        <w:t xml:space="preserve"> réside dans le fait qu’elle repose entièrement sur les </w:t>
      </w:r>
      <w:r>
        <w:rPr>
          <w:b/>
        </w:rPr>
        <w:t>instruments financiers et les ressources budgétaires existants au titre du cadre financier pluriannuel 2021-2027</w:t>
      </w:r>
      <w:r>
        <w:t xml:space="preserve">; demande que </w:t>
      </w:r>
      <w:r>
        <w:rPr>
          <w:b/>
        </w:rPr>
        <w:t>les instruments soient simplifiés, consolidés et hiérarchisés</w:t>
      </w:r>
      <w:r>
        <w:t xml:space="preserve"> afin de produire un effet immédiat et visible;</w:t>
      </w:r>
    </w:p>
    <w:p w14:paraId="4706253F" w14:textId="77777777" w:rsidR="00A304C7" w:rsidRPr="00E24C2F" w:rsidRDefault="00A304C7" w:rsidP="00A304C7">
      <w:pPr>
        <w:pStyle w:val="ListParagraph"/>
        <w:numPr>
          <w:ilvl w:val="0"/>
          <w:numId w:val="14"/>
        </w:numPr>
        <w:spacing w:line="269" w:lineRule="auto"/>
        <w:ind w:left="567" w:hanging="567"/>
        <w:rPr>
          <w:bCs/>
          <w:iCs/>
        </w:rPr>
      </w:pPr>
      <w:r>
        <w:t xml:space="preserve">recommande de </w:t>
      </w:r>
      <w:r>
        <w:rPr>
          <w:b/>
        </w:rPr>
        <w:t>procéder à une analyse d’impact approfondie de tous les instruments existants</w:t>
      </w:r>
      <w:r>
        <w:t xml:space="preserve"> à ce jour et, sur cette base, de formuler des </w:t>
      </w:r>
      <w:r>
        <w:rPr>
          <w:b/>
        </w:rPr>
        <w:t>engagements plus précis et plus clairs</w:t>
      </w:r>
      <w:r>
        <w:t xml:space="preserve"> quant à leur utilisation à l’avenir;</w:t>
      </w:r>
    </w:p>
    <w:p w14:paraId="51CFAB2A" w14:textId="77777777" w:rsidR="00A304C7" w:rsidRPr="00E24C2F" w:rsidRDefault="00A304C7" w:rsidP="00A304C7">
      <w:pPr>
        <w:pStyle w:val="ListParagraph"/>
        <w:widowControl w:val="0"/>
        <w:numPr>
          <w:ilvl w:val="0"/>
          <w:numId w:val="13"/>
        </w:numPr>
        <w:spacing w:line="269" w:lineRule="auto"/>
        <w:ind w:left="567" w:hanging="567"/>
      </w:pPr>
      <w:r>
        <w:t xml:space="preserve">estime qu’il convient d’accorder une plus grande attention à la </w:t>
      </w:r>
      <w:r>
        <w:rPr>
          <w:b/>
        </w:rPr>
        <w:t>lutte contre les menaces hybrides</w:t>
      </w:r>
      <w:r>
        <w:t xml:space="preserve"> et aux </w:t>
      </w:r>
      <w:r>
        <w:rPr>
          <w:b/>
        </w:rPr>
        <w:t>défaillances de la gouvernance</w:t>
      </w:r>
      <w:r>
        <w:t>, qui sont susceptibles de compromettre la stabilité régionale.</w:t>
      </w:r>
    </w:p>
    <w:p w14:paraId="26E65CD3" w14:textId="77777777" w:rsidR="00A304C7" w:rsidRPr="00FC4BF3" w:rsidRDefault="00A304C7" w:rsidP="00A304C7">
      <w:pPr>
        <w:widowControl w:val="0"/>
        <w:spacing w:line="269" w:lineRule="auto"/>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707"/>
      </w:tblGrid>
      <w:tr w:rsidR="00A304C7" w:rsidRPr="00A6689B" w14:paraId="0ADA7B14" w14:textId="77777777" w:rsidTr="0045750F">
        <w:tc>
          <w:tcPr>
            <w:tcW w:w="1090" w:type="pct"/>
          </w:tcPr>
          <w:p w14:paraId="6E83DA13" w14:textId="77777777" w:rsidR="00A304C7" w:rsidRPr="00A6689B" w:rsidRDefault="00A304C7" w:rsidP="00A304C7">
            <w:pPr>
              <w:spacing w:line="269" w:lineRule="auto"/>
              <w:rPr>
                <w:i/>
              </w:rPr>
            </w:pPr>
            <w:r>
              <w:rPr>
                <w:b/>
                <w:i/>
              </w:rPr>
              <w:t>Contact</w:t>
            </w:r>
          </w:p>
        </w:tc>
        <w:tc>
          <w:tcPr>
            <w:tcW w:w="3910" w:type="pct"/>
          </w:tcPr>
          <w:p w14:paraId="5351F96C" w14:textId="77777777" w:rsidR="00A304C7" w:rsidRPr="00A6689B" w:rsidRDefault="00A304C7" w:rsidP="00A304C7">
            <w:pPr>
              <w:spacing w:line="269" w:lineRule="auto"/>
              <w:rPr>
                <w:i/>
                <w:iCs/>
              </w:rPr>
            </w:pPr>
            <w:r>
              <w:t>Marie-Laurence </w:t>
            </w:r>
            <w:proofErr w:type="spellStart"/>
            <w:r>
              <w:t>Drillon</w:t>
            </w:r>
            <w:proofErr w:type="spellEnd"/>
          </w:p>
        </w:tc>
      </w:tr>
      <w:tr w:rsidR="00A304C7" w:rsidRPr="00A6689B" w14:paraId="08AD01F0" w14:textId="77777777" w:rsidTr="0045750F">
        <w:tc>
          <w:tcPr>
            <w:tcW w:w="1090" w:type="pct"/>
          </w:tcPr>
          <w:p w14:paraId="7AB075BE" w14:textId="77777777" w:rsidR="00A304C7" w:rsidRPr="00A6689B" w:rsidRDefault="00A304C7" w:rsidP="00A304C7">
            <w:pPr>
              <w:spacing w:line="269" w:lineRule="auto"/>
              <w:rPr>
                <w:i/>
              </w:rPr>
            </w:pPr>
            <w:r>
              <w:rPr>
                <w:i/>
              </w:rPr>
              <w:t>Tél.</w:t>
            </w:r>
          </w:p>
        </w:tc>
        <w:tc>
          <w:tcPr>
            <w:tcW w:w="3910" w:type="pct"/>
          </w:tcPr>
          <w:p w14:paraId="5EA2052A" w14:textId="77777777" w:rsidR="00A304C7" w:rsidRPr="00A6689B" w:rsidRDefault="00A304C7" w:rsidP="00A304C7">
            <w:pPr>
              <w:spacing w:line="269" w:lineRule="auto"/>
              <w:rPr>
                <w:i/>
              </w:rPr>
            </w:pPr>
            <w:r>
              <w:rPr>
                <w:i/>
              </w:rPr>
              <w:t>+32 2 546 8320</w:t>
            </w:r>
          </w:p>
        </w:tc>
      </w:tr>
      <w:tr w:rsidR="00A304C7" w:rsidRPr="00A6689B" w14:paraId="2D861234" w14:textId="77777777" w:rsidTr="0045750F">
        <w:tc>
          <w:tcPr>
            <w:tcW w:w="1090" w:type="pct"/>
          </w:tcPr>
          <w:p w14:paraId="70301A51" w14:textId="77777777" w:rsidR="00A304C7" w:rsidRPr="00A6689B" w:rsidRDefault="00A304C7" w:rsidP="00A304C7">
            <w:pPr>
              <w:spacing w:line="269" w:lineRule="auto"/>
              <w:rPr>
                <w:i/>
              </w:rPr>
            </w:pPr>
            <w:r>
              <w:rPr>
                <w:i/>
              </w:rPr>
              <w:t>Courriel</w:t>
            </w:r>
          </w:p>
        </w:tc>
        <w:tc>
          <w:tcPr>
            <w:tcW w:w="3910" w:type="pct"/>
          </w:tcPr>
          <w:p w14:paraId="006E963B" w14:textId="77777777" w:rsidR="00A304C7" w:rsidRPr="00A6689B" w:rsidRDefault="00086F62" w:rsidP="00A304C7">
            <w:pPr>
              <w:spacing w:line="269" w:lineRule="auto"/>
              <w:rPr>
                <w:i/>
              </w:rPr>
            </w:pPr>
            <w:hyperlink r:id="rId45" w:history="1">
              <w:r w:rsidR="00A304C7">
                <w:rPr>
                  <w:rStyle w:val="Hyperlink"/>
                  <w:i/>
                </w:rPr>
                <w:t>Marie-Laurence.Drillon@eesc.europa.eu</w:t>
              </w:r>
            </w:hyperlink>
          </w:p>
        </w:tc>
      </w:tr>
    </w:tbl>
    <w:p w14:paraId="293400B9" w14:textId="77777777" w:rsidR="00A304C7" w:rsidRPr="0003586F" w:rsidRDefault="006D2C8A" w:rsidP="00A304C7">
      <w:pPr>
        <w:widowControl w:val="0"/>
        <w:numPr>
          <w:ilvl w:val="0"/>
          <w:numId w:val="16"/>
        </w:numPr>
        <w:overflowPunct w:val="0"/>
        <w:autoSpaceDE w:val="0"/>
        <w:autoSpaceDN w:val="0"/>
        <w:adjustRightInd w:val="0"/>
        <w:ind w:hanging="567"/>
        <w:textAlignment w:val="baseline"/>
        <w:rPr>
          <w:sz w:val="20"/>
        </w:rPr>
      </w:pPr>
      <w:r>
        <w:br w:type="page"/>
      </w:r>
      <w:hyperlink r:id="rId46" w:history="1">
        <w:r w:rsidR="00A304C7">
          <w:rPr>
            <w:rStyle w:val="Hyperlink"/>
            <w:b/>
            <w:i/>
            <w:sz w:val="28"/>
          </w:rPr>
          <w:t>L’Europe dans le monde (proposition relative au cadre financier pluriannuel)</w:t>
        </w:r>
      </w:hyperlink>
    </w:p>
    <w:p w14:paraId="4B0C7201" w14:textId="77777777" w:rsidR="00A304C7" w:rsidRPr="00A6689B" w:rsidRDefault="00A304C7" w:rsidP="00A304C7">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A304C7" w:rsidRPr="00A6689B" w14:paraId="34BB516A" w14:textId="77777777" w:rsidTr="0045750F">
        <w:tc>
          <w:tcPr>
            <w:tcW w:w="1077" w:type="pct"/>
          </w:tcPr>
          <w:p w14:paraId="377E5E11" w14:textId="77777777" w:rsidR="00A304C7" w:rsidRPr="00A6689B" w:rsidRDefault="00A304C7" w:rsidP="0045750F">
            <w:pPr>
              <w:tabs>
                <w:tab w:val="center" w:pos="284"/>
              </w:tabs>
              <w:ind w:left="266" w:hanging="266"/>
              <w:rPr>
                <w:b/>
              </w:rPr>
            </w:pPr>
            <w:r>
              <w:rPr>
                <w:b/>
              </w:rPr>
              <w:t>Rapporteur</w:t>
            </w:r>
          </w:p>
        </w:tc>
        <w:tc>
          <w:tcPr>
            <w:tcW w:w="3923" w:type="pct"/>
          </w:tcPr>
          <w:p w14:paraId="05EB7384" w14:textId="77777777" w:rsidR="00A304C7" w:rsidRPr="00A6689B" w:rsidRDefault="00A304C7" w:rsidP="0045750F">
            <w:pPr>
              <w:tabs>
                <w:tab w:val="center" w:pos="284"/>
              </w:tabs>
              <w:ind w:left="266" w:right="-3091" w:hanging="266"/>
            </w:pPr>
            <w:proofErr w:type="spellStart"/>
            <w:r>
              <w:t>Mateusz</w:t>
            </w:r>
            <w:proofErr w:type="spellEnd"/>
            <w:r>
              <w:t> SZYMAŃSKI (groupe des travailleurs — PL)</w:t>
            </w:r>
          </w:p>
        </w:tc>
      </w:tr>
      <w:tr w:rsidR="00A304C7" w:rsidRPr="00A6689B" w14:paraId="2604204E" w14:textId="77777777" w:rsidTr="0045750F">
        <w:tc>
          <w:tcPr>
            <w:tcW w:w="1077" w:type="pct"/>
          </w:tcPr>
          <w:p w14:paraId="112F2DC5" w14:textId="77777777" w:rsidR="00A304C7" w:rsidRPr="00A6689B" w:rsidRDefault="00A304C7" w:rsidP="0045750F">
            <w:pPr>
              <w:tabs>
                <w:tab w:val="center" w:pos="284"/>
              </w:tabs>
              <w:ind w:left="266" w:hanging="266"/>
              <w:rPr>
                <w:b/>
              </w:rPr>
            </w:pPr>
            <w:r>
              <w:rPr>
                <w:b/>
              </w:rPr>
              <w:t>Corapporteur</w:t>
            </w:r>
          </w:p>
        </w:tc>
        <w:tc>
          <w:tcPr>
            <w:tcW w:w="3923" w:type="pct"/>
          </w:tcPr>
          <w:p w14:paraId="59FBA55F" w14:textId="77777777" w:rsidR="00A304C7" w:rsidRPr="00A6689B" w:rsidRDefault="00A304C7" w:rsidP="0045750F">
            <w:pPr>
              <w:tabs>
                <w:tab w:val="center" w:pos="284"/>
              </w:tabs>
              <w:ind w:left="266" w:right="-3091" w:hanging="266"/>
            </w:pPr>
            <w:r>
              <w:t>Luca JAHIER (groupe des organisations de la société civile — IT)</w:t>
            </w:r>
          </w:p>
        </w:tc>
      </w:tr>
      <w:tr w:rsidR="00A304C7" w:rsidRPr="00A6689B" w14:paraId="4B7203E1" w14:textId="77777777" w:rsidTr="0045750F">
        <w:tc>
          <w:tcPr>
            <w:tcW w:w="1077" w:type="pct"/>
          </w:tcPr>
          <w:p w14:paraId="07580E4E" w14:textId="77777777" w:rsidR="00A304C7" w:rsidRPr="00A6689B" w:rsidRDefault="00A304C7" w:rsidP="0045750F">
            <w:pPr>
              <w:tabs>
                <w:tab w:val="center" w:pos="284"/>
              </w:tabs>
              <w:ind w:left="266" w:hanging="266"/>
              <w:rPr>
                <w:b/>
              </w:rPr>
            </w:pPr>
            <w:r>
              <w:rPr>
                <w:b/>
              </w:rPr>
              <w:t>Référence</w:t>
            </w:r>
          </w:p>
        </w:tc>
        <w:tc>
          <w:tcPr>
            <w:tcW w:w="3923" w:type="pct"/>
          </w:tcPr>
          <w:p w14:paraId="58298221" w14:textId="77777777" w:rsidR="00A304C7" w:rsidRPr="00A6689B" w:rsidRDefault="00A304C7" w:rsidP="0045750F">
            <w:pPr>
              <w:tabs>
                <w:tab w:val="center" w:pos="284"/>
              </w:tabs>
              <w:ind w:left="266" w:right="-3091" w:hanging="266"/>
            </w:pPr>
            <w:r>
              <w:t>EESC-2025-02605-00-00-AC-TRA</w:t>
            </w:r>
          </w:p>
        </w:tc>
      </w:tr>
    </w:tbl>
    <w:p w14:paraId="700BAB0C" w14:textId="77777777" w:rsidR="00A304C7" w:rsidRDefault="00A304C7" w:rsidP="00A304C7">
      <w:pPr>
        <w:tabs>
          <w:tab w:val="center" w:pos="284"/>
        </w:tabs>
        <w:ind w:left="266" w:hanging="266"/>
        <w:rPr>
          <w:b/>
        </w:rPr>
      </w:pPr>
    </w:p>
    <w:p w14:paraId="0AADE32C" w14:textId="77777777" w:rsidR="00A304C7" w:rsidRPr="00A6689B" w:rsidRDefault="00A304C7" w:rsidP="00A304C7">
      <w:pPr>
        <w:keepNext/>
        <w:keepLines/>
        <w:tabs>
          <w:tab w:val="center" w:pos="284"/>
        </w:tabs>
        <w:ind w:left="266" w:hanging="266"/>
        <w:rPr>
          <w:b/>
        </w:rPr>
      </w:pPr>
      <w:r>
        <w:rPr>
          <w:b/>
        </w:rPr>
        <w:t>Points clés</w:t>
      </w:r>
    </w:p>
    <w:p w14:paraId="4BF0D38B" w14:textId="77777777" w:rsidR="00A304C7" w:rsidRPr="00A6689B" w:rsidRDefault="00A304C7" w:rsidP="00A304C7">
      <w:pPr>
        <w:keepNext/>
        <w:keepLines/>
        <w:tabs>
          <w:tab w:val="center" w:pos="284"/>
        </w:tabs>
        <w:ind w:left="266" w:hanging="266"/>
        <w:rPr>
          <w:b/>
        </w:rPr>
      </w:pPr>
    </w:p>
    <w:p w14:paraId="70F05D0D" w14:textId="77777777" w:rsidR="00A304C7" w:rsidRPr="00A6689B" w:rsidRDefault="00A304C7" w:rsidP="00A304C7">
      <w:pPr>
        <w:rPr>
          <w:bCs/>
          <w:iCs/>
        </w:rPr>
      </w:pPr>
      <w:r>
        <w:t>Le CESE:</w:t>
      </w:r>
    </w:p>
    <w:p w14:paraId="502EA898" w14:textId="77777777" w:rsidR="00A304C7" w:rsidRDefault="00A304C7" w:rsidP="00A304C7">
      <w:pPr>
        <w:widowControl w:val="0"/>
        <w:numPr>
          <w:ilvl w:val="0"/>
          <w:numId w:val="16"/>
        </w:numPr>
        <w:overflowPunct w:val="0"/>
        <w:autoSpaceDE w:val="0"/>
        <w:autoSpaceDN w:val="0"/>
        <w:adjustRightInd w:val="0"/>
        <w:ind w:hanging="567"/>
        <w:textAlignment w:val="baseline"/>
        <w:rPr>
          <w:bCs/>
          <w:iCs/>
        </w:rPr>
      </w:pPr>
      <w:r>
        <w:t>accueille favorablement la proposition de la Commission d’augmenter les dépenses consacrées aux politiques extérieures de l’Union au titre du prochain cadre financier pluriannuel (CFP) au moyen d’un instrument «Europe dans le monde» comprenant une réserve pour l’Ukraine, et juge cette hausse essentielle pour permettre à l’UE de s’affirmer en tant qu’acteur d’envergure mondiale, de défendre ses valeurs et de renforcer son autonomie stratégique;</w:t>
      </w:r>
    </w:p>
    <w:p w14:paraId="2906A636"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 xml:space="preserve">estime que l’UE a un rôle de premier plan à jouer en matière de développement et d’action humanitaire et pour redynamiser le système des Nations unies, la stratégie «Global Gateway» devant constituer son principal instrument à cet effet; </w:t>
      </w:r>
    </w:p>
    <w:p w14:paraId="7F233B08"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note que la plateforme de dialogue entre la société civile et les autorités locales «Global Gateway» s’est révélée déconnectée du processus décisionnel, ce qui a fragmenté le dialogue; appelle à garantir une participation significative, y compris du CESE et du CdR;</w:t>
      </w:r>
    </w:p>
    <w:p w14:paraId="059CA4CF" w14:textId="77777777" w:rsidR="00A304C7" w:rsidRDefault="00A304C7" w:rsidP="00A304C7">
      <w:pPr>
        <w:widowControl w:val="0"/>
        <w:numPr>
          <w:ilvl w:val="0"/>
          <w:numId w:val="16"/>
        </w:numPr>
        <w:overflowPunct w:val="0"/>
        <w:autoSpaceDE w:val="0"/>
        <w:autoSpaceDN w:val="0"/>
        <w:adjustRightInd w:val="0"/>
        <w:ind w:hanging="567"/>
        <w:textAlignment w:val="baseline"/>
        <w:rPr>
          <w:bCs/>
          <w:iCs/>
        </w:rPr>
      </w:pPr>
      <w:r>
        <w:t>rappelle l’importance de garantir la cohérence entre la politique étrangère, le développement, le commerce et le Fonds européen pour la compétitivité afin de favoriser un développement durable et la résilience économique;</w:t>
      </w:r>
    </w:p>
    <w:p w14:paraId="656B5943"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estime que si la flexibilité proposée en matière d’action extérieure est la bienvenue, une transparence et une responsabilité totales s’imposent concernant l’utilisation des fonds;</w:t>
      </w:r>
    </w:p>
    <w:p w14:paraId="624C44CA"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 xml:space="preserve">appelle à étendre le marqueur inégalité de la Commission aux projets de la stratégie «Global Gateway»; </w:t>
      </w:r>
    </w:p>
    <w:p w14:paraId="22F7F757"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 xml:space="preserve">espère que les organes existants, comme les plateformes de la société civile, seront davantage impliqués pour entretenir des relations avec les organisations des pays partenaires; </w:t>
      </w:r>
    </w:p>
    <w:p w14:paraId="1DD8850C"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soutient tous les efforts visant à accroître la prospérité et la sécurité dans notre voisinage et, partant, au sein de l’Union, ainsi que le processus d’élargissement;</w:t>
      </w:r>
    </w:p>
    <w:p w14:paraId="1674D8EE"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souligne l’importance, pour les organisations de la société civile, de bénéficier d’un soutien prévisible et stable pour renforcer la démocratie, l’espace civique et l’égalité de genre;</w:t>
      </w:r>
    </w:p>
    <w:p w14:paraId="1BB2E573" w14:textId="77777777" w:rsidR="00A304C7" w:rsidRDefault="00A304C7" w:rsidP="00A304C7">
      <w:pPr>
        <w:widowControl w:val="0"/>
        <w:numPr>
          <w:ilvl w:val="0"/>
          <w:numId w:val="16"/>
        </w:numPr>
        <w:overflowPunct w:val="0"/>
        <w:autoSpaceDE w:val="0"/>
        <w:autoSpaceDN w:val="0"/>
        <w:adjustRightInd w:val="0"/>
        <w:ind w:hanging="567"/>
        <w:textAlignment w:val="baseline"/>
        <w:rPr>
          <w:bCs/>
          <w:iCs/>
        </w:rPr>
      </w:pPr>
      <w:r>
        <w:t>espère que les objectifs en matière de coopération économique et d’entrepreneuriat s’accompagneront de garanties ambitieuses sur le plan social et environnemental, mais aussi en matière de droits de l’homme;</w:t>
      </w:r>
    </w:p>
    <w:p w14:paraId="39192F17" w14:textId="77777777" w:rsidR="00A304C7" w:rsidRPr="004541E6" w:rsidRDefault="00A304C7" w:rsidP="00A304C7">
      <w:pPr>
        <w:widowControl w:val="0"/>
        <w:numPr>
          <w:ilvl w:val="0"/>
          <w:numId w:val="16"/>
        </w:numPr>
        <w:overflowPunct w:val="0"/>
        <w:autoSpaceDE w:val="0"/>
        <w:autoSpaceDN w:val="0"/>
        <w:adjustRightInd w:val="0"/>
        <w:ind w:hanging="567"/>
        <w:textAlignment w:val="baseline"/>
        <w:rPr>
          <w:bCs/>
          <w:iCs/>
        </w:rPr>
      </w:pPr>
      <w:r>
        <w:t>s’oppose à la possibilité de suspendre les paiements dans le contexte de la politique migratoire et souligne l’importance d’incitations positives pour atteindre les objectifs fixés.</w:t>
      </w:r>
    </w:p>
    <w:p w14:paraId="163055AE" w14:textId="77777777" w:rsidR="00A304C7" w:rsidRPr="000624A9" w:rsidRDefault="00A304C7" w:rsidP="00A304C7">
      <w:pPr>
        <w:widowControl w:val="0"/>
        <w:ind w:left="709"/>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A304C7" w:rsidRPr="00A6689B" w14:paraId="3AD85DD3" w14:textId="77777777" w:rsidTr="0045750F">
        <w:tc>
          <w:tcPr>
            <w:tcW w:w="1077" w:type="pct"/>
          </w:tcPr>
          <w:p w14:paraId="5753C342" w14:textId="77777777" w:rsidR="00A304C7" w:rsidRPr="00A6689B" w:rsidRDefault="00A304C7" w:rsidP="0045750F">
            <w:pPr>
              <w:rPr>
                <w:i/>
              </w:rPr>
            </w:pPr>
            <w:r>
              <w:rPr>
                <w:b/>
                <w:i/>
              </w:rPr>
              <w:t>Contact</w:t>
            </w:r>
          </w:p>
        </w:tc>
        <w:tc>
          <w:tcPr>
            <w:tcW w:w="3923" w:type="pct"/>
          </w:tcPr>
          <w:p w14:paraId="4376AD04" w14:textId="77777777" w:rsidR="00A304C7" w:rsidRPr="00A6689B" w:rsidRDefault="00A304C7" w:rsidP="0045750F">
            <w:pPr>
              <w:rPr>
                <w:i/>
              </w:rPr>
            </w:pPr>
            <w:r>
              <w:rPr>
                <w:i/>
              </w:rPr>
              <w:t xml:space="preserve">Daniele Vitali </w:t>
            </w:r>
          </w:p>
        </w:tc>
      </w:tr>
      <w:tr w:rsidR="00A304C7" w:rsidRPr="00A6689B" w14:paraId="6193A083" w14:textId="77777777" w:rsidTr="0045750F">
        <w:tc>
          <w:tcPr>
            <w:tcW w:w="1077" w:type="pct"/>
          </w:tcPr>
          <w:p w14:paraId="19944CA9" w14:textId="77777777" w:rsidR="00A304C7" w:rsidRPr="00A6689B" w:rsidRDefault="00A304C7" w:rsidP="0045750F">
            <w:pPr>
              <w:rPr>
                <w:i/>
              </w:rPr>
            </w:pPr>
            <w:r>
              <w:rPr>
                <w:i/>
              </w:rPr>
              <w:t>Tél.</w:t>
            </w:r>
          </w:p>
        </w:tc>
        <w:tc>
          <w:tcPr>
            <w:tcW w:w="3923" w:type="pct"/>
          </w:tcPr>
          <w:p w14:paraId="694D9D2C" w14:textId="77777777" w:rsidR="00A304C7" w:rsidRPr="00A6689B" w:rsidRDefault="00A304C7" w:rsidP="0045750F">
            <w:pPr>
              <w:rPr>
                <w:i/>
              </w:rPr>
            </w:pPr>
            <w:r>
              <w:rPr>
                <w:i/>
              </w:rPr>
              <w:t>+32 25468817</w:t>
            </w:r>
          </w:p>
        </w:tc>
      </w:tr>
      <w:tr w:rsidR="00A304C7" w:rsidRPr="00A6689B" w14:paraId="10DE0FB7" w14:textId="77777777" w:rsidTr="0045750F">
        <w:tc>
          <w:tcPr>
            <w:tcW w:w="1077" w:type="pct"/>
          </w:tcPr>
          <w:p w14:paraId="7781A145" w14:textId="77777777" w:rsidR="00A304C7" w:rsidRPr="00A6689B" w:rsidRDefault="00A304C7" w:rsidP="0045750F">
            <w:pPr>
              <w:rPr>
                <w:i/>
              </w:rPr>
            </w:pPr>
            <w:r>
              <w:rPr>
                <w:i/>
              </w:rPr>
              <w:t>Courriel</w:t>
            </w:r>
          </w:p>
        </w:tc>
        <w:tc>
          <w:tcPr>
            <w:tcW w:w="3923" w:type="pct"/>
          </w:tcPr>
          <w:p w14:paraId="4314D28C" w14:textId="77777777" w:rsidR="00A304C7" w:rsidRPr="00A6689B" w:rsidRDefault="00086F62" w:rsidP="0045750F">
            <w:pPr>
              <w:rPr>
                <w:i/>
              </w:rPr>
            </w:pPr>
            <w:hyperlink r:id="rId47" w:history="1">
              <w:r w:rsidR="00A304C7">
                <w:rPr>
                  <w:rStyle w:val="Hyperlink"/>
                  <w:i/>
                </w:rPr>
                <w:t>Daniele.Vitali@eesc.europa.eu</w:t>
              </w:r>
            </w:hyperlink>
          </w:p>
        </w:tc>
      </w:tr>
    </w:tbl>
    <w:p w14:paraId="44EAE929" w14:textId="77777777" w:rsidR="009D7B7E" w:rsidRPr="001D72B0" w:rsidRDefault="00C913CA" w:rsidP="009D7B7E">
      <w:pPr>
        <w:widowControl w:val="0"/>
        <w:numPr>
          <w:ilvl w:val="0"/>
          <w:numId w:val="16"/>
        </w:numPr>
        <w:overflowPunct w:val="0"/>
        <w:autoSpaceDE w:val="0"/>
        <w:autoSpaceDN w:val="0"/>
        <w:adjustRightInd w:val="0"/>
        <w:ind w:hanging="567"/>
        <w:textAlignment w:val="baseline"/>
        <w:rPr>
          <w:sz w:val="20"/>
        </w:rPr>
      </w:pPr>
      <w:r>
        <w:br w:type="page"/>
      </w:r>
      <w:hyperlink r:id="rId48" w:history="1">
        <w:r w:rsidR="009D7B7E">
          <w:rPr>
            <w:rStyle w:val="Hyperlink"/>
            <w:b/>
            <w:i/>
            <w:sz w:val="28"/>
          </w:rPr>
          <w:t>Une voie à suivre européenne prévisible et commune pour les Ukrainiens dans l’UE</w:t>
        </w:r>
      </w:hyperlink>
    </w:p>
    <w:p w14:paraId="02FFADB4" w14:textId="77777777" w:rsidR="009D7B7E" w:rsidRPr="001D72B0" w:rsidRDefault="009D7B7E" w:rsidP="009D7B7E">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A6689B" w14:paraId="17B0103F" w14:textId="77777777" w:rsidTr="0045750F">
        <w:tc>
          <w:tcPr>
            <w:tcW w:w="1077" w:type="pct"/>
          </w:tcPr>
          <w:p w14:paraId="25B783C5" w14:textId="77777777" w:rsidR="009D7B7E" w:rsidRPr="00A6689B" w:rsidRDefault="009D7B7E" w:rsidP="0045750F">
            <w:pPr>
              <w:tabs>
                <w:tab w:val="center" w:pos="284"/>
              </w:tabs>
              <w:ind w:left="266" w:hanging="266"/>
              <w:rPr>
                <w:b/>
              </w:rPr>
            </w:pPr>
            <w:r>
              <w:rPr>
                <w:b/>
              </w:rPr>
              <w:t xml:space="preserve">Rapporteur </w:t>
            </w:r>
          </w:p>
        </w:tc>
        <w:tc>
          <w:tcPr>
            <w:tcW w:w="3923" w:type="pct"/>
          </w:tcPr>
          <w:p w14:paraId="0C46EAF2" w14:textId="77777777" w:rsidR="009D7B7E" w:rsidRPr="00A6689B" w:rsidRDefault="009D7B7E" w:rsidP="0045750F">
            <w:pPr>
              <w:tabs>
                <w:tab w:val="center" w:pos="284"/>
              </w:tabs>
              <w:ind w:left="266" w:right="-3091" w:hanging="266"/>
            </w:pPr>
            <w:proofErr w:type="spellStart"/>
            <w:r>
              <w:t>Mateusz</w:t>
            </w:r>
            <w:proofErr w:type="spellEnd"/>
            <w:r>
              <w:t> SZYMAŃSKI (groupe des travailleurs — Pologne)</w:t>
            </w:r>
          </w:p>
        </w:tc>
      </w:tr>
      <w:tr w:rsidR="009D7B7E" w:rsidRPr="00A6689B" w14:paraId="72CAC865" w14:textId="77777777" w:rsidTr="0045750F">
        <w:tc>
          <w:tcPr>
            <w:tcW w:w="1077" w:type="pct"/>
          </w:tcPr>
          <w:p w14:paraId="586BFB8E" w14:textId="77777777" w:rsidR="009D7B7E" w:rsidRPr="00A6689B" w:rsidRDefault="009D7B7E" w:rsidP="0045750F">
            <w:pPr>
              <w:tabs>
                <w:tab w:val="center" w:pos="284"/>
              </w:tabs>
              <w:ind w:left="266" w:hanging="266"/>
              <w:rPr>
                <w:b/>
              </w:rPr>
            </w:pPr>
            <w:r>
              <w:rPr>
                <w:b/>
              </w:rPr>
              <w:t>Corapporteur</w:t>
            </w:r>
          </w:p>
        </w:tc>
        <w:tc>
          <w:tcPr>
            <w:tcW w:w="3923" w:type="pct"/>
          </w:tcPr>
          <w:p w14:paraId="419E590B" w14:textId="77777777" w:rsidR="009D7B7E" w:rsidRPr="00A6689B" w:rsidRDefault="009D7B7E" w:rsidP="0045750F">
            <w:pPr>
              <w:tabs>
                <w:tab w:val="center" w:pos="284"/>
              </w:tabs>
              <w:ind w:left="266" w:right="-3091" w:hanging="266"/>
            </w:pPr>
            <w:r>
              <w:t>Krzysztof BALON (groupe des organisations de la société civile — Pologne)</w:t>
            </w:r>
          </w:p>
        </w:tc>
      </w:tr>
      <w:tr w:rsidR="009D7B7E" w:rsidRPr="00A6689B" w14:paraId="5B50921F" w14:textId="77777777" w:rsidTr="0045750F">
        <w:tc>
          <w:tcPr>
            <w:tcW w:w="1077" w:type="pct"/>
          </w:tcPr>
          <w:p w14:paraId="6876BCE1" w14:textId="77777777" w:rsidR="009D7B7E" w:rsidRPr="00156DC6" w:rsidRDefault="009D7B7E" w:rsidP="0045750F">
            <w:pPr>
              <w:tabs>
                <w:tab w:val="center" w:pos="284"/>
              </w:tabs>
              <w:ind w:left="266" w:hanging="266"/>
              <w:rPr>
                <w:b/>
              </w:rPr>
            </w:pPr>
            <w:r>
              <w:rPr>
                <w:b/>
              </w:rPr>
              <w:t>Références</w:t>
            </w:r>
          </w:p>
        </w:tc>
        <w:tc>
          <w:tcPr>
            <w:tcW w:w="3923" w:type="pct"/>
          </w:tcPr>
          <w:p w14:paraId="2E38FD0C" w14:textId="77777777" w:rsidR="009D7B7E" w:rsidRPr="00156DC6" w:rsidRDefault="009D7B7E" w:rsidP="0045750F">
            <w:pPr>
              <w:tabs>
                <w:tab w:val="center" w:pos="284"/>
              </w:tabs>
              <w:ind w:left="266" w:right="-3091" w:hanging="266"/>
            </w:pPr>
            <w:r>
              <w:t>EESC-2025-02613-00-00-AC</w:t>
            </w:r>
          </w:p>
        </w:tc>
      </w:tr>
    </w:tbl>
    <w:p w14:paraId="3D028428" w14:textId="77777777" w:rsidR="009D7B7E" w:rsidRDefault="009D7B7E" w:rsidP="009D7B7E">
      <w:pPr>
        <w:tabs>
          <w:tab w:val="center" w:pos="284"/>
        </w:tabs>
        <w:ind w:left="266" w:hanging="266"/>
        <w:rPr>
          <w:b/>
        </w:rPr>
      </w:pPr>
    </w:p>
    <w:p w14:paraId="2494C4A8" w14:textId="77777777" w:rsidR="009D7B7E" w:rsidRPr="00A6689B" w:rsidRDefault="009D7B7E" w:rsidP="009D7B7E">
      <w:pPr>
        <w:keepNext/>
        <w:keepLines/>
        <w:tabs>
          <w:tab w:val="center" w:pos="284"/>
        </w:tabs>
        <w:ind w:left="266" w:hanging="266"/>
        <w:rPr>
          <w:b/>
        </w:rPr>
      </w:pPr>
      <w:r>
        <w:rPr>
          <w:b/>
        </w:rPr>
        <w:t>Points clés</w:t>
      </w:r>
    </w:p>
    <w:p w14:paraId="7A491780" w14:textId="77777777" w:rsidR="009D7B7E" w:rsidRPr="00A6689B" w:rsidRDefault="009D7B7E" w:rsidP="009D7B7E">
      <w:pPr>
        <w:keepNext/>
        <w:keepLines/>
        <w:tabs>
          <w:tab w:val="center" w:pos="284"/>
        </w:tabs>
        <w:ind w:left="266" w:hanging="266"/>
        <w:rPr>
          <w:b/>
        </w:rPr>
      </w:pPr>
    </w:p>
    <w:p w14:paraId="61178BB9" w14:textId="77777777" w:rsidR="009D7B7E" w:rsidRPr="00A6689B" w:rsidRDefault="009D7B7E" w:rsidP="009D7B7E">
      <w:pPr>
        <w:spacing w:line="240" w:lineRule="auto"/>
        <w:rPr>
          <w:bCs/>
          <w:iCs/>
        </w:rPr>
      </w:pPr>
      <w:r>
        <w:t>Le CESE:</w:t>
      </w:r>
    </w:p>
    <w:p w14:paraId="5F582CB8" w14:textId="77777777" w:rsidR="009D7B7E"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reste solidaire du peuple ukrainien, rappelle que l’agression de la Russie contre l’Ukraine a provoqué la fuite de millions d’Ukrainiens et souligne le rôle qu’ont assumé les organisations de la société civile lorsque le plus important afflux de personnes déplacées en provenance d’Ukraine a eu lieu;</w:t>
      </w:r>
    </w:p>
    <w:p w14:paraId="54B879FE" w14:textId="77777777" w:rsidR="009D7B7E" w:rsidRPr="00B348D7"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note que la protection temporaire s’avère être une solution bénéfique aux personnes déplacées en provenance d’Ukraine, les conditions de retour en Ukraine n’étant pas encore réunies du fait que l’agression russe se poursuive, et se félicite de la décision de prolonger la protection temporaire pour une nouvelle période;</w:t>
      </w:r>
    </w:p>
    <w:p w14:paraId="442CD55F"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souligne la nécessité pour les personnes bénéficiant de la protection temporaire d’avoir des perspectives à long terme, et invite la Commission européenne et les États membres à s’efforcer de faciliter la transition vers une base de séjour plus permanente et un abandon progressif de la protection temporaire;</w:t>
      </w:r>
    </w:p>
    <w:p w14:paraId="07027E06"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fait remarquer que la situation créée par l’arrivée d’Ukrainiens dans l’Union a accru la pression sur les systèmes de services publics des États membres et souligne l’importance d’augmenter les investissements dans des services d’intérêt général de qualité, y compris en matière de logement, accessibles sur un pied d’égalité à toutes les personnes résidant légalement dans l’UE;</w:t>
      </w:r>
    </w:p>
    <w:p w14:paraId="05A95DDC"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pPr>
      <w:r>
        <w:t>estime que des efforts devraient être consentis pour garantir la réussite de l’intégration des Ukrainiens dans l’UE, en soutenant l’apprentissage des langues, les initiatives des communautés locales et l’éducation des enfants ukrainiens dans les États membres, en luttant contre la désinformation et contre les activités de renseignement russes, et en faisant participer les Ukrainiens aux organisations actives dans leurs communautés locales;</w:t>
      </w:r>
    </w:p>
    <w:p w14:paraId="4D8284CE" w14:textId="77777777" w:rsidR="009D7B7E" w:rsidRPr="00B348D7" w:rsidRDefault="009D7B7E" w:rsidP="009D7B7E">
      <w:pPr>
        <w:widowControl w:val="0"/>
        <w:numPr>
          <w:ilvl w:val="0"/>
          <w:numId w:val="16"/>
        </w:numPr>
        <w:overflowPunct w:val="0"/>
        <w:autoSpaceDE w:val="0"/>
        <w:autoSpaceDN w:val="0"/>
        <w:adjustRightInd w:val="0"/>
        <w:spacing w:line="240" w:lineRule="auto"/>
        <w:ind w:hanging="567"/>
        <w:textAlignment w:val="baseline"/>
      </w:pPr>
      <w:r>
        <w:t>juge important d’établir des conditions de travail équitables pour les Ukrainiens, à la fois au sein de l’UE et en Ukraine; il est attendu des États membres qu’ils luttent contre l’exploitation et l’inégalité de traitement auxquelles les Ukrainiens sont exposés en matière d’emploi, tandis que le gouvernement ukrainien devrait rétablir des solutions favorables pour les travailleurs et les activités syndicales grâce au dialogue social.</w:t>
      </w:r>
    </w:p>
    <w:p w14:paraId="232DC268" w14:textId="77777777" w:rsidR="009D7B7E" w:rsidRPr="000624A9" w:rsidRDefault="009D7B7E" w:rsidP="009D7B7E">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A6689B" w14:paraId="60029DC8" w14:textId="77777777" w:rsidTr="0045750F">
        <w:tc>
          <w:tcPr>
            <w:tcW w:w="1077" w:type="pct"/>
          </w:tcPr>
          <w:p w14:paraId="2D87D504" w14:textId="77777777" w:rsidR="009D7B7E" w:rsidRPr="00A6689B" w:rsidRDefault="009D7B7E" w:rsidP="0045750F">
            <w:pPr>
              <w:rPr>
                <w:i/>
              </w:rPr>
            </w:pPr>
            <w:r>
              <w:rPr>
                <w:b/>
                <w:i/>
              </w:rPr>
              <w:t>Contact</w:t>
            </w:r>
          </w:p>
        </w:tc>
        <w:tc>
          <w:tcPr>
            <w:tcW w:w="3923" w:type="pct"/>
          </w:tcPr>
          <w:p w14:paraId="4F03CDFF" w14:textId="77777777" w:rsidR="009D7B7E" w:rsidRPr="00A6689B" w:rsidRDefault="009D7B7E" w:rsidP="0045750F">
            <w:pPr>
              <w:rPr>
                <w:i/>
              </w:rPr>
            </w:pPr>
            <w:proofErr w:type="spellStart"/>
            <w:r>
              <w:rPr>
                <w:i/>
              </w:rPr>
              <w:t>Katarína</w:t>
            </w:r>
            <w:proofErr w:type="spellEnd"/>
            <w:r>
              <w:rPr>
                <w:i/>
              </w:rPr>
              <w:t xml:space="preserve"> GRZESZCZYK ALBRECHTOVÁ</w:t>
            </w:r>
          </w:p>
        </w:tc>
      </w:tr>
      <w:tr w:rsidR="009D7B7E" w:rsidRPr="00A6689B" w14:paraId="36F821EF" w14:textId="77777777" w:rsidTr="0045750F">
        <w:tc>
          <w:tcPr>
            <w:tcW w:w="1077" w:type="pct"/>
          </w:tcPr>
          <w:p w14:paraId="5F6BDBF1" w14:textId="77777777" w:rsidR="009D7B7E" w:rsidRPr="00A6689B" w:rsidRDefault="009D7B7E" w:rsidP="0045750F">
            <w:pPr>
              <w:rPr>
                <w:i/>
              </w:rPr>
            </w:pPr>
            <w:r>
              <w:rPr>
                <w:i/>
              </w:rPr>
              <w:t>Tél.</w:t>
            </w:r>
          </w:p>
        </w:tc>
        <w:tc>
          <w:tcPr>
            <w:tcW w:w="3923" w:type="pct"/>
          </w:tcPr>
          <w:p w14:paraId="47E1A808" w14:textId="77777777" w:rsidR="009D7B7E" w:rsidRPr="00A6689B" w:rsidRDefault="009D7B7E" w:rsidP="0045750F">
            <w:pPr>
              <w:rPr>
                <w:i/>
              </w:rPr>
            </w:pPr>
            <w:r>
              <w:rPr>
                <w:i/>
              </w:rPr>
              <w:t>+32 2 546 9460</w:t>
            </w:r>
          </w:p>
        </w:tc>
      </w:tr>
      <w:tr w:rsidR="009D7B7E" w:rsidRPr="00A6689B" w14:paraId="0B1EFF05" w14:textId="77777777" w:rsidTr="0045750F">
        <w:tc>
          <w:tcPr>
            <w:tcW w:w="1077" w:type="pct"/>
          </w:tcPr>
          <w:p w14:paraId="683A9E4C" w14:textId="77777777" w:rsidR="009D7B7E" w:rsidRPr="00A6689B" w:rsidRDefault="009D7B7E" w:rsidP="0045750F">
            <w:pPr>
              <w:rPr>
                <w:i/>
              </w:rPr>
            </w:pPr>
            <w:r>
              <w:rPr>
                <w:i/>
              </w:rPr>
              <w:t>Courriel</w:t>
            </w:r>
          </w:p>
        </w:tc>
        <w:tc>
          <w:tcPr>
            <w:tcW w:w="3923" w:type="pct"/>
          </w:tcPr>
          <w:p w14:paraId="2BD7A699" w14:textId="77777777" w:rsidR="009D7B7E" w:rsidRPr="00A6689B" w:rsidRDefault="00086F62" w:rsidP="0045750F">
            <w:pPr>
              <w:rPr>
                <w:i/>
              </w:rPr>
            </w:pPr>
            <w:hyperlink r:id="rId49" w:history="1">
              <w:r w:rsidR="009D7B7E">
                <w:rPr>
                  <w:rStyle w:val="Hyperlink"/>
                  <w:i/>
                </w:rPr>
                <w:t>Katarina.Albrechtova@eesc.europa.eu</w:t>
              </w:r>
            </w:hyperlink>
            <w:r w:rsidR="009D7B7E">
              <w:rPr>
                <w:i/>
              </w:rPr>
              <w:t xml:space="preserve"> </w:t>
            </w:r>
          </w:p>
        </w:tc>
      </w:tr>
    </w:tbl>
    <w:p w14:paraId="28C69286" w14:textId="3F2A2893" w:rsidR="004503DC" w:rsidRDefault="004503DC" w:rsidP="009D7B7E">
      <w:pPr>
        <w:widowControl w:val="0"/>
        <w:numPr>
          <w:ilvl w:val="0"/>
          <w:numId w:val="39"/>
        </w:numPr>
        <w:overflowPunct w:val="0"/>
        <w:autoSpaceDE w:val="0"/>
        <w:autoSpaceDN w:val="0"/>
        <w:adjustRightInd w:val="0"/>
        <w:ind w:hanging="567"/>
        <w:textAlignment w:val="baseline"/>
      </w:pPr>
      <w:r>
        <w:br w:type="page"/>
      </w:r>
    </w:p>
    <w:p w14:paraId="54681B02" w14:textId="77777777" w:rsidR="006D2C8A" w:rsidRDefault="006D2C8A">
      <w:pPr>
        <w:spacing w:after="160" w:line="259" w:lineRule="auto"/>
        <w:jc w:val="left"/>
      </w:pPr>
    </w:p>
    <w:p w14:paraId="528C73AA" w14:textId="46DE726B" w:rsidR="006D2C8A" w:rsidRPr="006D2C8A" w:rsidRDefault="006D2C8A" w:rsidP="006D2C8A">
      <w:pPr>
        <w:pStyle w:val="Heading1"/>
        <w:rPr>
          <w:b/>
        </w:rPr>
      </w:pPr>
      <w:bookmarkStart w:id="23" w:name="_Toc216797871"/>
      <w:r>
        <w:rPr>
          <w:b/>
          <w:color w:val="222A35" w:themeColor="text2" w:themeShade="80"/>
        </w:rPr>
        <w:t>COMMISSION CONSULTATIVE DES MUTATIONS INDUSTRIELLES</w:t>
      </w:r>
      <w:bookmarkEnd w:id="23"/>
    </w:p>
    <w:p w14:paraId="713E272F" w14:textId="77777777" w:rsidR="006D2C8A" w:rsidRDefault="006D2C8A" w:rsidP="006D2C8A"/>
    <w:p w14:paraId="09CCA24C" w14:textId="77777777" w:rsidR="009D7B7E" w:rsidRPr="001D72B0" w:rsidRDefault="00086F62" w:rsidP="009D7B7E">
      <w:pPr>
        <w:widowControl w:val="0"/>
        <w:numPr>
          <w:ilvl w:val="0"/>
          <w:numId w:val="16"/>
        </w:numPr>
        <w:overflowPunct w:val="0"/>
        <w:autoSpaceDE w:val="0"/>
        <w:autoSpaceDN w:val="0"/>
        <w:adjustRightInd w:val="0"/>
        <w:ind w:hanging="567"/>
        <w:textAlignment w:val="baseline"/>
        <w:rPr>
          <w:sz w:val="20"/>
        </w:rPr>
      </w:pPr>
      <w:hyperlink r:id="rId50" w:history="1">
        <w:r w:rsidR="009D7B7E">
          <w:rPr>
            <w:rStyle w:val="Hyperlink"/>
            <w:b/>
            <w:i/>
            <w:sz w:val="28"/>
          </w:rPr>
          <w:t>Une voie à suivre européenne prévisible et commune pour les Ukrainiens dans l’UE</w:t>
        </w:r>
      </w:hyperlink>
    </w:p>
    <w:p w14:paraId="0A7AF3B6" w14:textId="77777777" w:rsidR="009D7B7E" w:rsidRPr="001D72B0" w:rsidRDefault="009D7B7E" w:rsidP="009D7B7E">
      <w:pPr>
        <w:tabs>
          <w:tab w:val="center" w:pos="284"/>
        </w:tabs>
        <w:ind w:left="266" w:hanging="266"/>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A6689B" w14:paraId="477E1820" w14:textId="77777777" w:rsidTr="0045750F">
        <w:tc>
          <w:tcPr>
            <w:tcW w:w="1077" w:type="pct"/>
          </w:tcPr>
          <w:p w14:paraId="29E44624" w14:textId="77777777" w:rsidR="009D7B7E" w:rsidRPr="00A6689B" w:rsidRDefault="009D7B7E" w:rsidP="0045750F">
            <w:pPr>
              <w:tabs>
                <w:tab w:val="center" w:pos="284"/>
              </w:tabs>
              <w:ind w:left="266" w:hanging="266"/>
              <w:rPr>
                <w:b/>
              </w:rPr>
            </w:pPr>
            <w:r>
              <w:rPr>
                <w:b/>
              </w:rPr>
              <w:t xml:space="preserve">Rapporteur </w:t>
            </w:r>
          </w:p>
        </w:tc>
        <w:tc>
          <w:tcPr>
            <w:tcW w:w="3923" w:type="pct"/>
          </w:tcPr>
          <w:p w14:paraId="35638F52" w14:textId="77777777" w:rsidR="009D7B7E" w:rsidRPr="00A6689B" w:rsidRDefault="009D7B7E" w:rsidP="0045750F">
            <w:pPr>
              <w:tabs>
                <w:tab w:val="center" w:pos="284"/>
              </w:tabs>
              <w:ind w:left="266" w:right="-3091" w:hanging="266"/>
            </w:pPr>
            <w:proofErr w:type="spellStart"/>
            <w:r>
              <w:t>Mateusz</w:t>
            </w:r>
            <w:proofErr w:type="spellEnd"/>
            <w:r>
              <w:t> SZYMAŃSKI (groupe des travailleurs — Pologne)</w:t>
            </w:r>
          </w:p>
        </w:tc>
      </w:tr>
      <w:tr w:rsidR="009D7B7E" w:rsidRPr="00A6689B" w14:paraId="31FAB8CD" w14:textId="77777777" w:rsidTr="0045750F">
        <w:tc>
          <w:tcPr>
            <w:tcW w:w="1077" w:type="pct"/>
          </w:tcPr>
          <w:p w14:paraId="4B706D93" w14:textId="77777777" w:rsidR="009D7B7E" w:rsidRPr="00A6689B" w:rsidRDefault="009D7B7E" w:rsidP="0045750F">
            <w:pPr>
              <w:tabs>
                <w:tab w:val="center" w:pos="284"/>
              </w:tabs>
              <w:ind w:left="266" w:hanging="266"/>
              <w:rPr>
                <w:b/>
              </w:rPr>
            </w:pPr>
            <w:r>
              <w:rPr>
                <w:b/>
              </w:rPr>
              <w:t>Corapporteur</w:t>
            </w:r>
          </w:p>
        </w:tc>
        <w:tc>
          <w:tcPr>
            <w:tcW w:w="3923" w:type="pct"/>
          </w:tcPr>
          <w:p w14:paraId="33287419" w14:textId="77777777" w:rsidR="009D7B7E" w:rsidRPr="00A6689B" w:rsidRDefault="009D7B7E" w:rsidP="0045750F">
            <w:pPr>
              <w:tabs>
                <w:tab w:val="center" w:pos="284"/>
              </w:tabs>
              <w:ind w:left="266" w:right="-3091" w:hanging="266"/>
            </w:pPr>
            <w:r>
              <w:t>Krzysztof BALON (groupe des organisations de la société civile — Pologne)</w:t>
            </w:r>
          </w:p>
        </w:tc>
      </w:tr>
      <w:tr w:rsidR="009D7B7E" w:rsidRPr="00A6689B" w14:paraId="44CA1135" w14:textId="77777777" w:rsidTr="0045750F">
        <w:tc>
          <w:tcPr>
            <w:tcW w:w="1077" w:type="pct"/>
          </w:tcPr>
          <w:p w14:paraId="7A906284" w14:textId="77777777" w:rsidR="009D7B7E" w:rsidRPr="00156DC6" w:rsidRDefault="009D7B7E" w:rsidP="0045750F">
            <w:pPr>
              <w:tabs>
                <w:tab w:val="center" w:pos="284"/>
              </w:tabs>
              <w:ind w:left="266" w:hanging="266"/>
              <w:rPr>
                <w:b/>
              </w:rPr>
            </w:pPr>
            <w:r>
              <w:rPr>
                <w:b/>
              </w:rPr>
              <w:t>Références</w:t>
            </w:r>
          </w:p>
        </w:tc>
        <w:tc>
          <w:tcPr>
            <w:tcW w:w="3923" w:type="pct"/>
          </w:tcPr>
          <w:p w14:paraId="10205E30" w14:textId="77777777" w:rsidR="009D7B7E" w:rsidRPr="00156DC6" w:rsidRDefault="009D7B7E" w:rsidP="0045750F">
            <w:pPr>
              <w:tabs>
                <w:tab w:val="center" w:pos="284"/>
              </w:tabs>
              <w:ind w:left="266" w:right="-3091" w:hanging="266"/>
            </w:pPr>
            <w:r>
              <w:t>EESC-2025-02613-00-00-AC</w:t>
            </w:r>
          </w:p>
        </w:tc>
      </w:tr>
    </w:tbl>
    <w:p w14:paraId="1702F9D2" w14:textId="77777777" w:rsidR="009D7B7E" w:rsidRDefault="009D7B7E" w:rsidP="009D7B7E">
      <w:pPr>
        <w:tabs>
          <w:tab w:val="center" w:pos="284"/>
        </w:tabs>
        <w:ind w:left="266" w:hanging="266"/>
        <w:rPr>
          <w:b/>
        </w:rPr>
      </w:pPr>
    </w:p>
    <w:p w14:paraId="68369F6A" w14:textId="77777777" w:rsidR="009D7B7E" w:rsidRPr="00A6689B" w:rsidRDefault="009D7B7E" w:rsidP="009D7B7E">
      <w:pPr>
        <w:keepNext/>
        <w:keepLines/>
        <w:tabs>
          <w:tab w:val="center" w:pos="284"/>
        </w:tabs>
        <w:ind w:left="266" w:hanging="266"/>
        <w:rPr>
          <w:b/>
        </w:rPr>
      </w:pPr>
      <w:r>
        <w:rPr>
          <w:b/>
        </w:rPr>
        <w:t>Points clés</w:t>
      </w:r>
    </w:p>
    <w:p w14:paraId="128E9335" w14:textId="77777777" w:rsidR="009D7B7E" w:rsidRPr="00A6689B" w:rsidRDefault="009D7B7E" w:rsidP="009D7B7E">
      <w:pPr>
        <w:keepNext/>
        <w:keepLines/>
        <w:tabs>
          <w:tab w:val="center" w:pos="284"/>
        </w:tabs>
        <w:ind w:left="266" w:hanging="266"/>
        <w:rPr>
          <w:b/>
        </w:rPr>
      </w:pPr>
    </w:p>
    <w:p w14:paraId="02B208BD" w14:textId="77777777" w:rsidR="009D7B7E" w:rsidRPr="00A6689B" w:rsidRDefault="009D7B7E" w:rsidP="009D7B7E">
      <w:pPr>
        <w:spacing w:line="240" w:lineRule="auto"/>
        <w:rPr>
          <w:bCs/>
          <w:iCs/>
        </w:rPr>
      </w:pPr>
      <w:r>
        <w:t>Le CESE:</w:t>
      </w:r>
    </w:p>
    <w:p w14:paraId="0305DBC8" w14:textId="77777777" w:rsidR="009D7B7E"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reste solidaire du peuple ukrainien, rappelle que l’agression de la Russie contre l’Ukraine a provoqué la fuite de millions d’Ukrainiens et souligne le rôle qu’ont assumé les organisations de la société civile lorsque le plus important afflux de personnes déplacées en provenance d’Ukraine a eu lieu;</w:t>
      </w:r>
    </w:p>
    <w:p w14:paraId="12CD4614" w14:textId="77777777" w:rsidR="009D7B7E" w:rsidRPr="00B348D7"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note que la protection temporaire s’avère être une solution bénéfique aux personnes déplacées en provenance d’Ukraine, les conditions de retour en Ukraine n’étant pas encore réunies du fait que l’agression russe se poursuive, et se félicite de la décision de prolonger la protection temporaire pour une nouvelle période;</w:t>
      </w:r>
    </w:p>
    <w:p w14:paraId="68061D23"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souligne la nécessité pour les personnes bénéficiant de la protection temporaire d’avoir des perspectives à long terme, et invite la Commission européenne et les États membres à s’efforcer de faciliter la transition vers une base de séjour plus permanente et un abandon progressif de la protection temporaire;</w:t>
      </w:r>
    </w:p>
    <w:p w14:paraId="4D98C2EA"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rPr>
          <w:bCs/>
          <w:iCs/>
        </w:rPr>
      </w:pPr>
      <w:r>
        <w:t>fait remarquer que la situation créée par l’arrivée d’Ukrainiens dans l’Union a accru la pression sur les systèmes de services publics des États membres et souligne l’importance d’augmenter les investissements dans des services d’intérêt général de qualité, y compris en matière de logement, accessibles sur un pied d’égalité à toutes les personnes résidant légalement dans l’UE;</w:t>
      </w:r>
    </w:p>
    <w:p w14:paraId="787A74A7" w14:textId="77777777" w:rsidR="009D7B7E" w:rsidRPr="00A6689B" w:rsidRDefault="009D7B7E" w:rsidP="009D7B7E">
      <w:pPr>
        <w:widowControl w:val="0"/>
        <w:numPr>
          <w:ilvl w:val="0"/>
          <w:numId w:val="16"/>
        </w:numPr>
        <w:overflowPunct w:val="0"/>
        <w:autoSpaceDE w:val="0"/>
        <w:autoSpaceDN w:val="0"/>
        <w:adjustRightInd w:val="0"/>
        <w:spacing w:line="240" w:lineRule="auto"/>
        <w:ind w:hanging="567"/>
        <w:textAlignment w:val="baseline"/>
      </w:pPr>
      <w:r>
        <w:t>estime que des efforts devraient être consentis pour garantir la réussite de l’intégration des Ukrainiens dans l’UE, en soutenant l’apprentissage des langues, les initiatives des communautés locales et l’éducation des enfants ukrainiens dans les États membres, en luttant contre la désinformation et contre les activités de renseignement russes, et en faisant participer les Ukrainiens aux organisations actives dans leurs communautés locales;</w:t>
      </w:r>
    </w:p>
    <w:p w14:paraId="0CDA2F38" w14:textId="77777777" w:rsidR="009D7B7E" w:rsidRPr="00B348D7" w:rsidRDefault="009D7B7E" w:rsidP="009D7B7E">
      <w:pPr>
        <w:widowControl w:val="0"/>
        <w:numPr>
          <w:ilvl w:val="0"/>
          <w:numId w:val="16"/>
        </w:numPr>
        <w:overflowPunct w:val="0"/>
        <w:autoSpaceDE w:val="0"/>
        <w:autoSpaceDN w:val="0"/>
        <w:adjustRightInd w:val="0"/>
        <w:spacing w:line="240" w:lineRule="auto"/>
        <w:ind w:hanging="567"/>
        <w:textAlignment w:val="baseline"/>
      </w:pPr>
      <w:r>
        <w:t>juge important d’établir des conditions de travail équitables pour les Ukrainiens, à la fois au sein de l’UE et en Ukraine; il est attendu des États membres qu’ils luttent contre l’exploitation et l’inégalité de traitement auxquelles les Ukrainiens sont exposés en matière d’emploi, tandis que le gouvernement ukrainien devrait rétablir des solutions favorables pour les travailleurs et les activités syndicales grâce au dialogue social.</w:t>
      </w:r>
    </w:p>
    <w:p w14:paraId="29523742" w14:textId="77777777" w:rsidR="009D7B7E" w:rsidRPr="000624A9" w:rsidRDefault="009D7B7E" w:rsidP="009D7B7E">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A6689B" w14:paraId="1CCE235D" w14:textId="77777777" w:rsidTr="0045750F">
        <w:tc>
          <w:tcPr>
            <w:tcW w:w="1077" w:type="pct"/>
          </w:tcPr>
          <w:p w14:paraId="521EB67E" w14:textId="77777777" w:rsidR="009D7B7E" w:rsidRPr="00A6689B" w:rsidRDefault="009D7B7E" w:rsidP="0045750F">
            <w:pPr>
              <w:rPr>
                <w:i/>
              </w:rPr>
            </w:pPr>
            <w:r>
              <w:rPr>
                <w:b/>
                <w:i/>
              </w:rPr>
              <w:t>Contact</w:t>
            </w:r>
          </w:p>
        </w:tc>
        <w:tc>
          <w:tcPr>
            <w:tcW w:w="3923" w:type="pct"/>
          </w:tcPr>
          <w:p w14:paraId="7F4BDF9A" w14:textId="77777777" w:rsidR="009D7B7E" w:rsidRPr="00A6689B" w:rsidRDefault="009D7B7E" w:rsidP="0045750F">
            <w:pPr>
              <w:rPr>
                <w:i/>
              </w:rPr>
            </w:pPr>
            <w:proofErr w:type="spellStart"/>
            <w:r>
              <w:rPr>
                <w:i/>
              </w:rPr>
              <w:t>Katarína</w:t>
            </w:r>
            <w:proofErr w:type="spellEnd"/>
            <w:r>
              <w:rPr>
                <w:i/>
              </w:rPr>
              <w:t xml:space="preserve"> GRZESZCZYK ALBRECHTOVÁ</w:t>
            </w:r>
          </w:p>
        </w:tc>
      </w:tr>
      <w:tr w:rsidR="009D7B7E" w:rsidRPr="00A6689B" w14:paraId="3ABF442D" w14:textId="77777777" w:rsidTr="0045750F">
        <w:tc>
          <w:tcPr>
            <w:tcW w:w="1077" w:type="pct"/>
          </w:tcPr>
          <w:p w14:paraId="2B2F698C" w14:textId="77777777" w:rsidR="009D7B7E" w:rsidRPr="00A6689B" w:rsidRDefault="009D7B7E" w:rsidP="0045750F">
            <w:pPr>
              <w:rPr>
                <w:i/>
              </w:rPr>
            </w:pPr>
            <w:r>
              <w:rPr>
                <w:i/>
              </w:rPr>
              <w:t>Tél.</w:t>
            </w:r>
          </w:p>
        </w:tc>
        <w:tc>
          <w:tcPr>
            <w:tcW w:w="3923" w:type="pct"/>
          </w:tcPr>
          <w:p w14:paraId="54F0F3A1" w14:textId="77777777" w:rsidR="009D7B7E" w:rsidRPr="00A6689B" w:rsidRDefault="009D7B7E" w:rsidP="0045750F">
            <w:pPr>
              <w:rPr>
                <w:i/>
              </w:rPr>
            </w:pPr>
            <w:r>
              <w:rPr>
                <w:i/>
              </w:rPr>
              <w:t>+32 2 546 9460</w:t>
            </w:r>
          </w:p>
        </w:tc>
      </w:tr>
      <w:tr w:rsidR="009D7B7E" w:rsidRPr="00A6689B" w14:paraId="2C8309F3" w14:textId="77777777" w:rsidTr="0045750F">
        <w:tc>
          <w:tcPr>
            <w:tcW w:w="1077" w:type="pct"/>
          </w:tcPr>
          <w:p w14:paraId="56A74046" w14:textId="77777777" w:rsidR="009D7B7E" w:rsidRPr="00A6689B" w:rsidRDefault="009D7B7E" w:rsidP="0045750F">
            <w:pPr>
              <w:rPr>
                <w:i/>
              </w:rPr>
            </w:pPr>
            <w:r>
              <w:rPr>
                <w:i/>
              </w:rPr>
              <w:t>Courriel</w:t>
            </w:r>
          </w:p>
        </w:tc>
        <w:tc>
          <w:tcPr>
            <w:tcW w:w="3923" w:type="pct"/>
          </w:tcPr>
          <w:p w14:paraId="695993AC" w14:textId="77777777" w:rsidR="009D7B7E" w:rsidRPr="00A6689B" w:rsidRDefault="00086F62" w:rsidP="0045750F">
            <w:pPr>
              <w:rPr>
                <w:i/>
              </w:rPr>
            </w:pPr>
            <w:hyperlink r:id="rId51" w:history="1">
              <w:r w:rsidR="009D7B7E">
                <w:rPr>
                  <w:rStyle w:val="Hyperlink"/>
                  <w:i/>
                </w:rPr>
                <w:t>Katarina.Albrechtova@eesc.europa.eu</w:t>
              </w:r>
            </w:hyperlink>
            <w:r w:rsidR="009D7B7E">
              <w:rPr>
                <w:i/>
              </w:rPr>
              <w:t xml:space="preserve"> </w:t>
            </w:r>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5AF17D93" w14:textId="77777777" w:rsidR="009D7B7E" w:rsidRPr="0003586F" w:rsidRDefault="00086F62" w:rsidP="009D7B7E">
      <w:pPr>
        <w:widowControl w:val="0"/>
        <w:numPr>
          <w:ilvl w:val="0"/>
          <w:numId w:val="16"/>
        </w:numPr>
        <w:overflowPunct w:val="0"/>
        <w:autoSpaceDE w:val="0"/>
        <w:autoSpaceDN w:val="0"/>
        <w:adjustRightInd w:val="0"/>
        <w:ind w:hanging="567"/>
        <w:textAlignment w:val="baseline"/>
        <w:rPr>
          <w:sz w:val="20"/>
        </w:rPr>
      </w:pPr>
      <w:hyperlink r:id="rId52" w:history="1">
        <w:r w:rsidR="009D7B7E">
          <w:rPr>
            <w:rStyle w:val="Hyperlink"/>
            <w:b/>
            <w:i/>
            <w:sz w:val="28"/>
          </w:rPr>
          <w:t>Coopératives industrielles</w:t>
        </w:r>
      </w:hyperlink>
      <w:r w:rsidR="009D7B7E">
        <w:rPr>
          <w:b/>
          <w:i/>
          <w:sz w:val="28"/>
        </w:rPr>
        <w:t xml:space="preserve"> </w:t>
      </w:r>
    </w:p>
    <w:p w14:paraId="7D6B66C9" w14:textId="77777777" w:rsidR="009D7B7E" w:rsidRPr="00116567" w:rsidRDefault="009D7B7E" w:rsidP="009D7B7E">
      <w:pPr>
        <w:tabs>
          <w:tab w:val="center" w:pos="284"/>
        </w:tabs>
        <w:ind w:left="266" w:hanging="266"/>
        <w:rPr>
          <w:b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8630AF" w14:paraId="1CF65BF0" w14:textId="77777777" w:rsidTr="0045750F">
        <w:tc>
          <w:tcPr>
            <w:tcW w:w="1077" w:type="pct"/>
          </w:tcPr>
          <w:p w14:paraId="1C532CED" w14:textId="77777777" w:rsidR="009D7B7E" w:rsidRPr="00A6689B" w:rsidRDefault="009D7B7E" w:rsidP="0045750F">
            <w:pPr>
              <w:tabs>
                <w:tab w:val="center" w:pos="284"/>
              </w:tabs>
              <w:ind w:left="266" w:hanging="266"/>
              <w:rPr>
                <w:b/>
              </w:rPr>
            </w:pPr>
            <w:r>
              <w:rPr>
                <w:b/>
              </w:rPr>
              <w:t>Rapporteur</w:t>
            </w:r>
          </w:p>
        </w:tc>
        <w:tc>
          <w:tcPr>
            <w:tcW w:w="3923" w:type="pct"/>
          </w:tcPr>
          <w:p w14:paraId="3DEF35F9" w14:textId="77777777" w:rsidR="009D7B7E" w:rsidRPr="0027488D" w:rsidRDefault="009D7B7E" w:rsidP="0045750F">
            <w:pPr>
              <w:tabs>
                <w:tab w:val="center" w:pos="284"/>
              </w:tabs>
              <w:ind w:left="266" w:right="-3091" w:hanging="266"/>
            </w:pPr>
            <w:r>
              <w:t>Giuseppe GUERINI (groupe des organisations de la société civile — Italie)</w:t>
            </w:r>
          </w:p>
        </w:tc>
      </w:tr>
      <w:tr w:rsidR="009D7B7E" w:rsidRPr="00A6689B" w14:paraId="46587A84" w14:textId="77777777" w:rsidTr="0045750F">
        <w:tc>
          <w:tcPr>
            <w:tcW w:w="1077" w:type="pct"/>
          </w:tcPr>
          <w:p w14:paraId="3231CECB" w14:textId="77777777" w:rsidR="009D7B7E" w:rsidRPr="00A6689B" w:rsidRDefault="009D7B7E" w:rsidP="0045750F">
            <w:pPr>
              <w:tabs>
                <w:tab w:val="center" w:pos="284"/>
              </w:tabs>
              <w:ind w:left="266" w:hanging="266"/>
              <w:rPr>
                <w:b/>
              </w:rPr>
            </w:pPr>
            <w:r>
              <w:rPr>
                <w:b/>
              </w:rPr>
              <w:t>Corapporteur</w:t>
            </w:r>
          </w:p>
        </w:tc>
        <w:tc>
          <w:tcPr>
            <w:tcW w:w="3923" w:type="pct"/>
          </w:tcPr>
          <w:p w14:paraId="3BD71BF6" w14:textId="77777777" w:rsidR="009D7B7E" w:rsidRPr="00D97375" w:rsidRDefault="009D7B7E" w:rsidP="0045750F">
            <w:pPr>
              <w:tabs>
                <w:tab w:val="center" w:pos="284"/>
              </w:tabs>
              <w:ind w:left="266" w:right="-3091" w:hanging="266"/>
            </w:pPr>
            <w:r>
              <w:t>Michal PINTÉR (groupe des employeurs — Slovaquie)</w:t>
            </w:r>
          </w:p>
        </w:tc>
      </w:tr>
      <w:tr w:rsidR="009D7B7E" w:rsidRPr="00A6689B" w14:paraId="75EF6300" w14:textId="77777777" w:rsidTr="0045750F">
        <w:tc>
          <w:tcPr>
            <w:tcW w:w="1077" w:type="pct"/>
          </w:tcPr>
          <w:p w14:paraId="4B61051A" w14:textId="77777777" w:rsidR="009D7B7E" w:rsidRPr="00A6689B" w:rsidRDefault="009D7B7E" w:rsidP="0045750F">
            <w:pPr>
              <w:tabs>
                <w:tab w:val="center" w:pos="284"/>
              </w:tabs>
              <w:ind w:left="266" w:hanging="266"/>
              <w:rPr>
                <w:b/>
              </w:rPr>
            </w:pPr>
            <w:r>
              <w:rPr>
                <w:b/>
              </w:rPr>
              <w:t>Références</w:t>
            </w:r>
          </w:p>
        </w:tc>
        <w:tc>
          <w:tcPr>
            <w:tcW w:w="3923" w:type="pct"/>
          </w:tcPr>
          <w:p w14:paraId="640D868B" w14:textId="77777777" w:rsidR="009D7B7E" w:rsidRPr="00A6689B" w:rsidRDefault="009D7B7E" w:rsidP="0045750F">
            <w:pPr>
              <w:tabs>
                <w:tab w:val="center" w:pos="284"/>
              </w:tabs>
              <w:ind w:left="266" w:right="-3091" w:hanging="266"/>
            </w:pPr>
            <w:r>
              <w:t>EESC-2025-01083-00-00-AC</w:t>
            </w:r>
          </w:p>
        </w:tc>
      </w:tr>
    </w:tbl>
    <w:p w14:paraId="7BB5F567" w14:textId="77777777" w:rsidR="009D7B7E" w:rsidRPr="00116567" w:rsidRDefault="009D7B7E" w:rsidP="009D7B7E">
      <w:pPr>
        <w:tabs>
          <w:tab w:val="center" w:pos="284"/>
        </w:tabs>
        <w:ind w:left="266" w:hanging="266"/>
        <w:rPr>
          <w:b/>
          <w:sz w:val="18"/>
          <w:szCs w:val="18"/>
        </w:rPr>
      </w:pPr>
    </w:p>
    <w:p w14:paraId="0E945ABF" w14:textId="77777777" w:rsidR="009D7B7E" w:rsidRPr="00A6689B" w:rsidRDefault="009D7B7E" w:rsidP="009D7B7E">
      <w:pPr>
        <w:keepNext/>
        <w:keepLines/>
        <w:tabs>
          <w:tab w:val="center" w:pos="284"/>
        </w:tabs>
        <w:spacing w:line="240" w:lineRule="auto"/>
        <w:ind w:left="266" w:hanging="266"/>
        <w:rPr>
          <w:b/>
        </w:rPr>
      </w:pPr>
      <w:r>
        <w:rPr>
          <w:b/>
        </w:rPr>
        <w:t>Points clés</w:t>
      </w:r>
    </w:p>
    <w:p w14:paraId="6C69FB45" w14:textId="77777777" w:rsidR="009D7B7E" w:rsidRPr="00116567" w:rsidRDefault="009D7B7E" w:rsidP="009D7B7E">
      <w:pPr>
        <w:keepNext/>
        <w:keepLines/>
        <w:tabs>
          <w:tab w:val="center" w:pos="284"/>
        </w:tabs>
        <w:ind w:left="266" w:hanging="266"/>
        <w:rPr>
          <w:b/>
          <w:sz w:val="18"/>
          <w:szCs w:val="18"/>
        </w:rPr>
      </w:pPr>
    </w:p>
    <w:p w14:paraId="38D97483" w14:textId="77777777" w:rsidR="009D7B7E" w:rsidRPr="00A6689B" w:rsidRDefault="009D7B7E" w:rsidP="009D7B7E">
      <w:pPr>
        <w:rPr>
          <w:bCs/>
          <w:iCs/>
        </w:rPr>
      </w:pPr>
      <w:r>
        <w:t>Le CESE:</w:t>
      </w:r>
    </w:p>
    <w:p w14:paraId="0957958B" w14:textId="77777777" w:rsidR="009D7B7E" w:rsidRDefault="009D7B7E" w:rsidP="009D7B7E">
      <w:pPr>
        <w:widowControl w:val="0"/>
        <w:numPr>
          <w:ilvl w:val="0"/>
          <w:numId w:val="16"/>
        </w:numPr>
        <w:overflowPunct w:val="0"/>
        <w:autoSpaceDE w:val="0"/>
        <w:autoSpaceDN w:val="0"/>
        <w:adjustRightInd w:val="0"/>
        <w:ind w:hanging="567"/>
        <w:textAlignment w:val="baseline"/>
        <w:rPr>
          <w:bCs/>
          <w:iCs/>
        </w:rPr>
      </w:pPr>
      <w:r>
        <w:t>relève que les Nations unies ont proclamé 2025 l’année internationale des coopératives (AIC 2025) et lui ont donné pour thème «Les coopératives construisent un monde meilleur», un choix qui répond à la reconnaissance croissante à l’échelle internationale dont bénéficie le modèle coopératif dans tous les secteurs;</w:t>
      </w:r>
    </w:p>
    <w:p w14:paraId="0010A1B5" w14:textId="77777777" w:rsidR="009D7B7E" w:rsidRDefault="009D7B7E" w:rsidP="009D7B7E">
      <w:pPr>
        <w:widowControl w:val="0"/>
        <w:numPr>
          <w:ilvl w:val="0"/>
          <w:numId w:val="16"/>
        </w:numPr>
        <w:overflowPunct w:val="0"/>
        <w:autoSpaceDE w:val="0"/>
        <w:autoSpaceDN w:val="0"/>
        <w:adjustRightInd w:val="0"/>
        <w:ind w:hanging="567"/>
        <w:textAlignment w:val="baseline"/>
        <w:rPr>
          <w:bCs/>
          <w:iCs/>
        </w:rPr>
      </w:pPr>
      <w:r>
        <w:t>recommande d’incorporer l’enseignement des activités commerciales coopératives dans la formation classique à l’entreprise et aux métiers, et ce faisant, de mener des activités de sensibilisation à l’intention des institutions financières et d’ouvrir des possibilités dans le cadre d’Erasmus+;</w:t>
      </w:r>
    </w:p>
    <w:p w14:paraId="191856AD" w14:textId="77777777" w:rsidR="009D7B7E" w:rsidRPr="00277EB3" w:rsidRDefault="009D7B7E" w:rsidP="009D7B7E">
      <w:pPr>
        <w:widowControl w:val="0"/>
        <w:numPr>
          <w:ilvl w:val="0"/>
          <w:numId w:val="16"/>
        </w:numPr>
        <w:overflowPunct w:val="0"/>
        <w:autoSpaceDE w:val="0"/>
        <w:autoSpaceDN w:val="0"/>
        <w:adjustRightInd w:val="0"/>
        <w:ind w:hanging="567"/>
        <w:textAlignment w:val="baseline"/>
        <w:rPr>
          <w:bCs/>
          <w:iCs/>
        </w:rPr>
      </w:pPr>
      <w:r>
        <w:t>estime qu’il convient de promouvoir activement les coopératives auprès des entreprises en phase de démarrage et des jeunes entrepreneurs;</w:t>
      </w:r>
    </w:p>
    <w:p w14:paraId="55C1EDFC" w14:textId="77777777" w:rsidR="009D7B7E" w:rsidRPr="00277EB3" w:rsidRDefault="009D7B7E" w:rsidP="009D7B7E">
      <w:pPr>
        <w:widowControl w:val="0"/>
        <w:numPr>
          <w:ilvl w:val="0"/>
          <w:numId w:val="16"/>
        </w:numPr>
        <w:overflowPunct w:val="0"/>
        <w:autoSpaceDE w:val="0"/>
        <w:autoSpaceDN w:val="0"/>
        <w:adjustRightInd w:val="0"/>
        <w:ind w:hanging="567"/>
        <w:textAlignment w:val="baseline"/>
        <w:rPr>
          <w:bCs/>
          <w:iCs/>
        </w:rPr>
      </w:pPr>
      <w:r>
        <w:t>demande de reconnaître les coopératives industrielles comme des acteurs essentiels de l’économie et de faire jouer en leur faveur des incitations financières ciblées à l’échelon de l’Union européenne, de ses États membres et de leurs régions, par exemple sous la forme d’allègements fiscaux, de subventions ou de financements à faible taux d’intérêt, afin de soutenir la symbiose industrielle et la circularité;</w:t>
      </w:r>
    </w:p>
    <w:p w14:paraId="0BD3BA74" w14:textId="77777777" w:rsidR="009D7B7E" w:rsidRPr="00277EB3" w:rsidRDefault="009D7B7E" w:rsidP="009D7B7E">
      <w:pPr>
        <w:widowControl w:val="0"/>
        <w:numPr>
          <w:ilvl w:val="0"/>
          <w:numId w:val="16"/>
        </w:numPr>
        <w:overflowPunct w:val="0"/>
        <w:autoSpaceDE w:val="0"/>
        <w:autoSpaceDN w:val="0"/>
        <w:adjustRightInd w:val="0"/>
        <w:textAlignment w:val="baseline"/>
        <w:rPr>
          <w:bCs/>
          <w:iCs/>
        </w:rPr>
      </w:pPr>
      <w:r>
        <w:t>encourage les investissements dans les parcs industriels partagés, les zones éco-industrielles et les plateformes de partage des connaissances sur le modèle coopératif, afin de renforcer grâce à ce dernier l’ancrage local et la production durable;</w:t>
      </w:r>
    </w:p>
    <w:p w14:paraId="54A4B69A" w14:textId="77777777" w:rsidR="009D7B7E" w:rsidRPr="00277EB3" w:rsidRDefault="009D7B7E" w:rsidP="009D7B7E">
      <w:pPr>
        <w:widowControl w:val="0"/>
        <w:numPr>
          <w:ilvl w:val="0"/>
          <w:numId w:val="16"/>
        </w:numPr>
        <w:overflowPunct w:val="0"/>
        <w:autoSpaceDE w:val="0"/>
        <w:autoSpaceDN w:val="0"/>
        <w:adjustRightInd w:val="0"/>
        <w:ind w:hanging="567"/>
        <w:textAlignment w:val="baseline"/>
        <w:rPr>
          <w:bCs/>
          <w:iCs/>
        </w:rPr>
      </w:pPr>
      <w:r>
        <w:t>invite instamment à intégrer aux programmes de cohésion de l’Union des mesures politiques spécifiquement destinées au secteur coopératif, et à donner ce faisant la priorité aux initiatives menées selon les principes coopératifs afin de renforcer la résilience et la durabilité à l’échelon régional;</w:t>
      </w:r>
    </w:p>
    <w:p w14:paraId="4DFE1034" w14:textId="77777777" w:rsidR="009D7B7E" w:rsidRPr="00277EB3" w:rsidRDefault="009D7B7E" w:rsidP="009D7B7E">
      <w:pPr>
        <w:widowControl w:val="0"/>
        <w:numPr>
          <w:ilvl w:val="0"/>
          <w:numId w:val="16"/>
        </w:numPr>
        <w:overflowPunct w:val="0"/>
        <w:autoSpaceDE w:val="0"/>
        <w:autoSpaceDN w:val="0"/>
        <w:adjustRightInd w:val="0"/>
        <w:ind w:hanging="567"/>
        <w:textAlignment w:val="baseline"/>
        <w:rPr>
          <w:bCs/>
          <w:iCs/>
        </w:rPr>
      </w:pPr>
      <w:r>
        <w:t>met en lumière l’importance stratégique croissante des coopératives fondées sur les données et demande à l’Union et aux pouvoirs publics nationaux de soutenir les initiatives collectives de gestion et de partage des données industrielles;</w:t>
      </w:r>
    </w:p>
    <w:p w14:paraId="26C08810" w14:textId="77777777" w:rsidR="009D7B7E" w:rsidRPr="00A6689B" w:rsidRDefault="009D7B7E" w:rsidP="009D7B7E">
      <w:pPr>
        <w:widowControl w:val="0"/>
        <w:numPr>
          <w:ilvl w:val="0"/>
          <w:numId w:val="16"/>
        </w:numPr>
        <w:overflowPunct w:val="0"/>
        <w:autoSpaceDE w:val="0"/>
        <w:autoSpaceDN w:val="0"/>
        <w:adjustRightInd w:val="0"/>
        <w:ind w:hanging="567"/>
        <w:textAlignment w:val="baseline"/>
        <w:rPr>
          <w:bCs/>
          <w:iCs/>
        </w:rPr>
      </w:pPr>
      <w:r>
        <w:t>insiste sur la valeur ajoutée unique que procure le modèle coopératif grâce à sa gouvernance démocratique, à la répartition équitable des richesses et à l’engagement collectif fort qu’il permet, ainsi qu’à sa forte capacité d’adaptation, autant de facteurs qui confortent l’autonomie stratégique de l’Union.</w:t>
      </w:r>
    </w:p>
    <w:p w14:paraId="43309A3D" w14:textId="77777777" w:rsidR="009D7B7E" w:rsidRPr="00116567" w:rsidRDefault="009D7B7E" w:rsidP="009D7B7E">
      <w:pPr>
        <w:widowControl w:val="0"/>
        <w:rPr>
          <w:bCs/>
          <w:iCs/>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7733"/>
      </w:tblGrid>
      <w:tr w:rsidR="009D7B7E" w:rsidRPr="00A6689B" w14:paraId="5D63E591" w14:textId="77777777" w:rsidTr="0045750F">
        <w:tc>
          <w:tcPr>
            <w:tcW w:w="1077" w:type="pct"/>
          </w:tcPr>
          <w:p w14:paraId="3A99FA7D" w14:textId="77777777" w:rsidR="009D7B7E" w:rsidRPr="00A6689B" w:rsidRDefault="009D7B7E" w:rsidP="0045750F">
            <w:pPr>
              <w:rPr>
                <w:i/>
              </w:rPr>
            </w:pPr>
            <w:r>
              <w:rPr>
                <w:b/>
                <w:i/>
              </w:rPr>
              <w:t>Contact</w:t>
            </w:r>
          </w:p>
        </w:tc>
        <w:tc>
          <w:tcPr>
            <w:tcW w:w="3923" w:type="pct"/>
          </w:tcPr>
          <w:p w14:paraId="402B6F91" w14:textId="77777777" w:rsidR="009D7B7E" w:rsidRPr="00A6689B" w:rsidRDefault="009D7B7E" w:rsidP="0045750F">
            <w:pPr>
              <w:rPr>
                <w:i/>
              </w:rPr>
            </w:pPr>
            <w:r>
              <w:rPr>
                <w:i/>
              </w:rPr>
              <w:t>Adam DORYWALSKI</w:t>
            </w:r>
          </w:p>
        </w:tc>
      </w:tr>
      <w:tr w:rsidR="009D7B7E" w:rsidRPr="00A6689B" w14:paraId="620BBBE8" w14:textId="77777777" w:rsidTr="0045750F">
        <w:tc>
          <w:tcPr>
            <w:tcW w:w="1077" w:type="pct"/>
          </w:tcPr>
          <w:p w14:paraId="5C6AC7FC" w14:textId="77777777" w:rsidR="009D7B7E" w:rsidRPr="00A6689B" w:rsidRDefault="009D7B7E" w:rsidP="0045750F">
            <w:pPr>
              <w:rPr>
                <w:i/>
              </w:rPr>
            </w:pPr>
            <w:r>
              <w:rPr>
                <w:i/>
              </w:rPr>
              <w:t>Tél.</w:t>
            </w:r>
          </w:p>
        </w:tc>
        <w:tc>
          <w:tcPr>
            <w:tcW w:w="3923" w:type="pct"/>
          </w:tcPr>
          <w:p w14:paraId="0787065C" w14:textId="77777777" w:rsidR="009D7B7E" w:rsidRPr="00A6689B" w:rsidRDefault="009D7B7E" w:rsidP="0045750F">
            <w:pPr>
              <w:rPr>
                <w:i/>
              </w:rPr>
            </w:pPr>
            <w:r>
              <w:rPr>
                <w:i/>
              </w:rPr>
              <w:t>+32 2 546 9397</w:t>
            </w:r>
          </w:p>
        </w:tc>
      </w:tr>
      <w:tr w:rsidR="009D7B7E" w:rsidRPr="00A6689B" w14:paraId="6E28601E" w14:textId="77777777" w:rsidTr="0045750F">
        <w:tc>
          <w:tcPr>
            <w:tcW w:w="1077" w:type="pct"/>
          </w:tcPr>
          <w:p w14:paraId="77348DDE" w14:textId="77777777" w:rsidR="009D7B7E" w:rsidRPr="00A6689B" w:rsidRDefault="009D7B7E" w:rsidP="0045750F">
            <w:pPr>
              <w:rPr>
                <w:i/>
              </w:rPr>
            </w:pPr>
            <w:r>
              <w:rPr>
                <w:i/>
              </w:rPr>
              <w:t>Courriel</w:t>
            </w:r>
          </w:p>
        </w:tc>
        <w:tc>
          <w:tcPr>
            <w:tcW w:w="3923" w:type="pct"/>
          </w:tcPr>
          <w:p w14:paraId="36336EA4" w14:textId="77777777" w:rsidR="009D7B7E" w:rsidRPr="00A6689B" w:rsidRDefault="00086F62" w:rsidP="0045750F">
            <w:pPr>
              <w:rPr>
                <w:i/>
              </w:rPr>
            </w:pPr>
            <w:hyperlink r:id="rId53" w:history="1">
              <w:r w:rsidR="009D7B7E">
                <w:rPr>
                  <w:rStyle w:val="Hyperlink"/>
                  <w:i/>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9F3671">
      <w:headerReference w:type="even" r:id="rId54"/>
      <w:headerReference w:type="default" r:id="rId55"/>
      <w:footerReference w:type="even" r:id="rId56"/>
      <w:footerReference w:type="default" r:id="rId57"/>
      <w:headerReference w:type="first" r:id="rId58"/>
      <w:footerReference w:type="first" r:id="rId59"/>
      <w:pgSz w:w="11907" w:h="16839"/>
      <w:pgMar w:top="1417" w:right="850"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9785" w14:textId="77777777" w:rsidR="005865B2" w:rsidRDefault="00586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086F62">
      <w:fldChar w:fldCharType="begin"/>
    </w:r>
    <w:r w:rsidR="00086F62">
      <w:instrText xml:space="preserve"> NUMPAGES </w:instrText>
    </w:r>
    <w:r w:rsidR="00086F62">
      <w:fldChar w:fldCharType="separate"/>
    </w:r>
    <w:r w:rsidR="008541DE">
      <w:t>1</w:t>
    </w:r>
    <w:r w:rsidR="00086F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D023" w14:textId="77777777" w:rsidR="005865B2" w:rsidRDefault="00586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086F62">
      <w:fldChar w:fldCharType="begin"/>
    </w:r>
    <w:r w:rsidR="00086F62">
      <w:instrText xml:space="preserve"> NUMPAGES </w:instrText>
    </w:r>
    <w:r w:rsidR="00086F62">
      <w:fldChar w:fldCharType="separate"/>
    </w:r>
    <w:r w:rsidR="008541DE">
      <w:t>16</w:t>
    </w:r>
    <w:r w:rsidR="00086F6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1F3A4938" w14:textId="77777777" w:rsidR="003B65A4" w:rsidRDefault="003B65A4" w:rsidP="003B65A4">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https://eur-lex.europa.eu/legal-content/FR/TXT/?uri=legissum:4623532</w:t>
        </w:r>
      </w:hyperlink>
      <w:r>
        <w:t>.</w:t>
      </w:r>
    </w:p>
  </w:footnote>
  <w:footnote w:id="2">
    <w:p w14:paraId="1A17B88C" w14:textId="77777777" w:rsidR="003B65A4" w:rsidRPr="0085657A" w:rsidRDefault="003B65A4" w:rsidP="003B65A4">
      <w:pPr>
        <w:keepLines/>
        <w:spacing w:after="60" w:line="240" w:lineRule="auto"/>
        <w:ind w:left="567" w:hanging="567"/>
        <w:rPr>
          <w:sz w:val="16"/>
          <w:szCs w:val="16"/>
        </w:rPr>
      </w:pPr>
      <w:r>
        <w:rPr>
          <w:rStyle w:val="FootnoteReference"/>
        </w:rPr>
        <w:footnoteRef/>
      </w:r>
      <w:r>
        <w:rPr>
          <w:sz w:val="16"/>
        </w:rPr>
        <w:tab/>
      </w:r>
      <w:hyperlink r:id="rId2">
        <w:r w:rsidRPr="0085657A">
          <w:rPr>
            <w:color w:val="0000FF"/>
            <w:sz w:val="16"/>
            <w:szCs w:val="16"/>
            <w:u w:val="single"/>
          </w:rPr>
          <w:t>https://eur-lex.europa.eu/legal-content/FR/TXT/?uri=CELEX%3A52022XC0930%2802%29</w:t>
        </w:r>
      </w:hyperlink>
      <w:r w:rsidRPr="0085657A">
        <w:rPr>
          <w:sz w:val="16"/>
          <w:szCs w:val="16"/>
        </w:rPr>
        <w:t>.</w:t>
      </w:r>
    </w:p>
  </w:footnote>
  <w:footnote w:id="3">
    <w:p w14:paraId="1B0F861D" w14:textId="77777777" w:rsidR="003B65A4" w:rsidRPr="0023267D" w:rsidRDefault="003B65A4" w:rsidP="003B65A4">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https://eur-lex.europa.eu/legal-content/FR/TXT/HTML/?uri=PI_COM:C(2021)6650</w:t>
        </w:r>
      </w:hyperlink>
      <w:r>
        <w:rPr>
          <w:sz w:val="16"/>
        </w:rPr>
        <w:t>.</w:t>
      </w:r>
    </w:p>
  </w:footnote>
  <w:footnote w:id="4">
    <w:p w14:paraId="3D98C34D" w14:textId="77777777" w:rsidR="003B65A4" w:rsidRPr="0085657A" w:rsidRDefault="003B65A4" w:rsidP="003B65A4">
      <w:pPr>
        <w:keepLines/>
        <w:spacing w:after="60" w:line="240" w:lineRule="auto"/>
        <w:ind w:left="567" w:hanging="567"/>
        <w:rPr>
          <w:sz w:val="16"/>
          <w:szCs w:val="16"/>
        </w:rPr>
      </w:pPr>
      <w:r>
        <w:rPr>
          <w:rStyle w:val="FootnoteReference"/>
        </w:rPr>
        <w:footnoteRef/>
      </w:r>
      <w:r>
        <w:tab/>
      </w:r>
      <w:r w:rsidRPr="0085657A">
        <w:rPr>
          <w:sz w:val="16"/>
          <w:szCs w:val="16"/>
        </w:rPr>
        <w:t xml:space="preserve">JO C, C/2025/114, 10.1.2025, ELI: </w:t>
      </w:r>
      <w:hyperlink r:id="rId4" w:history="1">
        <w:r w:rsidRPr="0085657A">
          <w:rPr>
            <w:rStyle w:val="Hyperlink"/>
            <w:sz w:val="16"/>
            <w:szCs w:val="16"/>
          </w:rPr>
          <w:t>https://eur-lex.europa.eu/eli/C/2025/114/oj</w:t>
        </w:r>
      </w:hyperlink>
      <w:r w:rsidRPr="0085657A">
        <w:rPr>
          <w:sz w:val="16"/>
          <w:szCs w:val="16"/>
        </w:rPr>
        <w:t>.</w:t>
      </w:r>
    </w:p>
  </w:footnote>
  <w:footnote w:id="5">
    <w:p w14:paraId="0061B6EA" w14:textId="77777777" w:rsidR="00A304C7" w:rsidRPr="00360DD3" w:rsidRDefault="00A304C7" w:rsidP="00A304C7">
      <w:pPr>
        <w:pStyle w:val="FootnoteText"/>
      </w:pPr>
      <w:r>
        <w:rPr>
          <w:rStyle w:val="FootnoteReference"/>
        </w:rPr>
        <w:footnoteRef/>
      </w:r>
      <w:r>
        <w:tab/>
        <w:t xml:space="preserve">Avis d’initiative du CESE sur le thème </w:t>
      </w:r>
      <w:hyperlink w:anchor=":~:text=The%20only%20reliable%20way%20to%20preserve%20the%20rainforests%20is%20through" w:history="1">
        <w:r>
          <w:rPr>
            <w:rStyle w:val="Hyperlink"/>
            <w:i/>
          </w:rPr>
          <w:t>«Déforestation de la forêt amazonienne: incidences sur le changement climatique et l’environnement mondial, et conséquences pour les entreprises, les travailleurs et la population»</w:t>
        </w:r>
      </w:hyperlink>
      <w:r>
        <w:t xml:space="preserve">, </w:t>
      </w:r>
      <w:hyperlink r:id="rId5" w:history="1">
        <w:r>
          <w:rPr>
            <w:rStyle w:val="Hyperlink"/>
          </w:rPr>
          <w:t>JO C/2024/6882 du 28.11.2024</w:t>
        </w:r>
      </w:hyperlink>
      <w:r>
        <w:t>.</w:t>
      </w:r>
    </w:p>
  </w:footnote>
  <w:footnote w:id="6">
    <w:p w14:paraId="3FB2EB07" w14:textId="77777777" w:rsidR="00A304C7" w:rsidRPr="00360DD3" w:rsidRDefault="00A304C7" w:rsidP="00A304C7">
      <w:pPr>
        <w:pStyle w:val="FootnoteText"/>
      </w:pPr>
      <w:r>
        <w:rPr>
          <w:rStyle w:val="FootnoteReference"/>
        </w:rPr>
        <w:footnoteRef/>
      </w:r>
      <w:r>
        <w:tab/>
        <w:t xml:space="preserve">Avis du CESE sur le thème </w:t>
      </w:r>
      <w:hyperlink r:id="rId6" w:history="1">
        <w:r>
          <w:rPr>
            <w:rStyle w:val="Hyperlink"/>
            <w:i/>
          </w:rPr>
          <w:t>«Réduire au minimum le risque de déforestation et de dégradation des forêts associé aux produits mis sur le marché dans l’Union»</w:t>
        </w:r>
      </w:hyperlink>
      <w:r>
        <w:t xml:space="preserve">, </w:t>
      </w:r>
      <w:hyperlink r:id="rId7" w:history="1">
        <w:r>
          <w:rPr>
            <w:rStyle w:val="Hyperlink"/>
          </w:rPr>
          <w:t>JO C 275 du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3FDD" w14:textId="77777777" w:rsidR="005865B2" w:rsidRDefault="00586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B525" w14:textId="77777777" w:rsidR="005865B2" w:rsidRDefault="00586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19E2" w14:textId="77777777" w:rsidR="005865B2" w:rsidRDefault="00586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EF840E6"/>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DDE088C8"/>
    <w:lvl w:ilvl="0">
      <w:start w:val="1"/>
      <w:numFmt w:val="bullet"/>
      <w:lvlText w:val=""/>
      <w:lvlJc w:val="left"/>
      <w:pPr>
        <w:ind w:left="644" w:hanging="360"/>
      </w:pPr>
      <w:rPr>
        <w:rFonts w:ascii="Symbol" w:hAnsi="Symbol" w:hint="default"/>
        <w:color w:val="auto"/>
      </w:rPr>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B64CE3"/>
    <w:multiLevelType w:val="hybridMultilevel"/>
    <w:tmpl w:val="6BA4FA2C"/>
    <w:lvl w:ilvl="0" w:tplc="A8C287DA">
      <w:start w:val="2"/>
      <w:numFmt w:val="decimal"/>
      <w:lvlText w:val="%1."/>
      <w:lvlJc w:val="left"/>
      <w:pPr>
        <w:ind w:left="644"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F6B0957"/>
    <w:multiLevelType w:val="hybridMultilevel"/>
    <w:tmpl w:val="DAB04A9E"/>
    <w:lvl w:ilvl="0" w:tplc="080C000F">
      <w:start w:val="1"/>
      <w:numFmt w:val="decimal"/>
      <w:lvlText w:val="%1."/>
      <w:lvlJc w:val="left"/>
      <w:pPr>
        <w:ind w:left="644" w:hanging="360"/>
      </w:p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0"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221D4"/>
    <w:multiLevelType w:val="hybridMultilevel"/>
    <w:tmpl w:val="E55CB4DC"/>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7"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8" w15:restartNumberingAfterBreak="0">
    <w:nsid w:val="3A7B2E6D"/>
    <w:multiLevelType w:val="hybridMultilevel"/>
    <w:tmpl w:val="9516DB80"/>
    <w:lvl w:ilvl="0" w:tplc="A8C287DA">
      <w:start w:val="2"/>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1"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5"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7"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DD417E"/>
    <w:multiLevelType w:val="hybridMultilevel"/>
    <w:tmpl w:val="76306D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9"/>
  </w:num>
  <w:num w:numId="3">
    <w:abstractNumId w:val="35"/>
  </w:num>
  <w:num w:numId="4">
    <w:abstractNumId w:val="1"/>
  </w:num>
  <w:num w:numId="5">
    <w:abstractNumId w:val="30"/>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0"/>
  </w:num>
  <w:num w:numId="8">
    <w:abstractNumId w:val="5"/>
  </w:num>
  <w:num w:numId="9">
    <w:abstractNumId w:val="32"/>
  </w:num>
  <w:num w:numId="10">
    <w:abstractNumId w:val="15"/>
  </w:num>
  <w:num w:numId="11">
    <w:abstractNumId w:val="19"/>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num>
  <w:num w:numId="15">
    <w:abstractNumId w:val="28"/>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7"/>
  </w:num>
  <w:num w:numId="18">
    <w:abstractNumId w:val="7"/>
  </w:num>
  <w:num w:numId="19">
    <w:abstractNumId w:val="4"/>
  </w:num>
  <w:num w:numId="20">
    <w:abstractNumId w:val="20"/>
  </w:num>
  <w:num w:numId="21">
    <w:abstractNumId w:val="34"/>
  </w:num>
  <w:num w:numId="22">
    <w:abstractNumId w:val="14"/>
  </w:num>
  <w:num w:numId="23">
    <w:abstractNumId w:val="36"/>
  </w:num>
  <w:num w:numId="24">
    <w:abstractNumId w:val="31"/>
  </w:num>
  <w:num w:numId="25">
    <w:abstractNumId w:val="2"/>
  </w:num>
  <w:num w:numId="26">
    <w:abstractNumId w:val="21"/>
  </w:num>
  <w:num w:numId="27">
    <w:abstractNumId w:val="22"/>
  </w:num>
  <w:num w:numId="28">
    <w:abstractNumId w:val="23"/>
  </w:num>
  <w:num w:numId="29">
    <w:abstractNumId w:val="3"/>
  </w:num>
  <w:num w:numId="30">
    <w:abstractNumId w:val="12"/>
  </w:num>
  <w:num w:numId="31">
    <w:abstractNumId w:val="25"/>
  </w:num>
  <w:num w:numId="32">
    <w:abstractNumId w:val="11"/>
  </w:num>
  <w:num w:numId="33">
    <w:abstractNumId w:val="6"/>
  </w:num>
  <w:num w:numId="34">
    <w:abstractNumId w:val="26"/>
  </w:num>
  <w:num w:numId="35">
    <w:abstractNumId w:val="13"/>
  </w:num>
  <w:num w:numId="36">
    <w:abstractNumId w:val="33"/>
  </w:num>
  <w:num w:numId="37">
    <w:abstractNumId w:val="16"/>
  </w:num>
  <w:num w:numId="38">
    <w:abstractNumId w:val="9"/>
  </w:num>
  <w:num w:numId="39">
    <w:abstractNumId w:val="8"/>
  </w:num>
  <w:num w:numId="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B65A4"/>
    <w:rsid w:val="003C16C3"/>
    <w:rsid w:val="003D4EDF"/>
    <w:rsid w:val="003F190C"/>
    <w:rsid w:val="003F326D"/>
    <w:rsid w:val="003F79EF"/>
    <w:rsid w:val="0040402B"/>
    <w:rsid w:val="0043191A"/>
    <w:rsid w:val="00446882"/>
    <w:rsid w:val="004503DC"/>
    <w:rsid w:val="004632C1"/>
    <w:rsid w:val="00463600"/>
    <w:rsid w:val="00465162"/>
    <w:rsid w:val="004A5CD7"/>
    <w:rsid w:val="004A6CE5"/>
    <w:rsid w:val="004D7AC0"/>
    <w:rsid w:val="004E64BE"/>
    <w:rsid w:val="00505C80"/>
    <w:rsid w:val="00515DDF"/>
    <w:rsid w:val="00532089"/>
    <w:rsid w:val="00537F29"/>
    <w:rsid w:val="005650A9"/>
    <w:rsid w:val="005865B2"/>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47076"/>
    <w:rsid w:val="008541DE"/>
    <w:rsid w:val="00871818"/>
    <w:rsid w:val="0088219D"/>
    <w:rsid w:val="00896BC8"/>
    <w:rsid w:val="008A27AD"/>
    <w:rsid w:val="008A6059"/>
    <w:rsid w:val="008C414B"/>
    <w:rsid w:val="008D0052"/>
    <w:rsid w:val="009041AE"/>
    <w:rsid w:val="00926A3C"/>
    <w:rsid w:val="00946B15"/>
    <w:rsid w:val="009679E7"/>
    <w:rsid w:val="00973F68"/>
    <w:rsid w:val="009D7B7E"/>
    <w:rsid w:val="009E1915"/>
    <w:rsid w:val="009E4148"/>
    <w:rsid w:val="009F1AE3"/>
    <w:rsid w:val="009F3671"/>
    <w:rsid w:val="00A20E9D"/>
    <w:rsid w:val="00A23E40"/>
    <w:rsid w:val="00A272B2"/>
    <w:rsid w:val="00A304C7"/>
    <w:rsid w:val="00A44608"/>
    <w:rsid w:val="00A50553"/>
    <w:rsid w:val="00A51688"/>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47847"/>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9F3671"/>
    <w:pPr>
      <w:tabs>
        <w:tab w:val="left" w:pos="440"/>
        <w:tab w:val="right" w:leader="dot" w:pos="9063"/>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9F3671"/>
    <w:pPr>
      <w:tabs>
        <w:tab w:val="left" w:pos="426"/>
        <w:tab w:val="right" w:leader="dot" w:pos="9063"/>
      </w:tabs>
      <w:spacing w:after="100"/>
    </w:pPr>
  </w:style>
  <w:style w:type="character" w:styleId="UnresolvedMention">
    <w:name w:val="Unresolved Mention"/>
    <w:basedOn w:val="DefaultParagraphFont"/>
    <w:uiPriority w:val="99"/>
    <w:semiHidden/>
    <w:unhideWhenUsed/>
    <w:rsid w:val="00D47847"/>
    <w:rPr>
      <w:color w:val="605E5C"/>
      <w:shd w:val="clear" w:color="auto" w:fill="E1DFDD"/>
    </w:rPr>
  </w:style>
  <w:style w:type="paragraph" w:styleId="NormalWeb">
    <w:name w:val="Normal (Web)"/>
    <w:basedOn w:val="Normal"/>
    <w:uiPriority w:val="99"/>
    <w:unhideWhenUsed/>
    <w:rsid w:val="003B65A4"/>
    <w:pPr>
      <w:spacing w:before="100" w:beforeAutospacing="1" w:after="100" w:afterAutospacing="1" w:line="240" w:lineRule="auto"/>
      <w:jc w:val="left"/>
    </w:pPr>
    <w:rPr>
      <w:sz w:val="24"/>
      <w:szCs w:val="24"/>
      <w:lang w:eastAsia="fr-BE"/>
    </w:rPr>
  </w:style>
  <w:style w:type="character" w:styleId="Strong">
    <w:name w:val="Strong"/>
    <w:basedOn w:val="DefaultParagraphFont"/>
    <w:uiPriority w:val="22"/>
    <w:qFormat/>
    <w:rsid w:val="003B65A4"/>
    <w:rPr>
      <w:b/>
      <w:bCs/>
    </w:rPr>
  </w:style>
  <w:style w:type="character" w:customStyle="1" w:styleId="ListParagraphChar">
    <w:name w:val="List Paragraph Char"/>
    <w:link w:val="ListParagraph"/>
    <w:uiPriority w:val="34"/>
    <w:locked/>
    <w:rsid w:val="00A304C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ecdocs" TargetMode="External"/><Relationship Id="rId18" Type="http://schemas.openxmlformats.org/officeDocument/2006/relationships/header" Target="header3.xml"/><Relationship Id="rId26" Type="http://schemas.openxmlformats.org/officeDocument/2006/relationships/hyperlink" Target="mailto:Alessia.Cova@eesc.europa.eu" TargetMode="External"/><Relationship Id="rId39" Type="http://schemas.openxmlformats.org/officeDocument/2006/relationships/hyperlink" Target="https://www.eesc.europa.eu/fr/our-work/opinions-information-reports/opinions/revision-du-cadre-juridique-europeen-en-matiere-de-marches-publics" TargetMode="External"/><Relationship Id="rId21" Type="http://schemas.openxmlformats.org/officeDocument/2006/relationships/hyperlink" Target="mailto:Georgios.Meleas@eesc.europa.eu" TargetMode="External"/><Relationship Id="rId34" Type="http://schemas.openxmlformats.org/officeDocument/2006/relationships/hyperlink" Target="mailto:Annalisa.Tessarolo@eesc.europa.eu" TargetMode="External"/><Relationship Id="rId42" Type="http://schemas.openxmlformats.org/officeDocument/2006/relationships/hyperlink" Target="mailto:Martine.Delanoy@eesc.europa.eu" TargetMode="External"/><Relationship Id="rId47" Type="http://schemas.openxmlformats.org/officeDocument/2006/relationships/hyperlink" Target="mailto:Daniele.Vitali@eesc.europa.eu" TargetMode="External"/><Relationship Id="rId50" Type="http://schemas.openxmlformats.org/officeDocument/2006/relationships/hyperlink" Target="https://www.eesc.europa.eu/fr/our-work/opinions-information-reports/opinions/une-voie-suivre-europeenne-previsible-et-commune-pour-les-ukrainiens-dans-lue"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fr/our-work/opinions-information-reports/opinions/mise-en-oeuvre-des-strategies-macroregionales-de-lunion-europeenne-cinquieme-rapport" TargetMode="External"/><Relationship Id="rId29" Type="http://schemas.openxmlformats.org/officeDocument/2006/relationships/hyperlink" Target="mailto:Maja.Radman@eesc.europa.eu" TargetMode="External"/><Relationship Id="rId41" Type="http://schemas.openxmlformats.org/officeDocument/2006/relationships/hyperlink" Target="https://www.eesc.europa.eu/fr/our-work/opinions-information-reports/opinions/amendment-deforestation-regulation-eu-20231115"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une.bedaton@eesc.europa.eu" TargetMode="External"/><Relationship Id="rId32" Type="http://schemas.openxmlformats.org/officeDocument/2006/relationships/hyperlink" Target="mailto:Albert.Precup@eesc.europa.eu" TargetMode="External"/><Relationship Id="rId37" Type="http://schemas.openxmlformats.org/officeDocument/2006/relationships/hyperlink" Target="https://www.eesc.europa.eu/fr/our-work/opinions-information-reports/opinions/fonds-pour-la-competitivite" TargetMode="External"/><Relationship Id="rId40" Type="http://schemas.openxmlformats.org/officeDocument/2006/relationships/hyperlink" Target="mailto:Annalisa.Tessarolo@eesc.europa.eu" TargetMode="External"/><Relationship Id="rId45" Type="http://schemas.openxmlformats.org/officeDocument/2006/relationships/hyperlink" Target="mailto:Marie-Laurence.Drillon@eesc.europa.eu" TargetMode="External"/><Relationship Id="rId53" Type="http://schemas.openxmlformats.org/officeDocument/2006/relationships/hyperlink" Target="mailto:Adam.Dorywalski@eesc.europa.eu"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fr/our-work/opinions-information-reports/opinions/les-droits-des-journalistes-et-des-professionnels-des-medias-en-matiere-de-travail-en-tant-que-garanties-dindependance" TargetMode="External"/><Relationship Id="rId28" Type="http://schemas.openxmlformats.org/officeDocument/2006/relationships/hyperlink" Target="https://eur-lex.europa.eu/eli/C/2023/874/oj?eliuri=eli%3AC%3A2023%3A874%3Aoj&amp;locale=fr" TargetMode="External"/><Relationship Id="rId36" Type="http://schemas.openxmlformats.org/officeDocument/2006/relationships/hyperlink" Target="mailto:Silvia.Staffa@eesc.europa.eu" TargetMode="External"/><Relationship Id="rId49" Type="http://schemas.openxmlformats.org/officeDocument/2006/relationships/hyperlink" Target="mailto:Katarina.Albrechtova@eesc.europa.eu" TargetMode="Externa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fr/our-work/opinions-information-reports/opinions/programme-indicatif-nucleaire-1" TargetMode="External"/><Relationship Id="rId44" Type="http://schemas.openxmlformats.org/officeDocument/2006/relationships/hyperlink" Target="mailto:Arturo.Iniguez@eesc.europa.eu" TargetMode="External"/><Relationship Id="rId52" Type="http://schemas.openxmlformats.org/officeDocument/2006/relationships/hyperlink" Target="https://www.eesc.europa.eu/fr/our-work/opinions-information-reports/opinions/cooperatives-industrielles-un-outil-pour-relever-le-defi-dune-competitivite-inclusive-et-durabl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fr/our-work/opinions-information-reports/opinions/classe-demissions-de-co2-des-vehicules-lourds-avec-remorques-0" TargetMode="External"/><Relationship Id="rId30" Type="http://schemas.openxmlformats.org/officeDocument/2006/relationships/hyperlink" Target="mailto:GiorgiaAndrea.Bordignon@eesc.europa.eu" TargetMode="External"/><Relationship Id="rId35" Type="http://schemas.openxmlformats.org/officeDocument/2006/relationships/hyperlink" Target="https://www.eesc.europa.eu/fr/our-work/opinions-information-reports/opinions/rapport-sur-la-politique-de-concurrence-2024" TargetMode="External"/><Relationship Id="rId43" Type="http://schemas.openxmlformats.org/officeDocument/2006/relationships/hyperlink" Target="https://www.eesc.europa.eu/fr/our-work/opinions-information-reports/opinions/revision-du-mecanisme-de-protection-civile-de-lunion" TargetMode="External"/><Relationship Id="rId48" Type="http://schemas.openxmlformats.org/officeDocument/2006/relationships/hyperlink" Target="https://www.eesc.europa.eu/fr/our-work/opinions-information-reports/opinions/une-voie-suivre-europeenne-previsible-et-commune-pour-les-ukrainiens-dans-lue"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3" Type="http://schemas.openxmlformats.org/officeDocument/2006/relationships/customXml" Target="../customXml/item3.xml"/><Relationship Id="rId12" Type="http://schemas.openxmlformats.org/officeDocument/2006/relationships/hyperlink" Target="https://www.eesc.europa.eu/fr/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fr/our-work/opinions-information-reports/opinions/programmes-agoraeu-et-justice" TargetMode="External"/><Relationship Id="rId33" Type="http://schemas.openxmlformats.org/officeDocument/2006/relationships/hyperlink" Target="https://www.eesc.europa.eu/fr/our-work/opinions-information-reports/opinions/strategie-pour-le-marche-unique" TargetMode="External"/><Relationship Id="rId38" Type="http://schemas.openxmlformats.org/officeDocument/2006/relationships/hyperlink" Target="mailto:Silvia.Staffa@eesc.europa.eu" TargetMode="External"/><Relationship Id="rId46" Type="http://schemas.openxmlformats.org/officeDocument/2006/relationships/hyperlink" Target="https://www.eesc.europa.eu/fr/our-work/opinions-information-reports/opinions/leurope-dans-le-monde-proposition-relative-au-cadre-financier-pluriannuel" TargetMode="External"/><Relationship Id="rId59"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PI_COM:C(2021)6650" TargetMode="External"/><Relationship Id="rId7" Type="http://schemas.openxmlformats.org/officeDocument/2006/relationships/hyperlink" Target="https://eur-lex.europa.eu/legal-content/FR/TXT/?uri=uriserv%3AOJ.C_.2022.275.01.0088.01.FRA&amp;toc=OJ%3AC%3A2022%3A275%3ATOC" TargetMode="External"/><Relationship Id="rId2" Type="http://schemas.openxmlformats.org/officeDocument/2006/relationships/hyperlink" Target="https://eur-lex.europa.eu/legal-content/FR/TXT/?uri=CELEX%3A52022XC0930%2802%29" TargetMode="External"/><Relationship Id="rId1" Type="http://schemas.openxmlformats.org/officeDocument/2006/relationships/hyperlink" Target="https://eur-lex.europa.eu/legal-content/FR/TXT/?uri=legissum:4623532" TargetMode="External"/><Relationship Id="rId6" Type="http://schemas.openxmlformats.org/officeDocument/2006/relationships/hyperlink" Target="https://www.eesc.europa.eu/fr/our-work/opinions-information-reports/opinions/reduire-au-minimum-du-risque-de-deforestation-et-de-degradation-des-forets-associe-aux-produits-mis-sur-le-marche-dans" TargetMode="External"/><Relationship Id="rId5" Type="http://schemas.openxmlformats.org/officeDocument/2006/relationships/hyperlink" Target="https://eur-lex.europa.eu/legal-content/fr/TXT/?uri=OJ:C_202406882"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A6WAAD5KZT2Q-284857674-6404</_dlc_DocId>
    <_dlc_DocIdUrl xmlns="1a33af13-4045-4f88-9d7b-618e30f79918">
      <Url>http://dm/eesc/2025/_layouts/15/DocIdRedir.aspx?ID=A6WAAD5KZT2Q-284857674-6404</Url>
      <Description>A6WAAD5KZT2Q-284857674-6404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Lacroix Grégory</DisplayName>
        <AccountId>1634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33EA1459-1B69-47BC-B7EE-79825EA78BC7}"/>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7900</Words>
  <Characters>43450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- 601e session plénière - décembre 2025</dc:title>
  <dc:subject>ADMIN</dc:subject>
  <dc:creator/>
  <cp:keywords>COR-EESC-2022-02583-00-00-ADMIN-TRA-EN</cp:keywords>
  <dc:description>Rapporteur:  - Original language: EN - Date of document: 20/05/2022 - Date of meeting:  - External documents:  - Administrator:  SUCIU Serban</dc:description>
  <cp:lastModifiedBy/>
  <cp:revision>9</cp:revision>
  <dcterms:created xsi:type="dcterms:W3CDTF">2025-12-15T10:39:00Z</dcterms:created>
  <dcterms:modified xsi:type="dcterms:W3CDTF">2025-12-19T15:27:00Z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7ecb1519-e198-487f-8a14-8da6dac3535b</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34;#IT|0774613c-01ed-4e5d-a25d-11d2388de825</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12;#FR|d2afafd3-4c81-4f60-8f52-ee33f2f54ff3</vt:lpwstr>
  </property>
  <property fmtid="{D5CDD505-2E9C-101B-9397-08002B2CF9AE}" pid="33" name="AvailableTranslations_0">
    <vt:lpwstr>EN|f2175f21-25d7-44a3-96da-d6a61b075e1b;IT|0774613c-01ed-4e5d-a25d-11d2388de825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