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5F46ABE9" w:rsidR="004D7AC0" w:rsidRDefault="003F5613" w:rsidP="004D7AC0">
      <w:pPr>
        <w:jc w:val="center"/>
      </w:pPr>
      <w:r>
        <w:rPr>
          <w:noProof/>
          <w:lang w:val="en-GB" w:eastAsia="en-GB"/>
        </w:rPr>
        <w:drawing>
          <wp:inline distT="0" distB="0" distL="0" distR="0" wp14:anchorId="13A54CE1" wp14:editId="47830830">
            <wp:extent cx="1792800" cy="1242000"/>
            <wp:effectExtent l="0" t="0" r="0" b="0"/>
            <wp:docPr id="1" name="Picture 1" title="EESCLogo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fi-quadri_M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4D7AC0">
        <w:rPr>
          <w:noProof/>
          <w:sz w:val="20"/>
          <w:lang w:val="en-US"/>
        </w:rPr>
        <mc:AlternateContent>
          <mc:Choice Requires="wps">
            <w:drawing>
              <wp:anchor distT="0" distB="0" distL="114300" distR="114300" simplePos="0" relativeHeight="251659264" behindDoc="1" locked="0" layoutInCell="0" allowOverlap="1" wp14:anchorId="4982DE48" wp14:editId="353E038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3760A28D" w:rsidR="004D7AC0" w:rsidRPr="00260E65" w:rsidRDefault="003F77B6" w:rsidP="004D7AC0">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3760A28D" w:rsidR="004D7AC0" w:rsidRPr="00260E65" w:rsidRDefault="003F77B6" w:rsidP="004D7AC0">
                      <w:pPr>
                        <w:jc w:val="center"/>
                        <w:rPr>
                          <w:rFonts w:ascii="Arial" w:hAnsi="Arial" w:cs="Arial"/>
                          <w:b/>
                          <w:bCs/>
                          <w:sz w:val="48"/>
                        </w:rPr>
                      </w:pPr>
                      <w:r>
                        <w:rPr>
                          <w:rFonts w:ascii="Arial" w:hAnsi="Arial"/>
                          <w:b/>
                          <w:sz w:val="48"/>
                        </w:rPr>
                        <w:t>FI</w:t>
                      </w:r>
                    </w:p>
                  </w:txbxContent>
                </v:textbox>
                <w10:wrap anchorx="page" anchory="page"/>
              </v:shape>
            </w:pict>
          </mc:Fallback>
        </mc:AlternateContent>
      </w:r>
    </w:p>
    <w:p w14:paraId="4982DD4E" w14:textId="77777777" w:rsidR="004D7AC0" w:rsidRDefault="004D7AC0" w:rsidP="004D7AC0"/>
    <w:p w14:paraId="4982DD4F" w14:textId="2AD8D060" w:rsidR="004D7AC0" w:rsidRDefault="004D7AC0" w:rsidP="004D7AC0">
      <w:pPr>
        <w:jc w:val="right"/>
      </w:pPr>
      <w:r>
        <w:t xml:space="preserve">Bryssel </w:t>
      </w:r>
      <w:r w:rsidR="00FF4B24">
        <w:t>17</w:t>
      </w:r>
      <w:r>
        <w:t xml:space="preserve">. </w:t>
      </w:r>
      <w:r w:rsidR="00FF4B24">
        <w:t>joulu</w:t>
      </w:r>
      <w:r>
        <w:t xml:space="preserve">kuuta </w:t>
      </w:r>
      <w:r w:rsidR="00FF4B24">
        <w:t>2025</w:t>
      </w:r>
      <w:r>
        <w:t xml:space="preserve"> </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19C92828" w:rsidR="003066BE" w:rsidRDefault="00FF4B24" w:rsidP="00600C84">
            <w:pPr>
              <w:snapToGrid w:val="0"/>
              <w:jc w:val="center"/>
              <w:rPr>
                <w:b/>
                <w:sz w:val="32"/>
                <w:szCs w:val="32"/>
              </w:rPr>
            </w:pPr>
            <w:r>
              <w:rPr>
                <w:b/>
                <w:sz w:val="32"/>
              </w:rPr>
              <w:t>601</w:t>
            </w:r>
            <w:r w:rsidR="00D81F5E">
              <w:rPr>
                <w:b/>
                <w:sz w:val="32"/>
              </w:rPr>
              <w:t>. TÄYSISTUNNOSSA</w:t>
            </w:r>
          </w:p>
          <w:p w14:paraId="4982DD54" w14:textId="77777777" w:rsidR="003066BE" w:rsidRDefault="003066BE" w:rsidP="00600C84">
            <w:pPr>
              <w:snapToGrid w:val="0"/>
              <w:jc w:val="center"/>
              <w:rPr>
                <w:b/>
                <w:sz w:val="32"/>
                <w:szCs w:val="32"/>
              </w:rPr>
            </w:pPr>
          </w:p>
          <w:p w14:paraId="4982DD55" w14:textId="79D05478" w:rsidR="003066BE" w:rsidRDefault="00FF4B24" w:rsidP="00600C84">
            <w:pPr>
              <w:snapToGrid w:val="0"/>
              <w:jc w:val="center"/>
              <w:rPr>
                <w:b/>
                <w:sz w:val="32"/>
                <w:szCs w:val="32"/>
              </w:rPr>
            </w:pPr>
            <w:r>
              <w:rPr>
                <w:b/>
                <w:sz w:val="32"/>
              </w:rPr>
              <w:t>3</w:t>
            </w:r>
            <w:r w:rsidR="003066BE">
              <w:rPr>
                <w:b/>
                <w:sz w:val="32"/>
              </w:rPr>
              <w:t>.</w:t>
            </w:r>
            <w:r>
              <w:rPr>
                <w:b/>
                <w:sz w:val="32"/>
              </w:rPr>
              <w:t xml:space="preserve"> ja 4.</w:t>
            </w:r>
            <w:r w:rsidR="003066BE">
              <w:rPr>
                <w:b/>
                <w:sz w:val="32"/>
              </w:rPr>
              <w:t xml:space="preserve"> </w:t>
            </w:r>
            <w:r>
              <w:rPr>
                <w:b/>
                <w:sz w:val="32"/>
              </w:rPr>
              <w:t>joulu</w:t>
            </w:r>
            <w:r w:rsidR="003066BE">
              <w:rPr>
                <w:b/>
                <w:sz w:val="32"/>
              </w:rPr>
              <w:t xml:space="preserve">kuuta </w:t>
            </w:r>
            <w:r>
              <w:rPr>
                <w:b/>
                <w:sz w:val="32"/>
              </w:rPr>
              <w:t>2025</w:t>
            </w:r>
          </w:p>
          <w:p w14:paraId="4982DD56" w14:textId="77777777" w:rsidR="003066BE" w:rsidRDefault="003066BE" w:rsidP="00600C84">
            <w:pPr>
              <w:snapToGrid w:val="0"/>
              <w:jc w:val="center"/>
              <w:rPr>
                <w:b/>
                <w:sz w:val="32"/>
                <w:szCs w:val="32"/>
              </w:rPr>
            </w:pPr>
          </w:p>
          <w:p w14:paraId="4982DD57" w14:textId="3BD04811" w:rsidR="004D7AC0" w:rsidRPr="0081153B" w:rsidRDefault="00066CBB" w:rsidP="00600C84">
            <w:pPr>
              <w:snapToGrid w:val="0"/>
              <w:jc w:val="center"/>
              <w:rPr>
                <w:rFonts w:eastAsia="MS Mincho"/>
                <w:b/>
                <w:sz w:val="32"/>
                <w:szCs w:val="32"/>
              </w:rPr>
            </w:pPr>
            <w:r>
              <w:rPr>
                <w:b/>
                <w:sz w:val="32"/>
              </w:rPr>
              <w:t>ANNETUT LAUSUNNOT JA PÄÄTÖSLAUSELMAT SEKÄ TIEDONANNOT JA ARVIOINTIKERTOMUKSET</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Asiakirja on saatavilla unionin virallisilla kielillä ETSK:n verkkosivuilla osoitteessa</w:t>
            </w:r>
            <w:r>
              <w:br/>
            </w:r>
            <w:r>
              <w:br/>
            </w:r>
            <w:hyperlink r:id="rId13" w:history="1">
              <w:r>
                <w:rPr>
                  <w:rStyle w:val="Hyperlink"/>
                </w:rPr>
                <w:t>https://www.eesc.europa.eu/fi/our-work/opinions-information-reports/plenary-session-summaries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Mainitut lausunnot ovat haettavissa sähköisessä muodossa komitean hakukoneella:</w:t>
            </w:r>
            <w:r>
              <w:br/>
            </w:r>
            <w:r>
              <w:br/>
            </w:r>
            <w:hyperlink r:id="rId14"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D40A83">
          <w:footerReference w:type="default" r:id="rId15"/>
          <w:pgSz w:w="11907" w:h="16839"/>
          <w:pgMar w:top="1417" w:right="1417" w:bottom="1417" w:left="1417" w:header="709" w:footer="709" w:gutter="0"/>
          <w:cols w:space="708"/>
          <w:docGrid w:linePitch="360"/>
        </w:sectPr>
      </w:pPr>
    </w:p>
    <w:p w14:paraId="4982DD63" w14:textId="77777777" w:rsidR="004D7AC0" w:rsidRPr="00A81AFE" w:rsidRDefault="004D7AC0" w:rsidP="004D7AC0">
      <w:pPr>
        <w:rPr>
          <w:b/>
        </w:rPr>
      </w:pPr>
      <w:r>
        <w:rPr>
          <w:b/>
        </w:rPr>
        <w:lastRenderedPageBreak/>
        <w:t>Sisällys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6FC53815" w14:textId="63FDFC50" w:rsidR="009D6F2E" w:rsidRDefault="004D7AC0">
          <w:pPr>
            <w:pStyle w:val="TOC1"/>
            <w:tabs>
              <w:tab w:val="left" w:pos="440"/>
              <w:tab w:val="right" w:leader="dot" w:pos="9063"/>
            </w:tabs>
            <w:rPr>
              <w:rFonts w:asciiTheme="minorHAnsi" w:eastAsiaTheme="minorEastAsia" w:hAnsiTheme="minorHAnsi" w:cstheme="minorBidi"/>
              <w:noProof/>
              <w:lang w:eastAsia="fi-FI"/>
            </w:rPr>
          </w:pPr>
          <w:r>
            <w:fldChar w:fldCharType="begin"/>
          </w:r>
          <w:r>
            <w:instrText xml:space="preserve"> TOC \o "1-3" \h \z \u </w:instrText>
          </w:r>
          <w:r>
            <w:fldChar w:fldCharType="separate"/>
          </w:r>
          <w:hyperlink w:anchor="_Toc216768393" w:history="1">
            <w:r w:rsidR="009D6F2E" w:rsidRPr="001722E9">
              <w:rPr>
                <w:rStyle w:val="Hyperlink"/>
                <w:b/>
                <w:noProof/>
              </w:rPr>
              <w:t>1.</w:t>
            </w:r>
            <w:r w:rsidR="009D6F2E">
              <w:rPr>
                <w:rFonts w:asciiTheme="minorHAnsi" w:eastAsiaTheme="minorEastAsia" w:hAnsiTheme="minorHAnsi" w:cstheme="minorBidi"/>
                <w:noProof/>
                <w:lang w:eastAsia="fi-FI"/>
              </w:rPr>
              <w:tab/>
            </w:r>
            <w:r w:rsidR="009D6F2E" w:rsidRPr="001722E9">
              <w:rPr>
                <w:rStyle w:val="Hyperlink"/>
                <w:b/>
                <w:noProof/>
              </w:rPr>
              <w:t>TALOUS- JA RAHALIITTO, TALOUDELLINEN JA SOSIAALINEN YHTEENKUULUVUUS</w:t>
            </w:r>
            <w:r w:rsidR="009D6F2E">
              <w:rPr>
                <w:noProof/>
                <w:webHidden/>
              </w:rPr>
              <w:tab/>
            </w:r>
            <w:r w:rsidR="009D6F2E">
              <w:rPr>
                <w:noProof/>
                <w:webHidden/>
              </w:rPr>
              <w:fldChar w:fldCharType="begin"/>
            </w:r>
            <w:r w:rsidR="009D6F2E">
              <w:rPr>
                <w:noProof/>
                <w:webHidden/>
              </w:rPr>
              <w:instrText xml:space="preserve"> PAGEREF _Toc216768393 \h </w:instrText>
            </w:r>
            <w:r w:rsidR="009D6F2E">
              <w:rPr>
                <w:noProof/>
                <w:webHidden/>
              </w:rPr>
            </w:r>
            <w:r w:rsidR="009D6F2E">
              <w:rPr>
                <w:noProof/>
                <w:webHidden/>
              </w:rPr>
              <w:fldChar w:fldCharType="separate"/>
            </w:r>
            <w:r w:rsidR="009D6F2E">
              <w:rPr>
                <w:noProof/>
                <w:webHidden/>
              </w:rPr>
              <w:t>3</w:t>
            </w:r>
            <w:r w:rsidR="009D6F2E">
              <w:rPr>
                <w:noProof/>
                <w:webHidden/>
              </w:rPr>
              <w:fldChar w:fldCharType="end"/>
            </w:r>
          </w:hyperlink>
        </w:p>
        <w:p w14:paraId="7C05786F" w14:textId="0047349E" w:rsidR="009D6F2E" w:rsidRDefault="008921B6">
          <w:pPr>
            <w:pStyle w:val="TOC1"/>
            <w:tabs>
              <w:tab w:val="left" w:pos="440"/>
              <w:tab w:val="right" w:leader="dot" w:pos="9063"/>
            </w:tabs>
            <w:rPr>
              <w:rFonts w:asciiTheme="minorHAnsi" w:eastAsiaTheme="minorEastAsia" w:hAnsiTheme="minorHAnsi" w:cstheme="minorBidi"/>
              <w:noProof/>
              <w:lang w:eastAsia="fi-FI"/>
            </w:rPr>
          </w:pPr>
          <w:hyperlink w:anchor="_Toc216768394" w:history="1">
            <w:r w:rsidR="009D6F2E" w:rsidRPr="001722E9">
              <w:rPr>
                <w:rStyle w:val="Hyperlink"/>
                <w:b/>
                <w:noProof/>
              </w:rPr>
              <w:t>2.</w:t>
            </w:r>
            <w:r w:rsidR="009D6F2E">
              <w:rPr>
                <w:rFonts w:asciiTheme="minorHAnsi" w:eastAsiaTheme="minorEastAsia" w:hAnsiTheme="minorHAnsi" w:cstheme="minorBidi"/>
                <w:noProof/>
                <w:lang w:eastAsia="fi-FI"/>
              </w:rPr>
              <w:tab/>
            </w:r>
            <w:r w:rsidR="009D6F2E" w:rsidRPr="001722E9">
              <w:rPr>
                <w:rStyle w:val="Hyperlink"/>
                <w:b/>
                <w:noProof/>
              </w:rPr>
              <w:t>TYÖLLISYYS, SOSIAALIASIAT JA KANSALAISUUS</w:t>
            </w:r>
            <w:r w:rsidR="009D6F2E">
              <w:rPr>
                <w:noProof/>
                <w:webHidden/>
              </w:rPr>
              <w:tab/>
            </w:r>
            <w:r w:rsidR="009D6F2E">
              <w:rPr>
                <w:noProof/>
                <w:webHidden/>
              </w:rPr>
              <w:fldChar w:fldCharType="begin"/>
            </w:r>
            <w:r w:rsidR="009D6F2E">
              <w:rPr>
                <w:noProof/>
                <w:webHidden/>
              </w:rPr>
              <w:instrText xml:space="preserve"> PAGEREF _Toc216768394 \h </w:instrText>
            </w:r>
            <w:r w:rsidR="009D6F2E">
              <w:rPr>
                <w:noProof/>
                <w:webHidden/>
              </w:rPr>
            </w:r>
            <w:r w:rsidR="009D6F2E">
              <w:rPr>
                <w:noProof/>
                <w:webHidden/>
              </w:rPr>
              <w:fldChar w:fldCharType="separate"/>
            </w:r>
            <w:r w:rsidR="009D6F2E">
              <w:rPr>
                <w:noProof/>
                <w:webHidden/>
              </w:rPr>
              <w:t>6</w:t>
            </w:r>
            <w:r w:rsidR="009D6F2E">
              <w:rPr>
                <w:noProof/>
                <w:webHidden/>
              </w:rPr>
              <w:fldChar w:fldCharType="end"/>
            </w:r>
          </w:hyperlink>
        </w:p>
        <w:p w14:paraId="78EA2F6F" w14:textId="2250AB2B" w:rsidR="009D6F2E" w:rsidRDefault="008921B6">
          <w:pPr>
            <w:pStyle w:val="TOC1"/>
            <w:tabs>
              <w:tab w:val="left" w:pos="440"/>
              <w:tab w:val="right" w:leader="dot" w:pos="9063"/>
            </w:tabs>
            <w:rPr>
              <w:rFonts w:asciiTheme="minorHAnsi" w:eastAsiaTheme="minorEastAsia" w:hAnsiTheme="minorHAnsi" w:cstheme="minorBidi"/>
              <w:noProof/>
              <w:lang w:eastAsia="fi-FI"/>
            </w:rPr>
          </w:pPr>
          <w:hyperlink w:anchor="_Toc216768395" w:history="1">
            <w:r w:rsidR="009D6F2E" w:rsidRPr="001722E9">
              <w:rPr>
                <w:rStyle w:val="Hyperlink"/>
                <w:b/>
                <w:noProof/>
              </w:rPr>
              <w:t>3.</w:t>
            </w:r>
            <w:r w:rsidR="009D6F2E">
              <w:rPr>
                <w:rFonts w:asciiTheme="minorHAnsi" w:eastAsiaTheme="minorEastAsia" w:hAnsiTheme="minorHAnsi" w:cstheme="minorBidi"/>
                <w:noProof/>
                <w:lang w:eastAsia="fi-FI"/>
              </w:rPr>
              <w:tab/>
            </w:r>
            <w:r w:rsidR="009D6F2E" w:rsidRPr="001722E9">
              <w:rPr>
                <w:rStyle w:val="Hyperlink"/>
                <w:b/>
                <w:noProof/>
              </w:rPr>
              <w:t>LIIKENNE, ENERGIA, PERUSRAKENTEET, TIETOYHTEISKUNTA</w:t>
            </w:r>
            <w:r w:rsidR="009D6F2E">
              <w:rPr>
                <w:noProof/>
                <w:webHidden/>
              </w:rPr>
              <w:tab/>
            </w:r>
            <w:r w:rsidR="009D6F2E">
              <w:rPr>
                <w:noProof/>
                <w:webHidden/>
              </w:rPr>
              <w:fldChar w:fldCharType="begin"/>
            </w:r>
            <w:r w:rsidR="009D6F2E">
              <w:rPr>
                <w:noProof/>
                <w:webHidden/>
              </w:rPr>
              <w:instrText xml:space="preserve"> PAGEREF _Toc216768395 \h </w:instrText>
            </w:r>
            <w:r w:rsidR="009D6F2E">
              <w:rPr>
                <w:noProof/>
                <w:webHidden/>
              </w:rPr>
            </w:r>
            <w:r w:rsidR="009D6F2E">
              <w:rPr>
                <w:noProof/>
                <w:webHidden/>
              </w:rPr>
              <w:fldChar w:fldCharType="separate"/>
            </w:r>
            <w:r w:rsidR="009D6F2E">
              <w:rPr>
                <w:noProof/>
                <w:webHidden/>
              </w:rPr>
              <w:t>10</w:t>
            </w:r>
            <w:r w:rsidR="009D6F2E">
              <w:rPr>
                <w:noProof/>
                <w:webHidden/>
              </w:rPr>
              <w:fldChar w:fldCharType="end"/>
            </w:r>
          </w:hyperlink>
        </w:p>
        <w:p w14:paraId="4B2AB1EE" w14:textId="0984A654" w:rsidR="009D6F2E" w:rsidRDefault="008921B6">
          <w:pPr>
            <w:pStyle w:val="TOC1"/>
            <w:tabs>
              <w:tab w:val="left" w:pos="440"/>
              <w:tab w:val="right" w:leader="dot" w:pos="9063"/>
            </w:tabs>
            <w:rPr>
              <w:rFonts w:asciiTheme="minorHAnsi" w:eastAsiaTheme="minorEastAsia" w:hAnsiTheme="minorHAnsi" w:cstheme="minorBidi"/>
              <w:noProof/>
              <w:lang w:eastAsia="fi-FI"/>
            </w:rPr>
          </w:pPr>
          <w:hyperlink w:anchor="_Toc216768396" w:history="1">
            <w:r w:rsidR="009D6F2E" w:rsidRPr="001722E9">
              <w:rPr>
                <w:rStyle w:val="Hyperlink"/>
                <w:b/>
                <w:noProof/>
              </w:rPr>
              <w:t>4.</w:t>
            </w:r>
            <w:r w:rsidR="009D6F2E">
              <w:rPr>
                <w:rFonts w:asciiTheme="minorHAnsi" w:eastAsiaTheme="minorEastAsia" w:hAnsiTheme="minorHAnsi" w:cstheme="minorBidi"/>
                <w:noProof/>
                <w:lang w:eastAsia="fi-FI"/>
              </w:rPr>
              <w:tab/>
            </w:r>
            <w:r w:rsidR="009D6F2E" w:rsidRPr="001722E9">
              <w:rPr>
                <w:rStyle w:val="Hyperlink"/>
                <w:b/>
                <w:noProof/>
              </w:rPr>
              <w:t>SISÄMARKKINAT, TUOTANTO JA KULUTUS</w:t>
            </w:r>
            <w:r w:rsidR="009D6F2E">
              <w:rPr>
                <w:noProof/>
                <w:webHidden/>
              </w:rPr>
              <w:tab/>
            </w:r>
            <w:r w:rsidR="009D6F2E">
              <w:rPr>
                <w:noProof/>
                <w:webHidden/>
              </w:rPr>
              <w:fldChar w:fldCharType="begin"/>
            </w:r>
            <w:r w:rsidR="009D6F2E">
              <w:rPr>
                <w:noProof/>
                <w:webHidden/>
              </w:rPr>
              <w:instrText xml:space="preserve"> PAGEREF _Toc216768396 \h </w:instrText>
            </w:r>
            <w:r w:rsidR="009D6F2E">
              <w:rPr>
                <w:noProof/>
                <w:webHidden/>
              </w:rPr>
            </w:r>
            <w:r w:rsidR="009D6F2E">
              <w:rPr>
                <w:noProof/>
                <w:webHidden/>
              </w:rPr>
              <w:fldChar w:fldCharType="separate"/>
            </w:r>
            <w:r w:rsidR="009D6F2E">
              <w:rPr>
                <w:noProof/>
                <w:webHidden/>
              </w:rPr>
              <w:t>13</w:t>
            </w:r>
            <w:r w:rsidR="009D6F2E">
              <w:rPr>
                <w:noProof/>
                <w:webHidden/>
              </w:rPr>
              <w:fldChar w:fldCharType="end"/>
            </w:r>
          </w:hyperlink>
        </w:p>
        <w:p w14:paraId="3FF8D3FF" w14:textId="27FBF18A" w:rsidR="009D6F2E" w:rsidRDefault="008921B6">
          <w:pPr>
            <w:pStyle w:val="TOC1"/>
            <w:tabs>
              <w:tab w:val="left" w:pos="440"/>
              <w:tab w:val="right" w:leader="dot" w:pos="9063"/>
            </w:tabs>
            <w:rPr>
              <w:rFonts w:asciiTheme="minorHAnsi" w:eastAsiaTheme="minorEastAsia" w:hAnsiTheme="minorHAnsi" w:cstheme="minorBidi"/>
              <w:noProof/>
              <w:lang w:eastAsia="fi-FI"/>
            </w:rPr>
          </w:pPr>
          <w:hyperlink w:anchor="_Toc216768397" w:history="1">
            <w:r w:rsidR="009D6F2E" w:rsidRPr="001722E9">
              <w:rPr>
                <w:rStyle w:val="Hyperlink"/>
                <w:b/>
                <w:noProof/>
              </w:rPr>
              <w:t>5.</w:t>
            </w:r>
            <w:r w:rsidR="009D6F2E">
              <w:rPr>
                <w:rFonts w:asciiTheme="minorHAnsi" w:eastAsiaTheme="minorEastAsia" w:hAnsiTheme="minorHAnsi" w:cstheme="minorBidi"/>
                <w:noProof/>
                <w:lang w:eastAsia="fi-FI"/>
              </w:rPr>
              <w:tab/>
            </w:r>
            <w:r w:rsidR="009D6F2E" w:rsidRPr="001722E9">
              <w:rPr>
                <w:rStyle w:val="Hyperlink"/>
                <w:b/>
                <w:noProof/>
              </w:rPr>
              <w:t>MAATALOUS, MAASEUDUN KEHITTÄMINEN JA YMPÄRISTÖ</w:t>
            </w:r>
            <w:r w:rsidR="009D6F2E">
              <w:rPr>
                <w:noProof/>
                <w:webHidden/>
              </w:rPr>
              <w:tab/>
            </w:r>
            <w:r w:rsidR="009D6F2E">
              <w:rPr>
                <w:noProof/>
                <w:webHidden/>
              </w:rPr>
              <w:fldChar w:fldCharType="begin"/>
            </w:r>
            <w:r w:rsidR="009D6F2E">
              <w:rPr>
                <w:noProof/>
                <w:webHidden/>
              </w:rPr>
              <w:instrText xml:space="preserve"> PAGEREF _Toc216768397 \h </w:instrText>
            </w:r>
            <w:r w:rsidR="009D6F2E">
              <w:rPr>
                <w:noProof/>
                <w:webHidden/>
              </w:rPr>
            </w:r>
            <w:r w:rsidR="009D6F2E">
              <w:rPr>
                <w:noProof/>
                <w:webHidden/>
              </w:rPr>
              <w:fldChar w:fldCharType="separate"/>
            </w:r>
            <w:r w:rsidR="009D6F2E">
              <w:rPr>
                <w:noProof/>
                <w:webHidden/>
              </w:rPr>
              <w:t>17</w:t>
            </w:r>
            <w:r w:rsidR="009D6F2E">
              <w:rPr>
                <w:noProof/>
                <w:webHidden/>
              </w:rPr>
              <w:fldChar w:fldCharType="end"/>
            </w:r>
          </w:hyperlink>
        </w:p>
        <w:p w14:paraId="47E9C3FD" w14:textId="1B28B12D" w:rsidR="009D6F2E" w:rsidRDefault="008921B6">
          <w:pPr>
            <w:pStyle w:val="TOC1"/>
            <w:tabs>
              <w:tab w:val="left" w:pos="440"/>
              <w:tab w:val="right" w:leader="dot" w:pos="9063"/>
            </w:tabs>
            <w:rPr>
              <w:rFonts w:asciiTheme="minorHAnsi" w:eastAsiaTheme="minorEastAsia" w:hAnsiTheme="minorHAnsi" w:cstheme="minorBidi"/>
              <w:noProof/>
              <w:lang w:eastAsia="fi-FI"/>
            </w:rPr>
          </w:pPr>
          <w:hyperlink w:anchor="_Toc216768398" w:history="1">
            <w:r w:rsidR="009D6F2E" w:rsidRPr="001722E9">
              <w:rPr>
                <w:rStyle w:val="Hyperlink"/>
                <w:b/>
                <w:noProof/>
              </w:rPr>
              <w:t>6.</w:t>
            </w:r>
            <w:r w:rsidR="009D6F2E">
              <w:rPr>
                <w:rFonts w:asciiTheme="minorHAnsi" w:eastAsiaTheme="minorEastAsia" w:hAnsiTheme="minorHAnsi" w:cstheme="minorBidi"/>
                <w:noProof/>
                <w:lang w:eastAsia="fi-FI"/>
              </w:rPr>
              <w:tab/>
            </w:r>
            <w:r w:rsidR="009D6F2E" w:rsidRPr="001722E9">
              <w:rPr>
                <w:rStyle w:val="Hyperlink"/>
                <w:b/>
                <w:noProof/>
              </w:rPr>
              <w:t>ULKOSUHTEET</w:t>
            </w:r>
            <w:r w:rsidR="009D6F2E">
              <w:rPr>
                <w:noProof/>
                <w:webHidden/>
              </w:rPr>
              <w:tab/>
            </w:r>
            <w:r w:rsidR="009D6F2E">
              <w:rPr>
                <w:noProof/>
                <w:webHidden/>
              </w:rPr>
              <w:fldChar w:fldCharType="begin"/>
            </w:r>
            <w:r w:rsidR="009D6F2E">
              <w:rPr>
                <w:noProof/>
                <w:webHidden/>
              </w:rPr>
              <w:instrText xml:space="preserve"> PAGEREF _Toc216768398 \h </w:instrText>
            </w:r>
            <w:r w:rsidR="009D6F2E">
              <w:rPr>
                <w:noProof/>
                <w:webHidden/>
              </w:rPr>
            </w:r>
            <w:r w:rsidR="009D6F2E">
              <w:rPr>
                <w:noProof/>
                <w:webHidden/>
              </w:rPr>
              <w:fldChar w:fldCharType="separate"/>
            </w:r>
            <w:r w:rsidR="009D6F2E">
              <w:rPr>
                <w:noProof/>
                <w:webHidden/>
              </w:rPr>
              <w:t>19</w:t>
            </w:r>
            <w:r w:rsidR="009D6F2E">
              <w:rPr>
                <w:noProof/>
                <w:webHidden/>
              </w:rPr>
              <w:fldChar w:fldCharType="end"/>
            </w:r>
          </w:hyperlink>
        </w:p>
        <w:p w14:paraId="6E109F64" w14:textId="45BE5357" w:rsidR="009D6F2E" w:rsidRDefault="008921B6">
          <w:pPr>
            <w:pStyle w:val="TOC1"/>
            <w:tabs>
              <w:tab w:val="left" w:pos="440"/>
              <w:tab w:val="right" w:leader="dot" w:pos="9063"/>
            </w:tabs>
            <w:rPr>
              <w:rFonts w:asciiTheme="minorHAnsi" w:eastAsiaTheme="minorEastAsia" w:hAnsiTheme="minorHAnsi" w:cstheme="minorBidi"/>
              <w:noProof/>
              <w:lang w:eastAsia="fi-FI"/>
            </w:rPr>
          </w:pPr>
          <w:hyperlink w:anchor="_Toc216768399" w:history="1">
            <w:r w:rsidR="009D6F2E" w:rsidRPr="001722E9">
              <w:rPr>
                <w:rStyle w:val="Hyperlink"/>
                <w:b/>
                <w:noProof/>
              </w:rPr>
              <w:t>7.</w:t>
            </w:r>
            <w:r w:rsidR="009D6F2E">
              <w:rPr>
                <w:rFonts w:asciiTheme="minorHAnsi" w:eastAsiaTheme="minorEastAsia" w:hAnsiTheme="minorHAnsi" w:cstheme="minorBidi"/>
                <w:noProof/>
                <w:lang w:eastAsia="fi-FI"/>
              </w:rPr>
              <w:tab/>
            </w:r>
            <w:r w:rsidR="009D6F2E" w:rsidRPr="001722E9">
              <w:rPr>
                <w:rStyle w:val="Hyperlink"/>
                <w:b/>
                <w:noProof/>
              </w:rPr>
              <w:t>NEUVOA-ANTAVA VALIOKUNTA ”TEOLLISUUDEN MUUTOKSET”</w:t>
            </w:r>
            <w:r w:rsidR="009D6F2E">
              <w:rPr>
                <w:noProof/>
                <w:webHidden/>
              </w:rPr>
              <w:tab/>
            </w:r>
            <w:r w:rsidR="009D6F2E">
              <w:rPr>
                <w:noProof/>
                <w:webHidden/>
              </w:rPr>
              <w:fldChar w:fldCharType="begin"/>
            </w:r>
            <w:r w:rsidR="009D6F2E">
              <w:rPr>
                <w:noProof/>
                <w:webHidden/>
              </w:rPr>
              <w:instrText xml:space="preserve"> PAGEREF _Toc216768399 \h </w:instrText>
            </w:r>
            <w:r w:rsidR="009D6F2E">
              <w:rPr>
                <w:noProof/>
                <w:webHidden/>
              </w:rPr>
            </w:r>
            <w:r w:rsidR="009D6F2E">
              <w:rPr>
                <w:noProof/>
                <w:webHidden/>
              </w:rPr>
              <w:fldChar w:fldCharType="separate"/>
            </w:r>
            <w:r w:rsidR="009D6F2E">
              <w:rPr>
                <w:noProof/>
                <w:webHidden/>
              </w:rPr>
              <w:t>22</w:t>
            </w:r>
            <w:r w:rsidR="009D6F2E">
              <w:rPr>
                <w:noProof/>
                <w:webHidden/>
              </w:rPr>
              <w:fldChar w:fldCharType="end"/>
            </w:r>
          </w:hyperlink>
        </w:p>
        <w:p w14:paraId="4982DD6A" w14:textId="0EBFC168"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216768393"/>
      <w:r>
        <w:rPr>
          <w:b/>
        </w:rPr>
        <w:lastRenderedPageBreak/>
        <w:t>TALOUS- JA RAHALIITTO, TALOUDELLINEN JA SOSIAALINEN YHTEENKUULUVUUS</w:t>
      </w:r>
      <w:bookmarkEnd w:id="0"/>
    </w:p>
    <w:p w14:paraId="4982DD6E" w14:textId="77777777" w:rsidR="004D7AC0" w:rsidRDefault="004D7AC0" w:rsidP="004D7AC0"/>
    <w:p w14:paraId="30122372" w14:textId="3FDA0599" w:rsidR="00FF4B24" w:rsidRPr="00FF4B24" w:rsidRDefault="008921B6" w:rsidP="00FF4B24">
      <w:pPr>
        <w:widowControl w:val="0"/>
        <w:numPr>
          <w:ilvl w:val="0"/>
          <w:numId w:val="4"/>
        </w:numPr>
        <w:overflowPunct w:val="0"/>
        <w:autoSpaceDE w:val="0"/>
        <w:autoSpaceDN w:val="0"/>
        <w:adjustRightInd w:val="0"/>
        <w:spacing w:after="120"/>
        <w:ind w:hanging="567"/>
        <w:textAlignment w:val="baseline"/>
        <w:rPr>
          <w:b/>
          <w:i/>
          <w:iCs/>
          <w:sz w:val="28"/>
          <w:szCs w:val="28"/>
        </w:rPr>
      </w:pPr>
      <w:hyperlink r:id="rId16" w:history="1">
        <w:r w:rsidR="00FF4B24" w:rsidRPr="00FF4B24">
          <w:rPr>
            <w:b/>
            <w:i/>
            <w:color w:val="0000FF"/>
            <w:sz w:val="28"/>
            <w:szCs w:val="20"/>
            <w:u w:val="single"/>
          </w:rPr>
          <w:t>Viides kertomus EU:n makroaluestrategioiden täytäntöönpanosta</w:t>
        </w:r>
      </w:hyperlink>
    </w:p>
    <w:p w14:paraId="42E69B2A" w14:textId="77777777" w:rsidR="00FF4B24" w:rsidRPr="00FF4B24" w:rsidRDefault="00FF4B24" w:rsidP="00FF4B24">
      <w:pPr>
        <w:widowControl w:val="0"/>
        <w:overflowPunct w:val="0"/>
        <w:autoSpaceDE w:val="0"/>
        <w:autoSpaceDN w:val="0"/>
        <w:adjustRightInd w:val="0"/>
        <w:ind w:left="284"/>
        <w:textAlignment w:val="baseline"/>
        <w:rPr>
          <w:b/>
          <w:i/>
          <w:iCs/>
          <w:sz w:val="20"/>
          <w:szCs w:val="20"/>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F4B24" w:rsidRPr="00FF4B24" w14:paraId="0205E4DD" w14:textId="77777777" w:rsidTr="00114B49">
        <w:tc>
          <w:tcPr>
            <w:tcW w:w="1701" w:type="dxa"/>
          </w:tcPr>
          <w:p w14:paraId="23DB706D" w14:textId="77777777" w:rsidR="00FF4B24" w:rsidRPr="00FF4B24" w:rsidRDefault="00FF4B24" w:rsidP="00FF4B24">
            <w:pPr>
              <w:tabs>
                <w:tab w:val="center" w:pos="284"/>
              </w:tabs>
              <w:overflowPunct w:val="0"/>
              <w:autoSpaceDE w:val="0"/>
              <w:autoSpaceDN w:val="0"/>
              <w:adjustRightInd w:val="0"/>
              <w:ind w:left="266" w:hanging="266"/>
              <w:textAlignment w:val="baseline"/>
              <w:rPr>
                <w:b/>
              </w:rPr>
            </w:pPr>
            <w:r w:rsidRPr="00FF4B24">
              <w:rPr>
                <w:b/>
              </w:rPr>
              <w:t>Esittelijä</w:t>
            </w:r>
          </w:p>
        </w:tc>
        <w:tc>
          <w:tcPr>
            <w:tcW w:w="7621" w:type="dxa"/>
          </w:tcPr>
          <w:p w14:paraId="7D18A836" w14:textId="77777777" w:rsidR="00FF4B24" w:rsidRDefault="00FF4B24" w:rsidP="00FF4B24">
            <w:pPr>
              <w:tabs>
                <w:tab w:val="center" w:pos="284"/>
              </w:tabs>
              <w:overflowPunct w:val="0"/>
              <w:autoSpaceDE w:val="0"/>
              <w:autoSpaceDN w:val="0"/>
              <w:adjustRightInd w:val="0"/>
              <w:ind w:left="266" w:hanging="266"/>
              <w:textAlignment w:val="baseline"/>
            </w:pPr>
            <w:r w:rsidRPr="00FF4B24">
              <w:t xml:space="preserve">Stefano PALMIERI (työntekijät </w:t>
            </w:r>
            <w:r w:rsidRPr="00FF4B24">
              <w:rPr>
                <w:b/>
                <w:i/>
              </w:rPr>
              <w:t xml:space="preserve">– </w:t>
            </w:r>
            <w:r w:rsidRPr="00FF4B24">
              <w:t>IT)</w:t>
            </w:r>
          </w:p>
          <w:p w14:paraId="3474DB18" w14:textId="671DCB99" w:rsidR="00F362C7" w:rsidRPr="00FF4B24" w:rsidRDefault="00F362C7" w:rsidP="00FF4B24">
            <w:pPr>
              <w:tabs>
                <w:tab w:val="center" w:pos="284"/>
              </w:tabs>
              <w:overflowPunct w:val="0"/>
              <w:autoSpaceDE w:val="0"/>
              <w:autoSpaceDN w:val="0"/>
              <w:adjustRightInd w:val="0"/>
              <w:ind w:left="266" w:hanging="266"/>
              <w:textAlignment w:val="baseline"/>
              <w:rPr>
                <w:bCs/>
              </w:rPr>
            </w:pPr>
          </w:p>
        </w:tc>
      </w:tr>
      <w:tr w:rsidR="00FF4B24" w:rsidRPr="00FF4B24" w14:paraId="2C0C5F6B" w14:textId="77777777" w:rsidTr="00114B49">
        <w:tc>
          <w:tcPr>
            <w:tcW w:w="1701" w:type="dxa"/>
          </w:tcPr>
          <w:p w14:paraId="3729AE27" w14:textId="77777777" w:rsidR="00FF4B24" w:rsidRPr="00FF4B24" w:rsidRDefault="00FF4B24" w:rsidP="00FF4B24">
            <w:pPr>
              <w:tabs>
                <w:tab w:val="center" w:pos="284"/>
              </w:tabs>
              <w:overflowPunct w:val="0"/>
              <w:autoSpaceDE w:val="0"/>
              <w:autoSpaceDN w:val="0"/>
              <w:adjustRightInd w:val="0"/>
              <w:ind w:left="266" w:hanging="266"/>
              <w:textAlignment w:val="baseline"/>
              <w:rPr>
                <w:b/>
              </w:rPr>
            </w:pPr>
            <w:r w:rsidRPr="00FF4B24">
              <w:rPr>
                <w:b/>
              </w:rPr>
              <w:t>Viiteasiakirjat</w:t>
            </w:r>
          </w:p>
        </w:tc>
        <w:tc>
          <w:tcPr>
            <w:tcW w:w="7621" w:type="dxa"/>
          </w:tcPr>
          <w:p w14:paraId="253BE513" w14:textId="77777777" w:rsidR="00F362C7" w:rsidRDefault="00FF4B24" w:rsidP="00FF4B24">
            <w:pPr>
              <w:tabs>
                <w:tab w:val="center" w:pos="284"/>
              </w:tabs>
              <w:overflowPunct w:val="0"/>
              <w:autoSpaceDE w:val="0"/>
              <w:autoSpaceDN w:val="0"/>
              <w:adjustRightInd w:val="0"/>
              <w:ind w:left="266" w:hanging="266"/>
              <w:textAlignment w:val="baseline"/>
            </w:pPr>
            <w:r w:rsidRPr="00FF4B24">
              <w:t xml:space="preserve">COM(2025) 191 final, </w:t>
            </w:r>
          </w:p>
          <w:p w14:paraId="550AED07" w14:textId="215A6E08" w:rsidR="00FF4B24" w:rsidRPr="00FF4B24" w:rsidRDefault="00FF4B24" w:rsidP="00FF4B24">
            <w:pPr>
              <w:tabs>
                <w:tab w:val="center" w:pos="284"/>
              </w:tabs>
              <w:overflowPunct w:val="0"/>
              <w:autoSpaceDE w:val="0"/>
              <w:autoSpaceDN w:val="0"/>
              <w:adjustRightInd w:val="0"/>
              <w:ind w:left="266" w:hanging="266"/>
              <w:textAlignment w:val="baseline"/>
            </w:pPr>
            <w:r w:rsidRPr="00FF4B24">
              <w:t>COM(2025) 196 final</w:t>
            </w:r>
          </w:p>
          <w:p w14:paraId="1F3414BD" w14:textId="749052B5" w:rsidR="00FF4B24" w:rsidRPr="00FF4B24" w:rsidRDefault="00FF4B24" w:rsidP="00FF4B24">
            <w:pPr>
              <w:tabs>
                <w:tab w:val="center" w:pos="284"/>
              </w:tabs>
              <w:overflowPunct w:val="0"/>
              <w:autoSpaceDE w:val="0"/>
              <w:autoSpaceDN w:val="0"/>
              <w:adjustRightInd w:val="0"/>
              <w:ind w:left="266" w:hanging="266"/>
              <w:textAlignment w:val="baseline"/>
            </w:pPr>
            <w:r w:rsidRPr="00FF4B24">
              <w:t>EESC-2025-02216-00-00-AC</w:t>
            </w:r>
          </w:p>
        </w:tc>
      </w:tr>
    </w:tbl>
    <w:p w14:paraId="53F0FE9A" w14:textId="77777777" w:rsidR="003239E6" w:rsidRDefault="003239E6" w:rsidP="00D341DD">
      <w:pPr>
        <w:keepNext/>
        <w:keepLines/>
        <w:tabs>
          <w:tab w:val="center" w:pos="284"/>
        </w:tabs>
        <w:overflowPunct w:val="0"/>
        <w:autoSpaceDE w:val="0"/>
        <w:autoSpaceDN w:val="0"/>
        <w:adjustRightInd w:val="0"/>
        <w:ind w:left="266" w:hanging="266"/>
        <w:textAlignment w:val="baseline"/>
        <w:rPr>
          <w:b/>
          <w:szCs w:val="20"/>
        </w:rPr>
      </w:pPr>
    </w:p>
    <w:p w14:paraId="71B54DA8" w14:textId="577F912B" w:rsidR="00FF4B24" w:rsidRPr="00FF4B24" w:rsidRDefault="00FF4B24" w:rsidP="00D341DD">
      <w:pPr>
        <w:keepNext/>
        <w:keepLines/>
        <w:tabs>
          <w:tab w:val="center" w:pos="284"/>
        </w:tabs>
        <w:overflowPunct w:val="0"/>
        <w:autoSpaceDE w:val="0"/>
        <w:autoSpaceDN w:val="0"/>
        <w:adjustRightInd w:val="0"/>
        <w:ind w:left="266" w:hanging="266"/>
        <w:textAlignment w:val="baseline"/>
        <w:rPr>
          <w:b/>
        </w:rPr>
      </w:pPr>
      <w:r w:rsidRPr="00FF4B24">
        <w:rPr>
          <w:b/>
          <w:szCs w:val="20"/>
        </w:rPr>
        <w:t>Keskeiset kohdat</w:t>
      </w:r>
    </w:p>
    <w:p w14:paraId="502549C5" w14:textId="77777777" w:rsidR="003239E6" w:rsidRDefault="003239E6" w:rsidP="00D341DD">
      <w:pPr>
        <w:overflowPunct w:val="0"/>
        <w:autoSpaceDE w:val="0"/>
        <w:autoSpaceDN w:val="0"/>
        <w:adjustRightInd w:val="0"/>
        <w:textAlignment w:val="baseline"/>
        <w:rPr>
          <w:szCs w:val="20"/>
        </w:rPr>
      </w:pPr>
    </w:p>
    <w:p w14:paraId="5371124D" w14:textId="68920038" w:rsidR="00FF4B24" w:rsidRDefault="00FF4B24" w:rsidP="00D341DD">
      <w:pPr>
        <w:overflowPunct w:val="0"/>
        <w:autoSpaceDE w:val="0"/>
        <w:autoSpaceDN w:val="0"/>
        <w:adjustRightInd w:val="0"/>
        <w:textAlignment w:val="baseline"/>
        <w:rPr>
          <w:szCs w:val="20"/>
        </w:rPr>
      </w:pPr>
      <w:r w:rsidRPr="00FF4B24">
        <w:rPr>
          <w:szCs w:val="20"/>
        </w:rPr>
        <w:t>ETSK</w:t>
      </w:r>
    </w:p>
    <w:p w14:paraId="33D7FFF2"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tunnustaa makroaluestrategioiden merkityksen monitasoisten synergioiden luomisessa politiikkojen, ohjelmien ja toimijoiden välille. Strategioiden avulla on pandemian ja meneillään olevien kriisien aikana tuettu vihreää ja digitaalista siirtymää ja kehitetty merkittävällä tavalla selviytymiskykyä ja yhteisvastuullisuutta.</w:t>
      </w:r>
    </w:p>
    <w:p w14:paraId="0082B6F1"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kehottaa vahvistamaan vertikaalista ja horisontaalista monitasoista hallintoa varmistamalla paikallisten rakenteiden osallistuminen.</w:t>
      </w:r>
    </w:p>
    <w:p w14:paraId="31B0EEBA"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suhtautuu myönteisesti tarkistusprosesseihin ja kehottaa vahvistamaan sosiaalista ulottuvuutta, kansalaisvaikuttamista, myös nuorten osallistumista, ja alueiden välistä yhteistyötä. Makroaluestrategioiden on toimittava sosiaalisen osallisuuden ja innovoinnin laboratorioina, ja niillä on tuettava vihreää verotusta ja inhimillistä pääomaa.</w:t>
      </w:r>
    </w:p>
    <w:p w14:paraId="6BC331BB"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panee merkille Itämeri-makroaluestrategian (EUSBSR) tulokset. Strategialla on edistetty kestävyyttä ja yhteyksiä Itämerellä. Vuoden 2021 tarkistus, johon sisältyi myös Itämeri-strategian yhteyspiste (Baltic Sea strategy point), vahvisti yhteistyötä ja hallinnointia. Vaikka suhteet Venäjään ja Valko-Venäjään ovat keskeytyksissä, strategia on edelleen käyttökelpoinen.</w:t>
      </w:r>
    </w:p>
    <w:p w14:paraId="3A57C84F"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korostaa Tonavan aluetta koskevassa makroaluestrategiassa (EUSDR) saavutettua edistystä. Vuoden 2020 tarkistus vahvisti johdonmukaisuutta EU:n painopisteiden ja nuorten osallistumisen kanssa, vaikkakin eriarvoisuutta esiintyy edelleen ja poliittinen sitoutuminen on epätasaista. Puheenjohtajavaltiot ovat elvyttäneet innovointia ja hallinnointia.</w:t>
      </w:r>
    </w:p>
    <w:p w14:paraId="54AC5A30"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korostaa Adrian- ja Joonianmeren aluetta koskevan makroaluestrategian (EUSAIR) tuloksia. Strategian toimintasuunnitelmaa päivitettiin äskettäin ottamalla käyttöön viides, sosiaalinen pilari. Strategiaan sisältyvät laajentuminen, kiertotalous ja digitalisaatio, ja siinä vahvistetaan kumppanuuksia ja selviytymiskykyä.</w:t>
      </w:r>
    </w:p>
    <w:p w14:paraId="730CB4F5"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suhtautuu myönteisesti Alppien aluetta koskevaan makroaluestrategiaan (EUSALP), joka on vahvistanut yhteistyötä ja vakaata hallintoa. Strategia on ulotettu koskemaan myös kolmansia maita. Tarkistuksessa otetaan huomioon digitalisaatiota, energiaa, vesihuoltoa ja kiertotaloutta koskevat painopisteet.</w:t>
      </w:r>
    </w:p>
    <w:p w14:paraId="49870CD2"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panee merkille, että laajentuminen Länsi-Balkanille, Ukrainaan ja Moldovaan on strateginen painopiste ja että makroaluestrategioilla voidaan vahvistaa yhteistyötä ja institutionaalisia valmiuksia.</w:t>
      </w:r>
    </w:p>
    <w:p w14:paraId="5D03AAD4"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 xml:space="preserve">toteaa, että Venäjän sotilaallinen hyökkäys Ukrainaan on vahvistanut makroaluestrategioiden merkitystä yhteisvastuullisuuden ja selviytymiskyvyn edistäjinä. </w:t>
      </w:r>
    </w:p>
    <w:p w14:paraId="70BD7F59"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lastRenderedPageBreak/>
        <w:t xml:space="preserve">pitää makroaluestrategioiden paikkalähtöistä lähestymistapaa ratkaisevan tärkeänä, sillä sen avulla voidaan mukauttaa EU:n painopisteet alueellisiin erityispiirteisiin ja edistää yhteenkuuluvuutta esimerkiksi paikallisyhteisöjen omilla kehittämishankkeilla ja innovatiivisilla aloitteilla, jotka edistävät kansalaisvaikuttamista ja nuorten osallistumista. </w:t>
      </w:r>
    </w:p>
    <w:p w14:paraId="30CB6E99"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 xml:space="preserve">kehottaa vahvistamaan hallintoa ja rahoitusta ja sisällyttämään makroaluestrategioiden painopisteet keskeisiin EU:n ohjelmiin. Paikallista erikoisosaamista, kumppanuuksia sekä kansalaisyhteiskunnan ja nuorten aktiivista osallistumista on vahvistettava. </w:t>
      </w:r>
    </w:p>
    <w:p w14:paraId="075EA167"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katsoo, että uusi monivuotinen rahoituskehys 2028–2034 saattaa vaarantaa makroaluestrategioiden normaalin toiminnan. Tämän vuoksi on tärkeää, että makroaluestrategioiden painopisteet sisällytetään kumppanuussuunnitelmiin.</w:t>
      </w:r>
    </w:p>
    <w:p w14:paraId="54629A46" w14:textId="77777777" w:rsidR="00FF4B24" w:rsidRPr="00FF4B24" w:rsidRDefault="00FF4B24" w:rsidP="00D341DD">
      <w:pPr>
        <w:numPr>
          <w:ilvl w:val="0"/>
          <w:numId w:val="36"/>
        </w:numPr>
        <w:overflowPunct w:val="0"/>
        <w:autoSpaceDE w:val="0"/>
        <w:autoSpaceDN w:val="0"/>
        <w:adjustRightInd w:val="0"/>
        <w:contextualSpacing/>
        <w:textAlignment w:val="baseline"/>
        <w:rPr>
          <w:szCs w:val="20"/>
        </w:rPr>
      </w:pPr>
      <w:r w:rsidRPr="00FF4B24">
        <w:rPr>
          <w:szCs w:val="20"/>
        </w:rPr>
        <w:t>korostaa, että makroaluestrategioihin osallistuvien instituutioiden hallinnon on oltava avointa, vastuullista ja korruptoitumatonta.</w:t>
      </w:r>
    </w:p>
    <w:p w14:paraId="65C54F90" w14:textId="77777777" w:rsidR="00FF4B24" w:rsidRPr="00FF4B24" w:rsidRDefault="00FF4B24" w:rsidP="00D341DD">
      <w:pPr>
        <w:numPr>
          <w:ilvl w:val="0"/>
          <w:numId w:val="36"/>
        </w:numPr>
        <w:overflowPunct w:val="0"/>
        <w:autoSpaceDE w:val="0"/>
        <w:autoSpaceDN w:val="0"/>
        <w:adjustRightInd w:val="0"/>
        <w:contextualSpacing/>
        <w:textAlignment w:val="baseline"/>
        <w:rPr>
          <w:bCs/>
          <w:iCs/>
        </w:rPr>
      </w:pPr>
      <w:r w:rsidRPr="00FF4B24">
        <w:rPr>
          <w:szCs w:val="20"/>
        </w:rPr>
        <w:t>kehottaa perustamaan Välimeren alueelle uuden makroaluestrategian, jotta voidaan vastata yhteisiin haasteisiin, kuten ilmastonmuutokseen, muuttovirtoihin, energiasiirtymään ja siniseen kestävyyteen.</w:t>
      </w:r>
    </w:p>
    <w:p w14:paraId="5D8A22E0" w14:textId="77777777" w:rsidR="00FF4B24" w:rsidRPr="00FF4B24" w:rsidRDefault="00FF4B24" w:rsidP="00FF4B24">
      <w:pPr>
        <w:overflowPunct w:val="0"/>
        <w:autoSpaceDE w:val="0"/>
        <w:autoSpaceDN w:val="0"/>
        <w:adjustRightInd w:val="0"/>
        <w:ind w:left="360"/>
        <w:contextualSpacing/>
        <w:textAlignment w:val="baseline"/>
        <w:rPr>
          <w:bCs/>
          <w:iCs/>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F4B24" w:rsidRPr="00FF4B24" w14:paraId="06C68E08" w14:textId="77777777" w:rsidTr="00114B49">
        <w:tc>
          <w:tcPr>
            <w:tcW w:w="1418" w:type="dxa"/>
          </w:tcPr>
          <w:p w14:paraId="1768C3DE" w14:textId="77777777" w:rsidR="00FF4B24" w:rsidRPr="00FF4B24" w:rsidRDefault="00FF4B24" w:rsidP="00FF4B24">
            <w:pPr>
              <w:overflowPunct w:val="0"/>
              <w:autoSpaceDE w:val="0"/>
              <w:autoSpaceDN w:val="0"/>
              <w:adjustRightInd w:val="0"/>
              <w:textAlignment w:val="baseline"/>
              <w:rPr>
                <w:i/>
                <w:sz w:val="22"/>
                <w:szCs w:val="22"/>
              </w:rPr>
            </w:pPr>
            <w:r w:rsidRPr="00FF4B24">
              <w:rPr>
                <w:b/>
                <w:i/>
                <w:sz w:val="22"/>
                <w:szCs w:val="22"/>
              </w:rPr>
              <w:t>Yhteydenotot</w:t>
            </w:r>
          </w:p>
        </w:tc>
        <w:tc>
          <w:tcPr>
            <w:tcW w:w="7904" w:type="dxa"/>
          </w:tcPr>
          <w:p w14:paraId="292EE2FB" w14:textId="111BC859" w:rsidR="00FF4B24" w:rsidRPr="00FF4B24" w:rsidRDefault="00FF4B24" w:rsidP="00FF4B24">
            <w:pPr>
              <w:overflowPunct w:val="0"/>
              <w:autoSpaceDE w:val="0"/>
              <w:autoSpaceDN w:val="0"/>
              <w:adjustRightInd w:val="0"/>
              <w:textAlignment w:val="baseline"/>
              <w:rPr>
                <w:i/>
                <w:sz w:val="22"/>
                <w:szCs w:val="22"/>
              </w:rPr>
            </w:pPr>
            <w:r w:rsidRPr="00FF4B24">
              <w:rPr>
                <w:i/>
                <w:sz w:val="22"/>
                <w:szCs w:val="22"/>
              </w:rPr>
              <w:t xml:space="preserve">Georgios </w:t>
            </w:r>
            <w:r w:rsidR="00F362C7" w:rsidRPr="00D341DD">
              <w:rPr>
                <w:i/>
                <w:sz w:val="22"/>
                <w:szCs w:val="22"/>
              </w:rPr>
              <w:t>Meleas</w:t>
            </w:r>
          </w:p>
        </w:tc>
      </w:tr>
      <w:tr w:rsidR="00FF4B24" w:rsidRPr="00FF4B24" w14:paraId="6560389B" w14:textId="77777777" w:rsidTr="00114B49">
        <w:tc>
          <w:tcPr>
            <w:tcW w:w="1418" w:type="dxa"/>
          </w:tcPr>
          <w:p w14:paraId="0A436A07" w14:textId="77777777" w:rsidR="00FF4B24" w:rsidRPr="00FF4B24" w:rsidRDefault="00FF4B24" w:rsidP="00FF4B24">
            <w:pPr>
              <w:overflowPunct w:val="0"/>
              <w:autoSpaceDE w:val="0"/>
              <w:autoSpaceDN w:val="0"/>
              <w:adjustRightInd w:val="0"/>
              <w:textAlignment w:val="baseline"/>
              <w:rPr>
                <w:i/>
                <w:sz w:val="22"/>
                <w:szCs w:val="22"/>
              </w:rPr>
            </w:pPr>
            <w:r w:rsidRPr="00FF4B24">
              <w:rPr>
                <w:i/>
                <w:sz w:val="22"/>
                <w:szCs w:val="22"/>
              </w:rPr>
              <w:t>P.</w:t>
            </w:r>
          </w:p>
        </w:tc>
        <w:tc>
          <w:tcPr>
            <w:tcW w:w="7904" w:type="dxa"/>
          </w:tcPr>
          <w:p w14:paraId="57474CF5" w14:textId="77777777" w:rsidR="00FF4B24" w:rsidRPr="00FF4B24" w:rsidRDefault="00FF4B24" w:rsidP="00FF4B24">
            <w:pPr>
              <w:overflowPunct w:val="0"/>
              <w:autoSpaceDE w:val="0"/>
              <w:autoSpaceDN w:val="0"/>
              <w:adjustRightInd w:val="0"/>
              <w:textAlignment w:val="baseline"/>
              <w:rPr>
                <w:i/>
                <w:sz w:val="22"/>
                <w:szCs w:val="22"/>
              </w:rPr>
            </w:pPr>
            <w:r w:rsidRPr="00FF4B24">
              <w:rPr>
                <w:i/>
                <w:sz w:val="22"/>
                <w:szCs w:val="22"/>
              </w:rPr>
              <w:t>+32 25469795</w:t>
            </w:r>
          </w:p>
        </w:tc>
      </w:tr>
      <w:tr w:rsidR="00FF4B24" w:rsidRPr="00FF4B24" w14:paraId="0FEC0BA8" w14:textId="77777777" w:rsidTr="00114B49">
        <w:tc>
          <w:tcPr>
            <w:tcW w:w="1418" w:type="dxa"/>
          </w:tcPr>
          <w:p w14:paraId="376877D6" w14:textId="77777777" w:rsidR="00FF4B24" w:rsidRPr="00FF4B24" w:rsidRDefault="00FF4B24" w:rsidP="00FF4B24">
            <w:pPr>
              <w:overflowPunct w:val="0"/>
              <w:autoSpaceDE w:val="0"/>
              <w:autoSpaceDN w:val="0"/>
              <w:adjustRightInd w:val="0"/>
              <w:textAlignment w:val="baseline"/>
              <w:rPr>
                <w:i/>
                <w:sz w:val="22"/>
                <w:szCs w:val="22"/>
              </w:rPr>
            </w:pPr>
            <w:r w:rsidRPr="00FF4B24">
              <w:rPr>
                <w:i/>
                <w:sz w:val="22"/>
                <w:szCs w:val="22"/>
              </w:rPr>
              <w:t>Sähköposti</w:t>
            </w:r>
          </w:p>
        </w:tc>
        <w:tc>
          <w:tcPr>
            <w:tcW w:w="7904" w:type="dxa"/>
          </w:tcPr>
          <w:p w14:paraId="3DCA2B4D" w14:textId="77777777" w:rsidR="00FF4B24" w:rsidRPr="00FF4B24" w:rsidRDefault="008921B6" w:rsidP="00FF4B24">
            <w:pPr>
              <w:overflowPunct w:val="0"/>
              <w:autoSpaceDE w:val="0"/>
              <w:autoSpaceDN w:val="0"/>
              <w:adjustRightInd w:val="0"/>
              <w:textAlignment w:val="baseline"/>
              <w:rPr>
                <w:i/>
                <w:iCs/>
                <w:sz w:val="22"/>
                <w:szCs w:val="22"/>
              </w:rPr>
            </w:pPr>
            <w:hyperlink r:id="rId17" w:history="1">
              <w:r w:rsidR="00FF4B24" w:rsidRPr="00FF4B24">
                <w:rPr>
                  <w:i/>
                  <w:color w:val="0000FF"/>
                  <w:sz w:val="22"/>
                  <w:szCs w:val="22"/>
                  <w:u w:val="single"/>
                </w:rPr>
                <w:t>Georgios.Meleas@eesc.europa.eu</w:t>
              </w:r>
            </w:hyperlink>
          </w:p>
        </w:tc>
      </w:tr>
    </w:tbl>
    <w:p w14:paraId="4982DD97" w14:textId="7471E3BB" w:rsidR="00FF4B24" w:rsidRPr="00D341DD" w:rsidRDefault="00FF4B24" w:rsidP="004D7AC0">
      <w:pPr>
        <w:pStyle w:val="ListParagraph"/>
        <w:ind w:left="0"/>
      </w:pPr>
    </w:p>
    <w:p w14:paraId="503A745E" w14:textId="77777777" w:rsidR="00FF4B24" w:rsidRDefault="00FF4B24">
      <w:pPr>
        <w:spacing w:after="160" w:line="259" w:lineRule="auto"/>
        <w:jc w:val="left"/>
      </w:pPr>
      <w:r>
        <w:br w:type="page"/>
      </w:r>
    </w:p>
    <w:p w14:paraId="7D763568" w14:textId="37D61E22" w:rsidR="00FF4B24" w:rsidRDefault="008921B6" w:rsidP="00FF4B24">
      <w:pPr>
        <w:widowControl w:val="0"/>
        <w:numPr>
          <w:ilvl w:val="0"/>
          <w:numId w:val="4"/>
        </w:numPr>
        <w:overflowPunct w:val="0"/>
        <w:autoSpaceDE w:val="0"/>
        <w:autoSpaceDN w:val="0"/>
        <w:adjustRightInd w:val="0"/>
        <w:ind w:hanging="567"/>
        <w:textAlignment w:val="baseline"/>
        <w:rPr>
          <w:b/>
          <w:i/>
          <w:iCs/>
          <w:sz w:val="28"/>
          <w:szCs w:val="28"/>
        </w:rPr>
      </w:pPr>
      <w:hyperlink r:id="rId18" w:history="1">
        <w:r w:rsidR="00FF4B24">
          <w:rPr>
            <w:rStyle w:val="Hyperlink"/>
            <w:b/>
            <w:i/>
            <w:sz w:val="28"/>
          </w:rPr>
          <w:t>Euroopan aluekehitysrahaston, mukaan lukien Euroopan alueellinen yhteistyö (Interreg), ja koheesiorahaston perustaminen</w:t>
        </w:r>
      </w:hyperlink>
    </w:p>
    <w:p w14:paraId="3AEBD6FC" w14:textId="77777777" w:rsidR="00FF4B24" w:rsidRPr="008151EF" w:rsidRDefault="00FF4B24" w:rsidP="00FF4B24">
      <w:pPr>
        <w:widowControl w:val="0"/>
        <w:ind w:left="284"/>
        <w:rPr>
          <w:b/>
          <w:i/>
          <w:iCs/>
          <w:sz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7603"/>
      </w:tblGrid>
      <w:tr w:rsidR="00FF4B24" w:rsidRPr="00A6689B" w14:paraId="2CB7B86A" w14:textId="77777777" w:rsidTr="00114B49">
        <w:tc>
          <w:tcPr>
            <w:tcW w:w="1701" w:type="dxa"/>
          </w:tcPr>
          <w:p w14:paraId="04A3534C" w14:textId="77777777" w:rsidR="00FF4B24" w:rsidRPr="00A6689B" w:rsidRDefault="00FF4B24" w:rsidP="00114B49">
            <w:pPr>
              <w:tabs>
                <w:tab w:val="center" w:pos="284"/>
              </w:tabs>
              <w:ind w:left="266" w:hanging="266"/>
              <w:rPr>
                <w:b/>
              </w:rPr>
            </w:pPr>
            <w:r>
              <w:rPr>
                <w:b/>
              </w:rPr>
              <w:t>Esittelijä</w:t>
            </w:r>
          </w:p>
        </w:tc>
        <w:tc>
          <w:tcPr>
            <w:tcW w:w="7621" w:type="dxa"/>
          </w:tcPr>
          <w:p w14:paraId="29273FC9" w14:textId="77777777" w:rsidR="00F362C7" w:rsidRDefault="00FF4B24" w:rsidP="00114B49">
            <w:pPr>
              <w:tabs>
                <w:tab w:val="center" w:pos="284"/>
              </w:tabs>
              <w:ind w:left="266" w:hanging="266"/>
            </w:pPr>
            <w:r>
              <w:t>David SVENTEK (työnantajat – CZ)</w:t>
            </w:r>
          </w:p>
          <w:p w14:paraId="08BF449C" w14:textId="0D4EF55A" w:rsidR="003239E6" w:rsidRPr="00F362C7" w:rsidRDefault="003239E6" w:rsidP="00114B49">
            <w:pPr>
              <w:tabs>
                <w:tab w:val="center" w:pos="284"/>
              </w:tabs>
              <w:ind w:left="266" w:hanging="266"/>
            </w:pPr>
          </w:p>
        </w:tc>
      </w:tr>
      <w:tr w:rsidR="00FF4B24" w:rsidRPr="009B5E14" w14:paraId="4BB5543B" w14:textId="77777777" w:rsidTr="00114B49">
        <w:tc>
          <w:tcPr>
            <w:tcW w:w="1701" w:type="dxa"/>
          </w:tcPr>
          <w:p w14:paraId="1F2A86A3" w14:textId="77777777" w:rsidR="00FF4B24" w:rsidRPr="00A6689B" w:rsidRDefault="00FF4B24" w:rsidP="00114B49">
            <w:pPr>
              <w:tabs>
                <w:tab w:val="center" w:pos="284"/>
              </w:tabs>
              <w:ind w:left="266" w:hanging="266"/>
              <w:rPr>
                <w:b/>
              </w:rPr>
            </w:pPr>
            <w:r>
              <w:rPr>
                <w:b/>
              </w:rPr>
              <w:t>Viiteasiakirja(t)</w:t>
            </w:r>
          </w:p>
        </w:tc>
        <w:tc>
          <w:tcPr>
            <w:tcW w:w="7621" w:type="dxa"/>
          </w:tcPr>
          <w:p w14:paraId="3D7BE3AC" w14:textId="77777777" w:rsidR="00FF4B24" w:rsidRPr="00861FFD" w:rsidRDefault="00FF4B24" w:rsidP="00114B49">
            <w:pPr>
              <w:tabs>
                <w:tab w:val="center" w:pos="284"/>
              </w:tabs>
              <w:ind w:left="266" w:hanging="266"/>
            </w:pPr>
            <w:r>
              <w:t>COM(2025) 552 final</w:t>
            </w:r>
          </w:p>
          <w:p w14:paraId="54DA09C3" w14:textId="7440D1CB" w:rsidR="00FF4B24" w:rsidRPr="00861FFD" w:rsidRDefault="00FF4B24" w:rsidP="00114B49">
            <w:pPr>
              <w:tabs>
                <w:tab w:val="center" w:pos="284"/>
              </w:tabs>
              <w:ind w:left="266" w:hanging="266"/>
            </w:pPr>
            <w:r>
              <w:t>EESC-2025-03305-00-00-AC</w:t>
            </w:r>
          </w:p>
        </w:tc>
      </w:tr>
    </w:tbl>
    <w:p w14:paraId="066D45D6" w14:textId="77777777" w:rsidR="00FF4B24" w:rsidRDefault="00FF4B24" w:rsidP="00FF4B24">
      <w:pPr>
        <w:keepNext/>
        <w:keepLines/>
        <w:tabs>
          <w:tab w:val="center" w:pos="284"/>
        </w:tabs>
        <w:ind w:left="266" w:hanging="266"/>
        <w:rPr>
          <w:b/>
        </w:rPr>
      </w:pPr>
    </w:p>
    <w:p w14:paraId="291CD386" w14:textId="77777777" w:rsidR="00FF4B24" w:rsidRDefault="00FF4B24" w:rsidP="00FF4B24">
      <w:pPr>
        <w:keepNext/>
        <w:keepLines/>
        <w:tabs>
          <w:tab w:val="center" w:pos="284"/>
        </w:tabs>
        <w:ind w:left="266" w:hanging="266"/>
        <w:rPr>
          <w:b/>
        </w:rPr>
      </w:pPr>
      <w:r>
        <w:rPr>
          <w:b/>
        </w:rPr>
        <w:t>Keskeiset kohdat</w:t>
      </w:r>
    </w:p>
    <w:p w14:paraId="51EB78AC" w14:textId="77777777" w:rsidR="00FF4B24" w:rsidRDefault="00FF4B24" w:rsidP="00FF4B24"/>
    <w:p w14:paraId="518132C7" w14:textId="6C7D5425" w:rsidR="00FF4B24" w:rsidRDefault="00FF4B24" w:rsidP="00FF4B24">
      <w:r>
        <w:t>ETSK</w:t>
      </w:r>
    </w:p>
    <w:p w14:paraId="6485E364" w14:textId="77777777" w:rsidR="00FF4B24" w:rsidRDefault="00FF4B24" w:rsidP="00D341DD">
      <w:pPr>
        <w:pStyle w:val="ListParagraph"/>
        <w:numPr>
          <w:ilvl w:val="0"/>
          <w:numId w:val="37"/>
        </w:numPr>
        <w:overflowPunct w:val="0"/>
        <w:autoSpaceDE w:val="0"/>
        <w:autoSpaceDN w:val="0"/>
        <w:adjustRightInd w:val="0"/>
        <w:textAlignment w:val="baseline"/>
      </w:pPr>
      <w:r>
        <w:t>katsoo, että tarve vähentää alueellisia eroja on edelleen yksi EU:n yhdentymisen keskeisistä painopisteistä ja että perinteisten, hyviksi todettujen ja tehokkaiden koheesiopolitiikan välineiden käyttö on oikea tapa tukea kestävää vaurautta kaikilla EU:n alueilla.</w:t>
      </w:r>
    </w:p>
    <w:p w14:paraId="7F717121" w14:textId="77777777" w:rsidR="00FF4B24" w:rsidRDefault="00FF4B24" w:rsidP="00D341DD">
      <w:pPr>
        <w:pStyle w:val="ListParagraph"/>
        <w:numPr>
          <w:ilvl w:val="0"/>
          <w:numId w:val="37"/>
        </w:numPr>
        <w:overflowPunct w:val="0"/>
        <w:autoSpaceDE w:val="0"/>
        <w:autoSpaceDN w:val="0"/>
        <w:adjustRightInd w:val="0"/>
        <w:textAlignment w:val="baseline"/>
      </w:pPr>
      <w:r>
        <w:t>suosittaa, että EAKR:n ja koheesiorahaston roolia kansallisten ja alueellisten kumppanuuksien rahastossa (kumppanuusrahasto) selkiytetään paitsi yleis- ja erityistavoitteiden avulla myös tarkentamalla asetusta. toivoo, että komissio muokkaisi asetusehdotusta ja täydentäisi sitä ainakin liitteellä, jossa annettaisiin ohjeita EAKR:n ja koheesiorahaston tehokkaasta sisällyttämisestä kumppanuusrahastoon.</w:t>
      </w:r>
    </w:p>
    <w:p w14:paraId="3E0DFE38" w14:textId="77777777" w:rsidR="00FF4B24" w:rsidRDefault="00FF4B24" w:rsidP="00D341DD">
      <w:pPr>
        <w:pStyle w:val="ListParagraph"/>
        <w:numPr>
          <w:ilvl w:val="0"/>
          <w:numId w:val="37"/>
        </w:numPr>
        <w:overflowPunct w:val="0"/>
        <w:autoSpaceDE w:val="0"/>
        <w:autoSpaceDN w:val="0"/>
        <w:adjustRightInd w:val="0"/>
        <w:textAlignment w:val="baseline"/>
      </w:pPr>
      <w:r>
        <w:t>tähdentää, että uudet järjestelyt eivät saisi johtaa EAKR:n ja koheesiorahaston merkityksen ja tehtävän heikentymiseen etenkään kehityksessä jälkeen jääneiden alueiden kehittämisen ja teollisuusalueiden muutoksen tukemisessa. Komitea korostaa kumppanuusperiaatteen merkitystä tulevien ohjelmien suunnittelussa.</w:t>
      </w:r>
    </w:p>
    <w:p w14:paraId="39DE6E4E" w14:textId="77777777" w:rsidR="00FF4B24" w:rsidRDefault="00FF4B24" w:rsidP="00D341DD">
      <w:pPr>
        <w:pStyle w:val="ListParagraph"/>
        <w:numPr>
          <w:ilvl w:val="0"/>
          <w:numId w:val="37"/>
        </w:numPr>
        <w:overflowPunct w:val="0"/>
        <w:autoSpaceDE w:val="0"/>
        <w:autoSpaceDN w:val="0"/>
        <w:adjustRightInd w:val="0"/>
        <w:textAlignment w:val="baseline"/>
      </w:pPr>
      <w:r>
        <w:t>suhtautuu myönteisesti tulevan Interreg-ohjelman sisältöön ja temaattiseen painotukseen sekä sen synergiaan Globaali Eurooppa -ohjelman kanssa ehdotetuissa erityistapauksissa.</w:t>
      </w:r>
    </w:p>
    <w:p w14:paraId="253A7683" w14:textId="77777777" w:rsidR="00FF4B24" w:rsidRDefault="00FF4B24" w:rsidP="00D341DD">
      <w:pPr>
        <w:pStyle w:val="ListParagraph"/>
        <w:numPr>
          <w:ilvl w:val="0"/>
          <w:numId w:val="37"/>
        </w:numPr>
        <w:overflowPunct w:val="0"/>
        <w:autoSpaceDE w:val="0"/>
        <w:autoSpaceDN w:val="0"/>
        <w:adjustRightInd w:val="0"/>
        <w:textAlignment w:val="baseline"/>
      </w:pPr>
      <w:r>
        <w:t>kannattaa yleisesti ottaen ehdotuksen innovatiivista lähestymistapaa nykyisen Interreg-ohjelman tulevaisuuden suhteen, erityisesti täytäntöönpanorakenteen hyväksymistä Interreg-suunnitelman yksittäisten lukujen tasolla.</w:t>
      </w:r>
    </w:p>
    <w:p w14:paraId="4EE140B4" w14:textId="77777777" w:rsidR="00FF4B24" w:rsidRDefault="00FF4B24" w:rsidP="00D341DD">
      <w:pPr>
        <w:pStyle w:val="ListParagraph"/>
        <w:numPr>
          <w:ilvl w:val="0"/>
          <w:numId w:val="37"/>
        </w:numPr>
        <w:overflowPunct w:val="0"/>
        <w:autoSpaceDE w:val="0"/>
        <w:autoSpaceDN w:val="0"/>
        <w:adjustRightInd w:val="0"/>
        <w:textAlignment w:val="baseline"/>
      </w:pPr>
      <w:r>
        <w:t>kiinnittää huomiota riskiin siitä, että rajatylittävän alueellisen tason toimijat eivät pääse sopimukseen, koska asetusehdotus ei ole kovin yksityiskohtainen. Komitea suosittaa myös, että välittömästi asetuksen hyväksymisen jälkeen annetaan täytäntöönpanosäädös.</w:t>
      </w:r>
    </w:p>
    <w:p w14:paraId="327C0D50" w14:textId="77777777" w:rsidR="00FF4B24" w:rsidRDefault="00FF4B24" w:rsidP="00D341DD">
      <w:pPr>
        <w:pStyle w:val="ListParagraph"/>
        <w:numPr>
          <w:ilvl w:val="0"/>
          <w:numId w:val="37"/>
        </w:numPr>
        <w:overflowPunct w:val="0"/>
        <w:autoSpaceDE w:val="0"/>
        <w:autoSpaceDN w:val="0"/>
        <w:adjustRightInd w:val="0"/>
        <w:textAlignment w:val="baseline"/>
      </w:pPr>
      <w:r>
        <w:t>kehottaa varmistamaan, että jäsenvaltiotason tulkinta ja rahastojen täytäntöönpano ovat verrattavissa ja että jäsenvaltioiden välillä ei ole merkittäviä eroja.</w:t>
      </w:r>
    </w:p>
    <w:p w14:paraId="5C177A52" w14:textId="77777777" w:rsidR="00FF4B24" w:rsidRDefault="00FF4B24" w:rsidP="00D341DD">
      <w:pPr>
        <w:pStyle w:val="ListParagraph"/>
        <w:numPr>
          <w:ilvl w:val="0"/>
          <w:numId w:val="37"/>
        </w:numPr>
        <w:overflowPunct w:val="0"/>
        <w:autoSpaceDE w:val="0"/>
        <w:autoSpaceDN w:val="0"/>
        <w:adjustRightInd w:val="0"/>
        <w:textAlignment w:val="baseline"/>
      </w:pPr>
      <w:r>
        <w:t>kannattaa täytäntöönpano- ja hallintoprosessien yksinkertaistamista varojen käytön tehostamiseksi.</w:t>
      </w:r>
    </w:p>
    <w:p w14:paraId="0BBC87D7" w14:textId="77777777" w:rsidR="00FF4B24" w:rsidRPr="0099569E" w:rsidRDefault="00FF4B24" w:rsidP="00D341DD">
      <w:pPr>
        <w:pStyle w:val="ListParagraph"/>
        <w:numPr>
          <w:ilvl w:val="0"/>
          <w:numId w:val="37"/>
        </w:numPr>
        <w:overflowPunct w:val="0"/>
        <w:autoSpaceDE w:val="0"/>
        <w:autoSpaceDN w:val="0"/>
        <w:adjustRightInd w:val="0"/>
        <w:textAlignment w:val="baseline"/>
        <w:rPr>
          <w:bCs/>
          <w:iCs/>
        </w:rPr>
      </w:pPr>
      <w:r>
        <w:t>arvostaa sitä, että EAKR:ää ja koheesiorahastoa koskevassa asetusehdotuksessa säädetään myös mahdollisuudesta tukea kestävää kaupunkikehitystä ja sen puitteissa yhdennettyjä kaupunki- ja aluekehitysstrategioita, joissa keskitytään kestävään kehitykseen, ympäristö-, energia- ja ilmastoalan haasteisiin sekä ongelmiin, jotka liittyvät oikeudenmukaiseen siirtymiseen puhtaaseen, ilmastoneutraaliin ja selviytymiskykyiseen talouteen, kiinnittäen erityistä huomiota kohtuuhintaiseen asumiseen, köyhyyteen, kulttuuriperintöön ja digitaaliteknologian potentiaalin hyödyntämiseen innovoinnin ja energiatehokkuuden alalla.</w:t>
      </w:r>
    </w:p>
    <w:p w14:paraId="5AB3F3BC" w14:textId="77777777" w:rsidR="00FF4B24" w:rsidRPr="0099569E" w:rsidRDefault="00FF4B24" w:rsidP="00FF4B24">
      <w:pPr>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F4B24" w:rsidRPr="00A6689B" w14:paraId="6FD08CCD" w14:textId="77777777" w:rsidTr="00114B49">
        <w:tc>
          <w:tcPr>
            <w:tcW w:w="1418" w:type="dxa"/>
          </w:tcPr>
          <w:p w14:paraId="449A48B7" w14:textId="77777777" w:rsidR="00FF4B24" w:rsidRPr="00A6689B" w:rsidRDefault="00FF4B24" w:rsidP="00114B49">
            <w:pPr>
              <w:rPr>
                <w:i/>
              </w:rPr>
            </w:pPr>
            <w:r>
              <w:rPr>
                <w:b/>
                <w:bCs/>
                <w:i/>
              </w:rPr>
              <w:t>Yhteydenotot</w:t>
            </w:r>
          </w:p>
        </w:tc>
        <w:tc>
          <w:tcPr>
            <w:tcW w:w="7904" w:type="dxa"/>
          </w:tcPr>
          <w:p w14:paraId="6DE47104" w14:textId="77777777" w:rsidR="00FF4B24" w:rsidRPr="00165B52" w:rsidRDefault="00FF4B24" w:rsidP="00114B49">
            <w:pPr>
              <w:rPr>
                <w:i/>
              </w:rPr>
            </w:pPr>
            <w:r>
              <w:rPr>
                <w:i/>
              </w:rPr>
              <w:t>Georgios Meleas</w:t>
            </w:r>
          </w:p>
        </w:tc>
      </w:tr>
      <w:tr w:rsidR="00FF4B24" w:rsidRPr="00A6689B" w14:paraId="2EA35A95" w14:textId="77777777" w:rsidTr="00114B49">
        <w:tc>
          <w:tcPr>
            <w:tcW w:w="1418" w:type="dxa"/>
          </w:tcPr>
          <w:p w14:paraId="2EB69979" w14:textId="77777777" w:rsidR="00FF4B24" w:rsidRPr="00A6689B" w:rsidRDefault="00FF4B24" w:rsidP="00114B49">
            <w:pPr>
              <w:rPr>
                <w:i/>
              </w:rPr>
            </w:pPr>
            <w:r>
              <w:rPr>
                <w:i/>
              </w:rPr>
              <w:t>P.</w:t>
            </w:r>
          </w:p>
        </w:tc>
        <w:tc>
          <w:tcPr>
            <w:tcW w:w="7904" w:type="dxa"/>
          </w:tcPr>
          <w:p w14:paraId="2E2A7A52" w14:textId="77777777" w:rsidR="00FF4B24" w:rsidRPr="00A6689B" w:rsidRDefault="00FF4B24" w:rsidP="00114B49">
            <w:pPr>
              <w:rPr>
                <w:i/>
              </w:rPr>
            </w:pPr>
            <w:r>
              <w:t>+32 (2) 546 9795</w:t>
            </w:r>
          </w:p>
        </w:tc>
      </w:tr>
      <w:tr w:rsidR="00FF4B24" w:rsidRPr="00A6689B" w14:paraId="4C5A368C" w14:textId="77777777" w:rsidTr="00114B49">
        <w:tc>
          <w:tcPr>
            <w:tcW w:w="1418" w:type="dxa"/>
          </w:tcPr>
          <w:p w14:paraId="4BD6C1D9" w14:textId="77777777" w:rsidR="00FF4B24" w:rsidRPr="00A6689B" w:rsidRDefault="00FF4B24" w:rsidP="00114B49">
            <w:pPr>
              <w:rPr>
                <w:i/>
              </w:rPr>
            </w:pPr>
            <w:r>
              <w:rPr>
                <w:i/>
              </w:rPr>
              <w:t>Sähköposti</w:t>
            </w:r>
          </w:p>
        </w:tc>
        <w:tc>
          <w:tcPr>
            <w:tcW w:w="7904" w:type="dxa"/>
          </w:tcPr>
          <w:p w14:paraId="08D772C2" w14:textId="77777777" w:rsidR="00FF4B24" w:rsidRPr="009B5E14" w:rsidRDefault="008921B6" w:rsidP="00114B49">
            <w:pPr>
              <w:rPr>
                <w:i/>
                <w:iCs/>
              </w:rPr>
            </w:pPr>
            <w:hyperlink r:id="rId19" w:history="1">
              <w:r w:rsidR="00FF4B24">
                <w:rPr>
                  <w:rStyle w:val="Hyperlink"/>
                  <w:i/>
                </w:rPr>
                <w:t>Georgios.Meleas@eesc.europa.eu</w:t>
              </w:r>
            </w:hyperlink>
          </w:p>
        </w:tc>
      </w:tr>
    </w:tbl>
    <w:p w14:paraId="4982DD98" w14:textId="3DF701BF" w:rsidR="004D7AC0" w:rsidRDefault="004D7AC0" w:rsidP="004D7AC0">
      <w:pPr>
        <w:spacing w:after="160" w:line="259" w:lineRule="auto"/>
        <w:jc w:val="left"/>
      </w:pPr>
    </w:p>
    <w:p w14:paraId="4982DD99" w14:textId="77777777" w:rsidR="004D7AC0" w:rsidRDefault="004D7AC0" w:rsidP="004D7AC0">
      <w:pPr>
        <w:pStyle w:val="Heading1"/>
        <w:rPr>
          <w:b/>
        </w:rPr>
      </w:pPr>
      <w:bookmarkStart w:id="1" w:name="_Toc75527081"/>
      <w:bookmarkStart w:id="2" w:name="_Toc216768394"/>
      <w:r>
        <w:rPr>
          <w:b/>
        </w:rPr>
        <w:t>TYÖLLISYYS, SOSIAALIASIAT JA KANSALAISUUS</w:t>
      </w:r>
      <w:bookmarkEnd w:id="1"/>
      <w:bookmarkEnd w:id="2"/>
    </w:p>
    <w:p w14:paraId="4982DD9A" w14:textId="77777777" w:rsidR="004D7AC0" w:rsidRDefault="004D7AC0" w:rsidP="004D7AC0"/>
    <w:p w14:paraId="3DA75974" w14:textId="3D41F144" w:rsidR="00FF4B24" w:rsidRPr="00FF4B24" w:rsidRDefault="008921B6" w:rsidP="00FF4B24">
      <w:pPr>
        <w:widowControl w:val="0"/>
        <w:numPr>
          <w:ilvl w:val="0"/>
          <w:numId w:val="6"/>
        </w:numPr>
        <w:overflowPunct w:val="0"/>
        <w:autoSpaceDE w:val="0"/>
        <w:autoSpaceDN w:val="0"/>
        <w:adjustRightInd w:val="0"/>
        <w:ind w:left="567" w:hanging="567"/>
        <w:textAlignment w:val="baseline"/>
        <w:rPr>
          <w:b/>
        </w:rPr>
      </w:pPr>
      <w:hyperlink r:id="rId20" w:history="1">
        <w:r w:rsidR="00FF4B24" w:rsidRPr="00FF4B24">
          <w:rPr>
            <w:b/>
            <w:i/>
            <w:color w:val="0000FF"/>
            <w:sz w:val="28"/>
            <w:szCs w:val="20"/>
            <w:u w:val="single"/>
          </w:rPr>
          <w:t>Toimittajien työelämäoikeudet</w:t>
        </w:r>
      </w:hyperlink>
    </w:p>
    <w:p w14:paraId="581F927A" w14:textId="77777777" w:rsidR="00FF4B24" w:rsidRPr="00FF4B24" w:rsidRDefault="00FF4B24" w:rsidP="003239E6">
      <w:pPr>
        <w:tabs>
          <w:tab w:val="center" w:pos="284"/>
        </w:tabs>
        <w:overflowPunct w:val="0"/>
        <w:autoSpaceDE w:val="0"/>
        <w:autoSpaceDN w:val="0"/>
        <w:adjustRightInd w:val="0"/>
        <w:ind w:left="567" w:hanging="567"/>
        <w:textAlignment w:val="baseline"/>
        <w:rPr>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FF4B24" w:rsidRPr="00FF4B24" w14:paraId="0EA4BB82" w14:textId="77777777" w:rsidTr="00114B49">
        <w:tc>
          <w:tcPr>
            <w:tcW w:w="1701" w:type="dxa"/>
          </w:tcPr>
          <w:p w14:paraId="4E433C45" w14:textId="77777777" w:rsidR="00FF4B24" w:rsidRPr="00FF4B24" w:rsidRDefault="00FF4B24" w:rsidP="003239E6">
            <w:pPr>
              <w:tabs>
                <w:tab w:val="center" w:pos="284"/>
              </w:tabs>
              <w:overflowPunct w:val="0"/>
              <w:autoSpaceDE w:val="0"/>
              <w:autoSpaceDN w:val="0"/>
              <w:adjustRightInd w:val="0"/>
              <w:ind w:left="567" w:hanging="567"/>
              <w:textAlignment w:val="baseline"/>
              <w:rPr>
                <w:b/>
                <w:sz w:val="22"/>
                <w:szCs w:val="22"/>
              </w:rPr>
            </w:pPr>
            <w:r w:rsidRPr="00FF4B24">
              <w:rPr>
                <w:b/>
                <w:sz w:val="22"/>
                <w:szCs w:val="22"/>
              </w:rPr>
              <w:t>Esittelijä</w:t>
            </w:r>
          </w:p>
          <w:p w14:paraId="046BF6C4" w14:textId="77777777" w:rsidR="00FF4B24" w:rsidRPr="00FF4B24" w:rsidRDefault="00FF4B24" w:rsidP="003239E6">
            <w:pPr>
              <w:tabs>
                <w:tab w:val="center" w:pos="284"/>
              </w:tabs>
              <w:overflowPunct w:val="0"/>
              <w:autoSpaceDE w:val="0"/>
              <w:autoSpaceDN w:val="0"/>
              <w:adjustRightInd w:val="0"/>
              <w:ind w:left="567" w:hanging="567"/>
              <w:textAlignment w:val="baseline"/>
              <w:rPr>
                <w:b/>
                <w:sz w:val="22"/>
                <w:szCs w:val="22"/>
              </w:rPr>
            </w:pPr>
            <w:r w:rsidRPr="00FF4B24">
              <w:rPr>
                <w:b/>
                <w:sz w:val="22"/>
                <w:szCs w:val="22"/>
              </w:rPr>
              <w:t>Yhteisesittelijä</w:t>
            </w:r>
          </w:p>
        </w:tc>
        <w:tc>
          <w:tcPr>
            <w:tcW w:w="6237" w:type="dxa"/>
          </w:tcPr>
          <w:p w14:paraId="3CE66C8F" w14:textId="77777777" w:rsidR="00FF4B24" w:rsidRPr="00FF4B24" w:rsidRDefault="00FF4B24" w:rsidP="003239E6">
            <w:pPr>
              <w:overflowPunct w:val="0"/>
              <w:autoSpaceDE w:val="0"/>
              <w:autoSpaceDN w:val="0"/>
              <w:adjustRightInd w:val="0"/>
              <w:ind w:left="567" w:hanging="567"/>
              <w:textAlignment w:val="baseline"/>
              <w:rPr>
                <w:sz w:val="22"/>
                <w:szCs w:val="22"/>
              </w:rPr>
            </w:pPr>
            <w:r w:rsidRPr="00FF4B24">
              <w:rPr>
                <w:sz w:val="22"/>
                <w:szCs w:val="22"/>
              </w:rPr>
              <w:t>José Antonio MORENO DÍAZ (työntekijät – ES)</w:t>
            </w:r>
          </w:p>
          <w:p w14:paraId="6EDF7BFE" w14:textId="77777777" w:rsidR="00FF4B24" w:rsidRPr="00FF4B24" w:rsidRDefault="00FF4B24" w:rsidP="003239E6">
            <w:pPr>
              <w:overflowPunct w:val="0"/>
              <w:autoSpaceDE w:val="0"/>
              <w:autoSpaceDN w:val="0"/>
              <w:adjustRightInd w:val="0"/>
              <w:ind w:left="567" w:hanging="567"/>
              <w:textAlignment w:val="baseline"/>
              <w:rPr>
                <w:sz w:val="22"/>
                <w:szCs w:val="22"/>
              </w:rPr>
            </w:pPr>
            <w:r w:rsidRPr="00FF4B24">
              <w:rPr>
                <w:sz w:val="22"/>
                <w:szCs w:val="22"/>
              </w:rPr>
              <w:t>Christian MOOS (kansalaisyhteiskunnan organisaatiot – DE)</w:t>
            </w:r>
          </w:p>
        </w:tc>
      </w:tr>
      <w:tr w:rsidR="00FF4B24" w:rsidRPr="00FF4B24" w14:paraId="1780A5A6" w14:textId="77777777" w:rsidTr="00114B49">
        <w:tc>
          <w:tcPr>
            <w:tcW w:w="1701" w:type="dxa"/>
          </w:tcPr>
          <w:p w14:paraId="60BA23FF" w14:textId="77777777" w:rsidR="00FF4B24" w:rsidRPr="00FF4B24" w:rsidRDefault="00FF4B24" w:rsidP="003239E6">
            <w:pPr>
              <w:tabs>
                <w:tab w:val="center" w:pos="284"/>
              </w:tabs>
              <w:overflowPunct w:val="0"/>
              <w:autoSpaceDE w:val="0"/>
              <w:autoSpaceDN w:val="0"/>
              <w:adjustRightInd w:val="0"/>
              <w:ind w:left="567" w:hanging="567"/>
              <w:textAlignment w:val="baseline"/>
              <w:rPr>
                <w:b/>
                <w:sz w:val="22"/>
                <w:szCs w:val="22"/>
                <w:lang w:val="en-US"/>
              </w:rPr>
            </w:pPr>
          </w:p>
          <w:p w14:paraId="6003C933" w14:textId="77777777" w:rsidR="00FF4B24" w:rsidRPr="00FF4B24" w:rsidRDefault="00FF4B24" w:rsidP="003239E6">
            <w:pPr>
              <w:tabs>
                <w:tab w:val="center" w:pos="284"/>
              </w:tabs>
              <w:overflowPunct w:val="0"/>
              <w:autoSpaceDE w:val="0"/>
              <w:autoSpaceDN w:val="0"/>
              <w:adjustRightInd w:val="0"/>
              <w:ind w:left="567" w:hanging="567"/>
              <w:textAlignment w:val="baseline"/>
              <w:rPr>
                <w:b/>
                <w:sz w:val="22"/>
                <w:szCs w:val="22"/>
              </w:rPr>
            </w:pPr>
            <w:r w:rsidRPr="00FF4B24">
              <w:rPr>
                <w:b/>
                <w:sz w:val="22"/>
                <w:szCs w:val="22"/>
              </w:rPr>
              <w:t>Viiteasiakirjat</w:t>
            </w:r>
          </w:p>
        </w:tc>
        <w:tc>
          <w:tcPr>
            <w:tcW w:w="6237" w:type="dxa"/>
          </w:tcPr>
          <w:p w14:paraId="0C4A8205" w14:textId="2661998B" w:rsidR="00FF4B24" w:rsidRPr="003239E6" w:rsidRDefault="00FF4B24" w:rsidP="003239E6">
            <w:pPr>
              <w:tabs>
                <w:tab w:val="center" w:pos="284"/>
              </w:tabs>
              <w:overflowPunct w:val="0"/>
              <w:autoSpaceDE w:val="0"/>
              <w:autoSpaceDN w:val="0"/>
              <w:adjustRightInd w:val="0"/>
              <w:ind w:left="567" w:hanging="567"/>
              <w:textAlignment w:val="baseline"/>
              <w:rPr>
                <w:sz w:val="22"/>
                <w:szCs w:val="22"/>
                <w:lang w:val="pt-PT"/>
              </w:rPr>
            </w:pPr>
          </w:p>
          <w:p w14:paraId="094C23DE" w14:textId="21A21136" w:rsidR="00F362C7" w:rsidRPr="00FF4B24" w:rsidRDefault="00F362C7" w:rsidP="003239E6">
            <w:pPr>
              <w:tabs>
                <w:tab w:val="center" w:pos="284"/>
              </w:tabs>
              <w:overflowPunct w:val="0"/>
              <w:autoSpaceDE w:val="0"/>
              <w:autoSpaceDN w:val="0"/>
              <w:adjustRightInd w:val="0"/>
              <w:ind w:left="567" w:hanging="567"/>
              <w:textAlignment w:val="baseline"/>
              <w:rPr>
                <w:sz w:val="22"/>
                <w:szCs w:val="22"/>
                <w:lang w:val="pt-PT"/>
              </w:rPr>
            </w:pPr>
            <w:r w:rsidRPr="003239E6">
              <w:rPr>
                <w:sz w:val="22"/>
                <w:szCs w:val="22"/>
                <w:lang w:val="pt-PT"/>
              </w:rPr>
              <w:t>Om</w:t>
            </w:r>
            <w:r w:rsidR="009D6F2E">
              <w:rPr>
                <w:sz w:val="22"/>
                <w:szCs w:val="22"/>
                <w:lang w:val="pt-PT"/>
              </w:rPr>
              <w:t>a</w:t>
            </w:r>
            <w:r w:rsidRPr="003239E6">
              <w:rPr>
                <w:sz w:val="22"/>
                <w:szCs w:val="22"/>
                <w:lang w:val="pt-PT"/>
              </w:rPr>
              <w:t>-aloitteinen lausunto</w:t>
            </w:r>
          </w:p>
          <w:p w14:paraId="216AC126" w14:textId="77777777" w:rsidR="00FF4B24" w:rsidRPr="00FF4B24" w:rsidRDefault="00FF4B24" w:rsidP="003239E6">
            <w:pPr>
              <w:tabs>
                <w:tab w:val="center" w:pos="284"/>
              </w:tabs>
              <w:overflowPunct w:val="0"/>
              <w:autoSpaceDE w:val="0"/>
              <w:autoSpaceDN w:val="0"/>
              <w:adjustRightInd w:val="0"/>
              <w:ind w:left="567" w:hanging="567"/>
              <w:textAlignment w:val="baseline"/>
              <w:rPr>
                <w:sz w:val="22"/>
                <w:szCs w:val="22"/>
              </w:rPr>
            </w:pPr>
            <w:r w:rsidRPr="00FF4B24">
              <w:rPr>
                <w:sz w:val="22"/>
                <w:szCs w:val="22"/>
              </w:rPr>
              <w:t>EESC-2025-01400-00-00-AC-TRA</w:t>
            </w:r>
          </w:p>
        </w:tc>
      </w:tr>
    </w:tbl>
    <w:p w14:paraId="1FA0E1F1" w14:textId="77777777" w:rsidR="00F362C7" w:rsidRPr="003239E6" w:rsidRDefault="00F362C7" w:rsidP="003239E6">
      <w:pPr>
        <w:keepNext/>
        <w:keepLines/>
        <w:tabs>
          <w:tab w:val="center" w:pos="284"/>
        </w:tabs>
        <w:overflowPunct w:val="0"/>
        <w:autoSpaceDE w:val="0"/>
        <w:autoSpaceDN w:val="0"/>
        <w:adjustRightInd w:val="0"/>
        <w:ind w:left="266" w:hanging="266"/>
        <w:textAlignment w:val="baseline"/>
        <w:rPr>
          <w:b/>
        </w:rPr>
      </w:pPr>
    </w:p>
    <w:p w14:paraId="6A36B9A5" w14:textId="2CDC6F26" w:rsidR="00FF4B24" w:rsidRPr="00FF4B24" w:rsidRDefault="00FF4B24" w:rsidP="003239E6">
      <w:pPr>
        <w:keepNext/>
        <w:keepLines/>
        <w:tabs>
          <w:tab w:val="center" w:pos="284"/>
        </w:tabs>
        <w:overflowPunct w:val="0"/>
        <w:autoSpaceDE w:val="0"/>
        <w:autoSpaceDN w:val="0"/>
        <w:adjustRightInd w:val="0"/>
        <w:ind w:left="266" w:hanging="266"/>
        <w:textAlignment w:val="baseline"/>
        <w:rPr>
          <w:b/>
        </w:rPr>
      </w:pPr>
      <w:r w:rsidRPr="00FF4B24">
        <w:rPr>
          <w:b/>
        </w:rPr>
        <w:t>Keskeiset kohdat</w:t>
      </w:r>
    </w:p>
    <w:p w14:paraId="507CCD80" w14:textId="77777777" w:rsidR="00FF4B24" w:rsidRPr="00FF4B24" w:rsidRDefault="00FF4B24" w:rsidP="003239E6">
      <w:pPr>
        <w:keepNext/>
        <w:keepLines/>
        <w:tabs>
          <w:tab w:val="center" w:pos="284"/>
        </w:tabs>
        <w:overflowPunct w:val="0"/>
        <w:autoSpaceDE w:val="0"/>
        <w:autoSpaceDN w:val="0"/>
        <w:adjustRightInd w:val="0"/>
        <w:ind w:left="266" w:hanging="266"/>
        <w:textAlignment w:val="baseline"/>
        <w:rPr>
          <w:b/>
        </w:rPr>
      </w:pPr>
    </w:p>
    <w:p w14:paraId="5EE48A2E" w14:textId="77777777" w:rsidR="00FF4B24" w:rsidRPr="00FF4B24" w:rsidRDefault="00FF4B24" w:rsidP="003239E6">
      <w:pPr>
        <w:keepNext/>
        <w:keepLines/>
        <w:tabs>
          <w:tab w:val="center" w:pos="284"/>
        </w:tabs>
        <w:overflowPunct w:val="0"/>
        <w:autoSpaceDE w:val="0"/>
        <w:autoSpaceDN w:val="0"/>
        <w:adjustRightInd w:val="0"/>
        <w:ind w:left="266" w:hanging="266"/>
        <w:textAlignment w:val="baseline"/>
        <w:rPr>
          <w:b/>
          <w:bCs/>
        </w:rPr>
      </w:pPr>
      <w:r w:rsidRPr="00FF4B24">
        <w:t>ETSK</w:t>
      </w:r>
    </w:p>
    <w:p w14:paraId="0095E905" w14:textId="77777777" w:rsidR="00FF4B24" w:rsidRPr="00FF4B24" w:rsidRDefault="00FF4B24" w:rsidP="003239E6">
      <w:pPr>
        <w:pStyle w:val="ListParagraph"/>
        <w:numPr>
          <w:ilvl w:val="0"/>
          <w:numId w:val="17"/>
        </w:numPr>
        <w:overflowPunct w:val="0"/>
        <w:autoSpaceDE w:val="0"/>
        <w:autoSpaceDN w:val="0"/>
        <w:adjustRightInd w:val="0"/>
        <w:textAlignment w:val="baseline"/>
      </w:pPr>
      <w:r w:rsidRPr="00FF4B24">
        <w:t>kehottaa viranomaisia ryhtymään kiireesti toimenpiteisiin toimittajien suojelemiseksi jatkuvasti lisääntyvältä turvattomuudelta ja kehottaa soveltamaan eurooppalaista medianvapaussäädöstä kaikilta osin. Komitea kehottaa myös antamaan media-alan yrityksille riippumatonta tukea nykyisten tukien lisäksi, jotta voidaan varmistaa Euroopan media-alan kestävyys, ja lisäämään merkittävästi rahoitusta vakaan tiedonvälitysekosysteemin suojelemiseksi.</w:t>
      </w:r>
    </w:p>
    <w:p w14:paraId="12192449" w14:textId="77777777" w:rsidR="00FF4B24" w:rsidRPr="00FF4B24" w:rsidRDefault="00FF4B24" w:rsidP="003239E6">
      <w:pPr>
        <w:pStyle w:val="ListParagraph"/>
        <w:numPr>
          <w:ilvl w:val="0"/>
          <w:numId w:val="17"/>
        </w:numPr>
        <w:overflowPunct w:val="0"/>
        <w:autoSpaceDE w:val="0"/>
        <w:autoSpaceDN w:val="0"/>
        <w:adjustRightInd w:val="0"/>
        <w:textAlignment w:val="baseline"/>
      </w:pPr>
      <w:r w:rsidRPr="00FF4B24">
        <w:t>kehottaa Euroopan komissiota erityisesti esittämään kunnianhimoisen politiikkatoimien ja investointien paketin laadukkaiden työpaikkojen tukemiseksi media-alalla ja pyytää hallitusvallan käyttäjiä edistämään kaikki toimittajat – myös freelancerit – kattavaa työmarkkinavuoropuhelua ja keskitettyä sopimista saattamalla osaksi kansallista lainsäädäntöä riittävistä vähimmäispalkoista annettu direktiivi</w:t>
      </w:r>
      <w:r w:rsidRPr="00FF4B24">
        <w:rPr>
          <w:sz w:val="24"/>
          <w:szCs w:val="24"/>
          <w:vertAlign w:val="superscript"/>
        </w:rPr>
        <w:footnoteReference w:id="1"/>
      </w:r>
      <w:r w:rsidRPr="00FF4B24">
        <w:t xml:space="preserve"> siltä osin kuin mahdollista sekä suuntaviivat unionin kilpailulainsäädännön soveltamiseksi yksinyrittäjien työoloja koskeviin työehtosopimuksiin</w:t>
      </w:r>
      <w:r w:rsidRPr="00FF4B24">
        <w:rPr>
          <w:sz w:val="24"/>
          <w:szCs w:val="24"/>
          <w:vertAlign w:val="superscript"/>
        </w:rPr>
        <w:footnoteReference w:id="2"/>
      </w:r>
      <w:r w:rsidRPr="00FF4B24">
        <w:t>. Lisäksi Euroopan komission ja jäsenvaltioiden olisi torjuttava näennäistä itsenäistä ammatinharjoittamista.</w:t>
      </w:r>
    </w:p>
    <w:p w14:paraId="6991B23A" w14:textId="77777777" w:rsidR="00FF4B24" w:rsidRPr="00FF4B24" w:rsidRDefault="00FF4B24" w:rsidP="003239E6">
      <w:pPr>
        <w:pStyle w:val="ListParagraph"/>
        <w:numPr>
          <w:ilvl w:val="0"/>
          <w:numId w:val="17"/>
        </w:numPr>
        <w:overflowPunct w:val="0"/>
        <w:autoSpaceDE w:val="0"/>
        <w:autoSpaceDN w:val="0"/>
        <w:adjustRightInd w:val="0"/>
        <w:textAlignment w:val="baseline"/>
      </w:pPr>
      <w:r w:rsidRPr="00FF4B24">
        <w:t>kehottaa Euroopan komissiota jatkamaan toimia, jotka se aloitti toimittajien suojelua, turvallisuutta ja voimaannuttamista koskevalla suosituksella</w:t>
      </w:r>
      <w:r w:rsidRPr="00FF4B24">
        <w:rPr>
          <w:sz w:val="24"/>
          <w:szCs w:val="24"/>
          <w:vertAlign w:val="superscript"/>
        </w:rPr>
        <w:footnoteReference w:id="3"/>
      </w:r>
      <w:r w:rsidRPr="00FF4B24">
        <w:t>, ja korostaa, että sellaisten rakenteiden luomiseksi, joilla pystytään varmistamaan toimittajien turvallisuus, tarvitaan tiiviimpää yhteistyötä toimittajajärjestöjen kanssa. Toimittajat ovat työntekijöitä, jotka altistuvat merkittävästi stressille, työuupumukselle, verkkohäirinnälle ja digitaaliselle ylikuormitukselle. Komission olisi hyödyllistä pohtia, mihin jatkotoimiin olisi ryhdyttävä Euroopan parlamentin 10. maaliskuuta 2022 antaman päätöslauselman johdosta: siinä kehotetaan antamaan direktiivi psykososiaalisista riskeistä. ETSK on valmis antamaan aiheesta lausunnon.</w:t>
      </w:r>
      <w:r w:rsidRPr="00FF4B24">
        <w:rPr>
          <w:sz w:val="24"/>
          <w:szCs w:val="24"/>
          <w:vertAlign w:val="superscript"/>
        </w:rPr>
        <w:footnoteReference w:id="4"/>
      </w:r>
    </w:p>
    <w:p w14:paraId="156F38C5" w14:textId="77777777" w:rsidR="00FF4B24" w:rsidRPr="00FF4B24" w:rsidRDefault="00FF4B24" w:rsidP="003239E6">
      <w:pPr>
        <w:pStyle w:val="ListParagraph"/>
        <w:numPr>
          <w:ilvl w:val="0"/>
          <w:numId w:val="17"/>
        </w:numPr>
        <w:overflowPunct w:val="0"/>
        <w:autoSpaceDE w:val="0"/>
        <w:autoSpaceDN w:val="0"/>
        <w:adjustRightInd w:val="0"/>
        <w:textAlignment w:val="baseline"/>
      </w:pPr>
      <w:r w:rsidRPr="00FF4B24">
        <w:t xml:space="preserve">kehottaa Euroopan komissiota tarkkailemaan tekoälyn käyttöä koskevan EU:n lainsäädäntökehyksen soveltamista toimittajien suojelemiseksi ja kannustaa toimittajien ammattijärjestöjä ja mediaorganisaatioita käsittelemään tekoälyn käyttöön uutistoimituksissa liittyviä kysymyksiä työmarkkinavuoropuhelussa. Komitea kehottaa myös rahoittamaan toimittajien tekoälylukutaidon kehittämiseen keskittyviä hankkeita ja harkitsemaan mahdollisuuksia </w:t>
      </w:r>
      <w:r w:rsidRPr="00FF4B24">
        <w:lastRenderedPageBreak/>
        <w:t>osallistua European Journalism Academy -toiminnan rahoittamiseen ja myöntää mahdollisesti tukea, jolla katettaisiin osa nuorten toimittajien palkoista mediayrityksissä, jotka täyttävät tiukat journalismin laatua ja työoloja ja -ehtoja koskevat vaatimukset.</w:t>
      </w:r>
    </w:p>
    <w:p w14:paraId="66E1A9B1" w14:textId="77777777" w:rsidR="00FF4B24" w:rsidRPr="00FF4B24" w:rsidRDefault="00FF4B24" w:rsidP="003239E6">
      <w:pPr>
        <w:overflowPunct w:val="0"/>
        <w:autoSpaceDE w:val="0"/>
        <w:autoSpaceDN w:val="0"/>
        <w:adjustRightInd w:val="0"/>
        <w:textAlignment w:val="baseline"/>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4493"/>
      </w:tblGrid>
      <w:tr w:rsidR="00FF4B24" w:rsidRPr="00FF4B24" w14:paraId="5F09BBAC" w14:textId="77777777" w:rsidTr="00114B49">
        <w:tc>
          <w:tcPr>
            <w:tcW w:w="1210" w:type="dxa"/>
          </w:tcPr>
          <w:p w14:paraId="7A37DA1E" w14:textId="77777777" w:rsidR="00FF4B24" w:rsidRPr="00FF4B24" w:rsidRDefault="00FF4B24" w:rsidP="003239E6">
            <w:pPr>
              <w:overflowPunct w:val="0"/>
              <w:autoSpaceDE w:val="0"/>
              <w:autoSpaceDN w:val="0"/>
              <w:adjustRightInd w:val="0"/>
              <w:textAlignment w:val="baseline"/>
              <w:rPr>
                <w:i/>
                <w:sz w:val="22"/>
                <w:szCs w:val="22"/>
              </w:rPr>
            </w:pPr>
            <w:r w:rsidRPr="00FF4B24">
              <w:rPr>
                <w:b/>
                <w:bCs/>
                <w:i/>
                <w:sz w:val="22"/>
                <w:szCs w:val="22"/>
              </w:rPr>
              <w:t>Yhteydenotot</w:t>
            </w:r>
          </w:p>
        </w:tc>
        <w:tc>
          <w:tcPr>
            <w:tcW w:w="4493" w:type="dxa"/>
          </w:tcPr>
          <w:p w14:paraId="4BB7A38A" w14:textId="77777777" w:rsidR="00FF4B24" w:rsidRPr="00FF4B24" w:rsidRDefault="00FF4B24" w:rsidP="003239E6">
            <w:pPr>
              <w:overflowPunct w:val="0"/>
              <w:autoSpaceDE w:val="0"/>
              <w:autoSpaceDN w:val="0"/>
              <w:adjustRightInd w:val="0"/>
              <w:ind w:hanging="12"/>
              <w:textAlignment w:val="baseline"/>
              <w:rPr>
                <w:i/>
                <w:sz w:val="22"/>
                <w:szCs w:val="22"/>
              </w:rPr>
            </w:pPr>
            <w:r w:rsidRPr="00FF4B24">
              <w:rPr>
                <w:i/>
                <w:sz w:val="22"/>
                <w:szCs w:val="22"/>
              </w:rPr>
              <w:t>June Bedaton</w:t>
            </w:r>
          </w:p>
        </w:tc>
      </w:tr>
      <w:tr w:rsidR="00FF4B24" w:rsidRPr="00FF4B24" w14:paraId="50ADB58A" w14:textId="77777777" w:rsidTr="00114B49">
        <w:tc>
          <w:tcPr>
            <w:tcW w:w="1210" w:type="dxa"/>
          </w:tcPr>
          <w:p w14:paraId="1371ADD2" w14:textId="77777777" w:rsidR="00FF4B24" w:rsidRPr="00FF4B24" w:rsidRDefault="00FF4B24" w:rsidP="003239E6">
            <w:pPr>
              <w:overflowPunct w:val="0"/>
              <w:autoSpaceDE w:val="0"/>
              <w:autoSpaceDN w:val="0"/>
              <w:adjustRightInd w:val="0"/>
              <w:textAlignment w:val="baseline"/>
              <w:rPr>
                <w:i/>
                <w:sz w:val="22"/>
                <w:szCs w:val="22"/>
              </w:rPr>
            </w:pPr>
            <w:r w:rsidRPr="00FF4B24">
              <w:rPr>
                <w:i/>
                <w:sz w:val="22"/>
                <w:szCs w:val="22"/>
              </w:rPr>
              <w:t>P.</w:t>
            </w:r>
          </w:p>
        </w:tc>
        <w:tc>
          <w:tcPr>
            <w:tcW w:w="4493" w:type="dxa"/>
          </w:tcPr>
          <w:p w14:paraId="0B262031" w14:textId="77777777" w:rsidR="00FF4B24" w:rsidRPr="00FF4B24" w:rsidRDefault="00FF4B24" w:rsidP="003239E6">
            <w:pPr>
              <w:overflowPunct w:val="0"/>
              <w:autoSpaceDE w:val="0"/>
              <w:autoSpaceDN w:val="0"/>
              <w:adjustRightInd w:val="0"/>
              <w:textAlignment w:val="baseline"/>
              <w:rPr>
                <w:i/>
                <w:sz w:val="22"/>
                <w:szCs w:val="22"/>
              </w:rPr>
            </w:pPr>
            <w:r w:rsidRPr="00FF4B24">
              <w:rPr>
                <w:i/>
                <w:sz w:val="22"/>
                <w:szCs w:val="22"/>
              </w:rPr>
              <w:t>+32 25468134</w:t>
            </w:r>
          </w:p>
        </w:tc>
      </w:tr>
      <w:tr w:rsidR="00FF4B24" w:rsidRPr="00FF4B24" w14:paraId="5ABCF7C4" w14:textId="77777777" w:rsidTr="00114B49">
        <w:tc>
          <w:tcPr>
            <w:tcW w:w="1210" w:type="dxa"/>
          </w:tcPr>
          <w:p w14:paraId="331A62C0" w14:textId="77777777" w:rsidR="00FF4B24" w:rsidRPr="00FF4B24" w:rsidRDefault="00FF4B24" w:rsidP="003239E6">
            <w:pPr>
              <w:overflowPunct w:val="0"/>
              <w:autoSpaceDE w:val="0"/>
              <w:autoSpaceDN w:val="0"/>
              <w:adjustRightInd w:val="0"/>
              <w:textAlignment w:val="baseline"/>
              <w:rPr>
                <w:i/>
                <w:sz w:val="22"/>
                <w:szCs w:val="22"/>
              </w:rPr>
            </w:pPr>
            <w:r w:rsidRPr="00FF4B24">
              <w:rPr>
                <w:i/>
                <w:sz w:val="22"/>
                <w:szCs w:val="22"/>
              </w:rPr>
              <w:t>Sähköposti</w:t>
            </w:r>
          </w:p>
        </w:tc>
        <w:tc>
          <w:tcPr>
            <w:tcW w:w="4493" w:type="dxa"/>
          </w:tcPr>
          <w:p w14:paraId="164B1DA5" w14:textId="77777777" w:rsidR="00FF4B24" w:rsidRPr="00FF4B24" w:rsidRDefault="008921B6" w:rsidP="003239E6">
            <w:pPr>
              <w:overflowPunct w:val="0"/>
              <w:autoSpaceDE w:val="0"/>
              <w:autoSpaceDN w:val="0"/>
              <w:adjustRightInd w:val="0"/>
              <w:textAlignment w:val="baseline"/>
              <w:rPr>
                <w:i/>
                <w:iCs/>
                <w:sz w:val="22"/>
                <w:szCs w:val="22"/>
              </w:rPr>
            </w:pPr>
            <w:hyperlink r:id="rId21" w:history="1">
              <w:r w:rsidR="00FF4B24" w:rsidRPr="00FF4B24">
                <w:rPr>
                  <w:i/>
                  <w:color w:val="0000FF"/>
                  <w:sz w:val="22"/>
                  <w:szCs w:val="22"/>
                  <w:u w:val="single"/>
                </w:rPr>
                <w:t>june.bedaton@eesc.europa.eu</w:t>
              </w:r>
            </w:hyperlink>
            <w:r w:rsidR="00FF4B24" w:rsidRPr="00FF4B24">
              <w:rPr>
                <w:i/>
                <w:sz w:val="22"/>
                <w:szCs w:val="22"/>
              </w:rPr>
              <w:t xml:space="preserve"> </w:t>
            </w:r>
          </w:p>
        </w:tc>
      </w:tr>
    </w:tbl>
    <w:p w14:paraId="1E79F638" w14:textId="77777777" w:rsidR="00FF4B24" w:rsidRPr="00FF4B24" w:rsidRDefault="00FF4B24" w:rsidP="00FF4B24">
      <w:pPr>
        <w:overflowPunct w:val="0"/>
        <w:autoSpaceDE w:val="0"/>
        <w:autoSpaceDN w:val="0"/>
        <w:adjustRightInd w:val="0"/>
        <w:jc w:val="center"/>
        <w:textAlignment w:val="baseline"/>
        <w:rPr>
          <w:lang w:val="nl-BE"/>
        </w:rPr>
      </w:pPr>
    </w:p>
    <w:p w14:paraId="4982DDC3" w14:textId="5CBB5F2F" w:rsidR="00FF4B24" w:rsidRDefault="00FF4B24">
      <w:pPr>
        <w:spacing w:after="160" w:line="259" w:lineRule="auto"/>
        <w:jc w:val="left"/>
      </w:pPr>
      <w:r>
        <w:br w:type="page"/>
      </w:r>
    </w:p>
    <w:p w14:paraId="3C519A32" w14:textId="03F96F8B" w:rsidR="008E5DBC" w:rsidRPr="008E5DBC" w:rsidRDefault="008921B6" w:rsidP="008E5DBC">
      <w:pPr>
        <w:widowControl w:val="0"/>
        <w:numPr>
          <w:ilvl w:val="0"/>
          <w:numId w:val="6"/>
        </w:numPr>
        <w:overflowPunct w:val="0"/>
        <w:autoSpaceDE w:val="0"/>
        <w:autoSpaceDN w:val="0"/>
        <w:adjustRightInd w:val="0"/>
        <w:ind w:left="567" w:hanging="567"/>
        <w:textAlignment w:val="baseline"/>
        <w:rPr>
          <w:b/>
          <w:color w:val="0000FF"/>
          <w:u w:val="single"/>
        </w:rPr>
      </w:pPr>
      <w:hyperlink r:id="rId22" w:history="1">
        <w:r w:rsidR="008E5DBC" w:rsidRPr="008E5DBC">
          <w:rPr>
            <w:b/>
            <w:i/>
            <w:color w:val="0000FF"/>
            <w:sz w:val="28"/>
            <w:szCs w:val="20"/>
            <w:u w:val="single"/>
          </w:rPr>
          <w:t>AgoraEU-ohjelma ja oikeusalan ohjelma</w:t>
        </w:r>
      </w:hyperlink>
    </w:p>
    <w:p w14:paraId="21953433" w14:textId="77777777" w:rsidR="008E5DBC" w:rsidRPr="008E5DBC" w:rsidRDefault="008E5DBC" w:rsidP="008E5DBC">
      <w:pPr>
        <w:tabs>
          <w:tab w:val="center" w:pos="284"/>
        </w:tabs>
        <w:overflowPunct w:val="0"/>
        <w:autoSpaceDE w:val="0"/>
        <w:autoSpaceDN w:val="0"/>
        <w:adjustRightInd w:val="0"/>
        <w:ind w:left="567" w:hanging="567"/>
        <w:textAlignment w:val="baseline"/>
        <w:rPr>
          <w:lang w:val="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8E5DBC" w:rsidRPr="008E5DBC" w14:paraId="6AFC4AC3" w14:textId="77777777" w:rsidTr="00114B49">
        <w:tc>
          <w:tcPr>
            <w:tcW w:w="1701" w:type="dxa"/>
          </w:tcPr>
          <w:p w14:paraId="74005FAB" w14:textId="77777777" w:rsidR="008E5DBC" w:rsidRPr="008E5DBC" w:rsidRDefault="008E5DBC" w:rsidP="008E5DBC">
            <w:pPr>
              <w:tabs>
                <w:tab w:val="center" w:pos="284"/>
              </w:tabs>
              <w:overflowPunct w:val="0"/>
              <w:autoSpaceDE w:val="0"/>
              <w:autoSpaceDN w:val="0"/>
              <w:adjustRightInd w:val="0"/>
              <w:ind w:left="567" w:hanging="567"/>
              <w:textAlignment w:val="baseline"/>
              <w:rPr>
                <w:b/>
                <w:sz w:val="22"/>
                <w:szCs w:val="22"/>
              </w:rPr>
            </w:pPr>
            <w:r w:rsidRPr="008E5DBC">
              <w:rPr>
                <w:b/>
                <w:sz w:val="22"/>
                <w:szCs w:val="22"/>
              </w:rPr>
              <w:t>Esittelijä</w:t>
            </w:r>
          </w:p>
        </w:tc>
        <w:tc>
          <w:tcPr>
            <w:tcW w:w="6237" w:type="dxa"/>
          </w:tcPr>
          <w:p w14:paraId="4DA1961B" w14:textId="77777777" w:rsidR="008E5DBC" w:rsidRPr="003239E6" w:rsidRDefault="008E5DBC" w:rsidP="008E5DBC">
            <w:pPr>
              <w:overflowPunct w:val="0"/>
              <w:autoSpaceDE w:val="0"/>
              <w:autoSpaceDN w:val="0"/>
              <w:adjustRightInd w:val="0"/>
              <w:ind w:left="567" w:hanging="567"/>
              <w:textAlignment w:val="baseline"/>
              <w:rPr>
                <w:sz w:val="22"/>
                <w:szCs w:val="22"/>
              </w:rPr>
            </w:pPr>
            <w:r w:rsidRPr="008E5DBC">
              <w:rPr>
                <w:sz w:val="22"/>
                <w:szCs w:val="22"/>
              </w:rPr>
              <w:t>Ionuţ Sibian (kansalaisyhteiskunnan organisaatiot – RO)</w:t>
            </w:r>
          </w:p>
          <w:p w14:paraId="4D63067A" w14:textId="5C1FDE57" w:rsidR="00F362C7" w:rsidRPr="008E5DBC" w:rsidRDefault="00F362C7" w:rsidP="008E5DBC">
            <w:pPr>
              <w:overflowPunct w:val="0"/>
              <w:autoSpaceDE w:val="0"/>
              <w:autoSpaceDN w:val="0"/>
              <w:adjustRightInd w:val="0"/>
              <w:ind w:left="567" w:hanging="567"/>
              <w:textAlignment w:val="baseline"/>
              <w:rPr>
                <w:sz w:val="22"/>
                <w:szCs w:val="22"/>
              </w:rPr>
            </w:pPr>
          </w:p>
        </w:tc>
      </w:tr>
      <w:tr w:rsidR="008E5DBC" w:rsidRPr="008E5DBC" w14:paraId="30CA7FFF" w14:textId="77777777" w:rsidTr="00114B49">
        <w:tc>
          <w:tcPr>
            <w:tcW w:w="1701" w:type="dxa"/>
          </w:tcPr>
          <w:p w14:paraId="6BCD0FE0" w14:textId="77777777" w:rsidR="008E5DBC" w:rsidRPr="008E5DBC" w:rsidRDefault="008E5DBC" w:rsidP="008E5DBC">
            <w:pPr>
              <w:tabs>
                <w:tab w:val="center" w:pos="284"/>
              </w:tabs>
              <w:overflowPunct w:val="0"/>
              <w:autoSpaceDE w:val="0"/>
              <w:autoSpaceDN w:val="0"/>
              <w:adjustRightInd w:val="0"/>
              <w:ind w:left="567" w:hanging="567"/>
              <w:textAlignment w:val="baseline"/>
              <w:rPr>
                <w:b/>
                <w:sz w:val="22"/>
                <w:szCs w:val="22"/>
              </w:rPr>
            </w:pPr>
            <w:r w:rsidRPr="008E5DBC">
              <w:rPr>
                <w:b/>
                <w:sz w:val="22"/>
                <w:szCs w:val="22"/>
              </w:rPr>
              <w:t>Viiteasiakirjat</w:t>
            </w:r>
          </w:p>
        </w:tc>
        <w:tc>
          <w:tcPr>
            <w:tcW w:w="6237" w:type="dxa"/>
          </w:tcPr>
          <w:p w14:paraId="1C15059F" w14:textId="77777777" w:rsidR="008E5DBC" w:rsidRPr="008E5DBC" w:rsidRDefault="008E5DBC" w:rsidP="008E5DBC">
            <w:pPr>
              <w:tabs>
                <w:tab w:val="center" w:pos="284"/>
              </w:tabs>
              <w:overflowPunct w:val="0"/>
              <w:autoSpaceDE w:val="0"/>
              <w:autoSpaceDN w:val="0"/>
              <w:adjustRightInd w:val="0"/>
              <w:ind w:left="567" w:hanging="567"/>
              <w:textAlignment w:val="baseline"/>
              <w:rPr>
                <w:sz w:val="22"/>
                <w:szCs w:val="22"/>
              </w:rPr>
            </w:pPr>
            <w:r w:rsidRPr="008E5DBC">
              <w:rPr>
                <w:sz w:val="22"/>
                <w:szCs w:val="22"/>
              </w:rPr>
              <w:t>COM(2025) 463 final</w:t>
            </w:r>
          </w:p>
          <w:p w14:paraId="5A1298BD" w14:textId="77777777" w:rsidR="008E5DBC" w:rsidRPr="003239E6" w:rsidRDefault="008E5DBC" w:rsidP="008E5DBC">
            <w:pPr>
              <w:tabs>
                <w:tab w:val="center" w:pos="284"/>
              </w:tabs>
              <w:overflowPunct w:val="0"/>
              <w:autoSpaceDE w:val="0"/>
              <w:autoSpaceDN w:val="0"/>
              <w:adjustRightInd w:val="0"/>
              <w:ind w:left="567" w:hanging="567"/>
              <w:textAlignment w:val="baseline"/>
              <w:rPr>
                <w:sz w:val="22"/>
                <w:szCs w:val="22"/>
              </w:rPr>
            </w:pPr>
            <w:r w:rsidRPr="008E5DBC">
              <w:rPr>
                <w:sz w:val="22"/>
                <w:szCs w:val="22"/>
              </w:rPr>
              <w:t>COM(2025) 550 final</w:t>
            </w:r>
          </w:p>
          <w:p w14:paraId="6D856041" w14:textId="0A910000" w:rsidR="00F362C7" w:rsidRPr="008E5DBC" w:rsidRDefault="00F362C7" w:rsidP="008E5DBC">
            <w:pPr>
              <w:tabs>
                <w:tab w:val="center" w:pos="284"/>
              </w:tabs>
              <w:overflowPunct w:val="0"/>
              <w:autoSpaceDE w:val="0"/>
              <w:autoSpaceDN w:val="0"/>
              <w:adjustRightInd w:val="0"/>
              <w:ind w:left="567" w:hanging="567"/>
              <w:textAlignment w:val="baseline"/>
              <w:rPr>
                <w:sz w:val="22"/>
                <w:szCs w:val="22"/>
              </w:rPr>
            </w:pPr>
            <w:r w:rsidRPr="008E5DBC">
              <w:rPr>
                <w:sz w:val="22"/>
                <w:szCs w:val="22"/>
              </w:rPr>
              <w:t>EESC-2025-02823-00-00-AC</w:t>
            </w:r>
          </w:p>
        </w:tc>
      </w:tr>
    </w:tbl>
    <w:p w14:paraId="639D2024" w14:textId="77777777" w:rsidR="008E5DBC" w:rsidRPr="008E5DBC" w:rsidRDefault="008E5DBC" w:rsidP="008E5DBC">
      <w:pPr>
        <w:keepNext/>
        <w:keepLines/>
        <w:tabs>
          <w:tab w:val="center" w:pos="284"/>
        </w:tabs>
        <w:overflowPunct w:val="0"/>
        <w:autoSpaceDE w:val="0"/>
        <w:autoSpaceDN w:val="0"/>
        <w:adjustRightInd w:val="0"/>
        <w:ind w:left="266" w:hanging="266"/>
        <w:textAlignment w:val="baseline"/>
        <w:rPr>
          <w:b/>
        </w:rPr>
      </w:pPr>
    </w:p>
    <w:p w14:paraId="1DE7025C" w14:textId="77777777" w:rsidR="008E5DBC" w:rsidRPr="008E5DBC" w:rsidRDefault="008E5DBC" w:rsidP="008E5DBC">
      <w:pPr>
        <w:keepNext/>
        <w:keepLines/>
        <w:tabs>
          <w:tab w:val="center" w:pos="284"/>
        </w:tabs>
        <w:overflowPunct w:val="0"/>
        <w:autoSpaceDE w:val="0"/>
        <w:autoSpaceDN w:val="0"/>
        <w:adjustRightInd w:val="0"/>
        <w:ind w:left="266" w:hanging="266"/>
        <w:textAlignment w:val="baseline"/>
        <w:rPr>
          <w:b/>
        </w:rPr>
      </w:pPr>
      <w:r w:rsidRPr="008E5DBC">
        <w:rPr>
          <w:b/>
        </w:rPr>
        <w:t>Keskeiset kohdat</w:t>
      </w:r>
    </w:p>
    <w:p w14:paraId="425251DF" w14:textId="77777777" w:rsidR="008E5DBC" w:rsidRPr="008E5DBC" w:rsidRDefault="008E5DBC" w:rsidP="008E5DBC">
      <w:pPr>
        <w:keepNext/>
        <w:keepLines/>
        <w:tabs>
          <w:tab w:val="center" w:pos="284"/>
        </w:tabs>
        <w:overflowPunct w:val="0"/>
        <w:autoSpaceDE w:val="0"/>
        <w:autoSpaceDN w:val="0"/>
        <w:adjustRightInd w:val="0"/>
        <w:ind w:left="266" w:hanging="266"/>
        <w:textAlignment w:val="baseline"/>
        <w:rPr>
          <w:b/>
        </w:rPr>
      </w:pPr>
    </w:p>
    <w:p w14:paraId="6B1BB8AB" w14:textId="77777777" w:rsidR="008E5DBC" w:rsidRPr="008E5DBC" w:rsidRDefault="008E5DBC" w:rsidP="008E5DBC">
      <w:pPr>
        <w:jc w:val="left"/>
        <w:rPr>
          <w:lang w:eastAsia="fr-BE"/>
        </w:rPr>
      </w:pPr>
      <w:r w:rsidRPr="008E5DBC">
        <w:rPr>
          <w:lang w:eastAsia="fr-BE"/>
        </w:rPr>
        <w:t>ETSK</w:t>
      </w:r>
    </w:p>
    <w:p w14:paraId="21885E1A" w14:textId="77777777" w:rsidR="008E5DBC" w:rsidRPr="008E5DBC" w:rsidRDefault="008E5DBC" w:rsidP="00D341DD">
      <w:pPr>
        <w:pStyle w:val="ListParagraph"/>
        <w:numPr>
          <w:ilvl w:val="0"/>
          <w:numId w:val="38"/>
        </w:numPr>
        <w:overflowPunct w:val="0"/>
        <w:autoSpaceDE w:val="0"/>
        <w:autoSpaceDN w:val="0"/>
        <w:adjustRightInd w:val="0"/>
        <w:textAlignment w:val="baseline"/>
      </w:pPr>
      <w:r w:rsidRPr="008E5DBC">
        <w:t>suhtautuu myönteisesti komission ehdotuksiin AgoraEU-ohjelmasta ja oikeusalan ohjelmasta ja pyytää Euroopan parlamenttia ja neuvostoa hyväksymään ne supistamatta ehdotettuja määrärahoja.</w:t>
      </w:r>
    </w:p>
    <w:p w14:paraId="078EC72B" w14:textId="77777777" w:rsidR="008E5DBC" w:rsidRPr="008E5DBC" w:rsidRDefault="008E5DBC" w:rsidP="00D341DD">
      <w:pPr>
        <w:pStyle w:val="ListParagraph"/>
        <w:numPr>
          <w:ilvl w:val="0"/>
          <w:numId w:val="38"/>
        </w:numPr>
        <w:overflowPunct w:val="0"/>
        <w:autoSpaceDE w:val="0"/>
        <w:autoSpaceDN w:val="0"/>
        <w:adjustRightInd w:val="0"/>
        <w:textAlignment w:val="baseline"/>
      </w:pPr>
      <w:r w:rsidRPr="008E5DBC">
        <w:t>kehottaa tunnustamaan nimenomaisesti edunvalvonnan roolin keskeisenä osana kansalaisyhteiskunnan organisaatioiden työtä ja niiden roolia päätöksenteossa demokratian ja selviytymiskyvyn vahvistamiseksi.</w:t>
      </w:r>
    </w:p>
    <w:p w14:paraId="0B7B672F" w14:textId="77777777" w:rsidR="008E5DBC" w:rsidRPr="008E5DBC" w:rsidRDefault="008E5DBC" w:rsidP="00D341DD">
      <w:pPr>
        <w:pStyle w:val="ListParagraph"/>
        <w:numPr>
          <w:ilvl w:val="0"/>
          <w:numId w:val="38"/>
        </w:numPr>
        <w:overflowPunct w:val="0"/>
        <w:autoSpaceDE w:val="0"/>
        <w:autoSpaceDN w:val="0"/>
        <w:adjustRightInd w:val="0"/>
        <w:textAlignment w:val="baseline"/>
      </w:pPr>
      <w:r w:rsidRPr="008E5DBC">
        <w:t>suosittaa toiminta-avustusten käyttöön ottamista kaikilla AgoraEU-ohjelman toimintalohkoilla kansalaisyhteiskunnan organisaatioiden institutionaalisen vakauden vahvistamiseksi ja kehottaa ottamaan oikeusalan ohjelmassa yleistä eurooppalaista etua edistävät voittoa tavoittelemattomat organisaatiot toiminta-avustusten piiriin.</w:t>
      </w:r>
    </w:p>
    <w:p w14:paraId="18323025" w14:textId="77777777" w:rsidR="008E5DBC" w:rsidRPr="008E5DBC" w:rsidRDefault="008E5DBC" w:rsidP="00D341DD">
      <w:pPr>
        <w:pStyle w:val="ListParagraph"/>
        <w:numPr>
          <w:ilvl w:val="0"/>
          <w:numId w:val="38"/>
        </w:numPr>
        <w:overflowPunct w:val="0"/>
        <w:autoSpaceDE w:val="0"/>
        <w:autoSpaceDN w:val="0"/>
        <w:adjustRightInd w:val="0"/>
        <w:textAlignment w:val="baseline"/>
      </w:pPr>
      <w:r w:rsidRPr="008E5DBC">
        <w:t>kannattaa kolmansille osapuolille välittäjäorganisaatioiden kautta myönnettävän rahoitustuen jatkamista pienempien tai ruohonjuuritasolla toimivien ryhmien saavuttamiseksi ja kehottaa varmistamaan, että välittäjien valinnassa keskeisenä perusteena pidetään sitä, että ne ovat riippumattomia ja niiden hallinnossa noudatetaan EU:n perusoikeuskirjaa. ETSK katsoo myös, että yhteisrahoitusosuuksia olisi selkeytettävä, ja ehdottaa, että välittäjille ja avustusten saajille sallitaan jopa 100 prosentin rahoitus EU:lta.</w:t>
      </w:r>
    </w:p>
    <w:p w14:paraId="586DCC83" w14:textId="77777777" w:rsidR="008E5DBC" w:rsidRPr="008E5DBC" w:rsidRDefault="008E5DBC" w:rsidP="00D341DD">
      <w:pPr>
        <w:pStyle w:val="ListParagraph"/>
        <w:numPr>
          <w:ilvl w:val="0"/>
          <w:numId w:val="38"/>
        </w:numPr>
        <w:overflowPunct w:val="0"/>
        <w:autoSpaceDE w:val="0"/>
        <w:autoSpaceDN w:val="0"/>
        <w:adjustRightInd w:val="0"/>
        <w:textAlignment w:val="baseline"/>
      </w:pPr>
      <w:r w:rsidRPr="008E5DBC">
        <w:t xml:space="preserve">toteaa, että Luova Eurooppa </w:t>
      </w:r>
      <w:r w:rsidRPr="008E5DBC">
        <w:noBreakHyphen/>
        <w:t>yhteyspisteiden toimeksiantoa ja resursseja on mukautettava, jotta ne pystyvät tukemaan tehokkaasti AgoraEU-ohjelman laajempaa soveltamisalaa, joka kattaa kulttuurin, median ja kansalaistoiminnan.</w:t>
      </w:r>
    </w:p>
    <w:p w14:paraId="074BABF7" w14:textId="77777777" w:rsidR="008E5DBC" w:rsidRPr="008E5DBC" w:rsidRDefault="008E5DBC" w:rsidP="00D341DD">
      <w:pPr>
        <w:pStyle w:val="ListParagraph"/>
        <w:numPr>
          <w:ilvl w:val="0"/>
          <w:numId w:val="38"/>
        </w:numPr>
        <w:overflowPunct w:val="0"/>
        <w:autoSpaceDE w:val="0"/>
        <w:autoSpaceDN w:val="0"/>
        <w:adjustRightInd w:val="0"/>
        <w:textAlignment w:val="baseline"/>
      </w:pPr>
      <w:r w:rsidRPr="008E5DBC">
        <w:t>peräänkuuluttaa joustoa ja suojatoimia (esim. indeksointia, korjausmekanismeja) kertakorvausten ja monivuotisten avustusten käytössä, jotta voidaan välttää aiheuttamasta tuensaajille taloudellista rasitusta.</w:t>
      </w:r>
    </w:p>
    <w:p w14:paraId="7D10C532" w14:textId="77777777" w:rsidR="008E5DBC" w:rsidRPr="008E5DBC" w:rsidRDefault="008E5DBC" w:rsidP="00D341DD">
      <w:pPr>
        <w:pStyle w:val="ListParagraph"/>
        <w:numPr>
          <w:ilvl w:val="0"/>
          <w:numId w:val="38"/>
        </w:numPr>
        <w:overflowPunct w:val="0"/>
        <w:autoSpaceDE w:val="0"/>
        <w:autoSpaceDN w:val="0"/>
        <w:adjustRightInd w:val="0"/>
        <w:textAlignment w:val="baseline"/>
      </w:pPr>
      <w:r w:rsidRPr="008E5DBC">
        <w:t>kehottaa selkeyttämään synergioita Euroopan kilpailukykyrahaston ja AgoraEU-ohjelman MEDIA+-lohkon välillä ja pyytää komissiota yhdistämään avustusten saajat ja laatimaan toimintasuunnitelman, jotta molempien asetusten yhdistetystä ja kumulatiivisesta rahoituksesta saadaan tehtyä toimiva. Suunnitelmaan olisi sisällyttävä yhteiset ehdotuspyynnöt, pääosastojen yhteistyö ja tuloksellisuuden seuranta.</w:t>
      </w:r>
    </w:p>
    <w:p w14:paraId="0769FE49" w14:textId="77777777" w:rsidR="008E5DBC" w:rsidRPr="008E5DBC" w:rsidRDefault="008E5DBC" w:rsidP="00D341DD">
      <w:pPr>
        <w:pStyle w:val="ListParagraph"/>
        <w:numPr>
          <w:ilvl w:val="0"/>
          <w:numId w:val="38"/>
        </w:numPr>
        <w:overflowPunct w:val="0"/>
        <w:autoSpaceDE w:val="0"/>
        <w:autoSpaceDN w:val="0"/>
        <w:adjustRightInd w:val="0"/>
        <w:textAlignment w:val="baseline"/>
      </w:pPr>
      <w:r w:rsidRPr="008E5DBC">
        <w:t>suosittaa, että oikeusalan ohjelmassa vahvistetaan keskittymistä uhrien oikeuksiin ja oikeussuojan saatavuuteen, muun muassa rahoitukseen tukiverkostoille, koulutukseen oikeusalan ammattilaisille ja rajatylittävään oikeusapuun.</w:t>
      </w:r>
    </w:p>
    <w:p w14:paraId="084CF863" w14:textId="77777777" w:rsidR="008E5DBC" w:rsidRPr="008E5DBC" w:rsidRDefault="008E5DBC" w:rsidP="00D341DD">
      <w:pPr>
        <w:pStyle w:val="ListParagraph"/>
        <w:numPr>
          <w:ilvl w:val="0"/>
          <w:numId w:val="38"/>
        </w:numPr>
        <w:overflowPunct w:val="0"/>
        <w:autoSpaceDE w:val="0"/>
        <w:autoSpaceDN w:val="0"/>
        <w:adjustRightInd w:val="0"/>
        <w:textAlignment w:val="baseline"/>
      </w:pPr>
      <w:r w:rsidRPr="008E5DBC">
        <w:t>kehottaa korjaamaan molemmissa ohjelmissa EU:n sisäisen rahoituksen epätasapainoa, erityisesti idän ja lännen välisiä eroja.</w:t>
      </w:r>
    </w:p>
    <w:p w14:paraId="0BE1947B" w14:textId="77777777" w:rsidR="008E5DBC" w:rsidRPr="008E5DBC" w:rsidRDefault="008E5DBC" w:rsidP="00D341DD">
      <w:pPr>
        <w:pStyle w:val="ListParagraph"/>
        <w:numPr>
          <w:ilvl w:val="0"/>
          <w:numId w:val="38"/>
        </w:numPr>
        <w:overflowPunct w:val="0"/>
        <w:autoSpaceDE w:val="0"/>
        <w:autoSpaceDN w:val="0"/>
        <w:adjustRightInd w:val="0"/>
        <w:textAlignment w:val="baseline"/>
      </w:pPr>
      <w:r w:rsidRPr="008E5DBC">
        <w:t>pitää valitettavana, että AgoraEU-asetuksesta on poistettu kansalaisvuoropuhelun työryhmä ja kehottaa palauttamaan sen.</w:t>
      </w:r>
    </w:p>
    <w:p w14:paraId="6809F418" w14:textId="77777777" w:rsidR="008E5DBC" w:rsidRPr="008E5DBC" w:rsidRDefault="008E5DBC" w:rsidP="00D341DD">
      <w:pPr>
        <w:pStyle w:val="ListParagraph"/>
        <w:numPr>
          <w:ilvl w:val="0"/>
          <w:numId w:val="38"/>
        </w:numPr>
        <w:overflowPunct w:val="0"/>
        <w:autoSpaceDE w:val="0"/>
        <w:autoSpaceDN w:val="0"/>
        <w:adjustRightInd w:val="0"/>
        <w:textAlignment w:val="baseline"/>
      </w:pPr>
      <w:r w:rsidRPr="008E5DBC">
        <w:lastRenderedPageBreak/>
        <w:t>korostaa, että ohjelman vaikutukset riippuvat riittävästä kansallisesta infrastruktuurista ja yhteisrahoituksesta, ja ehdottaa kytkemään yhteistyössä hallinnoitavien EU:n rahastojen varojen saatavuuden osoitettuun tukeen AgoraEU-ohjelman ja oikeusalan ohjelman tavoitteille.</w:t>
      </w:r>
    </w:p>
    <w:p w14:paraId="60E62C83" w14:textId="77777777" w:rsidR="008E5DBC" w:rsidRPr="008E5DBC" w:rsidRDefault="008E5DBC" w:rsidP="008E5DBC">
      <w:pPr>
        <w:rPr>
          <w:lang w:eastAsia="fr-B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4493"/>
      </w:tblGrid>
      <w:tr w:rsidR="008E5DBC" w:rsidRPr="008E5DBC" w14:paraId="0E802FF5" w14:textId="77777777" w:rsidTr="00114B49">
        <w:tc>
          <w:tcPr>
            <w:tcW w:w="1210" w:type="dxa"/>
          </w:tcPr>
          <w:p w14:paraId="794677BA" w14:textId="77777777" w:rsidR="008E5DBC" w:rsidRPr="008E5DBC" w:rsidRDefault="008E5DBC" w:rsidP="008E5DBC">
            <w:pPr>
              <w:overflowPunct w:val="0"/>
              <w:autoSpaceDE w:val="0"/>
              <w:autoSpaceDN w:val="0"/>
              <w:adjustRightInd w:val="0"/>
              <w:textAlignment w:val="baseline"/>
              <w:rPr>
                <w:i/>
                <w:sz w:val="22"/>
                <w:szCs w:val="22"/>
              </w:rPr>
            </w:pPr>
            <w:r w:rsidRPr="008E5DBC">
              <w:rPr>
                <w:b/>
                <w:i/>
                <w:sz w:val="22"/>
                <w:szCs w:val="22"/>
              </w:rPr>
              <w:t>Yhteydenotot</w:t>
            </w:r>
          </w:p>
        </w:tc>
        <w:tc>
          <w:tcPr>
            <w:tcW w:w="4493" w:type="dxa"/>
          </w:tcPr>
          <w:p w14:paraId="1F6C081E" w14:textId="77777777" w:rsidR="008E5DBC" w:rsidRPr="008E5DBC" w:rsidRDefault="008E5DBC" w:rsidP="008E5DBC">
            <w:pPr>
              <w:overflowPunct w:val="0"/>
              <w:autoSpaceDE w:val="0"/>
              <w:autoSpaceDN w:val="0"/>
              <w:adjustRightInd w:val="0"/>
              <w:ind w:hanging="12"/>
              <w:textAlignment w:val="baseline"/>
              <w:rPr>
                <w:i/>
                <w:sz w:val="22"/>
                <w:szCs w:val="22"/>
              </w:rPr>
            </w:pPr>
            <w:r w:rsidRPr="008E5DBC">
              <w:rPr>
                <w:i/>
                <w:sz w:val="22"/>
                <w:szCs w:val="22"/>
              </w:rPr>
              <w:t>Alessia Cova</w:t>
            </w:r>
          </w:p>
        </w:tc>
      </w:tr>
      <w:tr w:rsidR="008E5DBC" w:rsidRPr="008E5DBC" w14:paraId="2642F9E0" w14:textId="77777777" w:rsidTr="00114B49">
        <w:tc>
          <w:tcPr>
            <w:tcW w:w="1210" w:type="dxa"/>
          </w:tcPr>
          <w:p w14:paraId="66BC814D" w14:textId="77777777" w:rsidR="008E5DBC" w:rsidRPr="008E5DBC" w:rsidRDefault="008E5DBC" w:rsidP="008E5DBC">
            <w:pPr>
              <w:overflowPunct w:val="0"/>
              <w:autoSpaceDE w:val="0"/>
              <w:autoSpaceDN w:val="0"/>
              <w:adjustRightInd w:val="0"/>
              <w:textAlignment w:val="baseline"/>
              <w:rPr>
                <w:i/>
                <w:sz w:val="22"/>
                <w:szCs w:val="22"/>
              </w:rPr>
            </w:pPr>
            <w:r w:rsidRPr="008E5DBC">
              <w:rPr>
                <w:i/>
                <w:sz w:val="22"/>
                <w:szCs w:val="22"/>
              </w:rPr>
              <w:t>P.</w:t>
            </w:r>
          </w:p>
        </w:tc>
        <w:tc>
          <w:tcPr>
            <w:tcW w:w="4493" w:type="dxa"/>
          </w:tcPr>
          <w:p w14:paraId="68B942C2" w14:textId="77777777" w:rsidR="008E5DBC" w:rsidRPr="008E5DBC" w:rsidRDefault="008E5DBC" w:rsidP="008E5DBC">
            <w:pPr>
              <w:overflowPunct w:val="0"/>
              <w:autoSpaceDE w:val="0"/>
              <w:autoSpaceDN w:val="0"/>
              <w:adjustRightInd w:val="0"/>
              <w:textAlignment w:val="baseline"/>
              <w:rPr>
                <w:i/>
                <w:sz w:val="22"/>
                <w:szCs w:val="22"/>
              </w:rPr>
            </w:pPr>
            <w:r w:rsidRPr="008E5DBC">
              <w:rPr>
                <w:i/>
                <w:sz w:val="22"/>
                <w:szCs w:val="22"/>
              </w:rPr>
              <w:t>+32 25469426</w:t>
            </w:r>
          </w:p>
        </w:tc>
      </w:tr>
      <w:tr w:rsidR="008E5DBC" w:rsidRPr="008E5DBC" w14:paraId="56FBC841" w14:textId="77777777" w:rsidTr="00114B49">
        <w:tc>
          <w:tcPr>
            <w:tcW w:w="1210" w:type="dxa"/>
          </w:tcPr>
          <w:p w14:paraId="7278C157" w14:textId="77777777" w:rsidR="008E5DBC" w:rsidRPr="008E5DBC" w:rsidRDefault="008E5DBC" w:rsidP="008E5DBC">
            <w:pPr>
              <w:overflowPunct w:val="0"/>
              <w:autoSpaceDE w:val="0"/>
              <w:autoSpaceDN w:val="0"/>
              <w:adjustRightInd w:val="0"/>
              <w:textAlignment w:val="baseline"/>
              <w:rPr>
                <w:i/>
                <w:sz w:val="22"/>
                <w:szCs w:val="22"/>
              </w:rPr>
            </w:pPr>
            <w:r w:rsidRPr="008E5DBC">
              <w:rPr>
                <w:i/>
                <w:sz w:val="22"/>
                <w:szCs w:val="22"/>
              </w:rPr>
              <w:t>Sähköposti</w:t>
            </w:r>
          </w:p>
        </w:tc>
        <w:tc>
          <w:tcPr>
            <w:tcW w:w="4493" w:type="dxa"/>
          </w:tcPr>
          <w:p w14:paraId="1D9E24F0" w14:textId="77777777" w:rsidR="008E5DBC" w:rsidRPr="008E5DBC" w:rsidRDefault="008921B6" w:rsidP="008E5DBC">
            <w:pPr>
              <w:overflowPunct w:val="0"/>
              <w:autoSpaceDE w:val="0"/>
              <w:autoSpaceDN w:val="0"/>
              <w:adjustRightInd w:val="0"/>
              <w:textAlignment w:val="baseline"/>
              <w:rPr>
                <w:i/>
                <w:iCs/>
                <w:sz w:val="22"/>
                <w:szCs w:val="22"/>
              </w:rPr>
            </w:pPr>
            <w:hyperlink r:id="rId23" w:history="1">
              <w:r w:rsidR="008E5DBC" w:rsidRPr="008E5DBC">
                <w:rPr>
                  <w:i/>
                  <w:color w:val="0000FF"/>
                  <w:sz w:val="22"/>
                  <w:szCs w:val="22"/>
                  <w:u w:val="single"/>
                </w:rPr>
                <w:t>Alessia.Cova@eesc.europa.eu</w:t>
              </w:r>
            </w:hyperlink>
          </w:p>
        </w:tc>
      </w:tr>
    </w:tbl>
    <w:p w14:paraId="1B3F8523" w14:textId="77777777" w:rsidR="004D7AC0" w:rsidRPr="00D341DD" w:rsidRDefault="004D7AC0" w:rsidP="004D7AC0">
      <w:pPr>
        <w:pStyle w:val="ListParagraph"/>
        <w:ind w:left="0"/>
      </w:pPr>
    </w:p>
    <w:p w14:paraId="4982DDC5" w14:textId="52DBDF6B" w:rsidR="003239E6" w:rsidRDefault="003239E6">
      <w:pPr>
        <w:spacing w:after="160" w:line="259" w:lineRule="auto"/>
        <w:jc w:val="left"/>
      </w:pPr>
      <w:r>
        <w:br w:type="page"/>
      </w:r>
    </w:p>
    <w:p w14:paraId="5816EA48" w14:textId="77777777" w:rsidR="004D7AC0" w:rsidRDefault="004D7AC0" w:rsidP="004D7AC0">
      <w:pPr>
        <w:spacing w:after="160" w:line="259" w:lineRule="auto"/>
        <w:jc w:val="left"/>
      </w:pPr>
    </w:p>
    <w:p w14:paraId="4982DDC6" w14:textId="77777777" w:rsidR="004D7AC0" w:rsidRDefault="004D7AC0" w:rsidP="004D7AC0">
      <w:pPr>
        <w:pStyle w:val="Heading1"/>
        <w:rPr>
          <w:b/>
        </w:rPr>
      </w:pPr>
      <w:bookmarkStart w:id="3" w:name="_Toc24617160"/>
      <w:bookmarkStart w:id="4" w:name="_Toc75527082"/>
      <w:bookmarkStart w:id="5" w:name="_Toc216768395"/>
      <w:r>
        <w:rPr>
          <w:b/>
        </w:rPr>
        <w:t>LIIKENNE, ENERGIA, PERUSRAKENTEET, TIETOYHTEISKUNTA</w:t>
      </w:r>
      <w:bookmarkEnd w:id="3"/>
      <w:bookmarkEnd w:id="4"/>
      <w:bookmarkEnd w:id="5"/>
    </w:p>
    <w:p w14:paraId="4982DDC7" w14:textId="77777777" w:rsidR="004D7AC0" w:rsidRDefault="004D7AC0" w:rsidP="004D7AC0"/>
    <w:p w14:paraId="2AD40A6A" w14:textId="5A40A745" w:rsidR="008E5DBC" w:rsidRPr="00327164" w:rsidRDefault="008921B6" w:rsidP="008E5DBC">
      <w:pPr>
        <w:widowControl w:val="0"/>
        <w:numPr>
          <w:ilvl w:val="0"/>
          <w:numId w:val="4"/>
        </w:numPr>
        <w:overflowPunct w:val="0"/>
        <w:autoSpaceDE w:val="0"/>
        <w:autoSpaceDN w:val="0"/>
        <w:adjustRightInd w:val="0"/>
        <w:ind w:hanging="567"/>
        <w:textAlignment w:val="baseline"/>
        <w:rPr>
          <w:rStyle w:val="Hyperlink"/>
          <w:sz w:val="20"/>
        </w:rPr>
      </w:pPr>
      <w:hyperlink r:id="rId24" w:history="1">
        <w:r w:rsidR="008E5DBC">
          <w:rPr>
            <w:rStyle w:val="Hyperlink"/>
            <w:b/>
            <w:i/>
            <w:sz w:val="28"/>
          </w:rPr>
          <w:t>Perävaunuilla varustettujen raskaiden hyötyajoneuvojen hiilidioksidipäästöluokka</w:t>
        </w:r>
      </w:hyperlink>
    </w:p>
    <w:p w14:paraId="23A04091" w14:textId="77777777" w:rsidR="008E5DBC" w:rsidRPr="00AC7B06" w:rsidRDefault="008E5DBC" w:rsidP="008E5DBC">
      <w:pPr>
        <w:widowControl w:val="0"/>
        <w:ind w:left="567"/>
        <w:rPr>
          <w:sz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8E5DBC" w:rsidRPr="00E454A2" w14:paraId="608DF516" w14:textId="77777777" w:rsidTr="00114B49">
        <w:tc>
          <w:tcPr>
            <w:tcW w:w="1701" w:type="dxa"/>
          </w:tcPr>
          <w:p w14:paraId="41174B3F" w14:textId="77777777" w:rsidR="008E5DBC" w:rsidRPr="00AC7B06" w:rsidRDefault="008E5DBC" w:rsidP="00114B49">
            <w:pPr>
              <w:tabs>
                <w:tab w:val="center" w:pos="284"/>
              </w:tabs>
              <w:ind w:left="596" w:hanging="709"/>
              <w:rPr>
                <w:b/>
              </w:rPr>
            </w:pPr>
            <w:r>
              <w:rPr>
                <w:b/>
              </w:rPr>
              <w:t>Viiteasiakirjat</w:t>
            </w:r>
          </w:p>
        </w:tc>
        <w:tc>
          <w:tcPr>
            <w:tcW w:w="7621" w:type="dxa"/>
          </w:tcPr>
          <w:p w14:paraId="42945217" w14:textId="77777777" w:rsidR="00F362C7" w:rsidRDefault="00F362C7" w:rsidP="00114B49">
            <w:pPr>
              <w:tabs>
                <w:tab w:val="center" w:pos="284"/>
              </w:tabs>
              <w:ind w:left="720" w:hanging="720"/>
            </w:pPr>
            <w:r>
              <w:t xml:space="preserve">Ryhmään C kuuluva lausunto </w:t>
            </w:r>
          </w:p>
          <w:p w14:paraId="35AE9125" w14:textId="6BDE19E5" w:rsidR="008E5DBC" w:rsidRPr="00E454A2" w:rsidRDefault="008E5DBC" w:rsidP="00114B49">
            <w:pPr>
              <w:tabs>
                <w:tab w:val="center" w:pos="284"/>
              </w:tabs>
              <w:ind w:left="720" w:hanging="720"/>
              <w:rPr>
                <w:bCs/>
              </w:rPr>
            </w:pPr>
            <w:r>
              <w:t>COM(2025) 589 final – 2023/0134 (COD)</w:t>
            </w:r>
          </w:p>
          <w:p w14:paraId="05030971" w14:textId="77777777" w:rsidR="008E5DBC" w:rsidRPr="00AC7B06" w:rsidRDefault="008E5DBC" w:rsidP="00114B49">
            <w:pPr>
              <w:tabs>
                <w:tab w:val="center" w:pos="284"/>
              </w:tabs>
              <w:ind w:left="720" w:hanging="720"/>
            </w:pPr>
            <w:r>
              <w:t>EESC-2023-03779-00-AC</w:t>
            </w:r>
          </w:p>
        </w:tc>
      </w:tr>
    </w:tbl>
    <w:p w14:paraId="4100404F" w14:textId="77777777" w:rsidR="008E5DBC" w:rsidRDefault="008E5DBC" w:rsidP="008E5DBC">
      <w:pPr>
        <w:keepNext/>
        <w:keepLines/>
        <w:tabs>
          <w:tab w:val="center" w:pos="284"/>
        </w:tabs>
        <w:ind w:left="720" w:hanging="720"/>
        <w:rPr>
          <w:b/>
        </w:rPr>
      </w:pPr>
    </w:p>
    <w:p w14:paraId="41AFDF15" w14:textId="77777777" w:rsidR="008E5DBC" w:rsidRPr="00AC7B06" w:rsidRDefault="008E5DBC" w:rsidP="008E5DBC">
      <w:pPr>
        <w:keepNext/>
        <w:keepLines/>
        <w:tabs>
          <w:tab w:val="center" w:pos="284"/>
        </w:tabs>
        <w:ind w:left="720" w:hanging="720"/>
        <w:rPr>
          <w:b/>
        </w:rPr>
      </w:pPr>
      <w:r>
        <w:rPr>
          <w:b/>
        </w:rPr>
        <w:t>Keskeiset kohdat</w:t>
      </w:r>
    </w:p>
    <w:p w14:paraId="130DEDF1" w14:textId="77777777" w:rsidR="008E5DBC" w:rsidRPr="00AC7B06" w:rsidRDefault="008E5DBC" w:rsidP="008E5DBC">
      <w:pPr>
        <w:keepNext/>
        <w:keepLines/>
        <w:tabs>
          <w:tab w:val="center" w:pos="284"/>
        </w:tabs>
        <w:ind w:left="720" w:hanging="720"/>
        <w:rPr>
          <w:b/>
        </w:rPr>
      </w:pPr>
    </w:p>
    <w:p w14:paraId="186DEAB4" w14:textId="77777777" w:rsidR="008E5DBC" w:rsidRPr="00603EF6" w:rsidRDefault="008E5DBC" w:rsidP="00D341DD">
      <w:pPr>
        <w:widowControl w:val="0"/>
        <w:numPr>
          <w:ilvl w:val="0"/>
          <w:numId w:val="22"/>
        </w:numPr>
        <w:overflowPunct w:val="0"/>
        <w:autoSpaceDE w:val="0"/>
        <w:autoSpaceDN w:val="0"/>
        <w:adjustRightInd w:val="0"/>
        <w:ind w:left="426" w:hanging="426"/>
        <w:textAlignment w:val="baseline"/>
        <w:rPr>
          <w:bCs/>
          <w:iCs/>
        </w:rPr>
      </w:pPr>
      <w:r>
        <w:t xml:space="preserve">Koska komitea on jo käsitellyt aihetta 20. syyskuuta 2023 antamassaan lausunnossa ”Perävaunuilla varustettujen raskaiden hyötyajoneuvojen hiilidioksidipäästöluokka” (TEN/815), </w:t>
      </w:r>
      <w:hyperlink r:id="rId25" w:history="1">
        <w:r>
          <w:rPr>
            <w:rStyle w:val="Hyperlink"/>
          </w:rPr>
          <w:t>C/2023/874</w:t>
        </w:r>
      </w:hyperlink>
      <w:r>
        <w:t>, se päätti, että se ei laadi aiheesta uutta lausuntoa vaan viittaa edellä mainitussa lausunnossa ilmaisemaansa kantaan.</w:t>
      </w:r>
    </w:p>
    <w:p w14:paraId="4BD1BF0D" w14:textId="77777777" w:rsidR="008E5DBC" w:rsidRPr="00AC7B06" w:rsidRDefault="008E5DBC" w:rsidP="008E5DBC">
      <w:pPr>
        <w:widowControl w:val="0"/>
        <w:ind w:left="720" w:hanging="72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8E5DBC" w:rsidRPr="00AC7B06" w14:paraId="7340C1BB" w14:textId="77777777" w:rsidTr="00114B49">
        <w:tc>
          <w:tcPr>
            <w:tcW w:w="1418" w:type="dxa"/>
          </w:tcPr>
          <w:p w14:paraId="489B3063" w14:textId="77777777" w:rsidR="008E5DBC" w:rsidRPr="00AC7B06" w:rsidRDefault="008E5DBC" w:rsidP="00114B49">
            <w:pPr>
              <w:ind w:left="720" w:hanging="720"/>
              <w:rPr>
                <w:i/>
              </w:rPr>
            </w:pPr>
            <w:r>
              <w:rPr>
                <w:b/>
                <w:bCs/>
                <w:i/>
              </w:rPr>
              <w:t>Yhteydenotot</w:t>
            </w:r>
          </w:p>
        </w:tc>
        <w:tc>
          <w:tcPr>
            <w:tcW w:w="7904" w:type="dxa"/>
          </w:tcPr>
          <w:p w14:paraId="049C1791" w14:textId="29C519C4" w:rsidR="008E5DBC" w:rsidRPr="00AC7B06" w:rsidRDefault="008E5DBC" w:rsidP="00114B49">
            <w:pPr>
              <w:ind w:left="720" w:hanging="720"/>
              <w:rPr>
                <w:i/>
              </w:rPr>
            </w:pPr>
            <w:r>
              <w:rPr>
                <w:i/>
              </w:rPr>
              <w:t xml:space="preserve">Maja </w:t>
            </w:r>
            <w:r w:rsidR="00F362C7">
              <w:rPr>
                <w:i/>
              </w:rPr>
              <w:t>Radman</w:t>
            </w:r>
          </w:p>
        </w:tc>
      </w:tr>
      <w:tr w:rsidR="008E5DBC" w:rsidRPr="00AC7B06" w14:paraId="0C3C7D2A" w14:textId="77777777" w:rsidTr="00114B49">
        <w:tc>
          <w:tcPr>
            <w:tcW w:w="1418" w:type="dxa"/>
          </w:tcPr>
          <w:p w14:paraId="16551BA5" w14:textId="77777777" w:rsidR="008E5DBC" w:rsidRPr="00AC7B06" w:rsidRDefault="008E5DBC" w:rsidP="00114B49">
            <w:pPr>
              <w:ind w:left="720" w:hanging="720"/>
              <w:rPr>
                <w:i/>
              </w:rPr>
            </w:pPr>
            <w:r>
              <w:rPr>
                <w:i/>
              </w:rPr>
              <w:t>P.</w:t>
            </w:r>
          </w:p>
        </w:tc>
        <w:tc>
          <w:tcPr>
            <w:tcW w:w="7904" w:type="dxa"/>
          </w:tcPr>
          <w:p w14:paraId="5A125465" w14:textId="77777777" w:rsidR="008E5DBC" w:rsidRPr="00AC7B06" w:rsidRDefault="008E5DBC" w:rsidP="00114B49">
            <w:pPr>
              <w:ind w:left="720" w:hanging="720"/>
              <w:rPr>
                <w:i/>
              </w:rPr>
            </w:pPr>
            <w:r>
              <w:rPr>
                <w:i/>
                <w:iCs/>
              </w:rPr>
              <w:t>+32 25469051</w:t>
            </w:r>
          </w:p>
        </w:tc>
      </w:tr>
      <w:tr w:rsidR="008E5DBC" w:rsidRPr="00A6689B" w14:paraId="1373E523" w14:textId="77777777" w:rsidTr="00114B49">
        <w:tc>
          <w:tcPr>
            <w:tcW w:w="1418" w:type="dxa"/>
          </w:tcPr>
          <w:p w14:paraId="079A58E7" w14:textId="77777777" w:rsidR="008E5DBC" w:rsidRPr="00AC7B06" w:rsidRDefault="008E5DBC" w:rsidP="00114B49">
            <w:pPr>
              <w:ind w:left="720" w:hanging="720"/>
              <w:rPr>
                <w:i/>
              </w:rPr>
            </w:pPr>
            <w:r>
              <w:rPr>
                <w:i/>
              </w:rPr>
              <w:t>Sähköposti</w:t>
            </w:r>
          </w:p>
        </w:tc>
        <w:tc>
          <w:tcPr>
            <w:tcW w:w="7904" w:type="dxa"/>
          </w:tcPr>
          <w:p w14:paraId="47514293" w14:textId="77777777" w:rsidR="008E5DBC" w:rsidRPr="00A6689B" w:rsidRDefault="008921B6" w:rsidP="00114B49">
            <w:pPr>
              <w:ind w:left="720" w:hanging="720"/>
              <w:rPr>
                <w:i/>
              </w:rPr>
            </w:pPr>
            <w:hyperlink r:id="rId26" w:history="1">
              <w:r w:rsidR="008E5DBC">
                <w:rPr>
                  <w:rStyle w:val="Hyperlink"/>
                  <w:i/>
                </w:rPr>
                <w:t>Maja.Radman@eesc.europa.eu</w:t>
              </w:r>
            </w:hyperlink>
          </w:p>
        </w:tc>
      </w:tr>
    </w:tbl>
    <w:p w14:paraId="4982DDF1" w14:textId="45DAB669" w:rsidR="008E5DBC" w:rsidRDefault="008E5DBC" w:rsidP="004D7AC0">
      <w:pPr>
        <w:pStyle w:val="ListParagraph"/>
        <w:ind w:left="0"/>
      </w:pPr>
    </w:p>
    <w:p w14:paraId="7294B960" w14:textId="77777777" w:rsidR="008E5DBC" w:rsidRDefault="008E5DBC">
      <w:pPr>
        <w:spacing w:after="160" w:line="259" w:lineRule="auto"/>
        <w:jc w:val="left"/>
      </w:pPr>
      <w:r>
        <w:br w:type="page"/>
      </w:r>
    </w:p>
    <w:p w14:paraId="7B0101CC" w14:textId="4CFCD8FB" w:rsidR="008E5DBC" w:rsidRPr="00831F99" w:rsidRDefault="008E5DBC" w:rsidP="00D341DD">
      <w:pPr>
        <w:widowControl w:val="0"/>
        <w:numPr>
          <w:ilvl w:val="0"/>
          <w:numId w:val="4"/>
        </w:numPr>
        <w:overflowPunct w:val="0"/>
        <w:autoSpaceDE w:val="0"/>
        <w:autoSpaceDN w:val="0"/>
        <w:adjustRightInd w:val="0"/>
        <w:ind w:hanging="567"/>
        <w:textAlignment w:val="baseline"/>
        <w:rPr>
          <w:rStyle w:val="Hyperlink"/>
          <w:sz w:val="28"/>
          <w:szCs w:val="28"/>
        </w:rPr>
      </w:pPr>
      <w:r w:rsidRPr="00831F99">
        <w:rPr>
          <w:b/>
          <w:i/>
          <w:sz w:val="28"/>
          <w:szCs w:val="28"/>
        </w:rPr>
        <w:lastRenderedPageBreak/>
        <w:fldChar w:fldCharType="begin"/>
      </w:r>
      <w:r w:rsidRPr="00831F99">
        <w:rPr>
          <w:b/>
          <w:i/>
          <w:sz w:val="28"/>
          <w:szCs w:val="28"/>
        </w:rPr>
        <w:instrText xml:space="preserve"> HYPERLINK "https://www.eesc.europa.eu/fi/our-work/opinions-information-reports/opinions/eu-space-act" </w:instrText>
      </w:r>
      <w:r w:rsidRPr="00831F99">
        <w:rPr>
          <w:b/>
          <w:i/>
          <w:sz w:val="28"/>
          <w:szCs w:val="28"/>
        </w:rPr>
        <w:fldChar w:fldCharType="separate"/>
      </w:r>
      <w:r w:rsidRPr="00831F99">
        <w:rPr>
          <w:rStyle w:val="Hyperlink"/>
          <w:b/>
          <w:i/>
          <w:sz w:val="28"/>
          <w:szCs w:val="28"/>
        </w:rPr>
        <w:t>EU:n avaruussäädös</w:t>
      </w:r>
    </w:p>
    <w:p w14:paraId="70AEF634" w14:textId="77777777" w:rsidR="008E5DBC" w:rsidRPr="003239E6" w:rsidRDefault="008E5DBC" w:rsidP="00D341DD">
      <w:pPr>
        <w:tabs>
          <w:tab w:val="center" w:pos="284"/>
        </w:tabs>
        <w:ind w:left="266" w:hanging="266"/>
        <w:rPr>
          <w:b/>
        </w:rPr>
      </w:pPr>
      <w:r w:rsidRPr="00831F99">
        <w:rPr>
          <w:b/>
          <w:i/>
          <w:sz w:val="28"/>
          <w:szCs w:val="28"/>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5DBC" w:rsidRPr="003239E6" w14:paraId="51348495" w14:textId="77777777" w:rsidTr="00114B49">
        <w:tc>
          <w:tcPr>
            <w:tcW w:w="1701" w:type="dxa"/>
          </w:tcPr>
          <w:p w14:paraId="032815EA" w14:textId="77777777" w:rsidR="008E5DBC" w:rsidRPr="003239E6" w:rsidRDefault="008E5DBC" w:rsidP="00D341DD">
            <w:pPr>
              <w:tabs>
                <w:tab w:val="center" w:pos="284"/>
              </w:tabs>
              <w:ind w:left="266" w:hanging="266"/>
              <w:rPr>
                <w:b/>
              </w:rPr>
            </w:pPr>
            <w:r w:rsidRPr="003239E6">
              <w:rPr>
                <w:b/>
              </w:rPr>
              <w:t>Esittelijä</w:t>
            </w:r>
          </w:p>
        </w:tc>
        <w:tc>
          <w:tcPr>
            <w:tcW w:w="5387" w:type="dxa"/>
          </w:tcPr>
          <w:p w14:paraId="33DD7093" w14:textId="77777777" w:rsidR="008E5DBC" w:rsidRPr="003239E6" w:rsidRDefault="008E5DBC" w:rsidP="00D341DD">
            <w:pPr>
              <w:tabs>
                <w:tab w:val="center" w:pos="284"/>
              </w:tabs>
              <w:ind w:left="266" w:hanging="266"/>
            </w:pPr>
            <w:r w:rsidRPr="003239E6">
              <w:t>Angelo PAGLIARA (työntekijät – IT)</w:t>
            </w:r>
          </w:p>
        </w:tc>
      </w:tr>
      <w:tr w:rsidR="008E5DBC" w:rsidRPr="003239E6" w14:paraId="318DED54" w14:textId="77777777" w:rsidTr="00114B49">
        <w:tc>
          <w:tcPr>
            <w:tcW w:w="7088" w:type="dxa"/>
            <w:gridSpan w:val="2"/>
          </w:tcPr>
          <w:p w14:paraId="66CF160D" w14:textId="77777777" w:rsidR="008E5DBC" w:rsidRPr="003239E6" w:rsidRDefault="008E5DBC" w:rsidP="00D341DD">
            <w:pPr>
              <w:tabs>
                <w:tab w:val="center" w:pos="284"/>
              </w:tabs>
              <w:ind w:left="266" w:hanging="266"/>
              <w:rPr>
                <w:lang w:val="en-US"/>
              </w:rPr>
            </w:pPr>
          </w:p>
        </w:tc>
      </w:tr>
      <w:tr w:rsidR="008E5DBC" w:rsidRPr="003239E6" w14:paraId="43340E7F" w14:textId="77777777" w:rsidTr="00114B49">
        <w:tc>
          <w:tcPr>
            <w:tcW w:w="1701" w:type="dxa"/>
            <w:vMerge w:val="restart"/>
          </w:tcPr>
          <w:p w14:paraId="2CD68BFB" w14:textId="77777777" w:rsidR="008E5DBC" w:rsidRPr="003239E6" w:rsidRDefault="008E5DBC" w:rsidP="00D341DD">
            <w:pPr>
              <w:tabs>
                <w:tab w:val="center" w:pos="284"/>
              </w:tabs>
              <w:ind w:left="266" w:hanging="266"/>
              <w:rPr>
                <w:b/>
              </w:rPr>
            </w:pPr>
            <w:r w:rsidRPr="003239E6">
              <w:rPr>
                <w:b/>
              </w:rPr>
              <w:t xml:space="preserve">Viiteasiakirjat </w:t>
            </w:r>
          </w:p>
        </w:tc>
        <w:tc>
          <w:tcPr>
            <w:tcW w:w="5387" w:type="dxa"/>
          </w:tcPr>
          <w:p w14:paraId="3DC4D534" w14:textId="77777777" w:rsidR="008E5DBC" w:rsidRPr="003239E6" w:rsidRDefault="008E5DBC" w:rsidP="00D341DD">
            <w:pPr>
              <w:tabs>
                <w:tab w:val="center" w:pos="284"/>
              </w:tabs>
              <w:ind w:left="266" w:hanging="266"/>
            </w:pPr>
            <w:r w:rsidRPr="003239E6">
              <w:t>COM(2025) 335 final</w:t>
            </w:r>
          </w:p>
        </w:tc>
      </w:tr>
      <w:tr w:rsidR="008E5DBC" w:rsidRPr="003239E6" w14:paraId="49AD17FA" w14:textId="77777777" w:rsidTr="00114B49">
        <w:tc>
          <w:tcPr>
            <w:tcW w:w="1701" w:type="dxa"/>
            <w:vMerge/>
          </w:tcPr>
          <w:p w14:paraId="3F1CF97A" w14:textId="77777777" w:rsidR="008E5DBC" w:rsidRPr="003239E6" w:rsidRDefault="008E5DBC" w:rsidP="00D341DD">
            <w:pPr>
              <w:tabs>
                <w:tab w:val="center" w:pos="284"/>
              </w:tabs>
              <w:ind w:left="266" w:hanging="266"/>
              <w:rPr>
                <w:b/>
                <w:lang w:val="en-US"/>
              </w:rPr>
            </w:pPr>
          </w:p>
        </w:tc>
        <w:tc>
          <w:tcPr>
            <w:tcW w:w="5387" w:type="dxa"/>
          </w:tcPr>
          <w:p w14:paraId="559B80E8" w14:textId="77777777" w:rsidR="008E5DBC" w:rsidRPr="003239E6" w:rsidRDefault="008E5DBC" w:rsidP="00D341DD">
            <w:pPr>
              <w:tabs>
                <w:tab w:val="center" w:pos="284"/>
              </w:tabs>
              <w:ind w:left="266" w:hanging="266"/>
            </w:pPr>
            <w:r w:rsidRPr="003239E6">
              <w:t>EESC-2024-00225-00-00-AC</w:t>
            </w:r>
          </w:p>
        </w:tc>
      </w:tr>
    </w:tbl>
    <w:p w14:paraId="107DA78B" w14:textId="77777777" w:rsidR="008E5DBC" w:rsidRPr="003239E6" w:rsidRDefault="008E5DBC" w:rsidP="00D341DD">
      <w:pPr>
        <w:tabs>
          <w:tab w:val="center" w:pos="284"/>
        </w:tabs>
        <w:ind w:left="266" w:hanging="266"/>
      </w:pPr>
    </w:p>
    <w:p w14:paraId="3F912B2E" w14:textId="77777777" w:rsidR="008E5DBC" w:rsidRPr="003239E6" w:rsidRDefault="008E5DBC" w:rsidP="00D341DD">
      <w:pPr>
        <w:keepNext/>
        <w:keepLines/>
        <w:tabs>
          <w:tab w:val="center" w:pos="284"/>
        </w:tabs>
        <w:ind w:left="266" w:hanging="266"/>
        <w:rPr>
          <w:b/>
        </w:rPr>
      </w:pPr>
      <w:r w:rsidRPr="003239E6">
        <w:rPr>
          <w:b/>
        </w:rPr>
        <w:t>Keskeiset kohdat</w:t>
      </w:r>
    </w:p>
    <w:p w14:paraId="3F325994" w14:textId="77777777" w:rsidR="008E5DBC" w:rsidRPr="003239E6" w:rsidRDefault="008E5DBC" w:rsidP="00D341DD">
      <w:pPr>
        <w:keepNext/>
        <w:keepLines/>
        <w:tabs>
          <w:tab w:val="center" w:pos="284"/>
        </w:tabs>
        <w:ind w:left="266" w:hanging="266"/>
        <w:rPr>
          <w:b/>
        </w:rPr>
      </w:pPr>
    </w:p>
    <w:p w14:paraId="09A362C1" w14:textId="77777777" w:rsidR="008E5DBC" w:rsidRPr="00831F99" w:rsidRDefault="008E5DBC" w:rsidP="00D341DD">
      <w:pPr>
        <w:rPr>
          <w:bCs/>
          <w:iCs/>
        </w:rPr>
      </w:pPr>
      <w:r w:rsidRPr="003239E6">
        <w:t>ETSK</w:t>
      </w:r>
    </w:p>
    <w:p w14:paraId="5C102D60" w14:textId="77777777" w:rsidR="008E5DBC" w:rsidRPr="00831F99" w:rsidRDefault="008E5DBC" w:rsidP="00D341DD">
      <w:pPr>
        <w:numPr>
          <w:ilvl w:val="0"/>
          <w:numId w:val="23"/>
        </w:numPr>
        <w:ind w:left="426"/>
        <w:rPr>
          <w:spacing w:val="-2"/>
        </w:rPr>
      </w:pPr>
      <w:r w:rsidRPr="00831F99">
        <w:rPr>
          <w:spacing w:val="-2"/>
        </w:rPr>
        <w:t xml:space="preserve">suosittaa, että </w:t>
      </w:r>
      <w:r w:rsidRPr="00831F99">
        <w:rPr>
          <w:b/>
          <w:spacing w:val="-2"/>
        </w:rPr>
        <w:t>avaruusalan julkisia eurooppalaisia investointeja vahvistetaan</w:t>
      </w:r>
      <w:r w:rsidRPr="00831F99">
        <w:rPr>
          <w:spacing w:val="-2"/>
        </w:rPr>
        <w:t xml:space="preserve"> rakenteellisesti ja välittömästi ja että avaruusinvestoinnit nostetaan </w:t>
      </w:r>
      <w:r w:rsidRPr="00831F99">
        <w:rPr>
          <w:b/>
          <w:spacing w:val="-2"/>
        </w:rPr>
        <w:t>vähintään 0,2 prosenttiin BKT:stä vuoteen 2030 mennessä</w:t>
      </w:r>
      <w:r w:rsidRPr="00831F99">
        <w:rPr>
          <w:spacing w:val="-2"/>
        </w:rPr>
        <w:t>.</w:t>
      </w:r>
    </w:p>
    <w:p w14:paraId="73A99C9B" w14:textId="77777777" w:rsidR="008E5DBC" w:rsidRPr="00831F99" w:rsidRDefault="008E5DBC" w:rsidP="00D341DD">
      <w:pPr>
        <w:numPr>
          <w:ilvl w:val="0"/>
          <w:numId w:val="23"/>
        </w:numPr>
        <w:ind w:left="426"/>
        <w:rPr>
          <w:spacing w:val="-2"/>
        </w:rPr>
      </w:pPr>
      <w:r w:rsidRPr="00831F99">
        <w:rPr>
          <w:spacing w:val="-2"/>
        </w:rPr>
        <w:t xml:space="preserve">suosittaa </w:t>
      </w:r>
      <w:r w:rsidRPr="00831F99">
        <w:rPr>
          <w:b/>
          <w:spacing w:val="-2"/>
        </w:rPr>
        <w:t>selventämään, miten perussopimuksen 114 artiklaa voidaan käyttää avaruuteen liittyvien tuotteiden, palvelujen ja datan sisämarkkinoiden oikeusperustana</w:t>
      </w:r>
      <w:r w:rsidRPr="00831F99">
        <w:rPr>
          <w:spacing w:val="-2"/>
        </w:rPr>
        <w:t xml:space="preserve">, ja kehottaa säätämään siitä, että avaruussäädöksen säännöksiä on tulkittava ottaen huomioon </w:t>
      </w:r>
      <w:r w:rsidRPr="00831F99">
        <w:rPr>
          <w:b/>
          <w:spacing w:val="-2"/>
        </w:rPr>
        <w:t>jäsenvaltioiden avaruustoiminnan osalta jo hyväksymät kansainväliset velvoitteet</w:t>
      </w:r>
      <w:r w:rsidRPr="00831F99">
        <w:rPr>
          <w:spacing w:val="-2"/>
        </w:rPr>
        <w:t>.</w:t>
      </w:r>
    </w:p>
    <w:p w14:paraId="4CE9D341" w14:textId="77777777" w:rsidR="008E5DBC" w:rsidRPr="00831F99" w:rsidRDefault="008E5DBC" w:rsidP="00D341DD">
      <w:pPr>
        <w:numPr>
          <w:ilvl w:val="0"/>
          <w:numId w:val="23"/>
        </w:numPr>
        <w:ind w:left="426"/>
        <w:rPr>
          <w:spacing w:val="-2"/>
        </w:rPr>
      </w:pPr>
      <w:r w:rsidRPr="00831F99">
        <w:rPr>
          <w:spacing w:val="-2"/>
        </w:rPr>
        <w:t xml:space="preserve">suosittaa selventämään, </w:t>
      </w:r>
      <w:r w:rsidRPr="00831F99">
        <w:rPr>
          <w:b/>
          <w:spacing w:val="-2"/>
        </w:rPr>
        <w:t>miksi asetusehdotuksen I osastossa viitataan yksinomaan avaruusalan toimijan sijoittautumisjäsenvaltiota</w:t>
      </w:r>
      <w:r w:rsidRPr="00831F99">
        <w:rPr>
          <w:spacing w:val="-2"/>
        </w:rPr>
        <w:t xml:space="preserve"> tai kolmannen maan avaruusalan toimijan sijoittautumisvaltiota </w:t>
      </w:r>
      <w:r w:rsidRPr="00831F99">
        <w:rPr>
          <w:b/>
          <w:spacing w:val="-2"/>
        </w:rPr>
        <w:t>koskevaan kriteeriin</w:t>
      </w:r>
      <w:r w:rsidRPr="00831F99">
        <w:rPr>
          <w:spacing w:val="-2"/>
        </w:rPr>
        <w:t xml:space="preserve"> ilman mitään viittausta tällaisten toimijoiden kansalaisuusvaltioon, ja kehottaa </w:t>
      </w:r>
      <w:r w:rsidRPr="00831F99">
        <w:rPr>
          <w:b/>
          <w:spacing w:val="-2"/>
        </w:rPr>
        <w:t>selkiyttämään 6 artiklan 3 kohtaa, jotta voidaan varmistaa parempi koordinointi sellaisen kansallisen avaruuslainsäädännön kanssa</w:t>
      </w:r>
      <w:r w:rsidRPr="00831F99">
        <w:rPr>
          <w:spacing w:val="-2"/>
        </w:rPr>
        <w:t>, jossa määritetään toimijat, joiden on kansallisuuden tai avaruustoiminnan harjoittamisalueen perusteella saatava lupa avaruustoimintaan.</w:t>
      </w:r>
    </w:p>
    <w:p w14:paraId="415A42A6" w14:textId="77777777" w:rsidR="008E5DBC" w:rsidRPr="00831F99" w:rsidRDefault="008E5DBC" w:rsidP="00D341DD">
      <w:pPr>
        <w:numPr>
          <w:ilvl w:val="0"/>
          <w:numId w:val="23"/>
        </w:numPr>
        <w:ind w:left="426"/>
        <w:rPr>
          <w:spacing w:val="-2"/>
        </w:rPr>
      </w:pPr>
      <w:r w:rsidRPr="00831F99">
        <w:rPr>
          <w:spacing w:val="-2"/>
        </w:rPr>
        <w:t>suosittaa</w:t>
      </w:r>
      <w:r w:rsidRPr="00831F99">
        <w:rPr>
          <w:b/>
          <w:spacing w:val="-2"/>
        </w:rPr>
        <w:t>, että II osastossa selvennetään lupamenettelyn poikkeuksia ja joustomahdollisuuksia</w:t>
      </w:r>
      <w:r w:rsidRPr="00831F99">
        <w:rPr>
          <w:spacing w:val="-2"/>
        </w:rPr>
        <w:t xml:space="preserve"> täsmentämällä käsittelyajat, sovellettavuus muihin kuin kaupallisiin operaatioihin, komission tarkastusvaltuudet sekä Euroopan avaruusjärjestön (ESA) ja Euroopan unionin avaruusohjelmaviraston (EUSPA) operatiivinen rooli.</w:t>
      </w:r>
    </w:p>
    <w:p w14:paraId="3EBBB292" w14:textId="77777777" w:rsidR="008E5DBC" w:rsidRPr="00831F99" w:rsidRDefault="008E5DBC" w:rsidP="00D341DD">
      <w:pPr>
        <w:numPr>
          <w:ilvl w:val="0"/>
          <w:numId w:val="23"/>
        </w:numPr>
        <w:ind w:left="426"/>
        <w:rPr>
          <w:spacing w:val="-2"/>
        </w:rPr>
      </w:pPr>
      <w:r w:rsidRPr="00831F99">
        <w:rPr>
          <w:spacing w:val="-2"/>
        </w:rPr>
        <w:t xml:space="preserve">suosittaa määrittelemään tarkasti </w:t>
      </w:r>
      <w:r w:rsidRPr="00831F99">
        <w:rPr>
          <w:b/>
          <w:spacing w:val="-2"/>
        </w:rPr>
        <w:t>rajat, joiden puitteissa jäsenvaltiot voivat asettaa tiukempia vaatimuksia</w:t>
      </w:r>
      <w:r w:rsidRPr="00831F99">
        <w:rPr>
          <w:spacing w:val="-2"/>
        </w:rPr>
        <w:t xml:space="preserve"> avaruuspohjaisen datan ja avaruuspalvelujen vapaalle liikkuvuudelle unionissa.</w:t>
      </w:r>
    </w:p>
    <w:p w14:paraId="41BE63D4" w14:textId="77777777" w:rsidR="008E5DBC" w:rsidRPr="00831F99" w:rsidRDefault="008E5DBC" w:rsidP="00D341DD">
      <w:pPr>
        <w:numPr>
          <w:ilvl w:val="0"/>
          <w:numId w:val="23"/>
        </w:numPr>
        <w:ind w:left="426"/>
        <w:rPr>
          <w:spacing w:val="-2"/>
        </w:rPr>
      </w:pPr>
      <w:r w:rsidRPr="00831F99">
        <w:rPr>
          <w:spacing w:val="-2"/>
        </w:rPr>
        <w:t xml:space="preserve">korostaa, että </w:t>
      </w:r>
      <w:r w:rsidRPr="00831F99">
        <w:rPr>
          <w:b/>
          <w:spacing w:val="-2"/>
        </w:rPr>
        <w:t>hajanaisuuden</w:t>
      </w:r>
      <w:r w:rsidRPr="00831F99">
        <w:rPr>
          <w:spacing w:val="-2"/>
        </w:rPr>
        <w:t xml:space="preserve"> ja byrokraattisten esteiden </w:t>
      </w:r>
      <w:r w:rsidRPr="00831F99">
        <w:rPr>
          <w:b/>
          <w:spacing w:val="-2"/>
        </w:rPr>
        <w:t>välttämiseksi olisi vastavuoroisen tunnustamisen periaatetta ja yhteisiä sääntöjä vahvistettava</w:t>
      </w:r>
      <w:r w:rsidRPr="00831F99">
        <w:rPr>
          <w:spacing w:val="-2"/>
        </w:rPr>
        <w:t>.</w:t>
      </w:r>
    </w:p>
    <w:p w14:paraId="40089F39" w14:textId="77777777" w:rsidR="008E5DBC" w:rsidRPr="00831F99" w:rsidRDefault="008E5DBC" w:rsidP="00D341DD">
      <w:pPr>
        <w:numPr>
          <w:ilvl w:val="0"/>
          <w:numId w:val="23"/>
        </w:numPr>
        <w:ind w:left="426"/>
        <w:rPr>
          <w:spacing w:val="-2"/>
        </w:rPr>
      </w:pPr>
      <w:r w:rsidRPr="00831F99">
        <w:rPr>
          <w:spacing w:val="-2"/>
        </w:rPr>
        <w:t xml:space="preserve">suosittaa, että </w:t>
      </w:r>
      <w:r w:rsidRPr="00831F99">
        <w:rPr>
          <w:b/>
          <w:spacing w:val="-2"/>
        </w:rPr>
        <w:t>Euroopan avaruusstrategia kytketään Euroopan strategiseen riippumattomuuteen</w:t>
      </w:r>
      <w:r w:rsidRPr="00831F99">
        <w:rPr>
          <w:spacing w:val="-2"/>
        </w:rPr>
        <w:t xml:space="preserve"> ja että edistetään </w:t>
      </w:r>
      <w:r w:rsidRPr="00831F99">
        <w:rPr>
          <w:b/>
          <w:spacing w:val="-2"/>
        </w:rPr>
        <w:t>täydentäviä ekosysteemejä ja avaruustalouden kerrannaisvaikutusta</w:t>
      </w:r>
      <w:r w:rsidRPr="00831F99">
        <w:rPr>
          <w:spacing w:val="-2"/>
        </w:rPr>
        <w:t xml:space="preserve"> yksittäisten alojen tukemiseksi.</w:t>
      </w:r>
    </w:p>
    <w:p w14:paraId="25D11411" w14:textId="77777777" w:rsidR="008E5DBC" w:rsidRPr="00831F99" w:rsidRDefault="008E5DBC" w:rsidP="00D341DD">
      <w:pPr>
        <w:numPr>
          <w:ilvl w:val="0"/>
          <w:numId w:val="23"/>
        </w:numPr>
        <w:ind w:left="426"/>
        <w:rPr>
          <w:spacing w:val="-2"/>
        </w:rPr>
      </w:pPr>
      <w:r w:rsidRPr="00831F99">
        <w:rPr>
          <w:spacing w:val="-2"/>
        </w:rPr>
        <w:t xml:space="preserve">suosittaa </w:t>
      </w:r>
      <w:r w:rsidRPr="00831F99">
        <w:rPr>
          <w:b/>
          <w:spacing w:val="-2"/>
        </w:rPr>
        <w:t>yhdennetyn strategian</w:t>
      </w:r>
      <w:r w:rsidRPr="00831F99">
        <w:rPr>
          <w:spacing w:val="-2"/>
        </w:rPr>
        <w:t xml:space="preserve"> laatimista</w:t>
      </w:r>
      <w:r w:rsidRPr="00831F99">
        <w:rPr>
          <w:b/>
          <w:spacing w:val="-2"/>
        </w:rPr>
        <w:t xml:space="preserve"> avaruusalan asiantuntemusta ja työpaikkoja varten</w:t>
      </w:r>
      <w:r w:rsidRPr="00831F99">
        <w:rPr>
          <w:spacing w:val="-2"/>
        </w:rPr>
        <w:t xml:space="preserve"> sekä </w:t>
      </w:r>
      <w:r w:rsidRPr="00831F99">
        <w:rPr>
          <w:b/>
          <w:spacing w:val="-2"/>
        </w:rPr>
        <w:t>eurooppalaisen avaruusosaamisohjelman</w:t>
      </w:r>
      <w:r w:rsidRPr="00831F99">
        <w:rPr>
          <w:spacing w:val="-2"/>
        </w:rPr>
        <w:t xml:space="preserve"> luomista.</w:t>
      </w:r>
    </w:p>
    <w:p w14:paraId="60FB9927" w14:textId="77777777" w:rsidR="008E5DBC" w:rsidRPr="00831F99" w:rsidRDefault="008E5DBC" w:rsidP="00D341DD">
      <w:pPr>
        <w:numPr>
          <w:ilvl w:val="0"/>
          <w:numId w:val="23"/>
        </w:numPr>
        <w:ind w:left="426"/>
        <w:rPr>
          <w:spacing w:val="-2"/>
        </w:rPr>
      </w:pPr>
      <w:r w:rsidRPr="00831F99">
        <w:rPr>
          <w:spacing w:val="-2"/>
        </w:rPr>
        <w:t xml:space="preserve">kehottaa varmistamaan seuraavassa monivuotisessa rahoituskehyksessä 2028–2034 riittävät resurssit </w:t>
      </w:r>
      <w:r w:rsidRPr="00831F99">
        <w:rPr>
          <w:b/>
          <w:spacing w:val="-2"/>
        </w:rPr>
        <w:t>EUSPA:n operatiivista vahvistamista</w:t>
      </w:r>
      <w:r w:rsidRPr="00831F99">
        <w:rPr>
          <w:spacing w:val="-2"/>
        </w:rPr>
        <w:t xml:space="preserve"> varten.</w:t>
      </w:r>
    </w:p>
    <w:p w14:paraId="2F2F6A3A" w14:textId="77777777" w:rsidR="008E5DBC" w:rsidRPr="003239E6" w:rsidRDefault="008E5DBC" w:rsidP="00D341DD">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E5DBC" w:rsidRPr="003239E6" w14:paraId="5E546DF0" w14:textId="77777777" w:rsidTr="00114B49">
        <w:tc>
          <w:tcPr>
            <w:tcW w:w="1418" w:type="dxa"/>
          </w:tcPr>
          <w:p w14:paraId="490AEC9D" w14:textId="77777777" w:rsidR="008E5DBC" w:rsidRPr="003239E6" w:rsidRDefault="008E5DBC" w:rsidP="00D341DD">
            <w:pPr>
              <w:rPr>
                <w:i/>
              </w:rPr>
            </w:pPr>
            <w:r w:rsidRPr="003239E6">
              <w:rPr>
                <w:b/>
                <w:i/>
              </w:rPr>
              <w:t>Yhteydenotot</w:t>
            </w:r>
          </w:p>
        </w:tc>
        <w:tc>
          <w:tcPr>
            <w:tcW w:w="5670" w:type="dxa"/>
          </w:tcPr>
          <w:p w14:paraId="4324300E" w14:textId="77777777" w:rsidR="008E5DBC" w:rsidRPr="003239E6" w:rsidRDefault="008E5DBC" w:rsidP="00D341DD">
            <w:pPr>
              <w:rPr>
                <w:i/>
              </w:rPr>
            </w:pPr>
            <w:r w:rsidRPr="003239E6">
              <w:rPr>
                <w:i/>
              </w:rPr>
              <w:t>Giorgia Bordignon</w:t>
            </w:r>
          </w:p>
        </w:tc>
      </w:tr>
      <w:tr w:rsidR="008E5DBC" w:rsidRPr="003239E6" w14:paraId="2545600A" w14:textId="77777777" w:rsidTr="00114B49">
        <w:tc>
          <w:tcPr>
            <w:tcW w:w="1418" w:type="dxa"/>
          </w:tcPr>
          <w:p w14:paraId="680A7CC2" w14:textId="77777777" w:rsidR="008E5DBC" w:rsidRPr="003239E6" w:rsidRDefault="008E5DBC" w:rsidP="00D341DD">
            <w:pPr>
              <w:rPr>
                <w:i/>
              </w:rPr>
            </w:pPr>
            <w:r w:rsidRPr="003239E6">
              <w:rPr>
                <w:i/>
              </w:rPr>
              <w:t>P.</w:t>
            </w:r>
          </w:p>
        </w:tc>
        <w:tc>
          <w:tcPr>
            <w:tcW w:w="5670" w:type="dxa"/>
          </w:tcPr>
          <w:p w14:paraId="7560FFE1" w14:textId="77777777" w:rsidR="008E5DBC" w:rsidRPr="003239E6" w:rsidRDefault="008E5DBC" w:rsidP="00D341DD">
            <w:pPr>
              <w:rPr>
                <w:i/>
              </w:rPr>
            </w:pPr>
            <w:r w:rsidRPr="003239E6">
              <w:rPr>
                <w:i/>
              </w:rPr>
              <w:t>+32 25468</w:t>
            </w:r>
            <w:r w:rsidRPr="003239E6">
              <w:t>535</w:t>
            </w:r>
          </w:p>
        </w:tc>
      </w:tr>
      <w:tr w:rsidR="008E5DBC" w:rsidRPr="003239E6" w14:paraId="4EC30223" w14:textId="77777777" w:rsidTr="00114B49">
        <w:tc>
          <w:tcPr>
            <w:tcW w:w="1418" w:type="dxa"/>
          </w:tcPr>
          <w:p w14:paraId="71821880" w14:textId="77777777" w:rsidR="008E5DBC" w:rsidRPr="003239E6" w:rsidRDefault="008E5DBC" w:rsidP="00D341DD">
            <w:pPr>
              <w:rPr>
                <w:i/>
              </w:rPr>
            </w:pPr>
            <w:r w:rsidRPr="003239E6">
              <w:rPr>
                <w:i/>
              </w:rPr>
              <w:t>Sähköposti</w:t>
            </w:r>
          </w:p>
        </w:tc>
        <w:tc>
          <w:tcPr>
            <w:tcW w:w="5670" w:type="dxa"/>
          </w:tcPr>
          <w:p w14:paraId="26F2E189" w14:textId="77777777" w:rsidR="008E5DBC" w:rsidRPr="003239E6" w:rsidRDefault="008921B6" w:rsidP="00D341DD">
            <w:pPr>
              <w:rPr>
                <w:i/>
              </w:rPr>
            </w:pPr>
            <w:hyperlink r:id="rId27" w:history="1">
              <w:r w:rsidR="008E5DBC" w:rsidRPr="003239E6">
                <w:rPr>
                  <w:rStyle w:val="Hyperlink"/>
                  <w:i/>
                </w:rPr>
                <w:t>GiorgiaAndrea.Bordignon@eesc.europa.eu</w:t>
              </w:r>
            </w:hyperlink>
            <w:r w:rsidR="008E5DBC" w:rsidRPr="003239E6">
              <w:rPr>
                <w:i/>
              </w:rPr>
              <w:t xml:space="preserve"> </w:t>
            </w:r>
          </w:p>
        </w:tc>
      </w:tr>
    </w:tbl>
    <w:p w14:paraId="2A35C97D" w14:textId="77777777" w:rsidR="008E5DBC" w:rsidRPr="00831F99" w:rsidRDefault="008E5DBC" w:rsidP="008E5DBC">
      <w:pPr>
        <w:jc w:val="center"/>
        <w:rPr>
          <w:sz w:val="2"/>
          <w:szCs w:val="2"/>
        </w:rPr>
      </w:pPr>
    </w:p>
    <w:p w14:paraId="771398D2" w14:textId="76C22E4F" w:rsidR="008E5DBC" w:rsidRDefault="008E5DBC">
      <w:pPr>
        <w:spacing w:after="160" w:line="259" w:lineRule="auto"/>
        <w:jc w:val="left"/>
      </w:pPr>
      <w:r>
        <w:br w:type="page"/>
      </w:r>
    </w:p>
    <w:p w14:paraId="18E1B69C" w14:textId="6CCD8ABE" w:rsidR="008E5DBC" w:rsidRPr="001424C7" w:rsidRDefault="008921B6" w:rsidP="008E5DBC">
      <w:pPr>
        <w:widowControl w:val="0"/>
        <w:numPr>
          <w:ilvl w:val="0"/>
          <w:numId w:val="4"/>
        </w:numPr>
        <w:overflowPunct w:val="0"/>
        <w:autoSpaceDE w:val="0"/>
        <w:autoSpaceDN w:val="0"/>
        <w:adjustRightInd w:val="0"/>
        <w:ind w:hanging="567"/>
        <w:textAlignment w:val="baseline"/>
        <w:rPr>
          <w:sz w:val="20"/>
        </w:rPr>
      </w:pPr>
      <w:hyperlink r:id="rId28" w:history="1">
        <w:r w:rsidR="008E5DBC">
          <w:rPr>
            <w:rStyle w:val="Hyperlink"/>
            <w:b/>
            <w:i/>
            <w:sz w:val="28"/>
          </w:rPr>
          <w:t>Ohjeellinen ydinohjelma</w:t>
        </w:r>
      </w:hyperlink>
    </w:p>
    <w:p w14:paraId="26273991" w14:textId="77777777" w:rsidR="008E5DBC" w:rsidRPr="00A6689B" w:rsidRDefault="008E5DBC" w:rsidP="008E5DBC">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7129"/>
      </w:tblGrid>
      <w:tr w:rsidR="008E5DBC" w:rsidRPr="00A6689B" w14:paraId="17F3EA6B" w14:textId="77777777" w:rsidTr="00114B49">
        <w:tc>
          <w:tcPr>
            <w:tcW w:w="1951" w:type="dxa"/>
          </w:tcPr>
          <w:p w14:paraId="49D840AC" w14:textId="77777777" w:rsidR="008E5DBC" w:rsidRPr="00A6689B" w:rsidRDefault="008E5DBC" w:rsidP="00114B49">
            <w:pPr>
              <w:tabs>
                <w:tab w:val="center" w:pos="284"/>
              </w:tabs>
              <w:ind w:left="266" w:hanging="266"/>
              <w:rPr>
                <w:b/>
              </w:rPr>
            </w:pPr>
            <w:r>
              <w:rPr>
                <w:b/>
              </w:rPr>
              <w:t>Esittelijä</w:t>
            </w:r>
          </w:p>
        </w:tc>
        <w:tc>
          <w:tcPr>
            <w:tcW w:w="7229" w:type="dxa"/>
          </w:tcPr>
          <w:p w14:paraId="0835EDE4" w14:textId="77777777" w:rsidR="008E5DBC" w:rsidRPr="00A6689B" w:rsidRDefault="008E5DBC" w:rsidP="00114B49">
            <w:pPr>
              <w:tabs>
                <w:tab w:val="center" w:pos="284"/>
              </w:tabs>
              <w:ind w:left="266" w:hanging="266"/>
            </w:pPr>
            <w:r>
              <w:t>Dumitru FORNEA (työntekijät – RO)</w:t>
            </w:r>
          </w:p>
        </w:tc>
      </w:tr>
      <w:tr w:rsidR="008E5DBC" w:rsidRPr="00A6689B" w14:paraId="2D2A1D40" w14:textId="77777777" w:rsidTr="00114B49">
        <w:tc>
          <w:tcPr>
            <w:tcW w:w="1951" w:type="dxa"/>
          </w:tcPr>
          <w:p w14:paraId="0374D341" w14:textId="77777777" w:rsidR="008E5DBC" w:rsidRPr="00A6689B" w:rsidRDefault="008E5DBC" w:rsidP="00114B49">
            <w:pPr>
              <w:tabs>
                <w:tab w:val="center" w:pos="284"/>
              </w:tabs>
              <w:ind w:left="266" w:hanging="266"/>
              <w:rPr>
                <w:b/>
              </w:rPr>
            </w:pPr>
            <w:r>
              <w:rPr>
                <w:b/>
              </w:rPr>
              <w:t>Yhteisesittelijä</w:t>
            </w:r>
          </w:p>
        </w:tc>
        <w:tc>
          <w:tcPr>
            <w:tcW w:w="7229" w:type="dxa"/>
          </w:tcPr>
          <w:p w14:paraId="2EB04294" w14:textId="77777777" w:rsidR="008E5DBC" w:rsidRDefault="008E5DBC" w:rsidP="00114B49">
            <w:pPr>
              <w:tabs>
                <w:tab w:val="center" w:pos="284"/>
              </w:tabs>
              <w:ind w:left="266" w:hanging="266"/>
            </w:pPr>
            <w:r>
              <w:t>Alena MASTANTUONO (työnantajat – CZ)</w:t>
            </w:r>
          </w:p>
          <w:p w14:paraId="33D929EC" w14:textId="2572583F" w:rsidR="00F362C7" w:rsidRPr="00A6689B" w:rsidRDefault="00F362C7" w:rsidP="00114B49">
            <w:pPr>
              <w:tabs>
                <w:tab w:val="center" w:pos="284"/>
              </w:tabs>
              <w:ind w:left="266" w:hanging="266"/>
            </w:pPr>
          </w:p>
        </w:tc>
      </w:tr>
      <w:tr w:rsidR="008E5DBC" w:rsidRPr="00D25C71" w14:paraId="50BC5A1B" w14:textId="77777777" w:rsidTr="00114B49">
        <w:tc>
          <w:tcPr>
            <w:tcW w:w="1951" w:type="dxa"/>
          </w:tcPr>
          <w:p w14:paraId="43B0E3E9" w14:textId="77777777" w:rsidR="008E5DBC" w:rsidRPr="00A6689B" w:rsidRDefault="008E5DBC" w:rsidP="00114B49">
            <w:pPr>
              <w:tabs>
                <w:tab w:val="center" w:pos="284"/>
              </w:tabs>
              <w:ind w:left="266" w:hanging="266"/>
              <w:rPr>
                <w:b/>
              </w:rPr>
            </w:pPr>
            <w:r>
              <w:rPr>
                <w:b/>
              </w:rPr>
              <w:t>Viiteasiakirjat</w:t>
            </w:r>
          </w:p>
        </w:tc>
        <w:tc>
          <w:tcPr>
            <w:tcW w:w="7229" w:type="dxa"/>
          </w:tcPr>
          <w:p w14:paraId="74243C4E" w14:textId="77777777" w:rsidR="008E5DBC" w:rsidRPr="00947EE1" w:rsidRDefault="008E5DBC" w:rsidP="00114B49">
            <w:pPr>
              <w:tabs>
                <w:tab w:val="center" w:pos="284"/>
              </w:tabs>
              <w:ind w:left="266" w:hanging="266"/>
            </w:pPr>
            <w:r>
              <w:t>COM(2025) 315 final</w:t>
            </w:r>
          </w:p>
          <w:p w14:paraId="2D2A744C" w14:textId="77777777" w:rsidR="008E5DBC" w:rsidRPr="00947EE1" w:rsidRDefault="008E5DBC" w:rsidP="00114B49">
            <w:pPr>
              <w:tabs>
                <w:tab w:val="center" w:pos="284"/>
              </w:tabs>
              <w:ind w:left="266" w:hanging="266"/>
            </w:pPr>
            <w:r>
              <w:t>EESC-2025-02173-00-00-AC</w:t>
            </w:r>
          </w:p>
        </w:tc>
      </w:tr>
    </w:tbl>
    <w:p w14:paraId="64D9971F" w14:textId="77777777" w:rsidR="008E5DBC" w:rsidRPr="00947EE1" w:rsidRDefault="008E5DBC" w:rsidP="008E5DBC">
      <w:pPr>
        <w:tabs>
          <w:tab w:val="center" w:pos="284"/>
        </w:tabs>
        <w:ind w:left="266" w:hanging="266"/>
        <w:rPr>
          <w:lang w:val="pt-PT"/>
        </w:rPr>
      </w:pPr>
    </w:p>
    <w:p w14:paraId="0A876DE3" w14:textId="77777777" w:rsidR="008E5DBC" w:rsidRPr="00A6689B" w:rsidRDefault="008E5DBC" w:rsidP="008E5DBC">
      <w:pPr>
        <w:keepNext/>
        <w:keepLines/>
        <w:tabs>
          <w:tab w:val="center" w:pos="284"/>
        </w:tabs>
        <w:ind w:left="266" w:hanging="266"/>
        <w:rPr>
          <w:b/>
        </w:rPr>
      </w:pPr>
      <w:r>
        <w:rPr>
          <w:b/>
        </w:rPr>
        <w:t>Keskeiset kohdat</w:t>
      </w:r>
    </w:p>
    <w:p w14:paraId="088F46FB" w14:textId="77777777" w:rsidR="008E5DBC" w:rsidRPr="00A6689B" w:rsidRDefault="008E5DBC" w:rsidP="008E5DBC">
      <w:pPr>
        <w:keepNext/>
        <w:keepLines/>
        <w:tabs>
          <w:tab w:val="center" w:pos="284"/>
        </w:tabs>
        <w:ind w:left="266" w:hanging="266"/>
        <w:rPr>
          <w:b/>
        </w:rPr>
      </w:pPr>
    </w:p>
    <w:p w14:paraId="7BA2B06B" w14:textId="77777777" w:rsidR="008E5DBC" w:rsidRPr="00A6689B" w:rsidRDefault="008E5DBC" w:rsidP="008E5DBC">
      <w:pPr>
        <w:rPr>
          <w:bCs/>
          <w:iCs/>
        </w:rPr>
      </w:pPr>
      <w:r>
        <w:t>ETSK</w:t>
      </w:r>
    </w:p>
    <w:p w14:paraId="2B5703A4" w14:textId="77777777" w:rsidR="008E5DBC" w:rsidRPr="00947EE1" w:rsidRDefault="008E5DBC" w:rsidP="00D341DD">
      <w:pPr>
        <w:widowControl w:val="0"/>
        <w:numPr>
          <w:ilvl w:val="0"/>
          <w:numId w:val="24"/>
        </w:numPr>
        <w:overflowPunct w:val="0"/>
        <w:autoSpaceDE w:val="0"/>
        <w:autoSpaceDN w:val="0"/>
        <w:adjustRightInd w:val="0"/>
        <w:ind w:left="426"/>
        <w:textAlignment w:val="baseline"/>
        <w:rPr>
          <w:bCs/>
          <w:iCs/>
        </w:rPr>
      </w:pPr>
      <w:r>
        <w:t>katsoo, että ydinenergialla on ja tulee olemaan keskeinen rooli Euroopan hiilestä irtautumisessa ja Euroopan unionin strategisen riippumattomuuden vahvistamisessa energian ja teknologian alalla.</w:t>
      </w:r>
    </w:p>
    <w:p w14:paraId="44336D57" w14:textId="77777777" w:rsidR="008E5DBC" w:rsidRPr="00A6689B" w:rsidRDefault="008E5DBC" w:rsidP="00D341DD">
      <w:pPr>
        <w:widowControl w:val="0"/>
        <w:numPr>
          <w:ilvl w:val="0"/>
          <w:numId w:val="24"/>
        </w:numPr>
        <w:overflowPunct w:val="0"/>
        <w:autoSpaceDE w:val="0"/>
        <w:autoSpaceDN w:val="0"/>
        <w:adjustRightInd w:val="0"/>
        <w:ind w:left="426"/>
        <w:textAlignment w:val="baseline"/>
        <w:rPr>
          <w:bCs/>
          <w:iCs/>
        </w:rPr>
      </w:pPr>
      <w:r>
        <w:t>suosittaa, että ydinenergia-alan investointeihin sovelletaan samoja ehtoja kuin uusiutuviin energialähteisiin.</w:t>
      </w:r>
    </w:p>
    <w:p w14:paraId="03F67661" w14:textId="77777777" w:rsidR="008E5DBC" w:rsidRPr="00A6689B" w:rsidRDefault="008E5DBC" w:rsidP="00D341DD">
      <w:pPr>
        <w:widowControl w:val="0"/>
        <w:numPr>
          <w:ilvl w:val="0"/>
          <w:numId w:val="24"/>
        </w:numPr>
        <w:overflowPunct w:val="0"/>
        <w:autoSpaceDE w:val="0"/>
        <w:autoSpaceDN w:val="0"/>
        <w:adjustRightInd w:val="0"/>
        <w:ind w:left="426"/>
        <w:textAlignment w:val="baseline"/>
        <w:rPr>
          <w:bCs/>
          <w:iCs/>
        </w:rPr>
      </w:pPr>
      <w:r>
        <w:t>suosittaa, että investointeja vauhditetaan rahoitukseen ja sääntelyyn liittyvin täsmätoimenpitein, kuten suoraviivaistamalla valtiontukiprosessia, EU:n koheesiorahoituksen saantia, kestävää rahoitusta sekä lupamenettelyjä ja nopeuttamalla EU:n ja jäsenvaltioiden tason päätöksentekoa.</w:t>
      </w:r>
    </w:p>
    <w:p w14:paraId="21281D90" w14:textId="77777777" w:rsidR="008E5DBC" w:rsidRDefault="008E5DBC" w:rsidP="00D341DD">
      <w:pPr>
        <w:widowControl w:val="0"/>
        <w:numPr>
          <w:ilvl w:val="0"/>
          <w:numId w:val="24"/>
        </w:numPr>
        <w:overflowPunct w:val="0"/>
        <w:autoSpaceDE w:val="0"/>
        <w:autoSpaceDN w:val="0"/>
        <w:adjustRightInd w:val="0"/>
        <w:ind w:left="426"/>
        <w:textAlignment w:val="baseline"/>
        <w:rPr>
          <w:bCs/>
          <w:iCs/>
        </w:rPr>
      </w:pPr>
      <w:r>
        <w:t>katsoo, että vuoropuhelu kansalaisyhteiskunnan kanssa on ratkaisevan tärkeää luottamuksen, sitoutuneisuuden ja yhteiskunnallisen hyväksynnän edistämiseksi.</w:t>
      </w:r>
    </w:p>
    <w:p w14:paraId="1B02EB3E" w14:textId="77777777" w:rsidR="008E5DBC" w:rsidRPr="00A6689B" w:rsidRDefault="008E5DBC" w:rsidP="00D341DD">
      <w:pPr>
        <w:widowControl w:val="0"/>
        <w:numPr>
          <w:ilvl w:val="0"/>
          <w:numId w:val="24"/>
        </w:numPr>
        <w:overflowPunct w:val="0"/>
        <w:autoSpaceDE w:val="0"/>
        <w:autoSpaceDN w:val="0"/>
        <w:adjustRightInd w:val="0"/>
        <w:ind w:left="426"/>
        <w:textAlignment w:val="baseline"/>
        <w:rPr>
          <w:bCs/>
          <w:iCs/>
        </w:rPr>
      </w:pPr>
      <w:r>
        <w:t>kehottaa tehostamaan jäsenvaltioiden sääntely-yhteistyötä.</w:t>
      </w:r>
    </w:p>
    <w:p w14:paraId="5A075967" w14:textId="77777777" w:rsidR="008E5DBC" w:rsidRPr="0040261B" w:rsidRDefault="008E5DBC" w:rsidP="00D341DD">
      <w:pPr>
        <w:widowControl w:val="0"/>
        <w:numPr>
          <w:ilvl w:val="0"/>
          <w:numId w:val="24"/>
        </w:numPr>
        <w:overflowPunct w:val="0"/>
        <w:autoSpaceDE w:val="0"/>
        <w:autoSpaceDN w:val="0"/>
        <w:adjustRightInd w:val="0"/>
        <w:ind w:left="426"/>
        <w:textAlignment w:val="baseline"/>
      </w:pPr>
      <w:r>
        <w:t>suosittaa niin ikään, että ydinenergian rooli verkon vakauttajana otetaan huomioon ja että ohjelmaan lisätään laskelma ydinenergian avulla vältetyistä järjestelmäkustannuksista.</w:t>
      </w:r>
    </w:p>
    <w:p w14:paraId="66FDA0E1" w14:textId="77777777" w:rsidR="008E5DBC" w:rsidRPr="000624A9" w:rsidRDefault="008E5DBC" w:rsidP="008E5DBC">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4"/>
      </w:tblGrid>
      <w:tr w:rsidR="008E5DBC" w:rsidRPr="00A6689B" w14:paraId="7899D9FC" w14:textId="77777777" w:rsidTr="00114B49">
        <w:tc>
          <w:tcPr>
            <w:tcW w:w="1951" w:type="dxa"/>
          </w:tcPr>
          <w:p w14:paraId="2B11B720" w14:textId="77777777" w:rsidR="008E5DBC" w:rsidRPr="00A6689B" w:rsidRDefault="008E5DBC" w:rsidP="00114B49">
            <w:pPr>
              <w:rPr>
                <w:i/>
              </w:rPr>
            </w:pPr>
            <w:r>
              <w:rPr>
                <w:b/>
                <w:i/>
              </w:rPr>
              <w:t>Yhteydenotot</w:t>
            </w:r>
          </w:p>
        </w:tc>
        <w:tc>
          <w:tcPr>
            <w:tcW w:w="7229" w:type="dxa"/>
          </w:tcPr>
          <w:p w14:paraId="61AB02DE" w14:textId="535D4D5A" w:rsidR="008E5DBC" w:rsidRPr="00A6689B" w:rsidRDefault="008E5DBC" w:rsidP="00114B49">
            <w:pPr>
              <w:rPr>
                <w:i/>
              </w:rPr>
            </w:pPr>
            <w:r>
              <w:rPr>
                <w:i/>
              </w:rPr>
              <w:t xml:space="preserve">Albert </w:t>
            </w:r>
            <w:r w:rsidR="00F362C7">
              <w:rPr>
                <w:i/>
              </w:rPr>
              <w:t>Precup</w:t>
            </w:r>
          </w:p>
        </w:tc>
      </w:tr>
      <w:tr w:rsidR="008E5DBC" w:rsidRPr="00A6689B" w14:paraId="6F5321D6" w14:textId="77777777" w:rsidTr="00114B49">
        <w:tc>
          <w:tcPr>
            <w:tcW w:w="1951" w:type="dxa"/>
          </w:tcPr>
          <w:p w14:paraId="414C827F" w14:textId="77777777" w:rsidR="008E5DBC" w:rsidRPr="00A6689B" w:rsidRDefault="008E5DBC" w:rsidP="00114B49">
            <w:pPr>
              <w:rPr>
                <w:i/>
              </w:rPr>
            </w:pPr>
            <w:r>
              <w:rPr>
                <w:i/>
              </w:rPr>
              <w:t>P.</w:t>
            </w:r>
          </w:p>
        </w:tc>
        <w:tc>
          <w:tcPr>
            <w:tcW w:w="7229" w:type="dxa"/>
          </w:tcPr>
          <w:p w14:paraId="2F3715FC" w14:textId="77777777" w:rsidR="008E5DBC" w:rsidRPr="00A6689B" w:rsidRDefault="008E5DBC" w:rsidP="00114B49">
            <w:pPr>
              <w:rPr>
                <w:i/>
              </w:rPr>
            </w:pPr>
            <w:r>
              <w:rPr>
                <w:i/>
              </w:rPr>
              <w:t>+32 25469326</w:t>
            </w:r>
          </w:p>
        </w:tc>
      </w:tr>
      <w:tr w:rsidR="008E5DBC" w:rsidRPr="00A6689B" w14:paraId="32934E27" w14:textId="77777777" w:rsidTr="00114B49">
        <w:tc>
          <w:tcPr>
            <w:tcW w:w="1951" w:type="dxa"/>
          </w:tcPr>
          <w:p w14:paraId="6345FEE8" w14:textId="77777777" w:rsidR="008E5DBC" w:rsidRPr="00A6689B" w:rsidRDefault="008E5DBC" w:rsidP="00114B49">
            <w:pPr>
              <w:rPr>
                <w:i/>
              </w:rPr>
            </w:pPr>
            <w:r>
              <w:rPr>
                <w:i/>
              </w:rPr>
              <w:t>Sähköposti</w:t>
            </w:r>
          </w:p>
        </w:tc>
        <w:tc>
          <w:tcPr>
            <w:tcW w:w="7229" w:type="dxa"/>
          </w:tcPr>
          <w:p w14:paraId="0F510757" w14:textId="77777777" w:rsidR="008E5DBC" w:rsidRPr="00A6689B" w:rsidRDefault="008921B6" w:rsidP="00114B49">
            <w:pPr>
              <w:rPr>
                <w:i/>
              </w:rPr>
            </w:pPr>
            <w:hyperlink r:id="rId29" w:history="1">
              <w:r w:rsidR="008E5DBC">
                <w:rPr>
                  <w:rStyle w:val="Hyperlink"/>
                  <w:i/>
                </w:rPr>
                <w:t>Albert.Precup@eesc.europa.eu</w:t>
              </w:r>
            </w:hyperlink>
          </w:p>
        </w:tc>
      </w:tr>
    </w:tbl>
    <w:p w14:paraId="12777813" w14:textId="77777777" w:rsidR="004D7AC0" w:rsidRDefault="004D7AC0" w:rsidP="004D7AC0">
      <w:pPr>
        <w:pStyle w:val="ListParagraph"/>
        <w:ind w:left="0"/>
      </w:pPr>
    </w:p>
    <w:p w14:paraId="4982DDF2" w14:textId="77777777" w:rsidR="004D7AC0" w:rsidRDefault="004D7AC0" w:rsidP="004D7AC0">
      <w:pPr>
        <w:spacing w:after="160" w:line="259" w:lineRule="auto"/>
        <w:jc w:val="left"/>
      </w:pPr>
      <w:r>
        <w:br w:type="page"/>
      </w:r>
    </w:p>
    <w:p w14:paraId="4982DDF3" w14:textId="77777777" w:rsidR="004D7AC0" w:rsidRDefault="004D7AC0" w:rsidP="004D7AC0">
      <w:pPr>
        <w:pStyle w:val="Heading1"/>
        <w:rPr>
          <w:b/>
        </w:rPr>
      </w:pPr>
      <w:bookmarkStart w:id="6" w:name="_Toc75527083"/>
      <w:bookmarkStart w:id="7" w:name="_Toc216768396"/>
      <w:r>
        <w:rPr>
          <w:b/>
        </w:rPr>
        <w:lastRenderedPageBreak/>
        <w:t>SISÄMARKKINAT, TUOTANTO JA KULUTUS</w:t>
      </w:r>
      <w:bookmarkEnd w:id="6"/>
      <w:bookmarkEnd w:id="7"/>
    </w:p>
    <w:p w14:paraId="4982DDF4" w14:textId="77777777" w:rsidR="004D7AC0" w:rsidRDefault="004D7AC0" w:rsidP="004D7AC0"/>
    <w:p w14:paraId="721ED98F" w14:textId="6FC9EE69" w:rsidR="00927539" w:rsidRPr="00927539" w:rsidRDefault="008921B6" w:rsidP="00927539">
      <w:pPr>
        <w:widowControl w:val="0"/>
        <w:numPr>
          <w:ilvl w:val="0"/>
          <w:numId w:val="4"/>
        </w:numPr>
        <w:overflowPunct w:val="0"/>
        <w:autoSpaceDE w:val="0"/>
        <w:autoSpaceDN w:val="0"/>
        <w:adjustRightInd w:val="0"/>
        <w:spacing w:line="240" w:lineRule="auto"/>
        <w:ind w:hanging="567"/>
        <w:textAlignment w:val="baseline"/>
        <w:rPr>
          <w:sz w:val="20"/>
          <w:szCs w:val="20"/>
        </w:rPr>
      </w:pPr>
      <w:hyperlink r:id="rId30" w:history="1">
        <w:r w:rsidR="00927539" w:rsidRPr="00927539">
          <w:rPr>
            <w:b/>
            <w:i/>
            <w:color w:val="0000FF"/>
            <w:sz w:val="28"/>
            <w:szCs w:val="20"/>
            <w:u w:val="single"/>
          </w:rPr>
          <w:t>Sisämarkkinastrategia</w:t>
        </w:r>
      </w:hyperlink>
    </w:p>
    <w:p w14:paraId="248D2A21" w14:textId="77777777" w:rsidR="00927539" w:rsidRPr="00927539" w:rsidRDefault="00927539" w:rsidP="003239E6">
      <w:pPr>
        <w:tabs>
          <w:tab w:val="center" w:pos="284"/>
        </w:tabs>
        <w:overflowPunct w:val="0"/>
        <w:autoSpaceDE w:val="0"/>
        <w:autoSpaceDN w:val="0"/>
        <w:adjustRightInd w:val="0"/>
        <w:ind w:left="266" w:hanging="266"/>
        <w:textAlignment w:val="baseline"/>
        <w:rPr>
          <w: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6521"/>
      </w:tblGrid>
      <w:tr w:rsidR="00927539" w:rsidRPr="00927539" w14:paraId="3740C988" w14:textId="77777777" w:rsidTr="00D341DD">
        <w:tc>
          <w:tcPr>
            <w:tcW w:w="1719" w:type="dxa"/>
          </w:tcPr>
          <w:p w14:paraId="5695EC1C" w14:textId="77777777" w:rsidR="00927539" w:rsidRPr="00927539" w:rsidRDefault="00927539" w:rsidP="003239E6">
            <w:pPr>
              <w:tabs>
                <w:tab w:val="center" w:pos="284"/>
              </w:tabs>
              <w:overflowPunct w:val="0"/>
              <w:autoSpaceDE w:val="0"/>
              <w:autoSpaceDN w:val="0"/>
              <w:adjustRightInd w:val="0"/>
              <w:ind w:left="266" w:hanging="266"/>
              <w:textAlignment w:val="baseline"/>
              <w:rPr>
                <w:b/>
                <w:sz w:val="22"/>
                <w:szCs w:val="22"/>
              </w:rPr>
            </w:pPr>
            <w:r w:rsidRPr="00927539">
              <w:rPr>
                <w:b/>
                <w:sz w:val="22"/>
                <w:szCs w:val="22"/>
              </w:rPr>
              <w:t>Esittelijät</w:t>
            </w:r>
          </w:p>
        </w:tc>
        <w:tc>
          <w:tcPr>
            <w:tcW w:w="6521" w:type="dxa"/>
          </w:tcPr>
          <w:p w14:paraId="508FC9E2" w14:textId="77777777" w:rsidR="00927539" w:rsidRPr="00927539" w:rsidRDefault="00927539" w:rsidP="003239E6">
            <w:pPr>
              <w:tabs>
                <w:tab w:val="center" w:pos="284"/>
              </w:tabs>
              <w:overflowPunct w:val="0"/>
              <w:autoSpaceDE w:val="0"/>
              <w:autoSpaceDN w:val="0"/>
              <w:adjustRightInd w:val="0"/>
              <w:ind w:left="266" w:hanging="266"/>
              <w:textAlignment w:val="baseline"/>
              <w:rPr>
                <w:sz w:val="22"/>
                <w:szCs w:val="22"/>
              </w:rPr>
            </w:pPr>
            <w:r w:rsidRPr="00927539">
              <w:rPr>
                <w:sz w:val="22"/>
                <w:szCs w:val="22"/>
              </w:rPr>
              <w:t>Emilie PROUZET (työnantajat – FR)</w:t>
            </w:r>
          </w:p>
        </w:tc>
      </w:tr>
      <w:tr w:rsidR="00927539" w:rsidRPr="00927539" w14:paraId="5060DC71" w14:textId="77777777" w:rsidTr="00D341DD">
        <w:tc>
          <w:tcPr>
            <w:tcW w:w="1719" w:type="dxa"/>
          </w:tcPr>
          <w:p w14:paraId="4B80257F" w14:textId="77777777" w:rsidR="00927539" w:rsidRPr="00927539" w:rsidRDefault="00927539" w:rsidP="003239E6">
            <w:pPr>
              <w:tabs>
                <w:tab w:val="center" w:pos="284"/>
              </w:tabs>
              <w:overflowPunct w:val="0"/>
              <w:autoSpaceDE w:val="0"/>
              <w:autoSpaceDN w:val="0"/>
              <w:adjustRightInd w:val="0"/>
              <w:ind w:left="266" w:hanging="266"/>
              <w:textAlignment w:val="baseline"/>
              <w:rPr>
                <w:b/>
                <w:sz w:val="22"/>
                <w:szCs w:val="22"/>
                <w:lang w:val="en-US"/>
              </w:rPr>
            </w:pPr>
          </w:p>
        </w:tc>
        <w:tc>
          <w:tcPr>
            <w:tcW w:w="6521" w:type="dxa"/>
          </w:tcPr>
          <w:p w14:paraId="0E2B50BB" w14:textId="77777777" w:rsidR="00927539" w:rsidRPr="00927539" w:rsidRDefault="00927539" w:rsidP="003239E6">
            <w:pPr>
              <w:tabs>
                <w:tab w:val="center" w:pos="284"/>
              </w:tabs>
              <w:overflowPunct w:val="0"/>
              <w:autoSpaceDE w:val="0"/>
              <w:autoSpaceDN w:val="0"/>
              <w:adjustRightInd w:val="0"/>
              <w:ind w:left="266" w:hanging="266"/>
              <w:textAlignment w:val="baseline"/>
              <w:rPr>
                <w:sz w:val="22"/>
                <w:szCs w:val="22"/>
              </w:rPr>
            </w:pPr>
            <w:r w:rsidRPr="00927539">
              <w:rPr>
                <w:sz w:val="22"/>
                <w:szCs w:val="22"/>
              </w:rPr>
              <w:t>Angelo PAGLIARA (työntekijät – IT)</w:t>
            </w:r>
          </w:p>
          <w:p w14:paraId="2EC4D660" w14:textId="77777777" w:rsidR="00927539" w:rsidRPr="00927539" w:rsidRDefault="00927539" w:rsidP="003239E6">
            <w:pPr>
              <w:tabs>
                <w:tab w:val="center" w:pos="284"/>
              </w:tabs>
              <w:overflowPunct w:val="0"/>
              <w:autoSpaceDE w:val="0"/>
              <w:autoSpaceDN w:val="0"/>
              <w:adjustRightInd w:val="0"/>
              <w:ind w:left="266" w:hanging="266"/>
              <w:textAlignment w:val="baseline"/>
              <w:rPr>
                <w:sz w:val="22"/>
                <w:szCs w:val="22"/>
              </w:rPr>
            </w:pPr>
            <w:r w:rsidRPr="00927539">
              <w:rPr>
                <w:sz w:val="22"/>
                <w:szCs w:val="22"/>
              </w:rPr>
              <w:t>Giuseppe GUERINI (kansalaisyhteiskunnan organisaatiot – IT)</w:t>
            </w:r>
          </w:p>
        </w:tc>
      </w:tr>
      <w:tr w:rsidR="00927539" w:rsidRPr="00927539" w14:paraId="257C65BB" w14:textId="77777777" w:rsidTr="00D341DD">
        <w:tc>
          <w:tcPr>
            <w:tcW w:w="8240" w:type="dxa"/>
            <w:gridSpan w:val="2"/>
          </w:tcPr>
          <w:p w14:paraId="2EF5C467" w14:textId="77777777" w:rsidR="00927539" w:rsidRPr="00927539" w:rsidRDefault="00927539" w:rsidP="003239E6">
            <w:pPr>
              <w:tabs>
                <w:tab w:val="center" w:pos="284"/>
              </w:tabs>
              <w:overflowPunct w:val="0"/>
              <w:autoSpaceDE w:val="0"/>
              <w:autoSpaceDN w:val="0"/>
              <w:adjustRightInd w:val="0"/>
              <w:ind w:left="266" w:hanging="266"/>
              <w:textAlignment w:val="baseline"/>
              <w:rPr>
                <w:sz w:val="22"/>
                <w:szCs w:val="22"/>
                <w:lang w:val="en-US"/>
              </w:rPr>
            </w:pPr>
          </w:p>
        </w:tc>
      </w:tr>
      <w:tr w:rsidR="00927539" w:rsidRPr="00927539" w14:paraId="2953F5B8" w14:textId="77777777" w:rsidTr="00D341DD">
        <w:tc>
          <w:tcPr>
            <w:tcW w:w="1719" w:type="dxa"/>
          </w:tcPr>
          <w:p w14:paraId="30578742" w14:textId="77777777" w:rsidR="00927539" w:rsidRPr="00927539" w:rsidRDefault="00927539" w:rsidP="003239E6">
            <w:pPr>
              <w:tabs>
                <w:tab w:val="center" w:pos="284"/>
              </w:tabs>
              <w:overflowPunct w:val="0"/>
              <w:autoSpaceDE w:val="0"/>
              <w:autoSpaceDN w:val="0"/>
              <w:adjustRightInd w:val="0"/>
              <w:ind w:left="266" w:hanging="266"/>
              <w:textAlignment w:val="baseline"/>
              <w:rPr>
                <w:b/>
                <w:sz w:val="22"/>
                <w:szCs w:val="22"/>
              </w:rPr>
            </w:pPr>
            <w:r w:rsidRPr="00927539">
              <w:rPr>
                <w:b/>
                <w:sz w:val="22"/>
                <w:szCs w:val="22"/>
              </w:rPr>
              <w:t>Viiteasiakirja(t)</w:t>
            </w:r>
          </w:p>
        </w:tc>
        <w:tc>
          <w:tcPr>
            <w:tcW w:w="6521" w:type="dxa"/>
          </w:tcPr>
          <w:p w14:paraId="28ECBE07" w14:textId="77777777" w:rsidR="00927539" w:rsidRPr="00927539" w:rsidRDefault="00927539" w:rsidP="003239E6">
            <w:pPr>
              <w:tabs>
                <w:tab w:val="center" w:pos="284"/>
              </w:tabs>
              <w:overflowPunct w:val="0"/>
              <w:autoSpaceDE w:val="0"/>
              <w:autoSpaceDN w:val="0"/>
              <w:adjustRightInd w:val="0"/>
              <w:ind w:left="266" w:hanging="266"/>
              <w:textAlignment w:val="baseline"/>
              <w:rPr>
                <w:sz w:val="22"/>
                <w:szCs w:val="22"/>
              </w:rPr>
            </w:pPr>
            <w:r w:rsidRPr="00927539">
              <w:rPr>
                <w:sz w:val="22"/>
                <w:szCs w:val="22"/>
              </w:rPr>
              <w:t>COM(2025) 500 final</w:t>
            </w:r>
          </w:p>
          <w:p w14:paraId="1D42DE39" w14:textId="77777777" w:rsidR="00927539" w:rsidRPr="00927539" w:rsidRDefault="00927539" w:rsidP="003239E6">
            <w:pPr>
              <w:tabs>
                <w:tab w:val="center" w:pos="284"/>
              </w:tabs>
              <w:overflowPunct w:val="0"/>
              <w:autoSpaceDE w:val="0"/>
              <w:autoSpaceDN w:val="0"/>
              <w:adjustRightInd w:val="0"/>
              <w:ind w:left="266" w:hanging="266"/>
              <w:textAlignment w:val="baseline"/>
              <w:rPr>
                <w:sz w:val="22"/>
                <w:szCs w:val="22"/>
              </w:rPr>
            </w:pPr>
            <w:r w:rsidRPr="00927539">
              <w:rPr>
                <w:sz w:val="22"/>
                <w:szCs w:val="22"/>
              </w:rPr>
              <w:t>EESC-2025-01859-00-00-AC</w:t>
            </w:r>
          </w:p>
        </w:tc>
      </w:tr>
    </w:tbl>
    <w:p w14:paraId="0198BB9C" w14:textId="77777777" w:rsidR="00D341DD" w:rsidRPr="00D341DD" w:rsidRDefault="00D341DD" w:rsidP="00D341DD">
      <w:pPr>
        <w:keepNext/>
        <w:keepLines/>
        <w:tabs>
          <w:tab w:val="center" w:pos="284"/>
        </w:tabs>
        <w:overflowPunct w:val="0"/>
        <w:autoSpaceDE w:val="0"/>
        <w:autoSpaceDN w:val="0"/>
        <w:adjustRightInd w:val="0"/>
        <w:ind w:left="266" w:hanging="266"/>
        <w:textAlignment w:val="baseline"/>
        <w:rPr>
          <w:b/>
        </w:rPr>
      </w:pPr>
    </w:p>
    <w:p w14:paraId="33055E6A" w14:textId="1FC271E9" w:rsidR="00927539" w:rsidRPr="00927539" w:rsidRDefault="00927539" w:rsidP="00D341DD">
      <w:pPr>
        <w:keepNext/>
        <w:keepLines/>
        <w:tabs>
          <w:tab w:val="center" w:pos="284"/>
        </w:tabs>
        <w:overflowPunct w:val="0"/>
        <w:autoSpaceDE w:val="0"/>
        <w:autoSpaceDN w:val="0"/>
        <w:adjustRightInd w:val="0"/>
        <w:ind w:left="266" w:hanging="266"/>
        <w:textAlignment w:val="baseline"/>
        <w:rPr>
          <w:b/>
        </w:rPr>
      </w:pPr>
      <w:r w:rsidRPr="00927539">
        <w:rPr>
          <w:b/>
        </w:rPr>
        <w:t>Keskeiset kohdat</w:t>
      </w:r>
    </w:p>
    <w:p w14:paraId="7003E0B2" w14:textId="77777777" w:rsidR="00927539" w:rsidRPr="00927539" w:rsidRDefault="00927539" w:rsidP="00D341DD">
      <w:pPr>
        <w:keepNext/>
        <w:keepLines/>
        <w:tabs>
          <w:tab w:val="center" w:pos="284"/>
        </w:tabs>
        <w:overflowPunct w:val="0"/>
        <w:autoSpaceDE w:val="0"/>
        <w:autoSpaceDN w:val="0"/>
        <w:adjustRightInd w:val="0"/>
        <w:ind w:left="266" w:hanging="266"/>
        <w:textAlignment w:val="baseline"/>
        <w:rPr>
          <w:b/>
        </w:rPr>
      </w:pPr>
    </w:p>
    <w:p w14:paraId="5FD004D9" w14:textId="77777777" w:rsidR="00927539" w:rsidRPr="00927539" w:rsidRDefault="00927539" w:rsidP="00D341DD">
      <w:pPr>
        <w:overflowPunct w:val="0"/>
        <w:autoSpaceDE w:val="0"/>
        <w:autoSpaceDN w:val="0"/>
        <w:adjustRightInd w:val="0"/>
        <w:textAlignment w:val="baseline"/>
        <w:rPr>
          <w:bCs/>
          <w:iCs/>
        </w:rPr>
      </w:pPr>
      <w:r w:rsidRPr="00927539">
        <w:t>ETSK</w:t>
      </w:r>
    </w:p>
    <w:p w14:paraId="4A56E028" w14:textId="77777777" w:rsidR="00927539" w:rsidRPr="00927539" w:rsidRDefault="00927539" w:rsidP="00D341DD">
      <w:pPr>
        <w:widowControl w:val="0"/>
        <w:numPr>
          <w:ilvl w:val="0"/>
          <w:numId w:val="25"/>
        </w:numPr>
        <w:overflowPunct w:val="0"/>
        <w:autoSpaceDE w:val="0"/>
        <w:autoSpaceDN w:val="0"/>
        <w:adjustRightInd w:val="0"/>
        <w:ind w:left="426"/>
        <w:textAlignment w:val="baseline"/>
        <w:rPr>
          <w:bCs/>
          <w:iCs/>
        </w:rPr>
      </w:pPr>
      <w:r w:rsidRPr="00927539">
        <w:t>antaa täyden tukensa komission strategiassaan määrittämille painopisteille, joilla vastataan sidosryhmien esiin nostamiin haasteisiin.</w:t>
      </w:r>
    </w:p>
    <w:p w14:paraId="01E24AE2" w14:textId="77777777" w:rsidR="00927539" w:rsidRPr="00927539" w:rsidRDefault="00927539" w:rsidP="00D341DD">
      <w:pPr>
        <w:widowControl w:val="0"/>
        <w:numPr>
          <w:ilvl w:val="0"/>
          <w:numId w:val="25"/>
        </w:numPr>
        <w:overflowPunct w:val="0"/>
        <w:autoSpaceDE w:val="0"/>
        <w:autoSpaceDN w:val="0"/>
        <w:adjustRightInd w:val="0"/>
        <w:ind w:left="426"/>
        <w:textAlignment w:val="baseline"/>
        <w:rPr>
          <w:bCs/>
          <w:iCs/>
        </w:rPr>
      </w:pPr>
      <w:r w:rsidRPr="00927539">
        <w:t>toistaa, että sääntelyn yksinkertaistamisen toimeenpanossa on kunnioitettava sosiaalisia ja työntekijöiden oikeuksia kaikilta osin. Siksi on olennaisen tärkeää, että Euroopan parlamentti, jäsenvaltioiden parlamentit ja työmarkkinaosapuolet otetaan rakenteellisesti mukaan lainsäädäntäprosessin alkuvaiheista alkaen.</w:t>
      </w:r>
    </w:p>
    <w:p w14:paraId="615F663D" w14:textId="77777777" w:rsidR="00927539" w:rsidRPr="00927539" w:rsidRDefault="00927539" w:rsidP="00D341DD">
      <w:pPr>
        <w:widowControl w:val="0"/>
        <w:numPr>
          <w:ilvl w:val="0"/>
          <w:numId w:val="25"/>
        </w:numPr>
        <w:overflowPunct w:val="0"/>
        <w:autoSpaceDE w:val="0"/>
        <w:autoSpaceDN w:val="0"/>
        <w:adjustRightInd w:val="0"/>
        <w:ind w:left="426"/>
        <w:textAlignment w:val="baseline"/>
        <w:rPr>
          <w:bCs/>
          <w:iCs/>
        </w:rPr>
      </w:pPr>
      <w:r w:rsidRPr="00927539">
        <w:t>aikoo osallistua aktiivisemmin sisämarkkinoiden hallinnointiin muun muassa ottamalla vahvemman roolin sisämarkkinoiden täytäntöönpanon valvontaa käsittelevässä työryhmässä (SMET).</w:t>
      </w:r>
    </w:p>
    <w:p w14:paraId="23E21D76" w14:textId="77777777" w:rsidR="00927539" w:rsidRPr="00927539" w:rsidRDefault="00927539" w:rsidP="00D341DD">
      <w:pPr>
        <w:widowControl w:val="0"/>
        <w:numPr>
          <w:ilvl w:val="0"/>
          <w:numId w:val="25"/>
        </w:numPr>
        <w:overflowPunct w:val="0"/>
        <w:autoSpaceDE w:val="0"/>
        <w:autoSpaceDN w:val="0"/>
        <w:adjustRightInd w:val="0"/>
        <w:ind w:left="426"/>
        <w:textAlignment w:val="baseline"/>
        <w:rPr>
          <w:bCs/>
          <w:iCs/>
        </w:rPr>
      </w:pPr>
      <w:r w:rsidRPr="00927539">
        <w:t>kehottaa komissiota esittämään lainsäädäntöehdotuksia, joilla puututaan alueellisiin toimitusrajoituksiin ja yhdenmukaistetaan tuotteiden merkintöjä.</w:t>
      </w:r>
    </w:p>
    <w:p w14:paraId="3491068B" w14:textId="3013A4C1" w:rsidR="00927539" w:rsidRPr="00927539" w:rsidRDefault="00927539" w:rsidP="00D341DD">
      <w:pPr>
        <w:widowControl w:val="0"/>
        <w:numPr>
          <w:ilvl w:val="0"/>
          <w:numId w:val="25"/>
        </w:numPr>
        <w:overflowPunct w:val="0"/>
        <w:autoSpaceDE w:val="0"/>
        <w:autoSpaceDN w:val="0"/>
        <w:adjustRightInd w:val="0"/>
        <w:ind w:left="426"/>
        <w:textAlignment w:val="baseline"/>
        <w:rPr>
          <w:bCs/>
          <w:iCs/>
        </w:rPr>
      </w:pPr>
      <w:r w:rsidRPr="00927539">
        <w:t>suhtautuu myönteisesti komission kaavailemaan ehdotukseen valinnaisesta ”28.</w:t>
      </w:r>
      <w:r w:rsidR="001E12E1">
        <w:t> </w:t>
      </w:r>
      <w:r w:rsidRPr="00927539">
        <w:t>oikeusjärjestyksestä” yrityksille, mutta korostaa, että tarvitaan tehokkaita suojatoimia mahdollisia väärinkäytöksiä vastaan.</w:t>
      </w:r>
    </w:p>
    <w:p w14:paraId="3AB4D1B2" w14:textId="77777777" w:rsidR="00927539" w:rsidRPr="00927539" w:rsidRDefault="00927539" w:rsidP="00D341DD">
      <w:pPr>
        <w:widowControl w:val="0"/>
        <w:numPr>
          <w:ilvl w:val="0"/>
          <w:numId w:val="25"/>
        </w:numPr>
        <w:overflowPunct w:val="0"/>
        <w:autoSpaceDE w:val="0"/>
        <w:autoSpaceDN w:val="0"/>
        <w:adjustRightInd w:val="0"/>
        <w:ind w:left="426"/>
        <w:textAlignment w:val="baseline"/>
        <w:rPr>
          <w:bCs/>
          <w:iCs/>
        </w:rPr>
      </w:pPr>
      <w:r w:rsidRPr="00927539">
        <w:t>tunnustaa standardoinnin keskeisen roolin yhdentymisen ja innovoinnin edistäjänä, mutta korostaa avoimuuden, osallistavuuden ja jäsennellyn osallistumisen periaatteita.</w:t>
      </w:r>
    </w:p>
    <w:p w14:paraId="45DD7347" w14:textId="77777777" w:rsidR="00927539" w:rsidRPr="00927539" w:rsidRDefault="00927539" w:rsidP="00D341DD">
      <w:pPr>
        <w:widowControl w:val="0"/>
        <w:numPr>
          <w:ilvl w:val="0"/>
          <w:numId w:val="25"/>
        </w:numPr>
        <w:overflowPunct w:val="0"/>
        <w:autoSpaceDE w:val="0"/>
        <w:autoSpaceDN w:val="0"/>
        <w:adjustRightInd w:val="0"/>
        <w:ind w:left="426"/>
        <w:textAlignment w:val="baseline"/>
        <w:rPr>
          <w:bCs/>
          <w:iCs/>
        </w:rPr>
      </w:pPr>
      <w:r w:rsidRPr="00927539">
        <w:t>kannattaa ammattipätevyyden tunnustamisen yksinkertaistamista myös kolmansien maiden kansalaisten osalta, mutta pätevyyksien on oltava selkeästi määriteltyjä, todennettavissa ja todistetusti laadukkaita.</w:t>
      </w:r>
    </w:p>
    <w:p w14:paraId="5B9C4DEC" w14:textId="77777777" w:rsidR="00927539" w:rsidRPr="00927539" w:rsidRDefault="00927539" w:rsidP="00D341DD">
      <w:pPr>
        <w:widowControl w:val="0"/>
        <w:numPr>
          <w:ilvl w:val="0"/>
          <w:numId w:val="25"/>
        </w:numPr>
        <w:overflowPunct w:val="0"/>
        <w:autoSpaceDE w:val="0"/>
        <w:autoSpaceDN w:val="0"/>
        <w:adjustRightInd w:val="0"/>
        <w:ind w:left="426"/>
        <w:textAlignment w:val="baseline"/>
        <w:rPr>
          <w:bCs/>
          <w:iCs/>
        </w:rPr>
      </w:pPr>
      <w:r w:rsidRPr="00927539">
        <w:t>kannattaa Euroopan työviranomaisen (ELA) vahvistamista.</w:t>
      </w:r>
    </w:p>
    <w:p w14:paraId="16663C7D" w14:textId="77777777" w:rsidR="00927539" w:rsidRPr="00927539" w:rsidRDefault="00927539" w:rsidP="00D341DD">
      <w:pPr>
        <w:widowControl w:val="0"/>
        <w:numPr>
          <w:ilvl w:val="0"/>
          <w:numId w:val="25"/>
        </w:numPr>
        <w:overflowPunct w:val="0"/>
        <w:autoSpaceDE w:val="0"/>
        <w:autoSpaceDN w:val="0"/>
        <w:adjustRightInd w:val="0"/>
        <w:ind w:left="426"/>
        <w:textAlignment w:val="baseline"/>
        <w:rPr>
          <w:bCs/>
          <w:iCs/>
        </w:rPr>
      </w:pPr>
      <w:r w:rsidRPr="00927539">
        <w:t xml:space="preserve">kehottaa laajentamaan sisämarkkinoiden soveltamisalaa strategisille aloille, kuten energia- ja rahoitusalalle. Komitea korostaa osallistavan hallintomallin tarvetta ja kehottaa tarkistamaan julkisia hankintoja koskevaa lainsäädäntöä. Samalla olisi kartoitettava sopivia tapoja ottaa huomioon sosiaaliset sekä ympäristöön ja innovointiin liittyvät tavoitteet. </w:t>
      </w:r>
    </w:p>
    <w:p w14:paraId="6B2B5482" w14:textId="77777777" w:rsidR="00927539" w:rsidRPr="00927539" w:rsidRDefault="00927539" w:rsidP="00D341DD">
      <w:pPr>
        <w:widowControl w:val="0"/>
        <w:overflowPunct w:val="0"/>
        <w:autoSpaceDE w:val="0"/>
        <w:autoSpaceDN w:val="0"/>
        <w:adjustRightInd w:val="0"/>
        <w:ind w:left="709"/>
        <w:textAlignment w:val="baseline"/>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927539" w:rsidRPr="00927539" w14:paraId="4912DF74" w14:textId="77777777" w:rsidTr="00114B49">
        <w:tc>
          <w:tcPr>
            <w:tcW w:w="1418" w:type="dxa"/>
          </w:tcPr>
          <w:p w14:paraId="7855FBE7" w14:textId="77777777" w:rsidR="00927539" w:rsidRPr="00927539" w:rsidRDefault="00927539" w:rsidP="00D341DD">
            <w:pPr>
              <w:overflowPunct w:val="0"/>
              <w:autoSpaceDE w:val="0"/>
              <w:autoSpaceDN w:val="0"/>
              <w:adjustRightInd w:val="0"/>
              <w:textAlignment w:val="baseline"/>
              <w:rPr>
                <w:i/>
                <w:sz w:val="22"/>
                <w:szCs w:val="22"/>
              </w:rPr>
            </w:pPr>
            <w:r w:rsidRPr="00927539">
              <w:rPr>
                <w:b/>
                <w:bCs/>
                <w:i/>
                <w:sz w:val="22"/>
                <w:szCs w:val="22"/>
              </w:rPr>
              <w:t>Yhteydenotot</w:t>
            </w:r>
          </w:p>
        </w:tc>
        <w:tc>
          <w:tcPr>
            <w:tcW w:w="5670" w:type="dxa"/>
          </w:tcPr>
          <w:p w14:paraId="15ADD6B7" w14:textId="77777777" w:rsidR="00927539" w:rsidRPr="00927539" w:rsidRDefault="00927539" w:rsidP="00D341DD">
            <w:pPr>
              <w:overflowPunct w:val="0"/>
              <w:autoSpaceDE w:val="0"/>
              <w:autoSpaceDN w:val="0"/>
              <w:adjustRightInd w:val="0"/>
              <w:textAlignment w:val="baseline"/>
              <w:rPr>
                <w:i/>
                <w:sz w:val="22"/>
                <w:szCs w:val="22"/>
              </w:rPr>
            </w:pPr>
            <w:r w:rsidRPr="00927539">
              <w:rPr>
                <w:i/>
                <w:sz w:val="22"/>
                <w:szCs w:val="22"/>
              </w:rPr>
              <w:t>Annalisa Tessarolo</w:t>
            </w:r>
          </w:p>
        </w:tc>
      </w:tr>
      <w:tr w:rsidR="00927539" w:rsidRPr="00927539" w14:paraId="2FD83D84" w14:textId="77777777" w:rsidTr="00114B49">
        <w:tc>
          <w:tcPr>
            <w:tcW w:w="1418" w:type="dxa"/>
          </w:tcPr>
          <w:p w14:paraId="74134F16" w14:textId="77777777" w:rsidR="00927539" w:rsidRPr="00927539" w:rsidRDefault="00927539" w:rsidP="00D341DD">
            <w:pPr>
              <w:overflowPunct w:val="0"/>
              <w:autoSpaceDE w:val="0"/>
              <w:autoSpaceDN w:val="0"/>
              <w:adjustRightInd w:val="0"/>
              <w:textAlignment w:val="baseline"/>
              <w:rPr>
                <w:i/>
                <w:sz w:val="22"/>
                <w:szCs w:val="22"/>
              </w:rPr>
            </w:pPr>
            <w:r w:rsidRPr="00927539">
              <w:rPr>
                <w:i/>
                <w:sz w:val="22"/>
                <w:szCs w:val="22"/>
              </w:rPr>
              <w:t>P.</w:t>
            </w:r>
          </w:p>
        </w:tc>
        <w:tc>
          <w:tcPr>
            <w:tcW w:w="5670" w:type="dxa"/>
            <w:shd w:val="clear" w:color="auto" w:fill="auto"/>
          </w:tcPr>
          <w:p w14:paraId="23CDF90D" w14:textId="77777777" w:rsidR="00927539" w:rsidRPr="00927539" w:rsidRDefault="00927539" w:rsidP="00D341DD">
            <w:pPr>
              <w:overflowPunct w:val="0"/>
              <w:autoSpaceDE w:val="0"/>
              <w:autoSpaceDN w:val="0"/>
              <w:adjustRightInd w:val="0"/>
              <w:textAlignment w:val="baseline"/>
              <w:rPr>
                <w:i/>
                <w:sz w:val="22"/>
                <w:szCs w:val="22"/>
              </w:rPr>
            </w:pPr>
            <w:r w:rsidRPr="00927539">
              <w:rPr>
                <w:i/>
                <w:sz w:val="22"/>
                <w:szCs w:val="22"/>
              </w:rPr>
              <w:t>+ 32 25469732</w:t>
            </w:r>
          </w:p>
        </w:tc>
      </w:tr>
      <w:tr w:rsidR="00927539" w:rsidRPr="00927539" w14:paraId="50361876" w14:textId="77777777" w:rsidTr="00114B49">
        <w:tc>
          <w:tcPr>
            <w:tcW w:w="1418" w:type="dxa"/>
          </w:tcPr>
          <w:p w14:paraId="15BCC9F9" w14:textId="77777777" w:rsidR="00927539" w:rsidRPr="00927539" w:rsidRDefault="00927539" w:rsidP="00D341DD">
            <w:pPr>
              <w:overflowPunct w:val="0"/>
              <w:autoSpaceDE w:val="0"/>
              <w:autoSpaceDN w:val="0"/>
              <w:adjustRightInd w:val="0"/>
              <w:textAlignment w:val="baseline"/>
              <w:rPr>
                <w:i/>
                <w:sz w:val="22"/>
                <w:szCs w:val="22"/>
              </w:rPr>
            </w:pPr>
            <w:r w:rsidRPr="00927539">
              <w:rPr>
                <w:i/>
                <w:sz w:val="22"/>
                <w:szCs w:val="22"/>
              </w:rPr>
              <w:t>Sähköposti</w:t>
            </w:r>
          </w:p>
        </w:tc>
        <w:tc>
          <w:tcPr>
            <w:tcW w:w="5670" w:type="dxa"/>
          </w:tcPr>
          <w:p w14:paraId="069D00D8" w14:textId="77777777" w:rsidR="00927539" w:rsidRPr="00927539" w:rsidRDefault="008921B6" w:rsidP="00D341DD">
            <w:pPr>
              <w:overflowPunct w:val="0"/>
              <w:autoSpaceDE w:val="0"/>
              <w:autoSpaceDN w:val="0"/>
              <w:adjustRightInd w:val="0"/>
              <w:textAlignment w:val="baseline"/>
              <w:rPr>
                <w:i/>
                <w:sz w:val="22"/>
                <w:szCs w:val="22"/>
              </w:rPr>
            </w:pPr>
            <w:hyperlink r:id="rId31" w:history="1">
              <w:r w:rsidR="00927539" w:rsidRPr="00927539">
                <w:rPr>
                  <w:i/>
                  <w:color w:val="0000FF"/>
                  <w:sz w:val="22"/>
                  <w:szCs w:val="22"/>
                  <w:u w:val="single"/>
                </w:rPr>
                <w:t>Annalisa.Tessarolo@eesc.europa.eu</w:t>
              </w:r>
            </w:hyperlink>
          </w:p>
        </w:tc>
      </w:tr>
    </w:tbl>
    <w:p w14:paraId="4982DE1D" w14:textId="27D31981" w:rsidR="00927539" w:rsidRPr="003239E6" w:rsidRDefault="00927539" w:rsidP="004D7AC0">
      <w:pPr>
        <w:pStyle w:val="ListParagraph"/>
        <w:ind w:left="0"/>
      </w:pPr>
    </w:p>
    <w:p w14:paraId="38E0EC39" w14:textId="18DC3BD1" w:rsidR="00927539" w:rsidRDefault="00927539">
      <w:pPr>
        <w:spacing w:after="160" w:line="259" w:lineRule="auto"/>
        <w:jc w:val="left"/>
      </w:pPr>
      <w:r>
        <w:br w:type="page"/>
      </w:r>
    </w:p>
    <w:p w14:paraId="36455EBC" w14:textId="4FF605CD" w:rsidR="00927539" w:rsidRPr="0003586F" w:rsidRDefault="008921B6" w:rsidP="00927539">
      <w:pPr>
        <w:widowControl w:val="0"/>
        <w:numPr>
          <w:ilvl w:val="0"/>
          <w:numId w:val="4"/>
        </w:numPr>
        <w:overflowPunct w:val="0"/>
        <w:autoSpaceDE w:val="0"/>
        <w:autoSpaceDN w:val="0"/>
        <w:adjustRightInd w:val="0"/>
        <w:ind w:hanging="567"/>
        <w:textAlignment w:val="baseline"/>
        <w:rPr>
          <w:sz w:val="20"/>
        </w:rPr>
      </w:pPr>
      <w:hyperlink r:id="rId32" w:tgtFrame="_blank" w:history="1">
        <w:r w:rsidR="00927539">
          <w:rPr>
            <w:rStyle w:val="Hyperlink"/>
            <w:b/>
            <w:i/>
            <w:sz w:val="28"/>
          </w:rPr>
          <w:t>Kilpailupolitiikkaa koskeva kertomus 2024</w:t>
        </w:r>
      </w:hyperlink>
    </w:p>
    <w:p w14:paraId="1E502D69" w14:textId="77777777" w:rsidR="00927539" w:rsidRPr="00F903AB" w:rsidRDefault="00927539" w:rsidP="00927539">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5387"/>
      </w:tblGrid>
      <w:tr w:rsidR="00927539" w:rsidRPr="00F903AB" w14:paraId="4D23C3BB" w14:textId="77777777" w:rsidTr="00F362C7">
        <w:tc>
          <w:tcPr>
            <w:tcW w:w="1719" w:type="dxa"/>
          </w:tcPr>
          <w:p w14:paraId="04EAEA31" w14:textId="77777777" w:rsidR="00927539" w:rsidRPr="00F903AB" w:rsidRDefault="00927539" w:rsidP="00114B49">
            <w:pPr>
              <w:tabs>
                <w:tab w:val="center" w:pos="284"/>
              </w:tabs>
              <w:ind w:left="266" w:hanging="266"/>
              <w:rPr>
                <w:b/>
              </w:rPr>
            </w:pPr>
            <w:r w:rsidRPr="00F903AB">
              <w:rPr>
                <w:b/>
              </w:rPr>
              <w:t>Esittelijä</w:t>
            </w:r>
          </w:p>
        </w:tc>
        <w:tc>
          <w:tcPr>
            <w:tcW w:w="5387" w:type="dxa"/>
          </w:tcPr>
          <w:p w14:paraId="4327137F" w14:textId="77777777" w:rsidR="00927539" w:rsidRPr="00F903AB" w:rsidRDefault="00927539" w:rsidP="00114B49">
            <w:pPr>
              <w:tabs>
                <w:tab w:val="center" w:pos="284"/>
              </w:tabs>
              <w:ind w:left="266" w:hanging="266"/>
            </w:pPr>
            <w:r w:rsidRPr="00F903AB">
              <w:t>Andrea MONE (työntekijät – IT)</w:t>
            </w:r>
          </w:p>
        </w:tc>
      </w:tr>
      <w:tr w:rsidR="00927539" w:rsidRPr="00F903AB" w14:paraId="7F92F6D0" w14:textId="77777777" w:rsidTr="00F362C7">
        <w:tc>
          <w:tcPr>
            <w:tcW w:w="7106" w:type="dxa"/>
            <w:gridSpan w:val="2"/>
          </w:tcPr>
          <w:p w14:paraId="7018B98B" w14:textId="77777777" w:rsidR="00927539" w:rsidRPr="00F903AB" w:rsidRDefault="00927539" w:rsidP="00114B49">
            <w:pPr>
              <w:tabs>
                <w:tab w:val="center" w:pos="284"/>
              </w:tabs>
              <w:ind w:left="266" w:hanging="266"/>
              <w:rPr>
                <w:lang w:val="en-US"/>
              </w:rPr>
            </w:pPr>
          </w:p>
        </w:tc>
      </w:tr>
      <w:tr w:rsidR="00927539" w:rsidRPr="00F903AB" w14:paraId="3364F7F1" w14:textId="77777777" w:rsidTr="00F362C7">
        <w:tc>
          <w:tcPr>
            <w:tcW w:w="1719" w:type="dxa"/>
          </w:tcPr>
          <w:p w14:paraId="44138A5D" w14:textId="77777777" w:rsidR="00927539" w:rsidRPr="00F903AB" w:rsidRDefault="00927539" w:rsidP="00114B49">
            <w:pPr>
              <w:tabs>
                <w:tab w:val="center" w:pos="284"/>
              </w:tabs>
              <w:ind w:left="266" w:hanging="266"/>
              <w:rPr>
                <w:b/>
              </w:rPr>
            </w:pPr>
            <w:r w:rsidRPr="00F903AB">
              <w:rPr>
                <w:b/>
              </w:rPr>
              <w:t>Viiteasiakirja(t)</w:t>
            </w:r>
          </w:p>
        </w:tc>
        <w:tc>
          <w:tcPr>
            <w:tcW w:w="5387" w:type="dxa"/>
          </w:tcPr>
          <w:p w14:paraId="3CAFF4EA" w14:textId="77777777" w:rsidR="00927539" w:rsidRPr="00F903AB" w:rsidRDefault="00927539" w:rsidP="00114B49">
            <w:pPr>
              <w:tabs>
                <w:tab w:val="center" w:pos="284"/>
              </w:tabs>
              <w:ind w:left="266" w:hanging="266"/>
            </w:pPr>
            <w:r w:rsidRPr="00F903AB">
              <w:t>COM(2025) 181 final</w:t>
            </w:r>
          </w:p>
          <w:p w14:paraId="45539AC3" w14:textId="77777777" w:rsidR="00927539" w:rsidRPr="00F903AB" w:rsidRDefault="00927539" w:rsidP="00114B49">
            <w:pPr>
              <w:tabs>
                <w:tab w:val="center" w:pos="284"/>
              </w:tabs>
              <w:ind w:left="266" w:hanging="266"/>
            </w:pPr>
            <w:r w:rsidRPr="00F903AB">
              <w:t>EESC-2025-02299-00-00-AC</w:t>
            </w:r>
          </w:p>
        </w:tc>
      </w:tr>
    </w:tbl>
    <w:p w14:paraId="10A01E2D" w14:textId="77777777" w:rsidR="00927539" w:rsidRPr="00F903AB" w:rsidRDefault="00927539" w:rsidP="00927539">
      <w:pPr>
        <w:tabs>
          <w:tab w:val="center" w:pos="284"/>
        </w:tabs>
        <w:ind w:left="266" w:hanging="266"/>
      </w:pPr>
    </w:p>
    <w:p w14:paraId="69B263BC" w14:textId="77777777" w:rsidR="00927539" w:rsidRPr="00F903AB" w:rsidRDefault="00927539" w:rsidP="00927539">
      <w:pPr>
        <w:keepNext/>
        <w:keepLines/>
        <w:tabs>
          <w:tab w:val="center" w:pos="284"/>
        </w:tabs>
        <w:ind w:left="266" w:hanging="266"/>
        <w:rPr>
          <w:b/>
        </w:rPr>
      </w:pPr>
      <w:r w:rsidRPr="00F903AB">
        <w:rPr>
          <w:b/>
        </w:rPr>
        <w:t>Keskeiset kohdat</w:t>
      </w:r>
    </w:p>
    <w:p w14:paraId="7BA916C2" w14:textId="77777777" w:rsidR="00927539" w:rsidRPr="00F903AB" w:rsidRDefault="00927539" w:rsidP="00927539">
      <w:pPr>
        <w:keepNext/>
        <w:keepLines/>
        <w:tabs>
          <w:tab w:val="center" w:pos="284"/>
        </w:tabs>
        <w:ind w:left="266" w:hanging="266"/>
        <w:rPr>
          <w:b/>
        </w:rPr>
      </w:pPr>
    </w:p>
    <w:p w14:paraId="20DB0D29" w14:textId="77777777" w:rsidR="00927539" w:rsidRPr="00F903AB" w:rsidRDefault="00927539" w:rsidP="00927539">
      <w:pPr>
        <w:rPr>
          <w:bCs/>
          <w:iCs/>
        </w:rPr>
      </w:pPr>
      <w:r w:rsidRPr="00F903AB">
        <w:t>ETSK</w:t>
      </w:r>
    </w:p>
    <w:p w14:paraId="0E949AF7" w14:textId="77777777" w:rsidR="00927539" w:rsidRPr="00F903AB" w:rsidRDefault="00927539" w:rsidP="00D341DD">
      <w:pPr>
        <w:numPr>
          <w:ilvl w:val="0"/>
          <w:numId w:val="26"/>
        </w:numPr>
        <w:tabs>
          <w:tab w:val="clear" w:pos="720"/>
        </w:tabs>
        <w:ind w:left="426"/>
      </w:pPr>
      <w:r w:rsidRPr="00F903AB">
        <w:t xml:space="preserve">suhtautuu myönteisesti </w:t>
      </w:r>
      <w:r w:rsidRPr="00F903AB">
        <w:rPr>
          <w:b/>
        </w:rPr>
        <w:t>komission vuonna 2024 hyväksymään täytäntöönpanon valvontaa koskevaan lähestymistapaan</w:t>
      </w:r>
      <w:r w:rsidRPr="00F903AB">
        <w:t>, jossa kilpailupolitiikka integroidaan EU:n digitalisointia, viherryttämistä ja häiriönsietokykyä koskeviin tavoitteisiin samalla kun säilytetään hyvin toimivat ja kilpailukykyiset sisämarkkinat.</w:t>
      </w:r>
    </w:p>
    <w:p w14:paraId="7609AAA0" w14:textId="77777777" w:rsidR="00927539" w:rsidRPr="00F903AB" w:rsidRDefault="00927539" w:rsidP="00D341DD">
      <w:pPr>
        <w:numPr>
          <w:ilvl w:val="0"/>
          <w:numId w:val="26"/>
        </w:numPr>
        <w:tabs>
          <w:tab w:val="clear" w:pos="720"/>
        </w:tabs>
        <w:ind w:left="426"/>
      </w:pPr>
      <w:r w:rsidRPr="00F903AB">
        <w:t xml:space="preserve">tukee komission pyrkimyksiä parantaa </w:t>
      </w:r>
      <w:r w:rsidRPr="00F903AB">
        <w:rPr>
          <w:b/>
        </w:rPr>
        <w:t>kilpailusääntöjen tehokkuutta ja ennustettavuutta</w:t>
      </w:r>
      <w:r w:rsidRPr="00F903AB">
        <w:t>, mukaan lukien uusien suuntaviivojen laatiminen määräävän markkina-aseman väärinkäytöstä, markkinoiden määrittelyä koskevan tiedonannon nykyaikaistaminen ja paremmat välineet kuluttajien hyvinvointiin kohdistuvien vaikutusten arvioimiseksi.</w:t>
      </w:r>
    </w:p>
    <w:p w14:paraId="6BE3C577" w14:textId="77777777" w:rsidR="00927539" w:rsidRPr="00F903AB" w:rsidRDefault="00927539" w:rsidP="00D341DD">
      <w:pPr>
        <w:numPr>
          <w:ilvl w:val="0"/>
          <w:numId w:val="26"/>
        </w:numPr>
        <w:tabs>
          <w:tab w:val="clear" w:pos="720"/>
        </w:tabs>
        <w:ind w:left="426"/>
      </w:pPr>
      <w:r w:rsidRPr="00F903AB">
        <w:t xml:space="preserve">korostaa, että on tärkeää vastata kilpailuhaasteisiin </w:t>
      </w:r>
      <w:r w:rsidRPr="00F903AB">
        <w:rPr>
          <w:b/>
        </w:rPr>
        <w:t>digitaalisilla markkinoilla</w:t>
      </w:r>
      <w:r w:rsidRPr="00F903AB">
        <w:t>, ja kannustaa komissiota vahvistamaan edelleen täytäntöönpanon valvontaa sekä perinteisten kilpailusääntöjen että digimarkkinasäädöksen mukaisesti, ottaen huomioon alustapohjaisten liiketoimintamallien rakenteellinen määräävä asema ja markkinoille pääsyn esteet.</w:t>
      </w:r>
    </w:p>
    <w:p w14:paraId="1C1B647D" w14:textId="77777777" w:rsidR="00927539" w:rsidRPr="00F903AB" w:rsidRDefault="00927539" w:rsidP="00D341DD">
      <w:pPr>
        <w:numPr>
          <w:ilvl w:val="0"/>
          <w:numId w:val="26"/>
        </w:numPr>
        <w:tabs>
          <w:tab w:val="clear" w:pos="720"/>
        </w:tabs>
        <w:ind w:left="426"/>
      </w:pPr>
      <w:r w:rsidRPr="00F903AB">
        <w:t>kehottaa</w:t>
      </w:r>
      <w:r w:rsidRPr="00F903AB">
        <w:rPr>
          <w:b/>
        </w:rPr>
        <w:t xml:space="preserve"> tehostamaan sulautumien valvontaa</w:t>
      </w:r>
      <w:r w:rsidRPr="00F903AB">
        <w:t xml:space="preserve">, mukaan lukien kehys, jolla valvotaan kynnysarvon alittavia yritysostoja, jotka voivat haitata kilpailua (esimerkiksi ns. tappohankinnat), ja kehottaa </w:t>
      </w:r>
      <w:r w:rsidRPr="00F903AB">
        <w:rPr>
          <w:b/>
        </w:rPr>
        <w:t>ottamaan paremmin huomioon työmarkkinavaikutukset ja innovointidynamiikan</w:t>
      </w:r>
      <w:r w:rsidRPr="00F903AB">
        <w:t xml:space="preserve"> sulautumien arvioinnissa.</w:t>
      </w:r>
    </w:p>
    <w:p w14:paraId="61EAC56F" w14:textId="77777777" w:rsidR="00927539" w:rsidRPr="00F903AB" w:rsidRDefault="00927539" w:rsidP="00D341DD">
      <w:pPr>
        <w:numPr>
          <w:ilvl w:val="0"/>
          <w:numId w:val="26"/>
        </w:numPr>
        <w:tabs>
          <w:tab w:val="clear" w:pos="720"/>
        </w:tabs>
        <w:ind w:left="426"/>
      </w:pPr>
      <w:r w:rsidRPr="00F903AB">
        <w:t xml:space="preserve">korostaa, että </w:t>
      </w:r>
      <w:r w:rsidRPr="00F903AB">
        <w:rPr>
          <w:b/>
        </w:rPr>
        <w:t>valtiontukisäännöillä</w:t>
      </w:r>
      <w:r w:rsidRPr="00F903AB">
        <w:t xml:space="preserve">, erityisesti uudella puhtaan teollisen kehityksen valtiontukikehyksellä ja IPCEI-prosesseilla, on edistettävä </w:t>
      </w:r>
      <w:r w:rsidRPr="00F903AB">
        <w:rPr>
          <w:b/>
        </w:rPr>
        <w:t>rajatylittävää osallistumista, vähennettävä hajanaisuutta ja tuettava puhtaan teollisen kehityksen ohjelman kannalta olennaisia strategisia investointeja</w:t>
      </w:r>
      <w:r w:rsidRPr="00F903AB">
        <w:t xml:space="preserve"> samalla kun varmistetaan yhteenkuuluvuus ja tasapuoliset toimintaedellytykset kaikissa jäsenvaltioissa.</w:t>
      </w:r>
    </w:p>
    <w:p w14:paraId="06A50BBE" w14:textId="77777777" w:rsidR="00927539" w:rsidRPr="00F903AB" w:rsidRDefault="00927539" w:rsidP="00927539">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927539" w:rsidRPr="00F903AB" w14:paraId="7CA35991" w14:textId="77777777" w:rsidTr="00114B49">
        <w:tc>
          <w:tcPr>
            <w:tcW w:w="1418" w:type="dxa"/>
          </w:tcPr>
          <w:p w14:paraId="04C03864" w14:textId="77777777" w:rsidR="00927539" w:rsidRPr="00F903AB" w:rsidRDefault="00927539" w:rsidP="00114B49">
            <w:pPr>
              <w:rPr>
                <w:i/>
              </w:rPr>
            </w:pPr>
            <w:r w:rsidRPr="00F903AB">
              <w:rPr>
                <w:b/>
                <w:bCs/>
                <w:i/>
              </w:rPr>
              <w:t>Yhteydenotot</w:t>
            </w:r>
          </w:p>
        </w:tc>
        <w:tc>
          <w:tcPr>
            <w:tcW w:w="5670" w:type="dxa"/>
          </w:tcPr>
          <w:p w14:paraId="5D4008ED" w14:textId="77777777" w:rsidR="00927539" w:rsidRPr="00F903AB" w:rsidRDefault="00927539" w:rsidP="00114B49">
            <w:pPr>
              <w:rPr>
                <w:i/>
              </w:rPr>
            </w:pPr>
            <w:r w:rsidRPr="00F903AB">
              <w:rPr>
                <w:i/>
              </w:rPr>
              <w:t>Silvia Staffa</w:t>
            </w:r>
          </w:p>
        </w:tc>
      </w:tr>
      <w:tr w:rsidR="00927539" w:rsidRPr="00F903AB" w14:paraId="18EB2E6A" w14:textId="77777777" w:rsidTr="00114B49">
        <w:tc>
          <w:tcPr>
            <w:tcW w:w="1418" w:type="dxa"/>
          </w:tcPr>
          <w:p w14:paraId="21AFF7FA" w14:textId="77777777" w:rsidR="00927539" w:rsidRPr="00F903AB" w:rsidRDefault="00927539" w:rsidP="00114B49">
            <w:pPr>
              <w:rPr>
                <w:i/>
              </w:rPr>
            </w:pPr>
            <w:r w:rsidRPr="00F903AB">
              <w:rPr>
                <w:i/>
              </w:rPr>
              <w:t>P.</w:t>
            </w:r>
          </w:p>
        </w:tc>
        <w:tc>
          <w:tcPr>
            <w:tcW w:w="5670" w:type="dxa"/>
            <w:shd w:val="clear" w:color="auto" w:fill="auto"/>
          </w:tcPr>
          <w:p w14:paraId="76C905A9" w14:textId="77777777" w:rsidR="00927539" w:rsidRPr="00F903AB" w:rsidRDefault="00927539" w:rsidP="00114B49">
            <w:pPr>
              <w:rPr>
                <w:i/>
              </w:rPr>
            </w:pPr>
            <w:r w:rsidRPr="00F903AB">
              <w:rPr>
                <w:i/>
              </w:rPr>
              <w:t>+ 32 25468378</w:t>
            </w:r>
          </w:p>
        </w:tc>
      </w:tr>
      <w:tr w:rsidR="00927539" w:rsidRPr="00F903AB" w14:paraId="6A1158EE" w14:textId="77777777" w:rsidTr="00114B49">
        <w:tc>
          <w:tcPr>
            <w:tcW w:w="1418" w:type="dxa"/>
          </w:tcPr>
          <w:p w14:paraId="11606277" w14:textId="77777777" w:rsidR="00927539" w:rsidRPr="00F903AB" w:rsidRDefault="00927539" w:rsidP="00114B49">
            <w:pPr>
              <w:rPr>
                <w:i/>
              </w:rPr>
            </w:pPr>
            <w:r w:rsidRPr="00F903AB">
              <w:rPr>
                <w:i/>
              </w:rPr>
              <w:t>Sähköposti</w:t>
            </w:r>
          </w:p>
        </w:tc>
        <w:tc>
          <w:tcPr>
            <w:tcW w:w="5670" w:type="dxa"/>
          </w:tcPr>
          <w:p w14:paraId="39AE2D6C" w14:textId="77777777" w:rsidR="00927539" w:rsidRPr="00F903AB" w:rsidRDefault="008921B6" w:rsidP="00114B49">
            <w:pPr>
              <w:rPr>
                <w:i/>
              </w:rPr>
            </w:pPr>
            <w:hyperlink r:id="rId33" w:history="1">
              <w:r w:rsidR="00927539" w:rsidRPr="00F903AB">
                <w:rPr>
                  <w:rStyle w:val="Hyperlink"/>
                  <w:i/>
                </w:rPr>
                <w:t>Silvia.Staffa@eesc.europa.eu</w:t>
              </w:r>
            </w:hyperlink>
          </w:p>
        </w:tc>
      </w:tr>
    </w:tbl>
    <w:p w14:paraId="368D945A" w14:textId="77777777" w:rsidR="00927539" w:rsidRPr="00F903AB" w:rsidRDefault="00927539" w:rsidP="00927539">
      <w:pPr>
        <w:jc w:val="center"/>
      </w:pPr>
    </w:p>
    <w:p w14:paraId="53EF6D35" w14:textId="1D7D0809" w:rsidR="00927539" w:rsidRDefault="00927539">
      <w:pPr>
        <w:spacing w:after="160" w:line="259" w:lineRule="auto"/>
        <w:jc w:val="left"/>
      </w:pPr>
      <w:r>
        <w:br w:type="page"/>
      </w:r>
    </w:p>
    <w:p w14:paraId="3FBF9692" w14:textId="28A836A8" w:rsidR="00927539" w:rsidRPr="0055472D" w:rsidRDefault="008921B6" w:rsidP="00927539">
      <w:pPr>
        <w:widowControl w:val="0"/>
        <w:numPr>
          <w:ilvl w:val="0"/>
          <w:numId w:val="4"/>
        </w:numPr>
        <w:overflowPunct w:val="0"/>
        <w:autoSpaceDE w:val="0"/>
        <w:autoSpaceDN w:val="0"/>
        <w:adjustRightInd w:val="0"/>
        <w:ind w:hanging="567"/>
        <w:textAlignment w:val="baseline"/>
        <w:rPr>
          <w:i/>
          <w:iCs/>
          <w:sz w:val="28"/>
          <w:szCs w:val="28"/>
        </w:rPr>
      </w:pPr>
      <w:hyperlink r:id="rId34" w:history="1">
        <w:r w:rsidR="00927539">
          <w:rPr>
            <w:rStyle w:val="Hyperlink"/>
            <w:b/>
            <w:i/>
            <w:sz w:val="28"/>
          </w:rPr>
          <w:t>Kilpailukykyrahasto</w:t>
        </w:r>
      </w:hyperlink>
    </w:p>
    <w:p w14:paraId="34002EB0" w14:textId="77777777" w:rsidR="00927539" w:rsidRPr="006F46D1" w:rsidRDefault="00927539" w:rsidP="00927539">
      <w:pPr>
        <w:tabs>
          <w:tab w:val="center" w:pos="284"/>
        </w:tabs>
        <w:ind w:left="266" w:hanging="266"/>
        <w:rPr>
          <w:b/>
          <w:lang w:val="en-US"/>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6979"/>
      </w:tblGrid>
      <w:tr w:rsidR="00927539" w:rsidRPr="00A6689B" w14:paraId="3386846B" w14:textId="77777777" w:rsidTr="003239E6">
        <w:trPr>
          <w:trHeight w:val="289"/>
        </w:trPr>
        <w:tc>
          <w:tcPr>
            <w:tcW w:w="1108" w:type="pct"/>
          </w:tcPr>
          <w:p w14:paraId="060BF301" w14:textId="77777777" w:rsidR="00927539" w:rsidRPr="00A6689B" w:rsidRDefault="00927539" w:rsidP="00114B49">
            <w:pPr>
              <w:tabs>
                <w:tab w:val="center" w:pos="284"/>
              </w:tabs>
              <w:ind w:left="266" w:hanging="266"/>
              <w:rPr>
                <w:b/>
              </w:rPr>
            </w:pPr>
            <w:r>
              <w:rPr>
                <w:b/>
              </w:rPr>
              <w:t>Esittelijä</w:t>
            </w:r>
          </w:p>
        </w:tc>
        <w:tc>
          <w:tcPr>
            <w:tcW w:w="3892" w:type="pct"/>
          </w:tcPr>
          <w:p w14:paraId="2EF68316" w14:textId="77777777" w:rsidR="00927539" w:rsidRDefault="00927539" w:rsidP="00114B49">
            <w:pPr>
              <w:tabs>
                <w:tab w:val="center" w:pos="0"/>
              </w:tabs>
              <w:ind w:left="266" w:hanging="266"/>
            </w:pPr>
            <w:r>
              <w:t>Milena ANGELOVA (työnantajat – BG)</w:t>
            </w:r>
          </w:p>
          <w:p w14:paraId="13761168" w14:textId="3B0E4EEC" w:rsidR="003239E6" w:rsidRPr="009E78F1" w:rsidRDefault="003239E6" w:rsidP="00114B49">
            <w:pPr>
              <w:tabs>
                <w:tab w:val="center" w:pos="0"/>
              </w:tabs>
              <w:ind w:left="266" w:hanging="266"/>
            </w:pPr>
          </w:p>
        </w:tc>
      </w:tr>
      <w:tr w:rsidR="00927539" w:rsidRPr="0004565E" w14:paraId="48AE6965" w14:textId="77777777" w:rsidTr="00114B49">
        <w:tc>
          <w:tcPr>
            <w:tcW w:w="1108" w:type="pct"/>
          </w:tcPr>
          <w:p w14:paraId="4A92DB35" w14:textId="77777777" w:rsidR="00927539" w:rsidRPr="00CB5569" w:rsidRDefault="00927539" w:rsidP="00114B49">
            <w:pPr>
              <w:tabs>
                <w:tab w:val="center" w:pos="284"/>
              </w:tabs>
              <w:ind w:left="266" w:hanging="266"/>
              <w:rPr>
                <w:b/>
              </w:rPr>
            </w:pPr>
            <w:r>
              <w:rPr>
                <w:b/>
              </w:rPr>
              <w:t>Viiteasiakirjat</w:t>
            </w:r>
          </w:p>
        </w:tc>
        <w:tc>
          <w:tcPr>
            <w:tcW w:w="3892" w:type="pct"/>
          </w:tcPr>
          <w:p w14:paraId="7EF04E07" w14:textId="5EA51DF5" w:rsidR="00927539" w:rsidRPr="00AF47F8" w:rsidRDefault="00927539" w:rsidP="00114B49">
            <w:pPr>
              <w:tabs>
                <w:tab w:val="center" w:pos="284"/>
              </w:tabs>
              <w:ind w:left="266" w:hanging="266"/>
            </w:pPr>
            <w:r>
              <w:t xml:space="preserve">COM(2025) 555 final </w:t>
            </w:r>
          </w:p>
          <w:p w14:paraId="63EE5136" w14:textId="77777777" w:rsidR="00927539" w:rsidRPr="00AF47F8" w:rsidRDefault="00927539" w:rsidP="00114B49">
            <w:pPr>
              <w:tabs>
                <w:tab w:val="center" w:pos="284"/>
              </w:tabs>
              <w:ind w:left="266" w:hanging="266"/>
            </w:pPr>
            <w:r>
              <w:t>EESC-2025-02576-00-00-AC</w:t>
            </w:r>
          </w:p>
        </w:tc>
      </w:tr>
    </w:tbl>
    <w:p w14:paraId="660E2D4B" w14:textId="77777777" w:rsidR="00927539" w:rsidRPr="00AF47F8" w:rsidRDefault="00927539" w:rsidP="00927539">
      <w:pPr>
        <w:keepNext/>
        <w:keepLines/>
        <w:tabs>
          <w:tab w:val="center" w:pos="284"/>
        </w:tabs>
        <w:ind w:left="266" w:hanging="266"/>
        <w:rPr>
          <w:b/>
          <w:lang w:val="pt-PT"/>
        </w:rPr>
      </w:pPr>
    </w:p>
    <w:p w14:paraId="48EC7BC6" w14:textId="77777777" w:rsidR="00927539" w:rsidRPr="00CB5569" w:rsidRDefault="00927539" w:rsidP="00927539">
      <w:pPr>
        <w:keepNext/>
        <w:keepLines/>
        <w:tabs>
          <w:tab w:val="center" w:pos="284"/>
        </w:tabs>
        <w:ind w:left="266" w:hanging="266"/>
        <w:rPr>
          <w:b/>
        </w:rPr>
      </w:pPr>
      <w:r>
        <w:rPr>
          <w:b/>
        </w:rPr>
        <w:t>Keskeiset kohdat</w:t>
      </w:r>
    </w:p>
    <w:p w14:paraId="3355397E" w14:textId="77777777" w:rsidR="00927539" w:rsidRPr="00601171" w:rsidRDefault="00927539" w:rsidP="00927539">
      <w:pPr>
        <w:keepNext/>
        <w:keepLines/>
        <w:tabs>
          <w:tab w:val="center" w:pos="284"/>
        </w:tabs>
        <w:ind w:left="266" w:hanging="266"/>
        <w:rPr>
          <w:bCs/>
        </w:rPr>
      </w:pPr>
    </w:p>
    <w:p w14:paraId="678B5317" w14:textId="77777777" w:rsidR="00927539" w:rsidRPr="00601171" w:rsidRDefault="00927539" w:rsidP="00927539">
      <w:pPr>
        <w:rPr>
          <w:bCs/>
          <w:iCs/>
        </w:rPr>
      </w:pPr>
      <w:r>
        <w:t>ETSK</w:t>
      </w:r>
    </w:p>
    <w:p w14:paraId="66FF7BA9" w14:textId="77777777" w:rsidR="00927539" w:rsidRPr="00601171" w:rsidRDefault="00927539" w:rsidP="009D6F2E">
      <w:pPr>
        <w:numPr>
          <w:ilvl w:val="0"/>
          <w:numId w:val="27"/>
        </w:numPr>
        <w:overflowPunct w:val="0"/>
        <w:autoSpaceDE w:val="0"/>
        <w:autoSpaceDN w:val="0"/>
        <w:adjustRightInd w:val="0"/>
        <w:ind w:left="426"/>
        <w:textAlignment w:val="baseline"/>
      </w:pPr>
      <w:r>
        <w:t xml:space="preserve">kannattaa Euroopan kilpailukykyrahaston perustamista EU:n seuraavan talousarvion kulmakiveksi sekä innovoinnin, häiriönsietokyvyn ja turvallisuuden edistäjäksi ja korostaa, että </w:t>
      </w:r>
      <w:r>
        <w:rPr>
          <w:b/>
        </w:rPr>
        <w:t>rahoituksen on pysyttävä tiukasti linjassa kestävyyden ja EU:n sosiaalisen markkinatalouden kanssa</w:t>
      </w:r>
      <w:r>
        <w:t>.</w:t>
      </w:r>
    </w:p>
    <w:p w14:paraId="7237E838" w14:textId="77777777" w:rsidR="00927539" w:rsidRPr="00601171" w:rsidRDefault="00927539" w:rsidP="009D6F2E">
      <w:pPr>
        <w:numPr>
          <w:ilvl w:val="0"/>
          <w:numId w:val="27"/>
        </w:numPr>
        <w:overflowPunct w:val="0"/>
        <w:autoSpaceDE w:val="0"/>
        <w:autoSpaceDN w:val="0"/>
        <w:adjustRightInd w:val="0"/>
        <w:ind w:left="426"/>
        <w:textAlignment w:val="baseline"/>
      </w:pPr>
      <w:r>
        <w:rPr>
          <w:b/>
        </w:rPr>
        <w:t>kehottaa valitsemaan hankkeet EU:n laajuisesti ansioiden perusteella</w:t>
      </w:r>
      <w:r>
        <w:t xml:space="preserve"> selkein kriteerein, joita ovat esimerkiksi huippuosaaminen, tulevaisuuslähtöisyys ja taloudellinen potentiaali. </w:t>
      </w:r>
      <w:r>
        <w:rPr>
          <w:b/>
        </w:rPr>
        <w:t>Kansallisen portinvartijajärjestelmän välttämiseksi</w:t>
      </w:r>
      <w:r>
        <w:t xml:space="preserve"> ETSK kehottaa soveltamaan avoimia menettelyjä, takaamaan hakijoille yhtäläiset mahdollisuudet kaikissa jäsenvaltioissa sekä ottamaan työmarkkinaosapuolet ja kansalaisyhteiskunnan aktiivisesti mukaan hallintoon.</w:t>
      </w:r>
    </w:p>
    <w:p w14:paraId="65D4A6C6" w14:textId="77777777" w:rsidR="00927539" w:rsidRPr="00601171" w:rsidRDefault="00927539" w:rsidP="009D6F2E">
      <w:pPr>
        <w:numPr>
          <w:ilvl w:val="0"/>
          <w:numId w:val="27"/>
        </w:numPr>
        <w:overflowPunct w:val="0"/>
        <w:autoSpaceDE w:val="0"/>
        <w:autoSpaceDN w:val="0"/>
        <w:adjustRightInd w:val="0"/>
        <w:ind w:left="426"/>
        <w:textAlignment w:val="baseline"/>
      </w:pPr>
      <w:r>
        <w:rPr>
          <w:b/>
        </w:rPr>
        <w:t>suosittaa ottamaan käyttöön ”markkinoiden luottamuksen selvittämisen”</w:t>
      </w:r>
      <w:r>
        <w:t>, jossa edellytetään, että hankkeissa, joissa haetaan merkittävää EU:n lisärahoitusta (esimerkiksi Euroopan yhteistä etua koskevat tärkeät hankkeet (IPCEI) tai muut laajamittaiset investoinnit) hankitaan ensin tietty osuus yksityistä pääomaa. Tämä markkinoiden testaamisen mekanismi auttaisi validoimaan hankkeiden laadun, vähentämään politisoituneita rahoituspäätöksiä ja vahvistamaan julkisen tuen ja todellisen kilpailukyvyn välistä yhteyttä.</w:t>
      </w:r>
    </w:p>
    <w:p w14:paraId="2A0EF2A4" w14:textId="77777777" w:rsidR="00927539" w:rsidRPr="00601171" w:rsidRDefault="00927539" w:rsidP="009D6F2E">
      <w:pPr>
        <w:numPr>
          <w:ilvl w:val="0"/>
          <w:numId w:val="27"/>
        </w:numPr>
        <w:overflowPunct w:val="0"/>
        <w:autoSpaceDE w:val="0"/>
        <w:autoSpaceDN w:val="0"/>
        <w:adjustRightInd w:val="0"/>
        <w:ind w:left="426"/>
        <w:textAlignment w:val="baseline"/>
      </w:pPr>
      <w:r>
        <w:rPr>
          <w:b/>
        </w:rPr>
        <w:t>korostaa, että tarvitaan vahvoja riskinarviointi- ja ennaltaehkäisyvälineitä</w:t>
      </w:r>
      <w:r>
        <w:t>, joilla varmistetaan, että Euroopan kilpailukykyrahaston resurssit kanavoidaan ainoastaan hankkeisiin, jotka aidosti parantavat Euroopan kilpailukykyä, ja vältetään EU:n rahoitusohjelmien aiempien heikkouksien toistuminen.</w:t>
      </w:r>
    </w:p>
    <w:p w14:paraId="1A7F48F5" w14:textId="77777777" w:rsidR="00927539" w:rsidRPr="00601171" w:rsidRDefault="00927539" w:rsidP="009D6F2E">
      <w:pPr>
        <w:numPr>
          <w:ilvl w:val="0"/>
          <w:numId w:val="27"/>
        </w:numPr>
        <w:overflowPunct w:val="0"/>
        <w:autoSpaceDE w:val="0"/>
        <w:autoSpaceDN w:val="0"/>
        <w:adjustRightInd w:val="0"/>
        <w:ind w:left="426"/>
        <w:textAlignment w:val="baseline"/>
      </w:pPr>
      <w:r>
        <w:t xml:space="preserve">korostaa, että on tärkeää </w:t>
      </w:r>
      <w:r>
        <w:rPr>
          <w:b/>
        </w:rPr>
        <w:t>tukea pk-yrityksiä, alueellisia ja rajatylittäviä innovaatioekosysteemejä sekä investointeja osaamiseen ja ihmisarvoiseen työhön</w:t>
      </w:r>
      <w:r>
        <w:t xml:space="preserve"> samalla kun yksinkertaistetaan menettelyjä ja varmistetaan avoin, ennakoitava ja osallistava hallinto.</w:t>
      </w:r>
    </w:p>
    <w:p w14:paraId="201EAE81" w14:textId="77777777" w:rsidR="00927539" w:rsidRPr="003239E6" w:rsidRDefault="00927539" w:rsidP="00927539">
      <w:pPr>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7671"/>
      </w:tblGrid>
      <w:tr w:rsidR="00927539" w:rsidRPr="003239E6" w14:paraId="2A145BD7" w14:textId="77777777" w:rsidTr="00114B49">
        <w:tc>
          <w:tcPr>
            <w:tcW w:w="742" w:type="pct"/>
          </w:tcPr>
          <w:p w14:paraId="541959FD" w14:textId="77777777" w:rsidR="00927539" w:rsidRPr="003239E6" w:rsidRDefault="00927539" w:rsidP="00114B49">
            <w:pPr>
              <w:rPr>
                <w:i/>
              </w:rPr>
            </w:pPr>
            <w:r w:rsidRPr="003239E6">
              <w:rPr>
                <w:b/>
                <w:bCs/>
                <w:i/>
              </w:rPr>
              <w:t>Yhteydenotot</w:t>
            </w:r>
          </w:p>
        </w:tc>
        <w:tc>
          <w:tcPr>
            <w:tcW w:w="4258" w:type="pct"/>
          </w:tcPr>
          <w:p w14:paraId="6B9E118E" w14:textId="43A60AD0" w:rsidR="00927539" w:rsidRPr="003239E6" w:rsidRDefault="00927539" w:rsidP="00114B49">
            <w:pPr>
              <w:rPr>
                <w:i/>
              </w:rPr>
            </w:pPr>
            <w:r w:rsidRPr="003239E6">
              <w:rPr>
                <w:i/>
              </w:rPr>
              <w:t xml:space="preserve">Silvia </w:t>
            </w:r>
            <w:r w:rsidR="00F362C7" w:rsidRPr="003239E6">
              <w:rPr>
                <w:i/>
              </w:rPr>
              <w:t>Staffa</w:t>
            </w:r>
          </w:p>
        </w:tc>
      </w:tr>
      <w:tr w:rsidR="00927539" w:rsidRPr="003239E6" w14:paraId="7097D3CE" w14:textId="77777777" w:rsidTr="00114B49">
        <w:tc>
          <w:tcPr>
            <w:tcW w:w="742" w:type="pct"/>
          </w:tcPr>
          <w:p w14:paraId="6A140645" w14:textId="77777777" w:rsidR="00927539" w:rsidRPr="003239E6" w:rsidRDefault="00927539" w:rsidP="00114B49">
            <w:pPr>
              <w:rPr>
                <w:i/>
              </w:rPr>
            </w:pPr>
            <w:r w:rsidRPr="003239E6">
              <w:rPr>
                <w:i/>
              </w:rPr>
              <w:t>P.</w:t>
            </w:r>
          </w:p>
        </w:tc>
        <w:tc>
          <w:tcPr>
            <w:tcW w:w="4258" w:type="pct"/>
          </w:tcPr>
          <w:p w14:paraId="1D4163A1" w14:textId="77777777" w:rsidR="00927539" w:rsidRPr="003239E6" w:rsidRDefault="00927539" w:rsidP="00114B49">
            <w:pPr>
              <w:rPr>
                <w:i/>
              </w:rPr>
            </w:pPr>
            <w:r w:rsidRPr="003239E6">
              <w:rPr>
                <w:i/>
              </w:rPr>
              <w:t>+32 254 68378</w:t>
            </w:r>
          </w:p>
        </w:tc>
      </w:tr>
      <w:tr w:rsidR="00927539" w:rsidRPr="003239E6" w14:paraId="0277225B" w14:textId="77777777" w:rsidTr="00114B49">
        <w:tc>
          <w:tcPr>
            <w:tcW w:w="742" w:type="pct"/>
          </w:tcPr>
          <w:p w14:paraId="0BA56825" w14:textId="77777777" w:rsidR="00927539" w:rsidRPr="003239E6" w:rsidRDefault="00927539" w:rsidP="00114B49">
            <w:pPr>
              <w:rPr>
                <w:i/>
              </w:rPr>
            </w:pPr>
            <w:r w:rsidRPr="003239E6">
              <w:rPr>
                <w:i/>
              </w:rPr>
              <w:t>Sähköposti</w:t>
            </w:r>
          </w:p>
        </w:tc>
        <w:tc>
          <w:tcPr>
            <w:tcW w:w="4258" w:type="pct"/>
          </w:tcPr>
          <w:p w14:paraId="639912E7" w14:textId="77777777" w:rsidR="00927539" w:rsidRPr="003239E6" w:rsidRDefault="008921B6" w:rsidP="00114B49">
            <w:pPr>
              <w:rPr>
                <w:i/>
                <w:iCs/>
              </w:rPr>
            </w:pPr>
            <w:hyperlink r:id="rId35" w:history="1">
              <w:r w:rsidR="00927539" w:rsidRPr="003239E6">
                <w:rPr>
                  <w:rStyle w:val="Hyperlink"/>
                  <w:i/>
                </w:rPr>
                <w:t>Silvia.Staffa@eesc.europa.eu</w:t>
              </w:r>
            </w:hyperlink>
          </w:p>
        </w:tc>
      </w:tr>
    </w:tbl>
    <w:p w14:paraId="60A9FC50" w14:textId="71B5C069" w:rsidR="00927539" w:rsidRPr="003239E6" w:rsidRDefault="00927539" w:rsidP="004D7AC0">
      <w:pPr>
        <w:pStyle w:val="ListParagraph"/>
        <w:ind w:left="0"/>
      </w:pPr>
    </w:p>
    <w:p w14:paraId="64A37647" w14:textId="77777777" w:rsidR="00927539" w:rsidRDefault="00927539">
      <w:pPr>
        <w:spacing w:after="160" w:line="259" w:lineRule="auto"/>
        <w:jc w:val="left"/>
      </w:pPr>
      <w:r>
        <w:br w:type="page"/>
      </w:r>
    </w:p>
    <w:p w14:paraId="0FD8E254" w14:textId="5B01490D" w:rsidR="00927539" w:rsidRPr="006F46D1" w:rsidRDefault="008921B6" w:rsidP="00927539">
      <w:pPr>
        <w:widowControl w:val="0"/>
        <w:numPr>
          <w:ilvl w:val="0"/>
          <w:numId w:val="4"/>
        </w:numPr>
        <w:overflowPunct w:val="0"/>
        <w:autoSpaceDE w:val="0"/>
        <w:autoSpaceDN w:val="0"/>
        <w:adjustRightInd w:val="0"/>
        <w:ind w:hanging="567"/>
        <w:textAlignment w:val="baseline"/>
        <w:rPr>
          <w:sz w:val="20"/>
        </w:rPr>
      </w:pPr>
      <w:hyperlink r:id="rId36" w:history="1">
        <w:r w:rsidR="00927539">
          <w:rPr>
            <w:rStyle w:val="Hyperlink"/>
            <w:b/>
            <w:i/>
            <w:sz w:val="28"/>
          </w:rPr>
          <w:t>Julkisia hankintoja koskevan EU:n lainsäädäntökehyksen tarkistaminen</w:t>
        </w:r>
      </w:hyperlink>
    </w:p>
    <w:p w14:paraId="0E6F6BCA" w14:textId="77777777" w:rsidR="00927539" w:rsidRPr="006F46D1" w:rsidRDefault="00927539" w:rsidP="00927539">
      <w:pPr>
        <w:tabs>
          <w:tab w:val="center" w:pos="284"/>
        </w:tabs>
        <w:ind w:left="266" w:hanging="266"/>
        <w:rPr>
          <w:b/>
          <w:lang w:val="en-US"/>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6979"/>
      </w:tblGrid>
      <w:tr w:rsidR="00927539" w:rsidRPr="00A6689B" w14:paraId="4DD334A6" w14:textId="77777777" w:rsidTr="003239E6">
        <w:trPr>
          <w:trHeight w:val="303"/>
        </w:trPr>
        <w:tc>
          <w:tcPr>
            <w:tcW w:w="1108" w:type="pct"/>
          </w:tcPr>
          <w:p w14:paraId="6386CB7E" w14:textId="77777777" w:rsidR="00927539" w:rsidRPr="00A6689B" w:rsidRDefault="00927539" w:rsidP="00114B49">
            <w:pPr>
              <w:tabs>
                <w:tab w:val="center" w:pos="284"/>
              </w:tabs>
              <w:ind w:left="266" w:hanging="266"/>
              <w:rPr>
                <w:b/>
              </w:rPr>
            </w:pPr>
            <w:r>
              <w:rPr>
                <w:b/>
              </w:rPr>
              <w:t>Esittelijä</w:t>
            </w:r>
          </w:p>
        </w:tc>
        <w:tc>
          <w:tcPr>
            <w:tcW w:w="3892" w:type="pct"/>
          </w:tcPr>
          <w:p w14:paraId="5E1FB0C6" w14:textId="77777777" w:rsidR="00927539" w:rsidRDefault="00927539" w:rsidP="00114B49">
            <w:pPr>
              <w:tabs>
                <w:tab w:val="center" w:pos="0"/>
              </w:tabs>
              <w:ind w:left="266" w:hanging="266"/>
            </w:pPr>
            <w:r>
              <w:t>Philip VON BROCKDORFF (työntekijät – MT)</w:t>
            </w:r>
          </w:p>
          <w:p w14:paraId="453999EF" w14:textId="6023F29F" w:rsidR="003239E6" w:rsidRPr="009E78F1" w:rsidRDefault="003239E6" w:rsidP="00114B49">
            <w:pPr>
              <w:tabs>
                <w:tab w:val="center" w:pos="0"/>
              </w:tabs>
              <w:ind w:left="266" w:hanging="266"/>
            </w:pPr>
          </w:p>
        </w:tc>
      </w:tr>
      <w:tr w:rsidR="00927539" w:rsidRPr="00CB5569" w14:paraId="144D033F" w14:textId="77777777" w:rsidTr="00114B49">
        <w:tc>
          <w:tcPr>
            <w:tcW w:w="1108" w:type="pct"/>
          </w:tcPr>
          <w:p w14:paraId="3A97A171" w14:textId="77777777" w:rsidR="00927539" w:rsidRPr="00CB5569" w:rsidRDefault="00927539" w:rsidP="00114B49">
            <w:pPr>
              <w:tabs>
                <w:tab w:val="center" w:pos="284"/>
              </w:tabs>
              <w:ind w:left="266" w:hanging="266"/>
              <w:rPr>
                <w:b/>
              </w:rPr>
            </w:pPr>
            <w:r>
              <w:rPr>
                <w:b/>
              </w:rPr>
              <w:t>Viiteasiakirja</w:t>
            </w:r>
          </w:p>
        </w:tc>
        <w:tc>
          <w:tcPr>
            <w:tcW w:w="3892" w:type="pct"/>
          </w:tcPr>
          <w:p w14:paraId="66193D6C" w14:textId="452A90E2" w:rsidR="00927539" w:rsidRPr="00CB5569" w:rsidRDefault="00F362C7" w:rsidP="00114B49">
            <w:pPr>
              <w:tabs>
                <w:tab w:val="center" w:pos="284"/>
              </w:tabs>
              <w:ind w:left="266" w:hanging="266"/>
            </w:pPr>
            <w:r>
              <w:t xml:space="preserve">Euroopan komission pyytämä </w:t>
            </w:r>
            <w:r w:rsidR="00927539">
              <w:t>valmisteleva lausunto</w:t>
            </w:r>
          </w:p>
          <w:p w14:paraId="71563C1C" w14:textId="77777777" w:rsidR="00927539" w:rsidRPr="00CB5569" w:rsidRDefault="00927539" w:rsidP="00114B49">
            <w:pPr>
              <w:tabs>
                <w:tab w:val="center" w:pos="284"/>
              </w:tabs>
              <w:ind w:left="266" w:hanging="266"/>
            </w:pPr>
            <w:r>
              <w:t>EESC-2025-01402-00-00-AC</w:t>
            </w:r>
          </w:p>
        </w:tc>
      </w:tr>
    </w:tbl>
    <w:p w14:paraId="69825223" w14:textId="77777777" w:rsidR="00927539" w:rsidRDefault="00927539" w:rsidP="00927539">
      <w:pPr>
        <w:keepNext/>
        <w:keepLines/>
        <w:tabs>
          <w:tab w:val="center" w:pos="284"/>
        </w:tabs>
        <w:ind w:left="266" w:hanging="266"/>
        <w:rPr>
          <w:b/>
        </w:rPr>
      </w:pPr>
    </w:p>
    <w:p w14:paraId="47960924" w14:textId="77777777" w:rsidR="00927539" w:rsidRPr="00CB5569" w:rsidRDefault="00927539" w:rsidP="00927539">
      <w:pPr>
        <w:keepNext/>
        <w:keepLines/>
        <w:tabs>
          <w:tab w:val="center" w:pos="284"/>
        </w:tabs>
        <w:ind w:left="266" w:hanging="266"/>
        <w:rPr>
          <w:b/>
        </w:rPr>
      </w:pPr>
      <w:r>
        <w:rPr>
          <w:b/>
        </w:rPr>
        <w:t>Keskeiset kohdat</w:t>
      </w:r>
    </w:p>
    <w:p w14:paraId="61E990A7" w14:textId="77777777" w:rsidR="00927539" w:rsidRPr="00CB5569" w:rsidRDefault="00927539" w:rsidP="00927539">
      <w:pPr>
        <w:keepNext/>
        <w:keepLines/>
        <w:tabs>
          <w:tab w:val="center" w:pos="284"/>
        </w:tabs>
        <w:ind w:left="266" w:hanging="266"/>
        <w:rPr>
          <w:bCs/>
        </w:rPr>
      </w:pPr>
    </w:p>
    <w:p w14:paraId="585F4A0E" w14:textId="77777777" w:rsidR="00927539" w:rsidRDefault="00927539" w:rsidP="00927539">
      <w:r>
        <w:t>ETSK</w:t>
      </w:r>
    </w:p>
    <w:p w14:paraId="5AA8F0CC" w14:textId="77777777" w:rsidR="00927539" w:rsidRPr="009234A4" w:rsidRDefault="00927539" w:rsidP="009D6F2E">
      <w:pPr>
        <w:pStyle w:val="ListParagraph"/>
        <w:numPr>
          <w:ilvl w:val="0"/>
          <w:numId w:val="28"/>
        </w:numPr>
        <w:spacing w:line="276" w:lineRule="auto"/>
        <w:ind w:left="426"/>
      </w:pPr>
      <w:r>
        <w:t>on samaa mieltä siitä, että voimassa olevan EU:n lainsäädännön tarkistaminen on tarpeen, jotta voidaan tehostaa yksinkertaistamistoimia, vähentää hallinnollisia kustannuksia ja edistää edelleen sisämarkkinoiden yhdenmukaistamista.</w:t>
      </w:r>
    </w:p>
    <w:p w14:paraId="1E2AA9AA" w14:textId="77777777" w:rsidR="00927539" w:rsidRPr="009234A4" w:rsidRDefault="00927539" w:rsidP="009D6F2E">
      <w:pPr>
        <w:pStyle w:val="ListParagraph"/>
        <w:numPr>
          <w:ilvl w:val="0"/>
          <w:numId w:val="28"/>
        </w:numPr>
        <w:spacing w:line="276" w:lineRule="auto"/>
        <w:ind w:left="426"/>
      </w:pPr>
      <w:r>
        <w:t>on sitä mieltä, että EU:n hankintapolitiikan kestävyyden takaamiseksi siinä voitaisiin mennä markkinoiden toimimattomuuden kapeaa paradigmaa pidemmälle ja mahdollistaa strategiset ja yleiseen hyvinvointiin tähtäävät hankinnat, vahvistaa sosiaali-, innovointi- ja ympäristökriteerit yhtä tärkeiksi tavoitteiksi ja taata yksityisille toimijoille oikeudenmukainen pääsy julkisten hankintojen markkinoille.</w:t>
      </w:r>
    </w:p>
    <w:p w14:paraId="65BB9348" w14:textId="77777777" w:rsidR="00927539" w:rsidRPr="00FC1593" w:rsidRDefault="00927539" w:rsidP="009D6F2E">
      <w:pPr>
        <w:pStyle w:val="ListParagraph"/>
        <w:numPr>
          <w:ilvl w:val="0"/>
          <w:numId w:val="28"/>
        </w:numPr>
        <w:spacing w:line="276" w:lineRule="auto"/>
        <w:ind w:left="426"/>
      </w:pPr>
      <w:r>
        <w:t>katsoo, että julkisten hankintasopimusten ratkaisuperusteena on oltava kokonaistaloudellisesti edullisin tarjous. Samalla on painotettava muiden kuin hintakriteereiden merkitystä, kuten laatuun, innovointiin, ympäristöön ja kestävyyteen liittyviä sekä sosiaalisia näkökohtia, erityisesti työntekijöiden oikeuksia ja työehtosopimuksia.</w:t>
      </w:r>
    </w:p>
    <w:p w14:paraId="680E17A8" w14:textId="77777777" w:rsidR="00927539" w:rsidRPr="00FC1593" w:rsidRDefault="00927539" w:rsidP="009D6F2E">
      <w:pPr>
        <w:pStyle w:val="ListParagraph"/>
        <w:numPr>
          <w:ilvl w:val="0"/>
          <w:numId w:val="28"/>
        </w:numPr>
        <w:spacing w:line="276" w:lineRule="auto"/>
        <w:ind w:left="426"/>
      </w:pPr>
      <w:r>
        <w:t>kehottaa soveltamaan yleishyödyllisiin palveluihin kokonaisvaltaista toimintamallia.</w:t>
      </w:r>
    </w:p>
    <w:p w14:paraId="7FAE7473" w14:textId="77777777" w:rsidR="00927539" w:rsidRPr="00FC1593" w:rsidRDefault="00927539" w:rsidP="009D6F2E">
      <w:pPr>
        <w:pStyle w:val="ListParagraph"/>
        <w:numPr>
          <w:ilvl w:val="0"/>
          <w:numId w:val="28"/>
        </w:numPr>
        <w:spacing w:line="276" w:lineRule="auto"/>
        <w:ind w:left="426"/>
      </w:pPr>
      <w:r>
        <w:t>katsoo, että hankintasopimuksia ei pidä tehdä sellaisten yritysten kanssa, jotka loukkaavat järjestelmällisesti työntekijöiden perusoikeuksia tai yrityksiä sitovia työehtosopimuksia.</w:t>
      </w:r>
    </w:p>
    <w:p w14:paraId="62B6599C" w14:textId="77777777" w:rsidR="00927539" w:rsidRPr="00FC1593" w:rsidRDefault="00927539" w:rsidP="009D6F2E">
      <w:pPr>
        <w:pStyle w:val="ListParagraph"/>
        <w:numPr>
          <w:ilvl w:val="0"/>
          <w:numId w:val="28"/>
        </w:numPr>
        <w:spacing w:line="276" w:lineRule="auto"/>
        <w:ind w:left="426"/>
      </w:pPr>
      <w:r>
        <w:t>on sitä mieltä, että enemmistön määräysvallan alaisten oikeushenkilöiden mahdollisuus käyttää sidosyksikköhankintoja sekä suorahankinta olisi säilytettävä EU:n hankintadirektiivien tarkistamisen yhteydessä edellyttäen, että asianmukaiset oikeudelliset kriteerit täyttyvät ja varmistetaan kilpailun mahdollisimman vähäinen vääristyminen.</w:t>
      </w:r>
    </w:p>
    <w:p w14:paraId="08989D00" w14:textId="77777777" w:rsidR="00927539" w:rsidRPr="00FC1593" w:rsidRDefault="00927539" w:rsidP="009D6F2E">
      <w:pPr>
        <w:pStyle w:val="ListParagraph"/>
        <w:numPr>
          <w:ilvl w:val="0"/>
          <w:numId w:val="28"/>
        </w:numPr>
        <w:spacing w:line="276" w:lineRule="auto"/>
        <w:ind w:left="426"/>
      </w:pPr>
      <w:r>
        <w:t>suosittaa, että otetaan käyttöön oikeudellinen velvoite arvioida palveluhankintasopimuksiin sovellettavien nykyisten kynnysarvojen vaikutuksia.</w:t>
      </w:r>
    </w:p>
    <w:p w14:paraId="61CBCEFB" w14:textId="77777777" w:rsidR="00927539" w:rsidRPr="00FC1593" w:rsidRDefault="00927539" w:rsidP="009D6F2E">
      <w:pPr>
        <w:pStyle w:val="ListParagraph"/>
        <w:numPr>
          <w:ilvl w:val="0"/>
          <w:numId w:val="28"/>
        </w:numPr>
        <w:spacing w:line="276" w:lineRule="auto"/>
        <w:ind w:left="426"/>
      </w:pPr>
      <w:r>
        <w:t>on sitä mieltä, että julkisilla hankinnoilla voidaan tukea sosiaalisesti oikeudenmukaista, ekologisesti kestävää ja taloudeltaan häiriönsietokykyistä Eurooppaa ja edistää yhteistä hyvää.</w:t>
      </w:r>
    </w:p>
    <w:p w14:paraId="62D0660C" w14:textId="77777777" w:rsidR="00927539" w:rsidRPr="003239E6" w:rsidRDefault="00927539" w:rsidP="009D6F2E">
      <w:pPr>
        <w:pStyle w:val="ListParagraph"/>
        <w:numPr>
          <w:ilvl w:val="0"/>
          <w:numId w:val="28"/>
        </w:numPr>
        <w:spacing w:line="276" w:lineRule="auto"/>
        <w:ind w:left="426"/>
      </w:pPr>
      <w:r>
        <w:t xml:space="preserve">kehottaa ottamaan pakollisissa hinnantarkastuslausekkeissa huomioon työehtosopimuksissa ja työlainsäädännössä tapahtuneet palkkaukseen liittyvät muutokset ja inflaation sekä muut </w:t>
      </w:r>
      <w:r w:rsidRPr="003239E6">
        <w:t>merkitykselliset sopimuksen toteuttamiseen vaikuttavat tekijät, kuten energiakustannukset.</w:t>
      </w:r>
    </w:p>
    <w:p w14:paraId="6FE7C5A7" w14:textId="77777777" w:rsidR="00927539" w:rsidRPr="003239E6" w:rsidRDefault="00927539" w:rsidP="00927539">
      <w:pPr>
        <w:pStyle w:val="ListParagraph"/>
        <w:ind w:left="567"/>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7671"/>
      </w:tblGrid>
      <w:tr w:rsidR="00927539" w:rsidRPr="003239E6" w14:paraId="74FC77B5" w14:textId="77777777" w:rsidTr="00114B49">
        <w:tc>
          <w:tcPr>
            <w:tcW w:w="742" w:type="pct"/>
          </w:tcPr>
          <w:p w14:paraId="29969C11" w14:textId="77777777" w:rsidR="00927539" w:rsidRPr="003239E6" w:rsidRDefault="00927539" w:rsidP="00114B49">
            <w:pPr>
              <w:spacing w:line="240" w:lineRule="auto"/>
              <w:rPr>
                <w:i/>
              </w:rPr>
            </w:pPr>
            <w:r w:rsidRPr="003239E6">
              <w:rPr>
                <w:b/>
                <w:i/>
              </w:rPr>
              <w:t>Yhteydenotot</w:t>
            </w:r>
          </w:p>
        </w:tc>
        <w:tc>
          <w:tcPr>
            <w:tcW w:w="4258" w:type="pct"/>
          </w:tcPr>
          <w:p w14:paraId="11EE1085" w14:textId="77777777" w:rsidR="00927539" w:rsidRPr="003239E6" w:rsidRDefault="00927539" w:rsidP="00114B49">
            <w:pPr>
              <w:spacing w:line="240" w:lineRule="auto"/>
              <w:rPr>
                <w:i/>
              </w:rPr>
            </w:pPr>
            <w:r w:rsidRPr="003239E6">
              <w:rPr>
                <w:i/>
              </w:rPr>
              <w:t>Annalisa Tessarolo</w:t>
            </w:r>
          </w:p>
        </w:tc>
      </w:tr>
      <w:tr w:rsidR="00927539" w:rsidRPr="003239E6" w14:paraId="2AE2AC75" w14:textId="77777777" w:rsidTr="00114B49">
        <w:tc>
          <w:tcPr>
            <w:tcW w:w="742" w:type="pct"/>
          </w:tcPr>
          <w:p w14:paraId="14896034" w14:textId="77777777" w:rsidR="00927539" w:rsidRPr="003239E6" w:rsidRDefault="00927539" w:rsidP="00114B49">
            <w:pPr>
              <w:spacing w:line="240" w:lineRule="auto"/>
              <w:rPr>
                <w:i/>
              </w:rPr>
            </w:pPr>
            <w:r w:rsidRPr="003239E6">
              <w:rPr>
                <w:i/>
              </w:rPr>
              <w:t>P.</w:t>
            </w:r>
          </w:p>
        </w:tc>
        <w:tc>
          <w:tcPr>
            <w:tcW w:w="4258" w:type="pct"/>
          </w:tcPr>
          <w:p w14:paraId="753C71B2" w14:textId="77777777" w:rsidR="00927539" w:rsidRPr="003239E6" w:rsidRDefault="00927539" w:rsidP="00114B49">
            <w:pPr>
              <w:spacing w:line="240" w:lineRule="auto"/>
              <w:rPr>
                <w:i/>
              </w:rPr>
            </w:pPr>
            <w:r w:rsidRPr="003239E6">
              <w:rPr>
                <w:i/>
              </w:rPr>
              <w:t>+ 32 25469732</w:t>
            </w:r>
          </w:p>
        </w:tc>
      </w:tr>
      <w:tr w:rsidR="00927539" w:rsidRPr="003239E6" w14:paraId="196E38A5" w14:textId="77777777" w:rsidTr="00114B49">
        <w:tc>
          <w:tcPr>
            <w:tcW w:w="742" w:type="pct"/>
          </w:tcPr>
          <w:p w14:paraId="54FEC278" w14:textId="77777777" w:rsidR="00927539" w:rsidRPr="003239E6" w:rsidRDefault="00927539" w:rsidP="00114B49">
            <w:pPr>
              <w:spacing w:line="240" w:lineRule="auto"/>
              <w:rPr>
                <w:i/>
              </w:rPr>
            </w:pPr>
            <w:r w:rsidRPr="003239E6">
              <w:rPr>
                <w:i/>
              </w:rPr>
              <w:t>Sähköposti</w:t>
            </w:r>
          </w:p>
        </w:tc>
        <w:tc>
          <w:tcPr>
            <w:tcW w:w="4258" w:type="pct"/>
          </w:tcPr>
          <w:p w14:paraId="4C7757C0" w14:textId="77777777" w:rsidR="00927539" w:rsidRPr="003239E6" w:rsidRDefault="008921B6" w:rsidP="00114B49">
            <w:pPr>
              <w:spacing w:line="240" w:lineRule="auto"/>
              <w:rPr>
                <w:i/>
                <w:iCs/>
              </w:rPr>
            </w:pPr>
            <w:hyperlink r:id="rId37" w:history="1">
              <w:r w:rsidR="00927539" w:rsidRPr="003239E6">
                <w:rPr>
                  <w:rStyle w:val="Hyperlink"/>
                  <w:i/>
                </w:rPr>
                <w:t>Annalisa.Tessarolo@eesc.europa.eu</w:t>
              </w:r>
            </w:hyperlink>
          </w:p>
        </w:tc>
      </w:tr>
    </w:tbl>
    <w:p w14:paraId="677AEBD2" w14:textId="77777777" w:rsidR="004D7AC0" w:rsidRPr="003239E6" w:rsidRDefault="004D7AC0" w:rsidP="004D7AC0">
      <w:pPr>
        <w:pStyle w:val="ListParagraph"/>
        <w:ind w:left="0"/>
      </w:pPr>
    </w:p>
    <w:p w14:paraId="4982DE1E" w14:textId="77777777" w:rsidR="004D7AC0" w:rsidRDefault="004D7AC0" w:rsidP="004D7AC0">
      <w:pPr>
        <w:spacing w:after="160" w:line="259" w:lineRule="auto"/>
        <w:jc w:val="left"/>
      </w:pPr>
      <w:r>
        <w:br w:type="page"/>
      </w:r>
    </w:p>
    <w:p w14:paraId="4982DE1F" w14:textId="77777777" w:rsidR="004D7AC0" w:rsidRDefault="004D7AC0" w:rsidP="004D7AC0">
      <w:pPr>
        <w:pStyle w:val="Heading1"/>
        <w:rPr>
          <w:b/>
        </w:rPr>
      </w:pPr>
      <w:bookmarkStart w:id="8" w:name="_Toc70322234"/>
      <w:bookmarkStart w:id="9" w:name="_Toc75527084"/>
      <w:bookmarkStart w:id="10" w:name="_Toc216768397"/>
      <w:r>
        <w:rPr>
          <w:b/>
        </w:rPr>
        <w:lastRenderedPageBreak/>
        <w:t>MAATALOUS, MAASEUDUN KEHITTÄMINEN JA YMPÄRISTÖ</w:t>
      </w:r>
      <w:bookmarkEnd w:id="8"/>
      <w:bookmarkEnd w:id="9"/>
      <w:bookmarkEnd w:id="10"/>
    </w:p>
    <w:p w14:paraId="4982DE20" w14:textId="77777777" w:rsidR="004D7AC0" w:rsidRDefault="004D7AC0" w:rsidP="004D7AC0"/>
    <w:p w14:paraId="5E360103" w14:textId="6A058951" w:rsidR="00927539" w:rsidRPr="00927539" w:rsidRDefault="008921B6" w:rsidP="00927539">
      <w:pPr>
        <w:widowControl w:val="0"/>
        <w:numPr>
          <w:ilvl w:val="0"/>
          <w:numId w:val="4"/>
        </w:numPr>
        <w:overflowPunct w:val="0"/>
        <w:autoSpaceDE w:val="0"/>
        <w:autoSpaceDN w:val="0"/>
        <w:adjustRightInd w:val="0"/>
        <w:ind w:hanging="567"/>
        <w:textAlignment w:val="baseline"/>
        <w:rPr>
          <w:b/>
        </w:rPr>
      </w:pPr>
      <w:hyperlink r:id="rId38" w:history="1">
        <w:r w:rsidR="00927539" w:rsidRPr="00927539">
          <w:rPr>
            <w:b/>
            <w:i/>
            <w:color w:val="0000FF"/>
            <w:sz w:val="28"/>
            <w:szCs w:val="20"/>
            <w:u w:val="single"/>
          </w:rPr>
          <w:t>Metsäkatoasetuksen (EU) 2023/1115 muuttaminen</w:t>
        </w:r>
      </w:hyperlink>
      <w:r w:rsidR="00927539" w:rsidRPr="00927539">
        <w:rPr>
          <w:b/>
          <w:i/>
          <w:sz w:val="28"/>
          <w:szCs w:val="20"/>
        </w:rPr>
        <w:t xml:space="preserve"> </w:t>
      </w:r>
    </w:p>
    <w:p w14:paraId="012B61B6" w14:textId="77777777" w:rsidR="00927539" w:rsidRPr="00927539" w:rsidRDefault="00927539" w:rsidP="00927539">
      <w:pPr>
        <w:widowControl w:val="0"/>
        <w:overflowPunct w:val="0"/>
        <w:autoSpaceDE w:val="0"/>
        <w:autoSpaceDN w:val="0"/>
        <w:adjustRightInd w:val="0"/>
        <w:ind w:left="266"/>
        <w:textAlignment w:val="baseline"/>
        <w:rPr>
          <w:b/>
        </w:rPr>
      </w:pP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927539" w:rsidRPr="00927539" w14:paraId="4E4B4648" w14:textId="77777777" w:rsidTr="00114B49">
        <w:tc>
          <w:tcPr>
            <w:tcW w:w="1077" w:type="pct"/>
            <w:vMerge w:val="restart"/>
          </w:tcPr>
          <w:p w14:paraId="7850322B" w14:textId="77777777" w:rsidR="00927539" w:rsidRPr="00927539" w:rsidRDefault="00927539" w:rsidP="00927539">
            <w:pPr>
              <w:tabs>
                <w:tab w:val="center" w:pos="284"/>
              </w:tabs>
              <w:overflowPunct w:val="0"/>
              <w:autoSpaceDE w:val="0"/>
              <w:autoSpaceDN w:val="0"/>
              <w:adjustRightInd w:val="0"/>
              <w:ind w:left="266" w:hanging="266"/>
              <w:textAlignment w:val="baseline"/>
              <w:rPr>
                <w:b/>
                <w:sz w:val="22"/>
                <w:szCs w:val="22"/>
              </w:rPr>
            </w:pPr>
            <w:r w:rsidRPr="00927539">
              <w:rPr>
                <w:b/>
                <w:sz w:val="22"/>
                <w:szCs w:val="22"/>
              </w:rPr>
              <w:t>Viiteasiakirjat</w:t>
            </w:r>
          </w:p>
        </w:tc>
        <w:tc>
          <w:tcPr>
            <w:tcW w:w="3923" w:type="pct"/>
          </w:tcPr>
          <w:p w14:paraId="21D893B9" w14:textId="67CB1A9E" w:rsidR="00F362C7" w:rsidRPr="003239E6" w:rsidRDefault="00F362C7" w:rsidP="00927539">
            <w:pPr>
              <w:tabs>
                <w:tab w:val="center" w:pos="284"/>
              </w:tabs>
              <w:overflowPunct w:val="0"/>
              <w:autoSpaceDE w:val="0"/>
              <w:autoSpaceDN w:val="0"/>
              <w:adjustRightInd w:val="0"/>
              <w:ind w:left="266" w:right="-3091" w:hanging="266"/>
              <w:textAlignment w:val="baseline"/>
              <w:rPr>
                <w:sz w:val="22"/>
                <w:szCs w:val="22"/>
              </w:rPr>
            </w:pPr>
            <w:r w:rsidRPr="003239E6">
              <w:rPr>
                <w:sz w:val="22"/>
                <w:szCs w:val="22"/>
              </w:rPr>
              <w:t xml:space="preserve">C </w:t>
            </w:r>
            <w:r w:rsidR="009D6F2E">
              <w:rPr>
                <w:sz w:val="22"/>
                <w:szCs w:val="22"/>
              </w:rPr>
              <w:t xml:space="preserve">kategoriaan </w:t>
            </w:r>
            <w:r w:rsidRPr="003239E6">
              <w:rPr>
                <w:sz w:val="22"/>
                <w:szCs w:val="22"/>
              </w:rPr>
              <w:t>kuuluva lausunto</w:t>
            </w:r>
          </w:p>
          <w:p w14:paraId="37A19E86" w14:textId="78103BF1" w:rsidR="00927539" w:rsidRPr="00927539" w:rsidRDefault="00927539" w:rsidP="00927539">
            <w:pPr>
              <w:tabs>
                <w:tab w:val="center" w:pos="284"/>
              </w:tabs>
              <w:overflowPunct w:val="0"/>
              <w:autoSpaceDE w:val="0"/>
              <w:autoSpaceDN w:val="0"/>
              <w:adjustRightInd w:val="0"/>
              <w:ind w:left="266" w:right="-3091" w:hanging="266"/>
              <w:textAlignment w:val="baseline"/>
              <w:rPr>
                <w:sz w:val="22"/>
                <w:szCs w:val="22"/>
              </w:rPr>
            </w:pPr>
            <w:r w:rsidRPr="00927539">
              <w:rPr>
                <w:sz w:val="22"/>
                <w:szCs w:val="22"/>
              </w:rPr>
              <w:t>COM(2025) 652 final</w:t>
            </w:r>
          </w:p>
        </w:tc>
      </w:tr>
      <w:tr w:rsidR="00927539" w:rsidRPr="00927539" w14:paraId="2AA943AC" w14:textId="77777777" w:rsidTr="00114B49">
        <w:tc>
          <w:tcPr>
            <w:tcW w:w="1077" w:type="pct"/>
            <w:vMerge/>
          </w:tcPr>
          <w:p w14:paraId="38D41C90" w14:textId="77777777" w:rsidR="00927539" w:rsidRPr="00927539" w:rsidRDefault="00927539" w:rsidP="00927539">
            <w:pPr>
              <w:tabs>
                <w:tab w:val="center" w:pos="284"/>
              </w:tabs>
              <w:overflowPunct w:val="0"/>
              <w:autoSpaceDE w:val="0"/>
              <w:autoSpaceDN w:val="0"/>
              <w:adjustRightInd w:val="0"/>
              <w:ind w:left="266" w:hanging="266"/>
              <w:textAlignment w:val="baseline"/>
              <w:rPr>
                <w:b/>
                <w:sz w:val="22"/>
                <w:szCs w:val="22"/>
                <w:lang w:val="en-US"/>
              </w:rPr>
            </w:pPr>
          </w:p>
        </w:tc>
        <w:tc>
          <w:tcPr>
            <w:tcW w:w="3923" w:type="pct"/>
          </w:tcPr>
          <w:p w14:paraId="3C588313" w14:textId="77777777" w:rsidR="00927539" w:rsidRPr="00927539" w:rsidRDefault="00927539" w:rsidP="00927539">
            <w:pPr>
              <w:tabs>
                <w:tab w:val="center" w:pos="284"/>
              </w:tabs>
              <w:overflowPunct w:val="0"/>
              <w:autoSpaceDE w:val="0"/>
              <w:autoSpaceDN w:val="0"/>
              <w:adjustRightInd w:val="0"/>
              <w:ind w:left="266" w:right="-3091" w:hanging="266"/>
              <w:textAlignment w:val="baseline"/>
              <w:rPr>
                <w:sz w:val="22"/>
                <w:szCs w:val="22"/>
              </w:rPr>
            </w:pPr>
            <w:r w:rsidRPr="00927539">
              <w:rPr>
                <w:sz w:val="22"/>
                <w:szCs w:val="22"/>
              </w:rPr>
              <w:t>EESC-2025-03869-00-00-AC-TRA</w:t>
            </w:r>
          </w:p>
        </w:tc>
      </w:tr>
    </w:tbl>
    <w:p w14:paraId="3A95FA2C" w14:textId="77777777" w:rsidR="00927539" w:rsidRPr="00927539" w:rsidRDefault="00927539" w:rsidP="00927539">
      <w:pPr>
        <w:tabs>
          <w:tab w:val="center" w:pos="284"/>
        </w:tabs>
        <w:overflowPunct w:val="0"/>
        <w:autoSpaceDE w:val="0"/>
        <w:autoSpaceDN w:val="0"/>
        <w:adjustRightInd w:val="0"/>
        <w:ind w:left="266" w:hanging="266"/>
        <w:textAlignment w:val="baseline"/>
        <w:rPr>
          <w:b/>
        </w:rPr>
      </w:pPr>
    </w:p>
    <w:p w14:paraId="26AB37E9" w14:textId="77777777" w:rsidR="00927539" w:rsidRPr="00927539" w:rsidRDefault="00927539" w:rsidP="00927539">
      <w:pPr>
        <w:keepNext/>
        <w:keepLines/>
        <w:tabs>
          <w:tab w:val="center" w:pos="284"/>
        </w:tabs>
        <w:overflowPunct w:val="0"/>
        <w:autoSpaceDE w:val="0"/>
        <w:autoSpaceDN w:val="0"/>
        <w:adjustRightInd w:val="0"/>
        <w:ind w:left="266" w:hanging="266"/>
        <w:textAlignment w:val="baseline"/>
        <w:rPr>
          <w:b/>
        </w:rPr>
      </w:pPr>
      <w:r w:rsidRPr="00927539">
        <w:rPr>
          <w:b/>
        </w:rPr>
        <w:t>Keskeiset kohdat</w:t>
      </w:r>
    </w:p>
    <w:p w14:paraId="118CBBE4" w14:textId="77777777" w:rsidR="00927539" w:rsidRPr="00927539" w:rsidRDefault="00927539" w:rsidP="00927539">
      <w:pPr>
        <w:keepNext/>
        <w:keepLines/>
        <w:tabs>
          <w:tab w:val="center" w:pos="284"/>
        </w:tabs>
        <w:overflowPunct w:val="0"/>
        <w:autoSpaceDE w:val="0"/>
        <w:autoSpaceDN w:val="0"/>
        <w:adjustRightInd w:val="0"/>
        <w:ind w:left="266" w:hanging="266"/>
        <w:textAlignment w:val="baseline"/>
        <w:rPr>
          <w:b/>
        </w:rPr>
      </w:pPr>
    </w:p>
    <w:p w14:paraId="5F10CFED" w14:textId="77777777" w:rsidR="00927539" w:rsidRPr="00927539" w:rsidRDefault="00927539" w:rsidP="00927539">
      <w:pPr>
        <w:overflowPunct w:val="0"/>
        <w:autoSpaceDE w:val="0"/>
        <w:autoSpaceDN w:val="0"/>
        <w:adjustRightInd w:val="0"/>
        <w:textAlignment w:val="baseline"/>
        <w:rPr>
          <w:bCs/>
          <w:iCs/>
        </w:rPr>
      </w:pPr>
      <w:r w:rsidRPr="00927539">
        <w:t>ETSK</w:t>
      </w:r>
    </w:p>
    <w:p w14:paraId="2305967C" w14:textId="77777777" w:rsidR="00927539" w:rsidRPr="00927539" w:rsidRDefault="00927539" w:rsidP="00927539">
      <w:pPr>
        <w:overflowPunct w:val="0"/>
        <w:autoSpaceDE w:val="0"/>
        <w:autoSpaceDN w:val="0"/>
        <w:adjustRightInd w:val="0"/>
        <w:textAlignment w:val="baseline"/>
        <w:rPr>
          <w:bCs/>
          <w:iCs/>
        </w:rPr>
      </w:pPr>
    </w:p>
    <w:p w14:paraId="286ACF4A" w14:textId="77777777" w:rsidR="00927539" w:rsidRPr="00927539" w:rsidRDefault="00927539" w:rsidP="009D6F2E">
      <w:pPr>
        <w:widowControl w:val="0"/>
        <w:numPr>
          <w:ilvl w:val="0"/>
          <w:numId w:val="29"/>
        </w:numPr>
        <w:overflowPunct w:val="0"/>
        <w:autoSpaceDE w:val="0"/>
        <w:autoSpaceDN w:val="0"/>
        <w:adjustRightInd w:val="0"/>
        <w:ind w:left="426"/>
        <w:textAlignment w:val="baseline"/>
        <w:rPr>
          <w:bCs/>
          <w:iCs/>
        </w:rPr>
      </w:pPr>
      <w:r w:rsidRPr="00927539">
        <w:t>on jo käsitellyt aihetta 19. syyskuuta 2024 antamassaan lausunnossa EESC</w:t>
      </w:r>
      <w:r w:rsidRPr="00927539">
        <w:noBreakHyphen/>
        <w:t>2024</w:t>
      </w:r>
      <w:r w:rsidRPr="00927539">
        <w:noBreakHyphen/>
        <w:t>01183</w:t>
      </w:r>
      <w:r w:rsidRPr="00927539">
        <w:noBreakHyphen/>
        <w:t>00</w:t>
      </w:r>
      <w:r w:rsidRPr="00927539">
        <w:noBreakHyphen/>
        <w:t>00</w:t>
      </w:r>
      <w:r w:rsidRPr="00927539">
        <w:noBreakHyphen/>
        <w:t>AC</w:t>
      </w:r>
      <w:r w:rsidRPr="00927539">
        <w:noBreakHyphen/>
        <w:t>TRA</w:t>
      </w:r>
      <w:r w:rsidRPr="00927539">
        <w:rPr>
          <w:sz w:val="24"/>
          <w:szCs w:val="24"/>
          <w:vertAlign w:val="superscript"/>
        </w:rPr>
        <w:footnoteReference w:id="5"/>
      </w:r>
      <w:r w:rsidRPr="00927539">
        <w:t xml:space="preserve"> ja 23. helmikuuta 2022 antamassaan lausunnossa EESC</w:t>
      </w:r>
      <w:r w:rsidRPr="00927539">
        <w:noBreakHyphen/>
        <w:t>2021-05690-00-00-AC-TRA</w:t>
      </w:r>
      <w:r w:rsidRPr="00927539">
        <w:rPr>
          <w:sz w:val="24"/>
          <w:szCs w:val="24"/>
          <w:vertAlign w:val="superscript"/>
        </w:rPr>
        <w:footnoteReference w:id="6"/>
      </w:r>
      <w:r w:rsidRPr="00927539">
        <w:t xml:space="preserve"> ja päätti näin ollen, että se ei laadi aiheesta uutta lausuntoa vaan viittaa edellä mainituissa lausunnoissa ilmaisemaansa kantaan.</w:t>
      </w:r>
    </w:p>
    <w:p w14:paraId="0863BF4C" w14:textId="77777777" w:rsidR="00927539" w:rsidRPr="00927539" w:rsidRDefault="00927539" w:rsidP="00927539">
      <w:pPr>
        <w:widowControl w:val="0"/>
        <w:overflowPunct w:val="0"/>
        <w:autoSpaceDE w:val="0"/>
        <w:autoSpaceDN w:val="0"/>
        <w:adjustRightInd w:val="0"/>
        <w:ind w:left="709"/>
        <w:textAlignment w:val="baseline"/>
      </w:pPr>
    </w:p>
    <w:tbl>
      <w:tblPr>
        <w:tblStyle w:val="TableGrid5"/>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927539" w:rsidRPr="00927539" w14:paraId="3DD0BB1D" w14:textId="77777777" w:rsidTr="00114B49">
        <w:tc>
          <w:tcPr>
            <w:tcW w:w="1078" w:type="pct"/>
          </w:tcPr>
          <w:p w14:paraId="75AE73F0" w14:textId="77777777" w:rsidR="00927539" w:rsidRPr="00927539" w:rsidRDefault="00927539" w:rsidP="00927539">
            <w:pPr>
              <w:overflowPunct w:val="0"/>
              <w:autoSpaceDE w:val="0"/>
              <w:autoSpaceDN w:val="0"/>
              <w:adjustRightInd w:val="0"/>
              <w:textAlignment w:val="baseline"/>
              <w:rPr>
                <w:i/>
                <w:sz w:val="22"/>
                <w:szCs w:val="22"/>
              </w:rPr>
            </w:pPr>
            <w:r w:rsidRPr="00927539">
              <w:rPr>
                <w:b/>
                <w:i/>
                <w:sz w:val="22"/>
                <w:szCs w:val="22"/>
              </w:rPr>
              <w:t>Yhteydenotot</w:t>
            </w:r>
          </w:p>
        </w:tc>
        <w:tc>
          <w:tcPr>
            <w:tcW w:w="3922" w:type="pct"/>
          </w:tcPr>
          <w:p w14:paraId="40A2BA45" w14:textId="77777777" w:rsidR="00927539" w:rsidRPr="00927539" w:rsidRDefault="00927539" w:rsidP="00927539">
            <w:pPr>
              <w:overflowPunct w:val="0"/>
              <w:autoSpaceDE w:val="0"/>
              <w:autoSpaceDN w:val="0"/>
              <w:adjustRightInd w:val="0"/>
              <w:textAlignment w:val="baseline"/>
              <w:rPr>
                <w:i/>
                <w:sz w:val="22"/>
                <w:szCs w:val="22"/>
              </w:rPr>
            </w:pPr>
            <w:r w:rsidRPr="00927539">
              <w:rPr>
                <w:i/>
                <w:sz w:val="22"/>
                <w:szCs w:val="22"/>
              </w:rPr>
              <w:t>Martine DELANOY</w:t>
            </w:r>
          </w:p>
        </w:tc>
      </w:tr>
      <w:tr w:rsidR="00927539" w:rsidRPr="00927539" w14:paraId="51BDB50B" w14:textId="77777777" w:rsidTr="00114B49">
        <w:tc>
          <w:tcPr>
            <w:tcW w:w="1078" w:type="pct"/>
          </w:tcPr>
          <w:p w14:paraId="0BA71D68" w14:textId="77777777" w:rsidR="00927539" w:rsidRPr="00927539" w:rsidRDefault="00927539" w:rsidP="00927539">
            <w:pPr>
              <w:overflowPunct w:val="0"/>
              <w:autoSpaceDE w:val="0"/>
              <w:autoSpaceDN w:val="0"/>
              <w:adjustRightInd w:val="0"/>
              <w:textAlignment w:val="baseline"/>
              <w:rPr>
                <w:i/>
                <w:sz w:val="22"/>
                <w:szCs w:val="22"/>
              </w:rPr>
            </w:pPr>
            <w:r w:rsidRPr="00927539">
              <w:rPr>
                <w:i/>
                <w:sz w:val="22"/>
                <w:szCs w:val="22"/>
              </w:rPr>
              <w:t>P.</w:t>
            </w:r>
          </w:p>
        </w:tc>
        <w:tc>
          <w:tcPr>
            <w:tcW w:w="3922" w:type="pct"/>
          </w:tcPr>
          <w:p w14:paraId="251FD867" w14:textId="77777777" w:rsidR="00927539" w:rsidRPr="00927539" w:rsidRDefault="00927539" w:rsidP="00927539">
            <w:pPr>
              <w:overflowPunct w:val="0"/>
              <w:autoSpaceDE w:val="0"/>
              <w:autoSpaceDN w:val="0"/>
              <w:adjustRightInd w:val="0"/>
              <w:textAlignment w:val="baseline"/>
              <w:rPr>
                <w:i/>
                <w:sz w:val="22"/>
                <w:szCs w:val="22"/>
              </w:rPr>
            </w:pPr>
            <w:r w:rsidRPr="00927539">
              <w:rPr>
                <w:i/>
                <w:sz w:val="22"/>
                <w:szCs w:val="22"/>
              </w:rPr>
              <w:t>+32 25469</w:t>
            </w:r>
            <w:r w:rsidRPr="00927539">
              <w:rPr>
                <w:sz w:val="22"/>
                <w:szCs w:val="22"/>
              </w:rPr>
              <w:t>802</w:t>
            </w:r>
          </w:p>
        </w:tc>
      </w:tr>
      <w:tr w:rsidR="00927539" w:rsidRPr="00927539" w14:paraId="75AC80FC" w14:textId="77777777" w:rsidTr="00114B49">
        <w:tc>
          <w:tcPr>
            <w:tcW w:w="1078" w:type="pct"/>
          </w:tcPr>
          <w:p w14:paraId="75D747BA" w14:textId="77777777" w:rsidR="00927539" w:rsidRPr="00927539" w:rsidRDefault="00927539" w:rsidP="00927539">
            <w:pPr>
              <w:overflowPunct w:val="0"/>
              <w:autoSpaceDE w:val="0"/>
              <w:autoSpaceDN w:val="0"/>
              <w:adjustRightInd w:val="0"/>
              <w:textAlignment w:val="baseline"/>
              <w:rPr>
                <w:i/>
                <w:sz w:val="22"/>
                <w:szCs w:val="22"/>
              </w:rPr>
            </w:pPr>
            <w:r w:rsidRPr="00927539">
              <w:rPr>
                <w:i/>
                <w:sz w:val="22"/>
                <w:szCs w:val="22"/>
              </w:rPr>
              <w:t>Sähköposti</w:t>
            </w:r>
          </w:p>
        </w:tc>
        <w:tc>
          <w:tcPr>
            <w:tcW w:w="3922" w:type="pct"/>
          </w:tcPr>
          <w:p w14:paraId="5EE79784" w14:textId="77777777" w:rsidR="00927539" w:rsidRPr="00927539" w:rsidRDefault="008921B6" w:rsidP="00927539">
            <w:pPr>
              <w:overflowPunct w:val="0"/>
              <w:autoSpaceDE w:val="0"/>
              <w:autoSpaceDN w:val="0"/>
              <w:adjustRightInd w:val="0"/>
              <w:textAlignment w:val="baseline"/>
              <w:rPr>
                <w:i/>
                <w:sz w:val="22"/>
                <w:szCs w:val="22"/>
              </w:rPr>
            </w:pPr>
            <w:hyperlink r:id="rId39" w:history="1">
              <w:r w:rsidR="00927539" w:rsidRPr="00927539">
                <w:rPr>
                  <w:i/>
                  <w:color w:val="0000FF"/>
                  <w:sz w:val="22"/>
                  <w:szCs w:val="22"/>
                  <w:u w:val="single"/>
                </w:rPr>
                <w:t>Martine.Delanoy@eesc.europa.eu</w:t>
              </w:r>
            </w:hyperlink>
          </w:p>
        </w:tc>
      </w:tr>
    </w:tbl>
    <w:p w14:paraId="75DD422C" w14:textId="79EAE9ED" w:rsidR="00927539" w:rsidRDefault="00927539" w:rsidP="00927539">
      <w:pPr>
        <w:overflowPunct w:val="0"/>
        <w:autoSpaceDE w:val="0"/>
        <w:autoSpaceDN w:val="0"/>
        <w:adjustRightInd w:val="0"/>
        <w:jc w:val="center"/>
        <w:textAlignment w:val="baseline"/>
        <w:rPr>
          <w:szCs w:val="20"/>
        </w:rPr>
      </w:pPr>
    </w:p>
    <w:p w14:paraId="441D1F09" w14:textId="77777777" w:rsidR="00927539" w:rsidRDefault="00927539">
      <w:pPr>
        <w:spacing w:after="160" w:line="259" w:lineRule="auto"/>
        <w:jc w:val="left"/>
        <w:rPr>
          <w:szCs w:val="20"/>
        </w:rPr>
      </w:pPr>
      <w:r>
        <w:rPr>
          <w:szCs w:val="20"/>
        </w:rPr>
        <w:br w:type="page"/>
      </w:r>
    </w:p>
    <w:p w14:paraId="2C00EA41" w14:textId="404E1001" w:rsidR="00927539" w:rsidRPr="0003586F" w:rsidRDefault="008921B6" w:rsidP="00927539">
      <w:pPr>
        <w:widowControl w:val="0"/>
        <w:numPr>
          <w:ilvl w:val="0"/>
          <w:numId w:val="12"/>
        </w:numPr>
        <w:overflowPunct w:val="0"/>
        <w:autoSpaceDE w:val="0"/>
        <w:autoSpaceDN w:val="0"/>
        <w:adjustRightInd w:val="0"/>
        <w:ind w:left="567" w:hanging="567"/>
        <w:textAlignment w:val="baseline"/>
        <w:rPr>
          <w:sz w:val="20"/>
        </w:rPr>
      </w:pPr>
      <w:hyperlink r:id="rId40">
        <w:r w:rsidR="00927539">
          <w:rPr>
            <w:rStyle w:val="Hyperlink"/>
            <w:b/>
            <w:i/>
            <w:sz w:val="28"/>
          </w:rPr>
          <w:t>Unionin pelastuspalvelumekanismin tarkistaminen</w:t>
        </w:r>
      </w:hyperlink>
    </w:p>
    <w:p w14:paraId="3A2785D2" w14:textId="77777777" w:rsidR="00927539" w:rsidRPr="003239E6" w:rsidRDefault="00927539" w:rsidP="003239E6">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927539" w:rsidRPr="003239E6" w14:paraId="7357C5BD" w14:textId="77777777" w:rsidTr="00114B49">
        <w:tc>
          <w:tcPr>
            <w:tcW w:w="1077" w:type="pct"/>
          </w:tcPr>
          <w:p w14:paraId="1945AAB3" w14:textId="77777777" w:rsidR="00927539" w:rsidRPr="003239E6" w:rsidRDefault="00927539" w:rsidP="003239E6">
            <w:pPr>
              <w:tabs>
                <w:tab w:val="center" w:pos="284"/>
              </w:tabs>
              <w:ind w:left="266" w:hanging="266"/>
              <w:rPr>
                <w:b/>
              </w:rPr>
            </w:pPr>
            <w:r w:rsidRPr="003239E6">
              <w:rPr>
                <w:b/>
              </w:rPr>
              <w:t>Esittelijä</w:t>
            </w:r>
          </w:p>
        </w:tc>
        <w:tc>
          <w:tcPr>
            <w:tcW w:w="3923" w:type="pct"/>
          </w:tcPr>
          <w:p w14:paraId="0C26230A" w14:textId="77777777" w:rsidR="00CE31C3" w:rsidRDefault="00927539" w:rsidP="003239E6">
            <w:pPr>
              <w:tabs>
                <w:tab w:val="center" w:pos="284"/>
              </w:tabs>
              <w:ind w:left="266" w:right="-3091" w:hanging="266"/>
            </w:pPr>
            <w:r w:rsidRPr="003239E6">
              <w:t>Florian Marin</w:t>
            </w:r>
            <w:r w:rsidR="00CE31C3" w:rsidRPr="003239E6">
              <w:t xml:space="preserve"> (työntekijät – RO)</w:t>
            </w:r>
          </w:p>
          <w:p w14:paraId="20B24D9A" w14:textId="017BF9AD" w:rsidR="003239E6" w:rsidRPr="003239E6" w:rsidRDefault="003239E6" w:rsidP="003239E6">
            <w:pPr>
              <w:tabs>
                <w:tab w:val="center" w:pos="284"/>
              </w:tabs>
              <w:ind w:left="266" w:right="-3091" w:hanging="266"/>
            </w:pPr>
          </w:p>
        </w:tc>
      </w:tr>
      <w:tr w:rsidR="00927539" w:rsidRPr="003239E6" w14:paraId="38697BFA" w14:textId="77777777" w:rsidTr="00114B49">
        <w:tc>
          <w:tcPr>
            <w:tcW w:w="1077" w:type="pct"/>
          </w:tcPr>
          <w:p w14:paraId="0949D7BA" w14:textId="77777777" w:rsidR="00927539" w:rsidRPr="003239E6" w:rsidRDefault="00927539" w:rsidP="003239E6">
            <w:pPr>
              <w:tabs>
                <w:tab w:val="center" w:pos="284"/>
              </w:tabs>
              <w:ind w:left="266" w:hanging="266"/>
              <w:rPr>
                <w:b/>
              </w:rPr>
            </w:pPr>
            <w:r w:rsidRPr="003239E6">
              <w:rPr>
                <w:b/>
              </w:rPr>
              <w:t>Viiteasiakirja</w:t>
            </w:r>
          </w:p>
        </w:tc>
        <w:tc>
          <w:tcPr>
            <w:tcW w:w="3923" w:type="pct"/>
          </w:tcPr>
          <w:p w14:paraId="7C4A72AC" w14:textId="77777777" w:rsidR="00CE31C3" w:rsidRPr="003239E6" w:rsidRDefault="00CE31C3" w:rsidP="003239E6">
            <w:pPr>
              <w:tabs>
                <w:tab w:val="center" w:pos="284"/>
              </w:tabs>
              <w:overflowPunct w:val="0"/>
              <w:autoSpaceDE w:val="0"/>
              <w:autoSpaceDN w:val="0"/>
              <w:adjustRightInd w:val="0"/>
              <w:ind w:left="266" w:right="-3091" w:hanging="266"/>
              <w:rPr>
                <w:lang w:val="en-GB"/>
              </w:rPr>
            </w:pPr>
            <w:r w:rsidRPr="003239E6">
              <w:rPr>
                <w:lang w:val="en-GB"/>
              </w:rPr>
              <w:t>COM(2025) 548 final</w:t>
            </w:r>
          </w:p>
          <w:p w14:paraId="70E5BBFB" w14:textId="77777777" w:rsidR="00927539" w:rsidRPr="003239E6" w:rsidRDefault="00927539" w:rsidP="003239E6">
            <w:pPr>
              <w:tabs>
                <w:tab w:val="center" w:pos="284"/>
              </w:tabs>
              <w:ind w:left="266" w:right="-3091" w:hanging="266"/>
            </w:pPr>
            <w:r w:rsidRPr="003239E6">
              <w:t>EESC-2025-03573-00-00-AC</w:t>
            </w:r>
          </w:p>
        </w:tc>
      </w:tr>
    </w:tbl>
    <w:p w14:paraId="41C5FFF6" w14:textId="77777777" w:rsidR="00927539" w:rsidRPr="003239E6" w:rsidRDefault="00927539" w:rsidP="003239E6">
      <w:pPr>
        <w:tabs>
          <w:tab w:val="center" w:pos="284"/>
        </w:tabs>
        <w:ind w:left="266" w:hanging="266"/>
        <w:rPr>
          <w:b/>
        </w:rPr>
      </w:pPr>
    </w:p>
    <w:p w14:paraId="63F9478C" w14:textId="77777777" w:rsidR="00927539" w:rsidRPr="003239E6" w:rsidRDefault="00927539" w:rsidP="009D6F2E">
      <w:pPr>
        <w:keepNext/>
        <w:keepLines/>
        <w:tabs>
          <w:tab w:val="center" w:pos="284"/>
        </w:tabs>
        <w:ind w:left="266" w:hanging="266"/>
        <w:rPr>
          <w:b/>
        </w:rPr>
      </w:pPr>
      <w:r w:rsidRPr="003239E6">
        <w:rPr>
          <w:b/>
        </w:rPr>
        <w:t>Keskeiset kohdat</w:t>
      </w:r>
    </w:p>
    <w:p w14:paraId="6D3AB520" w14:textId="77777777" w:rsidR="00927539" w:rsidRPr="003239E6" w:rsidRDefault="00927539" w:rsidP="009D6F2E">
      <w:pPr>
        <w:keepNext/>
        <w:keepLines/>
        <w:tabs>
          <w:tab w:val="center" w:pos="284"/>
        </w:tabs>
        <w:ind w:left="266" w:hanging="266"/>
        <w:rPr>
          <w:b/>
        </w:rPr>
      </w:pPr>
    </w:p>
    <w:p w14:paraId="004382B7" w14:textId="77777777" w:rsidR="00927539" w:rsidRPr="003239E6" w:rsidRDefault="00927539" w:rsidP="009D6F2E">
      <w:r w:rsidRPr="003239E6">
        <w:t>ETSK suosittaa, että</w:t>
      </w:r>
    </w:p>
    <w:p w14:paraId="38FA6426" w14:textId="77777777" w:rsidR="00927539" w:rsidRDefault="00927539" w:rsidP="009D6F2E">
      <w:pPr>
        <w:widowControl w:val="0"/>
        <w:numPr>
          <w:ilvl w:val="0"/>
          <w:numId w:val="30"/>
        </w:numPr>
        <w:overflowPunct w:val="0"/>
        <w:autoSpaceDE w:val="0"/>
        <w:autoSpaceDN w:val="0"/>
        <w:adjustRightInd w:val="0"/>
        <w:ind w:left="426"/>
        <w:textAlignment w:val="baseline"/>
      </w:pPr>
      <w:r>
        <w:t xml:space="preserve">pyritään </w:t>
      </w:r>
      <w:r>
        <w:rPr>
          <w:b/>
        </w:rPr>
        <w:t>suurempaan kunnianhimoon</w:t>
      </w:r>
      <w:r>
        <w:t xml:space="preserve"> katastrofiriskien vähentämisen ja ennaltaehkäisyn suhteen sen sijaan, että keskitytään etupäässä reagointivalmiuksiin. Jotta Euroopan unionin pelastuspalvelumekanismi voisi olla tehokas ja yhtenäinen, siihen on sisällyttävä kattava </w:t>
      </w:r>
      <w:r>
        <w:rPr>
          <w:b/>
        </w:rPr>
        <w:t>kehys riskien vähentämiseen liittyville toimille</w:t>
      </w:r>
      <w:r>
        <w:t xml:space="preserve"> kaikkialla EU:ssa, ja siinä on keskityttävä aiempaa enemmän </w:t>
      </w:r>
      <w:r>
        <w:rPr>
          <w:b/>
        </w:rPr>
        <w:t>monialaiseen ja rajatylittävään</w:t>
      </w:r>
      <w:r>
        <w:t xml:space="preserve"> katastrofien ennaltaehkäisyyn. Kaikki tämä on toteutettava kokonaisvaltaisen riskinhallintajärjestelmän puitteissa.</w:t>
      </w:r>
    </w:p>
    <w:p w14:paraId="78E0CC16" w14:textId="77777777" w:rsidR="00927539" w:rsidRDefault="00927539" w:rsidP="009D6F2E">
      <w:pPr>
        <w:widowControl w:val="0"/>
        <w:numPr>
          <w:ilvl w:val="0"/>
          <w:numId w:val="30"/>
        </w:numPr>
        <w:overflowPunct w:val="0"/>
        <w:autoSpaceDE w:val="0"/>
        <w:autoSpaceDN w:val="0"/>
        <w:adjustRightInd w:val="0"/>
        <w:ind w:left="426"/>
        <w:textAlignment w:val="baseline"/>
      </w:pPr>
      <w:r>
        <w:rPr>
          <w:b/>
        </w:rPr>
        <w:t>kevennetään hallinnollista rasitusta</w:t>
      </w:r>
      <w:r>
        <w:t xml:space="preserve">, poistetaan päällekkäisyyksiä, ajantasaistetaan riittämättömiä tieto- ja tukijärjestelmiä, lisätään koulutettua henkilöstöä sekä investoidaan yhteentoimivuuteen yhteisten standardien ja koulutuspolkujen pohjalta. Samalla on varmistettava </w:t>
      </w:r>
      <w:r>
        <w:rPr>
          <w:b/>
        </w:rPr>
        <w:t>korkealaatuiset työskentelyolot</w:t>
      </w:r>
      <w:r>
        <w:t xml:space="preserve"> edellytyksenä yhteiskunnan selviytymiskyvyn vahvistamiselle koko yhteiskunnan kattavassa lähestymistavassa kriiseihin.</w:t>
      </w:r>
    </w:p>
    <w:p w14:paraId="63025EC0" w14:textId="77777777" w:rsidR="00927539" w:rsidRDefault="00927539" w:rsidP="009D6F2E">
      <w:pPr>
        <w:widowControl w:val="0"/>
        <w:numPr>
          <w:ilvl w:val="0"/>
          <w:numId w:val="30"/>
        </w:numPr>
        <w:overflowPunct w:val="0"/>
        <w:autoSpaceDE w:val="0"/>
        <w:autoSpaceDN w:val="0"/>
        <w:adjustRightInd w:val="0"/>
        <w:ind w:left="426"/>
        <w:textAlignment w:val="baseline"/>
      </w:pPr>
      <w:r>
        <w:t xml:space="preserve">pyritään </w:t>
      </w:r>
      <w:r>
        <w:rPr>
          <w:b/>
        </w:rPr>
        <w:t>ennakoimaan</w:t>
      </w:r>
      <w:r>
        <w:t xml:space="preserve"> katastrofeja ja kriisejä ja </w:t>
      </w:r>
      <w:r>
        <w:rPr>
          <w:b/>
        </w:rPr>
        <w:t>ymmärtämään</w:t>
      </w:r>
      <w:r>
        <w:t xml:space="preserve"> niitä </w:t>
      </w:r>
      <w:r>
        <w:rPr>
          <w:b/>
        </w:rPr>
        <w:t>entistä paremmin</w:t>
      </w:r>
      <w:r>
        <w:t xml:space="preserve"> ja ottamaan samalla huomioon propagandan ja disinformaation rooli sosiaalisen stressin kasvattamisessa.</w:t>
      </w:r>
    </w:p>
    <w:p w14:paraId="6CF9E834" w14:textId="77777777" w:rsidR="00927539" w:rsidRDefault="00927539" w:rsidP="009D6F2E">
      <w:pPr>
        <w:widowControl w:val="0"/>
        <w:numPr>
          <w:ilvl w:val="0"/>
          <w:numId w:val="30"/>
        </w:numPr>
        <w:overflowPunct w:val="0"/>
        <w:autoSpaceDE w:val="0"/>
        <w:autoSpaceDN w:val="0"/>
        <w:adjustRightInd w:val="0"/>
        <w:ind w:left="426"/>
        <w:textAlignment w:val="baseline"/>
      </w:pPr>
      <w:r>
        <w:t xml:space="preserve">pelastuspalvelumekanismia vahvistetaan </w:t>
      </w:r>
      <w:r>
        <w:rPr>
          <w:b/>
        </w:rPr>
        <w:t>lisärahoituksella</w:t>
      </w:r>
      <w:r>
        <w:t xml:space="preserve"> erityisesti haavoittuvia ryhmiä ja alueita, muun muassa syrjäisimpiä alueita ja lähellä sotavyöhykkeitä sijaitsevia alueita, varten.</w:t>
      </w:r>
    </w:p>
    <w:p w14:paraId="4A4E07C7" w14:textId="77777777" w:rsidR="00927539" w:rsidRDefault="00927539" w:rsidP="009D6F2E">
      <w:pPr>
        <w:widowControl w:val="0"/>
        <w:numPr>
          <w:ilvl w:val="0"/>
          <w:numId w:val="30"/>
        </w:numPr>
        <w:overflowPunct w:val="0"/>
        <w:autoSpaceDE w:val="0"/>
        <w:autoSpaceDN w:val="0"/>
        <w:adjustRightInd w:val="0"/>
        <w:ind w:left="426"/>
        <w:textAlignment w:val="baseline"/>
      </w:pPr>
      <w:r>
        <w:t xml:space="preserve">varmistetaan </w:t>
      </w:r>
      <w:r>
        <w:rPr>
          <w:b/>
        </w:rPr>
        <w:t>johdonmukaisuus</w:t>
      </w:r>
      <w:r>
        <w:t xml:space="preserve"> ohjelmakaudelle 2028–2034 ehdotettujen </w:t>
      </w:r>
      <w:r>
        <w:rPr>
          <w:b/>
        </w:rPr>
        <w:t>kansallisten ja alueellisten kumppanuussuunnitelmien kanssa</w:t>
      </w:r>
      <w:r>
        <w:t>.</w:t>
      </w:r>
    </w:p>
    <w:p w14:paraId="2E8D44EC" w14:textId="77777777" w:rsidR="00927539" w:rsidRDefault="00927539" w:rsidP="009D6F2E">
      <w:pPr>
        <w:widowControl w:val="0"/>
        <w:numPr>
          <w:ilvl w:val="0"/>
          <w:numId w:val="30"/>
        </w:numPr>
        <w:overflowPunct w:val="0"/>
        <w:autoSpaceDE w:val="0"/>
        <w:autoSpaceDN w:val="0"/>
        <w:adjustRightInd w:val="0"/>
        <w:ind w:left="426"/>
        <w:textAlignment w:val="baseline"/>
      </w:pPr>
      <w:r>
        <w:rPr>
          <w:b/>
        </w:rPr>
        <w:t>edistetään</w:t>
      </w:r>
      <w:r>
        <w:t xml:space="preserve"> nykyisten välineiden, kuten Euroopan turvallisuutta edistävän välineen ja Euroopan solidaarisuusjoukkojen, ja unionin pelastuspalvelumekanismin välistä </w:t>
      </w:r>
      <w:r>
        <w:rPr>
          <w:b/>
        </w:rPr>
        <w:t>täydentävyyttä</w:t>
      </w:r>
      <w:r>
        <w:t>.</w:t>
      </w:r>
    </w:p>
    <w:p w14:paraId="7C99CD39" w14:textId="77777777" w:rsidR="00927539" w:rsidRDefault="00927539" w:rsidP="009D6F2E">
      <w:pPr>
        <w:widowControl w:val="0"/>
        <w:numPr>
          <w:ilvl w:val="0"/>
          <w:numId w:val="30"/>
        </w:numPr>
        <w:overflowPunct w:val="0"/>
        <w:autoSpaceDE w:val="0"/>
        <w:autoSpaceDN w:val="0"/>
        <w:adjustRightInd w:val="0"/>
        <w:ind w:left="426"/>
        <w:textAlignment w:val="baseline"/>
      </w:pPr>
      <w:r>
        <w:rPr>
          <w:b/>
        </w:rPr>
        <w:t>ammattipalokunnille ja terveydenhuoltohenkilöstölle turvataan</w:t>
      </w:r>
      <w:r>
        <w:t xml:space="preserve"> riittävä ja vakaa </w:t>
      </w:r>
      <w:r>
        <w:rPr>
          <w:b/>
        </w:rPr>
        <w:t>rahoitus</w:t>
      </w:r>
      <w:r>
        <w:t>, jotta voidaan varmistaa tehokas ja nopea toiminta pelastuspalvelumekanismin puitteissa. Samalla on vahvistettava vapaaehtoisten roolia.</w:t>
      </w:r>
    </w:p>
    <w:p w14:paraId="33630C74" w14:textId="77777777" w:rsidR="00927539" w:rsidRDefault="00927539" w:rsidP="009D6F2E">
      <w:pPr>
        <w:widowControl w:val="0"/>
        <w:numPr>
          <w:ilvl w:val="0"/>
          <w:numId w:val="30"/>
        </w:numPr>
        <w:overflowPunct w:val="0"/>
        <w:autoSpaceDE w:val="0"/>
        <w:autoSpaceDN w:val="0"/>
        <w:adjustRightInd w:val="0"/>
        <w:ind w:left="426"/>
        <w:textAlignment w:val="baseline"/>
      </w:pPr>
      <w:r>
        <w:rPr>
          <w:b/>
        </w:rPr>
        <w:t>unionin pelastuspalvelumekanismista tehdään riittävän joustava</w:t>
      </w:r>
      <w:r>
        <w:t xml:space="preserve">, jotta voidaan ottaa huomioon jäsenvaltioiden katastrofihallintajärjestelmien monimuotoisuus ja </w:t>
      </w:r>
      <w:r>
        <w:rPr>
          <w:b/>
        </w:rPr>
        <w:t>varmistaa rajatylittävä yhteistyö</w:t>
      </w:r>
      <w:r>
        <w:t xml:space="preserve"> ja koordinointi. Näin voidaan reagoida nopeasti ja tehokkaasti katastrofeihin, jotka eivät tunne rajoja, ja mahdollistaa järjestäytyneen kansalaisyhteiskunnan täysipainoinen osallistuminen.</w:t>
      </w:r>
    </w:p>
    <w:p w14:paraId="79E184A5" w14:textId="77777777" w:rsidR="00927539" w:rsidRDefault="00927539" w:rsidP="009D6F2E">
      <w:pPr>
        <w:widowControl w:val="0"/>
        <w:numPr>
          <w:ilvl w:val="0"/>
          <w:numId w:val="30"/>
        </w:numPr>
        <w:overflowPunct w:val="0"/>
        <w:autoSpaceDE w:val="0"/>
        <w:autoSpaceDN w:val="0"/>
        <w:adjustRightInd w:val="0"/>
        <w:ind w:left="426"/>
        <w:textAlignment w:val="baseline"/>
      </w:pPr>
      <w:r>
        <w:t xml:space="preserve">mukautetaan hankintoja koskevia sääntöjä, jotta voidaan </w:t>
      </w:r>
      <w:r>
        <w:rPr>
          <w:b/>
        </w:rPr>
        <w:t>taata kriittisten tarvikkeiden</w:t>
      </w:r>
      <w:r>
        <w:t xml:space="preserve"> ja palvelujen </w:t>
      </w:r>
      <w:r>
        <w:rPr>
          <w:b/>
        </w:rPr>
        <w:t>nopea ja tehokas toimittaminen</w:t>
      </w:r>
      <w:r>
        <w:t xml:space="preserve"> kriisiaikoina.</w:t>
      </w:r>
    </w:p>
    <w:p w14:paraId="5BAAAB38" w14:textId="77777777" w:rsidR="00927539" w:rsidRDefault="00927539" w:rsidP="009D6F2E">
      <w:pPr>
        <w:widowControl w:val="0"/>
        <w:numPr>
          <w:ilvl w:val="0"/>
          <w:numId w:val="30"/>
        </w:numPr>
        <w:overflowPunct w:val="0"/>
        <w:autoSpaceDE w:val="0"/>
        <w:autoSpaceDN w:val="0"/>
        <w:adjustRightInd w:val="0"/>
        <w:ind w:left="426"/>
        <w:textAlignment w:val="baseline"/>
      </w:pPr>
      <w:r>
        <w:rPr>
          <w:b/>
        </w:rPr>
        <w:t>katastrofeista ilmoittamiseen</w:t>
      </w:r>
      <w:r>
        <w:t xml:space="preserve"> luodaan yhteisen hätäviestintä- ja tietojärjestelmän avulla </w:t>
      </w:r>
      <w:r>
        <w:rPr>
          <w:b/>
        </w:rPr>
        <w:t>vakiomuotoinen lomake</w:t>
      </w:r>
      <w:r>
        <w:t>, jota kaikki jäsenvaltiot käyttävät.</w:t>
      </w:r>
    </w:p>
    <w:p w14:paraId="3D777828" w14:textId="77777777" w:rsidR="00927539" w:rsidRPr="000624A9" w:rsidRDefault="00927539" w:rsidP="009D6F2E">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927539" w:rsidRPr="00A6689B" w14:paraId="6F5C8E83" w14:textId="77777777" w:rsidTr="00114B49">
        <w:tc>
          <w:tcPr>
            <w:tcW w:w="1077" w:type="pct"/>
          </w:tcPr>
          <w:p w14:paraId="2B497731" w14:textId="77777777" w:rsidR="00927539" w:rsidRPr="00A6689B" w:rsidRDefault="00927539" w:rsidP="009D6F2E">
            <w:pPr>
              <w:rPr>
                <w:i/>
                <w:iCs/>
              </w:rPr>
            </w:pPr>
            <w:r>
              <w:rPr>
                <w:b/>
                <w:i/>
              </w:rPr>
              <w:t>Yhteydenotot</w:t>
            </w:r>
          </w:p>
        </w:tc>
        <w:tc>
          <w:tcPr>
            <w:tcW w:w="3923" w:type="pct"/>
          </w:tcPr>
          <w:p w14:paraId="3C6E526A" w14:textId="77777777" w:rsidR="00927539" w:rsidRPr="00A6689B" w:rsidRDefault="00927539" w:rsidP="009D6F2E">
            <w:pPr>
              <w:rPr>
                <w:i/>
                <w:iCs/>
              </w:rPr>
            </w:pPr>
            <w:r>
              <w:rPr>
                <w:i/>
              </w:rPr>
              <w:t>Arturo Iniguez Yuste</w:t>
            </w:r>
          </w:p>
        </w:tc>
      </w:tr>
      <w:tr w:rsidR="00927539" w:rsidRPr="00A6689B" w14:paraId="1ACD6950" w14:textId="77777777" w:rsidTr="00114B49">
        <w:tc>
          <w:tcPr>
            <w:tcW w:w="1077" w:type="pct"/>
          </w:tcPr>
          <w:p w14:paraId="4CD427E8" w14:textId="77777777" w:rsidR="00927539" w:rsidRPr="00A6689B" w:rsidRDefault="00927539" w:rsidP="009D6F2E">
            <w:pPr>
              <w:rPr>
                <w:i/>
              </w:rPr>
            </w:pPr>
            <w:r>
              <w:rPr>
                <w:i/>
              </w:rPr>
              <w:t>P.</w:t>
            </w:r>
          </w:p>
        </w:tc>
        <w:tc>
          <w:tcPr>
            <w:tcW w:w="3923" w:type="pct"/>
          </w:tcPr>
          <w:p w14:paraId="020BD3EA" w14:textId="77777777" w:rsidR="00927539" w:rsidRPr="00A6689B" w:rsidRDefault="00927539" w:rsidP="009D6F2E">
            <w:pPr>
              <w:rPr>
                <w:i/>
              </w:rPr>
            </w:pPr>
            <w:r>
              <w:rPr>
                <w:i/>
              </w:rPr>
              <w:t>+32 25468768</w:t>
            </w:r>
          </w:p>
        </w:tc>
      </w:tr>
      <w:tr w:rsidR="00927539" w:rsidRPr="00A6689B" w14:paraId="632A9770" w14:textId="77777777" w:rsidTr="00114B49">
        <w:tc>
          <w:tcPr>
            <w:tcW w:w="1077" w:type="pct"/>
          </w:tcPr>
          <w:p w14:paraId="554DE978" w14:textId="77777777" w:rsidR="00927539" w:rsidRPr="00A6689B" w:rsidRDefault="00927539" w:rsidP="009D6F2E">
            <w:pPr>
              <w:rPr>
                <w:i/>
              </w:rPr>
            </w:pPr>
            <w:r>
              <w:rPr>
                <w:i/>
              </w:rPr>
              <w:t>Sähköposti</w:t>
            </w:r>
          </w:p>
        </w:tc>
        <w:tc>
          <w:tcPr>
            <w:tcW w:w="3923" w:type="pct"/>
          </w:tcPr>
          <w:p w14:paraId="29029569" w14:textId="77777777" w:rsidR="00927539" w:rsidRPr="00A6689B" w:rsidRDefault="008921B6" w:rsidP="009D6F2E">
            <w:pPr>
              <w:rPr>
                <w:i/>
              </w:rPr>
            </w:pPr>
            <w:hyperlink r:id="rId41" w:history="1">
              <w:r w:rsidR="00927539">
                <w:rPr>
                  <w:rStyle w:val="Hyperlink"/>
                  <w:i/>
                </w:rPr>
                <w:t>Arturo.Iniguez@eesc.europa.eu</w:t>
              </w:r>
            </w:hyperlink>
          </w:p>
        </w:tc>
      </w:tr>
    </w:tbl>
    <w:p w14:paraId="715DB2BD" w14:textId="2220A0D5" w:rsidR="007F5784" w:rsidRDefault="007F5784">
      <w:pPr>
        <w:spacing w:after="160" w:line="259" w:lineRule="auto"/>
        <w:jc w:val="left"/>
      </w:pPr>
    </w:p>
    <w:p w14:paraId="14026A78" w14:textId="4FAE1588" w:rsidR="007F5784" w:rsidRDefault="007F5784" w:rsidP="007F5784">
      <w:pPr>
        <w:pStyle w:val="Heading1"/>
        <w:rPr>
          <w:b/>
        </w:rPr>
      </w:pPr>
      <w:bookmarkStart w:id="11" w:name="_Toc216768398"/>
      <w:r>
        <w:rPr>
          <w:b/>
        </w:rPr>
        <w:t>ULKOSUHTEET</w:t>
      </w:r>
      <w:bookmarkEnd w:id="11"/>
    </w:p>
    <w:p w14:paraId="3BBB3E68" w14:textId="77777777" w:rsidR="007F5784" w:rsidRDefault="007F5784" w:rsidP="007F5784"/>
    <w:p w14:paraId="3CD3E64D" w14:textId="5D68A7AA" w:rsidR="00555DA4" w:rsidRPr="00555DA4" w:rsidRDefault="00555DA4" w:rsidP="00555DA4">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lang w:eastAsia="zh-CN"/>
        </w:rPr>
      </w:pPr>
      <w:r w:rsidRPr="00555DA4">
        <w:rPr>
          <w:b/>
          <w:i/>
          <w:sz w:val="28"/>
          <w:lang w:eastAsia="zh-CN"/>
        </w:rPr>
        <w:fldChar w:fldCharType="begin"/>
      </w:r>
      <w:r w:rsidRPr="00555DA4">
        <w:rPr>
          <w:b/>
          <w:i/>
          <w:sz w:val="28"/>
          <w:lang w:eastAsia="zh-CN"/>
        </w:rPr>
        <w:instrText>HYPERLINK "https://www.eesc.europa.eu/fi/our-work/opinions-information-reports/opinions/european-unions-strategic-approach-black-sea-region"</w:instrText>
      </w:r>
      <w:r w:rsidRPr="00555DA4">
        <w:rPr>
          <w:b/>
          <w:i/>
          <w:sz w:val="28"/>
          <w:lang w:eastAsia="zh-CN"/>
        </w:rPr>
        <w:fldChar w:fldCharType="separate"/>
      </w:r>
      <w:r w:rsidRPr="00555DA4">
        <w:rPr>
          <w:b/>
          <w:i/>
          <w:color w:val="0000FF"/>
          <w:sz w:val="28"/>
          <w:u w:val="single"/>
          <w:lang w:eastAsia="zh-CN"/>
        </w:rPr>
        <w:t>Euroopan unionin strateginen lähestymistapa Mustanmeren alueeseen</w:t>
      </w:r>
    </w:p>
    <w:p w14:paraId="2836F257" w14:textId="77777777" w:rsidR="00555DA4" w:rsidRPr="00555DA4" w:rsidRDefault="00555DA4" w:rsidP="00555DA4">
      <w:pPr>
        <w:tabs>
          <w:tab w:val="center" w:pos="284"/>
        </w:tabs>
        <w:overflowPunct w:val="0"/>
        <w:autoSpaceDE w:val="0"/>
        <w:autoSpaceDN w:val="0"/>
        <w:adjustRightInd w:val="0"/>
        <w:ind w:left="266" w:hanging="266"/>
        <w:textAlignment w:val="baseline"/>
        <w:rPr>
          <w:b/>
          <w:szCs w:val="20"/>
        </w:rPr>
      </w:pPr>
      <w:r w:rsidRPr="00555DA4">
        <w:rPr>
          <w:b/>
          <w:i/>
          <w:sz w:val="28"/>
          <w:szCs w:val="20"/>
        </w:rPr>
        <w:fldChar w:fldCharType="end"/>
      </w:r>
    </w:p>
    <w:tbl>
      <w:tblPr>
        <w:tblStyle w:val="TableGrid6"/>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6947"/>
      </w:tblGrid>
      <w:tr w:rsidR="00555DA4" w:rsidRPr="00555DA4" w14:paraId="31B0A615" w14:textId="77777777" w:rsidTr="009D6F2E">
        <w:trPr>
          <w:trHeight w:val="246"/>
        </w:trPr>
        <w:tc>
          <w:tcPr>
            <w:tcW w:w="1111" w:type="pct"/>
          </w:tcPr>
          <w:p w14:paraId="5EFBA954" w14:textId="77777777" w:rsidR="00555DA4" w:rsidRPr="00555DA4" w:rsidRDefault="00555DA4" w:rsidP="00555DA4">
            <w:pPr>
              <w:tabs>
                <w:tab w:val="center" w:pos="284"/>
              </w:tabs>
              <w:overflowPunct w:val="0"/>
              <w:autoSpaceDE w:val="0"/>
              <w:autoSpaceDN w:val="0"/>
              <w:adjustRightInd w:val="0"/>
              <w:ind w:left="266" w:hanging="266"/>
              <w:textAlignment w:val="baseline"/>
              <w:rPr>
                <w:b/>
              </w:rPr>
            </w:pPr>
            <w:r w:rsidRPr="00555DA4">
              <w:rPr>
                <w:b/>
              </w:rPr>
              <w:t>Esittelijä</w:t>
            </w:r>
          </w:p>
        </w:tc>
        <w:tc>
          <w:tcPr>
            <w:tcW w:w="3889" w:type="pct"/>
          </w:tcPr>
          <w:p w14:paraId="2C5063AF" w14:textId="77777777" w:rsidR="00555DA4" w:rsidRDefault="00555DA4" w:rsidP="00555DA4">
            <w:pPr>
              <w:tabs>
                <w:tab w:val="center" w:pos="284"/>
              </w:tabs>
              <w:overflowPunct w:val="0"/>
              <w:autoSpaceDE w:val="0"/>
              <w:autoSpaceDN w:val="0"/>
              <w:adjustRightInd w:val="0"/>
              <w:ind w:left="266" w:hanging="266"/>
              <w:textAlignment w:val="baseline"/>
            </w:pPr>
            <w:r w:rsidRPr="00555DA4">
              <w:t>Milena ANGELOVA (työnantajat – BG)</w:t>
            </w:r>
          </w:p>
          <w:p w14:paraId="779BDE6B" w14:textId="026308AC" w:rsidR="009D6F2E" w:rsidRPr="00555DA4" w:rsidRDefault="009D6F2E" w:rsidP="00555DA4">
            <w:pPr>
              <w:tabs>
                <w:tab w:val="center" w:pos="284"/>
              </w:tabs>
              <w:overflowPunct w:val="0"/>
              <w:autoSpaceDE w:val="0"/>
              <w:autoSpaceDN w:val="0"/>
              <w:adjustRightInd w:val="0"/>
              <w:ind w:left="266" w:hanging="266"/>
              <w:textAlignment w:val="baseline"/>
            </w:pPr>
          </w:p>
        </w:tc>
      </w:tr>
      <w:tr w:rsidR="00555DA4" w:rsidRPr="00555DA4" w14:paraId="6A915087" w14:textId="77777777" w:rsidTr="00114B49">
        <w:tc>
          <w:tcPr>
            <w:tcW w:w="1111" w:type="pct"/>
          </w:tcPr>
          <w:p w14:paraId="60E04D2B" w14:textId="77777777" w:rsidR="00555DA4" w:rsidRPr="00555DA4" w:rsidRDefault="00555DA4" w:rsidP="00555DA4">
            <w:pPr>
              <w:tabs>
                <w:tab w:val="center" w:pos="284"/>
              </w:tabs>
              <w:overflowPunct w:val="0"/>
              <w:autoSpaceDE w:val="0"/>
              <w:autoSpaceDN w:val="0"/>
              <w:adjustRightInd w:val="0"/>
              <w:ind w:left="266" w:hanging="266"/>
              <w:textAlignment w:val="baseline"/>
              <w:rPr>
                <w:b/>
              </w:rPr>
            </w:pPr>
            <w:r w:rsidRPr="00555DA4">
              <w:rPr>
                <w:b/>
              </w:rPr>
              <w:t>Viiteasiakirja</w:t>
            </w:r>
          </w:p>
        </w:tc>
        <w:tc>
          <w:tcPr>
            <w:tcW w:w="3889" w:type="pct"/>
          </w:tcPr>
          <w:p w14:paraId="019B8DD0" w14:textId="77777777" w:rsidR="00CE31C3" w:rsidRDefault="00CE31C3" w:rsidP="00CE31C3">
            <w:pPr>
              <w:tabs>
                <w:tab w:val="center" w:pos="284"/>
              </w:tabs>
              <w:overflowPunct w:val="0"/>
              <w:autoSpaceDE w:val="0"/>
              <w:autoSpaceDN w:val="0"/>
              <w:adjustRightInd w:val="0"/>
              <w:ind w:left="266" w:hanging="266"/>
              <w:textAlignment w:val="baseline"/>
            </w:pPr>
            <w:r>
              <w:t>JOIN(2025) 135 final</w:t>
            </w:r>
          </w:p>
          <w:p w14:paraId="17FD46C9" w14:textId="3F07D451" w:rsidR="00555DA4" w:rsidRPr="00555DA4" w:rsidRDefault="00555DA4" w:rsidP="00555DA4">
            <w:pPr>
              <w:tabs>
                <w:tab w:val="center" w:pos="284"/>
              </w:tabs>
              <w:overflowPunct w:val="0"/>
              <w:autoSpaceDE w:val="0"/>
              <w:autoSpaceDN w:val="0"/>
              <w:adjustRightInd w:val="0"/>
              <w:ind w:left="266" w:hanging="266"/>
              <w:textAlignment w:val="baseline"/>
            </w:pPr>
            <w:r w:rsidRPr="00555DA4">
              <w:t>EESC-2025-02608-00-00-AC</w:t>
            </w:r>
          </w:p>
        </w:tc>
      </w:tr>
    </w:tbl>
    <w:p w14:paraId="63CB3E22" w14:textId="77777777" w:rsidR="00555DA4" w:rsidRPr="00555DA4" w:rsidRDefault="00555DA4" w:rsidP="00555DA4">
      <w:pPr>
        <w:keepNext/>
        <w:keepLines/>
        <w:tabs>
          <w:tab w:val="center" w:pos="284"/>
        </w:tabs>
        <w:overflowPunct w:val="0"/>
        <w:autoSpaceDE w:val="0"/>
        <w:autoSpaceDN w:val="0"/>
        <w:adjustRightInd w:val="0"/>
        <w:ind w:left="266" w:hanging="266"/>
        <w:textAlignment w:val="baseline"/>
        <w:rPr>
          <w:b/>
        </w:rPr>
      </w:pPr>
    </w:p>
    <w:p w14:paraId="071B7832" w14:textId="77777777" w:rsidR="00555DA4" w:rsidRPr="00555DA4" w:rsidRDefault="00555DA4" w:rsidP="00555DA4">
      <w:pPr>
        <w:keepNext/>
        <w:keepLines/>
        <w:tabs>
          <w:tab w:val="center" w:pos="284"/>
        </w:tabs>
        <w:overflowPunct w:val="0"/>
        <w:autoSpaceDE w:val="0"/>
        <w:autoSpaceDN w:val="0"/>
        <w:adjustRightInd w:val="0"/>
        <w:ind w:left="266" w:hanging="266"/>
        <w:textAlignment w:val="baseline"/>
        <w:rPr>
          <w:b/>
        </w:rPr>
      </w:pPr>
      <w:r w:rsidRPr="00555DA4">
        <w:rPr>
          <w:b/>
          <w:szCs w:val="20"/>
        </w:rPr>
        <w:t>Keskeiset kohdat</w:t>
      </w:r>
    </w:p>
    <w:p w14:paraId="43DEC179" w14:textId="77777777" w:rsidR="00555DA4" w:rsidRPr="00555DA4" w:rsidRDefault="00555DA4" w:rsidP="00555DA4">
      <w:pPr>
        <w:keepNext/>
        <w:keepLines/>
        <w:tabs>
          <w:tab w:val="center" w:pos="284"/>
        </w:tabs>
        <w:overflowPunct w:val="0"/>
        <w:autoSpaceDE w:val="0"/>
        <w:autoSpaceDN w:val="0"/>
        <w:adjustRightInd w:val="0"/>
        <w:ind w:left="266" w:hanging="266"/>
        <w:textAlignment w:val="baseline"/>
        <w:rPr>
          <w:b/>
        </w:rPr>
      </w:pPr>
    </w:p>
    <w:p w14:paraId="53B11858" w14:textId="77777777" w:rsidR="00555DA4" w:rsidRPr="00555DA4" w:rsidRDefault="00555DA4" w:rsidP="00555DA4">
      <w:pPr>
        <w:overflowPunct w:val="0"/>
        <w:autoSpaceDE w:val="0"/>
        <w:autoSpaceDN w:val="0"/>
        <w:adjustRightInd w:val="0"/>
        <w:textAlignment w:val="baseline"/>
        <w:rPr>
          <w:bCs/>
          <w:iCs/>
        </w:rPr>
      </w:pPr>
      <w:r w:rsidRPr="00555DA4">
        <w:rPr>
          <w:szCs w:val="20"/>
        </w:rPr>
        <w:t>ETSK</w:t>
      </w:r>
    </w:p>
    <w:p w14:paraId="4BFFDC8F" w14:textId="77777777" w:rsidR="00555DA4" w:rsidRPr="00555DA4" w:rsidRDefault="00555DA4" w:rsidP="009D6F2E">
      <w:pPr>
        <w:numPr>
          <w:ilvl w:val="0"/>
          <w:numId w:val="31"/>
        </w:numPr>
        <w:overflowPunct w:val="0"/>
        <w:autoSpaceDE w:val="0"/>
        <w:autoSpaceDN w:val="0"/>
        <w:adjustRightInd w:val="0"/>
        <w:ind w:left="426"/>
        <w:contextualSpacing/>
        <w:textAlignment w:val="baseline"/>
        <w:rPr>
          <w:bCs/>
          <w:iCs/>
          <w:lang w:eastAsia="zh-CN"/>
        </w:rPr>
      </w:pPr>
      <w:r w:rsidRPr="00555DA4">
        <w:rPr>
          <w:lang w:eastAsia="zh-CN"/>
        </w:rPr>
        <w:t xml:space="preserve">suhtautuu myönteisesti </w:t>
      </w:r>
      <w:r w:rsidRPr="00555DA4">
        <w:rPr>
          <w:b/>
          <w:lang w:eastAsia="zh-CN"/>
        </w:rPr>
        <w:t>kauan odotettuun aloitteeseen kiinnittää erityistä huomiota Mustanmeren alueeseen</w:t>
      </w:r>
      <w:r w:rsidRPr="00555DA4">
        <w:rPr>
          <w:lang w:eastAsia="zh-CN"/>
        </w:rPr>
        <w:t xml:space="preserve"> ja ehdottaa sille Euroopan unionin (EU) strategista toimintamallia, mutta toteaa kuitenkin aloitteen </w:t>
      </w:r>
      <w:r w:rsidRPr="00555DA4">
        <w:rPr>
          <w:b/>
          <w:lang w:eastAsia="zh-CN"/>
        </w:rPr>
        <w:t>viivästyneen</w:t>
      </w:r>
      <w:r w:rsidRPr="00555DA4">
        <w:rPr>
          <w:lang w:eastAsia="zh-CN"/>
        </w:rPr>
        <w:t xml:space="preserve"> ja kehottaa ryhtymään </w:t>
      </w:r>
      <w:r w:rsidRPr="00555DA4">
        <w:rPr>
          <w:b/>
          <w:lang w:eastAsia="zh-CN"/>
        </w:rPr>
        <w:t>nopeisiin ja päättäväisiin toimiin, jotta se voidaan panna täytäntöön ja sille voidaan varmistaa riittävät resurssit</w:t>
      </w:r>
      <w:r w:rsidRPr="00555DA4">
        <w:rPr>
          <w:lang w:eastAsia="zh-CN"/>
        </w:rPr>
        <w:t>.</w:t>
      </w:r>
    </w:p>
    <w:p w14:paraId="31BD25B4" w14:textId="77777777" w:rsidR="00555DA4" w:rsidRPr="00555DA4" w:rsidRDefault="00555DA4" w:rsidP="009D6F2E">
      <w:pPr>
        <w:numPr>
          <w:ilvl w:val="0"/>
          <w:numId w:val="31"/>
        </w:numPr>
        <w:overflowPunct w:val="0"/>
        <w:autoSpaceDE w:val="0"/>
        <w:autoSpaceDN w:val="0"/>
        <w:adjustRightInd w:val="0"/>
        <w:ind w:left="426"/>
        <w:contextualSpacing/>
        <w:textAlignment w:val="baseline"/>
        <w:rPr>
          <w:bCs/>
          <w:iCs/>
          <w:lang w:eastAsia="zh-CN"/>
        </w:rPr>
      </w:pPr>
      <w:r w:rsidRPr="00555DA4">
        <w:rPr>
          <w:lang w:eastAsia="zh-CN"/>
        </w:rPr>
        <w:t xml:space="preserve">korostaa, että vaikka </w:t>
      </w:r>
      <w:r w:rsidRPr="00555DA4">
        <w:rPr>
          <w:b/>
          <w:lang w:eastAsia="zh-CN"/>
        </w:rPr>
        <w:t>kaikki alueen maat kärsivät sotilaallisten vihamielisyyksien kielteisistä seurauksista, niille kaikille ei ole annettu kohdennettua sosiaalista ja taloudellista tukea, joka olisi oikeassa suhteessa niiden ponnisteluihin ja uhrauksiin</w:t>
      </w:r>
      <w:r w:rsidRPr="00555DA4">
        <w:rPr>
          <w:lang w:eastAsia="zh-CN"/>
        </w:rPr>
        <w:t>.</w:t>
      </w:r>
    </w:p>
    <w:p w14:paraId="405C365E" w14:textId="77777777" w:rsidR="00555DA4" w:rsidRPr="00555DA4" w:rsidRDefault="00555DA4" w:rsidP="009D6F2E">
      <w:pPr>
        <w:numPr>
          <w:ilvl w:val="0"/>
          <w:numId w:val="31"/>
        </w:numPr>
        <w:overflowPunct w:val="0"/>
        <w:autoSpaceDE w:val="0"/>
        <w:autoSpaceDN w:val="0"/>
        <w:adjustRightInd w:val="0"/>
        <w:ind w:left="426"/>
        <w:contextualSpacing/>
        <w:textAlignment w:val="baseline"/>
        <w:rPr>
          <w:bCs/>
          <w:iCs/>
          <w:lang w:eastAsia="zh-CN"/>
        </w:rPr>
      </w:pPr>
      <w:r w:rsidRPr="00555DA4">
        <w:rPr>
          <w:lang w:eastAsia="zh-CN"/>
        </w:rPr>
        <w:t>kehottaa komissiota kuulemaan EU:n jäsenvaltioita, Mustanmeren alueen maita ja kaikkia sidosryhmiä,</w:t>
      </w:r>
      <w:r w:rsidRPr="00555DA4">
        <w:rPr>
          <w:b/>
          <w:lang w:eastAsia="zh-CN"/>
        </w:rPr>
        <w:t xml:space="preserve"> etenemään nopeasti</w:t>
      </w:r>
      <w:r w:rsidRPr="00555DA4">
        <w:rPr>
          <w:lang w:eastAsia="zh-CN"/>
        </w:rPr>
        <w:t xml:space="preserve">, ihannetapauksessa vuoden 2025 loppuun mennessä, ja </w:t>
      </w:r>
      <w:r w:rsidRPr="00555DA4">
        <w:rPr>
          <w:b/>
          <w:lang w:eastAsia="zh-CN"/>
        </w:rPr>
        <w:t>laatimaan pragmaattisen ja asianmukaisesti rahoitetun strategian alueen kehittämiseksi</w:t>
      </w:r>
      <w:r w:rsidRPr="00555DA4">
        <w:rPr>
          <w:lang w:eastAsia="zh-CN"/>
        </w:rPr>
        <w:t>.</w:t>
      </w:r>
    </w:p>
    <w:p w14:paraId="2C9E9508" w14:textId="77777777" w:rsidR="00555DA4" w:rsidRPr="00555DA4" w:rsidRDefault="00555DA4" w:rsidP="009D6F2E">
      <w:pPr>
        <w:numPr>
          <w:ilvl w:val="0"/>
          <w:numId w:val="31"/>
        </w:numPr>
        <w:overflowPunct w:val="0"/>
        <w:autoSpaceDE w:val="0"/>
        <w:autoSpaceDN w:val="0"/>
        <w:adjustRightInd w:val="0"/>
        <w:ind w:left="426"/>
        <w:contextualSpacing/>
        <w:textAlignment w:val="baseline"/>
        <w:rPr>
          <w:bCs/>
          <w:iCs/>
          <w:lang w:eastAsia="zh-CN"/>
        </w:rPr>
      </w:pPr>
      <w:r w:rsidRPr="00555DA4">
        <w:rPr>
          <w:lang w:eastAsia="zh-CN"/>
        </w:rPr>
        <w:t xml:space="preserve">pitää valitettavana, että aluetta koskeva </w:t>
      </w:r>
      <w:r w:rsidRPr="00555DA4">
        <w:rPr>
          <w:b/>
          <w:lang w:eastAsia="zh-CN"/>
        </w:rPr>
        <w:t>EU:n aiempi politiikkakehys</w:t>
      </w:r>
      <w:r w:rsidRPr="00555DA4">
        <w:rPr>
          <w:lang w:eastAsia="zh-CN"/>
        </w:rPr>
        <w:t xml:space="preserve"> (Mustanmeren synergia vuodelta 2007) ei kattanut </w:t>
      </w:r>
      <w:r w:rsidRPr="00555DA4">
        <w:rPr>
          <w:b/>
          <w:lang w:eastAsia="zh-CN"/>
        </w:rPr>
        <w:t>turvallisuusulottuvuutta</w:t>
      </w:r>
      <w:r w:rsidRPr="00555DA4">
        <w:rPr>
          <w:lang w:eastAsia="zh-CN"/>
        </w:rPr>
        <w:t xml:space="preserve">, ja painottaa, että </w:t>
      </w:r>
      <w:r w:rsidRPr="00555DA4">
        <w:rPr>
          <w:b/>
          <w:lang w:eastAsia="zh-CN"/>
        </w:rPr>
        <w:t>EU:n Mustanmeren alueen turvallisuusaloitteilla on saatava aikaan konkreettisia tuloksia</w:t>
      </w:r>
      <w:r w:rsidRPr="00555DA4">
        <w:rPr>
          <w:lang w:eastAsia="zh-CN"/>
        </w:rPr>
        <w:t>.</w:t>
      </w:r>
    </w:p>
    <w:p w14:paraId="5AC8286D" w14:textId="77777777" w:rsidR="00555DA4" w:rsidRPr="00555DA4" w:rsidRDefault="00555DA4" w:rsidP="009D6F2E">
      <w:pPr>
        <w:numPr>
          <w:ilvl w:val="0"/>
          <w:numId w:val="31"/>
        </w:numPr>
        <w:overflowPunct w:val="0"/>
        <w:autoSpaceDE w:val="0"/>
        <w:autoSpaceDN w:val="0"/>
        <w:adjustRightInd w:val="0"/>
        <w:ind w:left="426"/>
        <w:contextualSpacing/>
        <w:textAlignment w:val="baseline"/>
        <w:rPr>
          <w:bCs/>
          <w:iCs/>
          <w:lang w:eastAsia="zh-CN"/>
        </w:rPr>
      </w:pPr>
      <w:r w:rsidRPr="00555DA4">
        <w:rPr>
          <w:lang w:eastAsia="zh-CN"/>
        </w:rPr>
        <w:t xml:space="preserve">tähdentää, että </w:t>
      </w:r>
      <w:r w:rsidRPr="00555DA4">
        <w:rPr>
          <w:b/>
          <w:lang w:eastAsia="zh-CN"/>
        </w:rPr>
        <w:t>kestävän rauhan saavuttaminen on välttämätön ja olennainen ennakkoehto kestävälle talouskehitykselle</w:t>
      </w:r>
      <w:r w:rsidRPr="00555DA4">
        <w:rPr>
          <w:lang w:eastAsia="zh-CN"/>
        </w:rPr>
        <w:t>, ja pitää valitettavana, ettei tätä tavoitetta ole sisällytetty asiakirjaan.</w:t>
      </w:r>
    </w:p>
    <w:p w14:paraId="4BC3B33E" w14:textId="77777777" w:rsidR="00555DA4" w:rsidRPr="00555DA4" w:rsidRDefault="00555DA4" w:rsidP="009D6F2E">
      <w:pPr>
        <w:numPr>
          <w:ilvl w:val="0"/>
          <w:numId w:val="31"/>
        </w:numPr>
        <w:overflowPunct w:val="0"/>
        <w:autoSpaceDE w:val="0"/>
        <w:autoSpaceDN w:val="0"/>
        <w:adjustRightInd w:val="0"/>
        <w:ind w:left="426"/>
        <w:contextualSpacing/>
        <w:textAlignment w:val="baseline"/>
        <w:rPr>
          <w:bCs/>
          <w:iCs/>
          <w:lang w:eastAsia="zh-CN"/>
        </w:rPr>
      </w:pPr>
      <w:r w:rsidRPr="00555DA4">
        <w:rPr>
          <w:lang w:eastAsia="zh-CN"/>
        </w:rPr>
        <w:t xml:space="preserve">katsoo, että </w:t>
      </w:r>
      <w:r w:rsidRPr="00555DA4">
        <w:rPr>
          <w:b/>
          <w:lang w:eastAsia="zh-CN"/>
        </w:rPr>
        <w:t>strategisen toimintamallin suurin rajoite</w:t>
      </w:r>
      <w:r w:rsidRPr="00555DA4">
        <w:rPr>
          <w:lang w:eastAsia="zh-CN"/>
        </w:rPr>
        <w:t xml:space="preserve"> on, että se perustuu kokonaan </w:t>
      </w:r>
      <w:r w:rsidRPr="00555DA4">
        <w:rPr>
          <w:b/>
          <w:lang w:eastAsia="zh-CN"/>
        </w:rPr>
        <w:t>monivuotiseen rahoituskehykseen 2021–2027 sisältyviin nykyisiin rahoitusvälineisiin ja talousarviovaroihin</w:t>
      </w:r>
      <w:r w:rsidRPr="00555DA4">
        <w:rPr>
          <w:lang w:eastAsia="zh-CN"/>
        </w:rPr>
        <w:t xml:space="preserve">. ETSK peräänkuuluttaakin </w:t>
      </w:r>
      <w:r w:rsidRPr="00555DA4">
        <w:rPr>
          <w:b/>
          <w:lang w:eastAsia="zh-CN"/>
        </w:rPr>
        <w:t>välineiden yksinkertaistamista, konsolidoimista ja priorisointia</w:t>
      </w:r>
      <w:r w:rsidRPr="00555DA4">
        <w:rPr>
          <w:lang w:eastAsia="zh-CN"/>
        </w:rPr>
        <w:t xml:space="preserve"> välittömän ja näkyvän vaikutuksen aikaansaamiseksi.</w:t>
      </w:r>
    </w:p>
    <w:p w14:paraId="2DC01C9A" w14:textId="77777777" w:rsidR="00555DA4" w:rsidRPr="00555DA4" w:rsidRDefault="00555DA4" w:rsidP="009D6F2E">
      <w:pPr>
        <w:numPr>
          <w:ilvl w:val="0"/>
          <w:numId w:val="31"/>
        </w:numPr>
        <w:overflowPunct w:val="0"/>
        <w:autoSpaceDE w:val="0"/>
        <w:autoSpaceDN w:val="0"/>
        <w:adjustRightInd w:val="0"/>
        <w:ind w:left="426"/>
        <w:contextualSpacing/>
        <w:textAlignment w:val="baseline"/>
        <w:rPr>
          <w:bCs/>
          <w:iCs/>
          <w:lang w:eastAsia="zh-CN"/>
        </w:rPr>
      </w:pPr>
      <w:r w:rsidRPr="00555DA4">
        <w:rPr>
          <w:lang w:eastAsia="zh-CN"/>
        </w:rPr>
        <w:t xml:space="preserve">suosittaa, että </w:t>
      </w:r>
      <w:r w:rsidRPr="00555DA4">
        <w:rPr>
          <w:b/>
          <w:lang w:eastAsia="zh-CN"/>
        </w:rPr>
        <w:t>kaikista nykyisistä välineistä tehdään perusteellinen vaikutustenarviointi</w:t>
      </w:r>
      <w:r w:rsidRPr="00555DA4">
        <w:rPr>
          <w:lang w:eastAsia="zh-CN"/>
        </w:rPr>
        <w:t xml:space="preserve"> ja että niiden tulevasta käytöstä annetaan sen pohjalta </w:t>
      </w:r>
      <w:r w:rsidRPr="00555DA4">
        <w:rPr>
          <w:b/>
          <w:lang w:eastAsia="zh-CN"/>
        </w:rPr>
        <w:t>tarkempia ja selkeämpiä sitoumuksia</w:t>
      </w:r>
      <w:r w:rsidRPr="00555DA4">
        <w:rPr>
          <w:lang w:eastAsia="zh-CN"/>
        </w:rPr>
        <w:t>.</w:t>
      </w:r>
    </w:p>
    <w:p w14:paraId="3E1619EF" w14:textId="77777777" w:rsidR="00555DA4" w:rsidRPr="00555DA4" w:rsidRDefault="00555DA4" w:rsidP="009D6F2E">
      <w:pPr>
        <w:widowControl w:val="0"/>
        <w:numPr>
          <w:ilvl w:val="0"/>
          <w:numId w:val="31"/>
        </w:numPr>
        <w:overflowPunct w:val="0"/>
        <w:autoSpaceDE w:val="0"/>
        <w:autoSpaceDN w:val="0"/>
        <w:adjustRightInd w:val="0"/>
        <w:ind w:left="426"/>
        <w:contextualSpacing/>
        <w:textAlignment w:val="baseline"/>
        <w:rPr>
          <w:lang w:eastAsia="zh-CN"/>
        </w:rPr>
      </w:pPr>
      <w:r w:rsidRPr="00555DA4">
        <w:rPr>
          <w:lang w:eastAsia="zh-CN"/>
        </w:rPr>
        <w:t xml:space="preserve">pitää tarpeellisena kiinnittää entistä enemmän huomiota </w:t>
      </w:r>
      <w:r w:rsidRPr="00555DA4">
        <w:rPr>
          <w:b/>
          <w:lang w:eastAsia="zh-CN"/>
        </w:rPr>
        <w:t>hybridiuhkien torjuntaan ja hallinnon toimintahäiriöihin</w:t>
      </w:r>
      <w:r w:rsidRPr="00555DA4">
        <w:rPr>
          <w:lang w:eastAsia="zh-CN"/>
        </w:rPr>
        <w:t>, jotka uhkaavat heikentää alueellista vakautta.</w:t>
      </w:r>
    </w:p>
    <w:p w14:paraId="70EDC56E" w14:textId="77777777" w:rsidR="00555DA4" w:rsidRPr="00555DA4" w:rsidRDefault="00555DA4" w:rsidP="00555DA4">
      <w:pPr>
        <w:widowControl w:val="0"/>
        <w:overflowPunct w:val="0"/>
        <w:autoSpaceDE w:val="0"/>
        <w:autoSpaceDN w:val="0"/>
        <w:adjustRightInd w:val="0"/>
        <w:ind w:left="709"/>
        <w:textAlignment w:val="baseline"/>
      </w:pPr>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7095"/>
      </w:tblGrid>
      <w:tr w:rsidR="00555DA4" w:rsidRPr="00555DA4" w14:paraId="37A3C97B" w14:textId="77777777" w:rsidTr="00114B49">
        <w:tc>
          <w:tcPr>
            <w:tcW w:w="1090" w:type="pct"/>
          </w:tcPr>
          <w:p w14:paraId="6CBC0478" w14:textId="77777777" w:rsidR="00555DA4" w:rsidRPr="00555DA4" w:rsidRDefault="00555DA4" w:rsidP="00555DA4">
            <w:pPr>
              <w:overflowPunct w:val="0"/>
              <w:autoSpaceDE w:val="0"/>
              <w:autoSpaceDN w:val="0"/>
              <w:adjustRightInd w:val="0"/>
              <w:textAlignment w:val="baseline"/>
              <w:rPr>
                <w:i/>
                <w:sz w:val="22"/>
                <w:szCs w:val="22"/>
              </w:rPr>
            </w:pPr>
            <w:r w:rsidRPr="00555DA4">
              <w:rPr>
                <w:b/>
                <w:bCs/>
                <w:i/>
                <w:sz w:val="22"/>
                <w:szCs w:val="22"/>
              </w:rPr>
              <w:t>Yhteydenotot</w:t>
            </w:r>
          </w:p>
        </w:tc>
        <w:tc>
          <w:tcPr>
            <w:tcW w:w="3910" w:type="pct"/>
          </w:tcPr>
          <w:p w14:paraId="04046503" w14:textId="77777777" w:rsidR="00555DA4" w:rsidRPr="00555DA4" w:rsidRDefault="00555DA4" w:rsidP="00555DA4">
            <w:pPr>
              <w:overflowPunct w:val="0"/>
              <w:autoSpaceDE w:val="0"/>
              <w:autoSpaceDN w:val="0"/>
              <w:adjustRightInd w:val="0"/>
              <w:textAlignment w:val="baseline"/>
              <w:rPr>
                <w:i/>
                <w:iCs/>
                <w:sz w:val="22"/>
                <w:szCs w:val="22"/>
              </w:rPr>
            </w:pPr>
            <w:r w:rsidRPr="00555DA4">
              <w:rPr>
                <w:i/>
                <w:iCs/>
                <w:sz w:val="22"/>
                <w:szCs w:val="22"/>
              </w:rPr>
              <w:t>Marie-Laurence Drillon</w:t>
            </w:r>
          </w:p>
        </w:tc>
      </w:tr>
      <w:tr w:rsidR="00555DA4" w:rsidRPr="00555DA4" w14:paraId="7941D34F" w14:textId="77777777" w:rsidTr="00114B49">
        <w:tc>
          <w:tcPr>
            <w:tcW w:w="1090" w:type="pct"/>
          </w:tcPr>
          <w:p w14:paraId="21753FAA" w14:textId="77777777" w:rsidR="00555DA4" w:rsidRPr="00555DA4" w:rsidRDefault="00555DA4" w:rsidP="00555DA4">
            <w:pPr>
              <w:overflowPunct w:val="0"/>
              <w:autoSpaceDE w:val="0"/>
              <w:autoSpaceDN w:val="0"/>
              <w:adjustRightInd w:val="0"/>
              <w:textAlignment w:val="baseline"/>
              <w:rPr>
                <w:i/>
                <w:sz w:val="22"/>
                <w:szCs w:val="22"/>
              </w:rPr>
            </w:pPr>
            <w:r w:rsidRPr="00555DA4">
              <w:rPr>
                <w:i/>
                <w:sz w:val="22"/>
                <w:szCs w:val="22"/>
              </w:rPr>
              <w:t>P.</w:t>
            </w:r>
          </w:p>
        </w:tc>
        <w:tc>
          <w:tcPr>
            <w:tcW w:w="3910" w:type="pct"/>
          </w:tcPr>
          <w:p w14:paraId="2A181747" w14:textId="77777777" w:rsidR="00555DA4" w:rsidRPr="00555DA4" w:rsidRDefault="00555DA4" w:rsidP="00555DA4">
            <w:pPr>
              <w:overflowPunct w:val="0"/>
              <w:autoSpaceDE w:val="0"/>
              <w:autoSpaceDN w:val="0"/>
              <w:adjustRightInd w:val="0"/>
              <w:textAlignment w:val="baseline"/>
              <w:rPr>
                <w:i/>
                <w:sz w:val="22"/>
                <w:szCs w:val="22"/>
              </w:rPr>
            </w:pPr>
            <w:r w:rsidRPr="00555DA4">
              <w:rPr>
                <w:i/>
                <w:sz w:val="22"/>
                <w:szCs w:val="22"/>
              </w:rPr>
              <w:t>+32 2 546 8320</w:t>
            </w:r>
          </w:p>
        </w:tc>
      </w:tr>
      <w:tr w:rsidR="00555DA4" w:rsidRPr="00555DA4" w14:paraId="6113A850" w14:textId="77777777" w:rsidTr="00114B49">
        <w:tc>
          <w:tcPr>
            <w:tcW w:w="1090" w:type="pct"/>
          </w:tcPr>
          <w:p w14:paraId="6D5479B4" w14:textId="77777777" w:rsidR="00555DA4" w:rsidRPr="00555DA4" w:rsidRDefault="00555DA4" w:rsidP="00555DA4">
            <w:pPr>
              <w:overflowPunct w:val="0"/>
              <w:autoSpaceDE w:val="0"/>
              <w:autoSpaceDN w:val="0"/>
              <w:adjustRightInd w:val="0"/>
              <w:textAlignment w:val="baseline"/>
              <w:rPr>
                <w:i/>
                <w:sz w:val="22"/>
                <w:szCs w:val="22"/>
              </w:rPr>
            </w:pPr>
            <w:r w:rsidRPr="00555DA4">
              <w:rPr>
                <w:i/>
                <w:sz w:val="22"/>
                <w:szCs w:val="22"/>
              </w:rPr>
              <w:t>Sähköposti</w:t>
            </w:r>
          </w:p>
        </w:tc>
        <w:tc>
          <w:tcPr>
            <w:tcW w:w="3910" w:type="pct"/>
          </w:tcPr>
          <w:p w14:paraId="5CCDDFE8" w14:textId="77777777" w:rsidR="00555DA4" w:rsidRPr="00555DA4" w:rsidRDefault="008921B6" w:rsidP="00555DA4">
            <w:pPr>
              <w:overflowPunct w:val="0"/>
              <w:autoSpaceDE w:val="0"/>
              <w:autoSpaceDN w:val="0"/>
              <w:adjustRightInd w:val="0"/>
              <w:textAlignment w:val="baseline"/>
              <w:rPr>
                <w:i/>
                <w:sz w:val="22"/>
                <w:szCs w:val="22"/>
              </w:rPr>
            </w:pPr>
            <w:hyperlink r:id="rId42" w:history="1">
              <w:r w:rsidR="00555DA4" w:rsidRPr="00555DA4">
                <w:rPr>
                  <w:i/>
                  <w:color w:val="0000FF"/>
                  <w:sz w:val="22"/>
                  <w:szCs w:val="22"/>
                  <w:u w:val="single"/>
                </w:rPr>
                <w:t>Marie-Laurence.Drillon@eesc.europa.eu</w:t>
              </w:r>
            </w:hyperlink>
          </w:p>
        </w:tc>
      </w:tr>
    </w:tbl>
    <w:p w14:paraId="309573CF" w14:textId="0FE0E044" w:rsidR="00555DA4" w:rsidRPr="00011012" w:rsidRDefault="00555DA4">
      <w:pPr>
        <w:spacing w:after="160" w:line="259" w:lineRule="auto"/>
        <w:jc w:val="left"/>
      </w:pPr>
    </w:p>
    <w:p w14:paraId="41084EAB" w14:textId="77777777" w:rsidR="00555DA4" w:rsidRDefault="00555DA4">
      <w:pPr>
        <w:spacing w:after="160" w:line="259" w:lineRule="auto"/>
        <w:jc w:val="left"/>
      </w:pPr>
      <w:r>
        <w:br w:type="page"/>
      </w:r>
    </w:p>
    <w:p w14:paraId="031FA6EA" w14:textId="1C4C79B0" w:rsidR="00555DA4" w:rsidRPr="0003586F" w:rsidRDefault="008921B6" w:rsidP="00555DA4">
      <w:pPr>
        <w:widowControl w:val="0"/>
        <w:numPr>
          <w:ilvl w:val="0"/>
          <w:numId w:val="4"/>
        </w:numPr>
        <w:overflowPunct w:val="0"/>
        <w:autoSpaceDE w:val="0"/>
        <w:autoSpaceDN w:val="0"/>
        <w:adjustRightInd w:val="0"/>
        <w:ind w:hanging="567"/>
        <w:textAlignment w:val="baseline"/>
        <w:rPr>
          <w:sz w:val="20"/>
        </w:rPr>
      </w:pPr>
      <w:hyperlink r:id="rId43" w:history="1">
        <w:r w:rsidR="00555DA4">
          <w:rPr>
            <w:rStyle w:val="Hyperlink"/>
            <w:b/>
            <w:i/>
            <w:sz w:val="28"/>
          </w:rPr>
          <w:t>Globaali Eurooppa (monivuotista rahoituskehystä koskeva ehdotus)</w:t>
        </w:r>
      </w:hyperlink>
    </w:p>
    <w:p w14:paraId="70531328" w14:textId="77777777" w:rsidR="00555DA4" w:rsidRPr="00A6689B" w:rsidRDefault="00555DA4" w:rsidP="00555DA4">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555DA4" w:rsidRPr="00A6689B" w14:paraId="1B92C225" w14:textId="77777777" w:rsidTr="00114B49">
        <w:tc>
          <w:tcPr>
            <w:tcW w:w="1077" w:type="pct"/>
          </w:tcPr>
          <w:p w14:paraId="3E12CF8F" w14:textId="77777777" w:rsidR="00555DA4" w:rsidRPr="00A6689B" w:rsidRDefault="00555DA4" w:rsidP="00114B49">
            <w:pPr>
              <w:tabs>
                <w:tab w:val="center" w:pos="284"/>
              </w:tabs>
              <w:ind w:left="266" w:hanging="266"/>
              <w:rPr>
                <w:b/>
              </w:rPr>
            </w:pPr>
            <w:r>
              <w:rPr>
                <w:b/>
              </w:rPr>
              <w:t>Esittelijä</w:t>
            </w:r>
          </w:p>
        </w:tc>
        <w:tc>
          <w:tcPr>
            <w:tcW w:w="3923" w:type="pct"/>
          </w:tcPr>
          <w:p w14:paraId="72B16C40" w14:textId="77777777" w:rsidR="00555DA4" w:rsidRPr="00A6689B" w:rsidRDefault="00555DA4" w:rsidP="00114B49">
            <w:pPr>
              <w:tabs>
                <w:tab w:val="center" w:pos="284"/>
              </w:tabs>
              <w:ind w:left="266" w:right="-3091" w:hanging="266"/>
            </w:pPr>
            <w:r>
              <w:t>Mateusz SZYMAŃSKI (työntekijät – PL)</w:t>
            </w:r>
          </w:p>
        </w:tc>
      </w:tr>
      <w:tr w:rsidR="00555DA4" w:rsidRPr="00A6689B" w14:paraId="53FD9E07" w14:textId="77777777" w:rsidTr="00114B49">
        <w:tc>
          <w:tcPr>
            <w:tcW w:w="1077" w:type="pct"/>
          </w:tcPr>
          <w:p w14:paraId="682ED8AF" w14:textId="77777777" w:rsidR="00555DA4" w:rsidRPr="00A6689B" w:rsidRDefault="00555DA4" w:rsidP="00114B49">
            <w:pPr>
              <w:tabs>
                <w:tab w:val="center" w:pos="284"/>
              </w:tabs>
              <w:ind w:left="266" w:hanging="266"/>
              <w:rPr>
                <w:b/>
              </w:rPr>
            </w:pPr>
            <w:r>
              <w:rPr>
                <w:b/>
              </w:rPr>
              <w:t>Yhteisesittelijä</w:t>
            </w:r>
          </w:p>
        </w:tc>
        <w:tc>
          <w:tcPr>
            <w:tcW w:w="3923" w:type="pct"/>
          </w:tcPr>
          <w:p w14:paraId="035FCF50" w14:textId="77777777" w:rsidR="00555DA4" w:rsidRDefault="00555DA4" w:rsidP="00114B49">
            <w:pPr>
              <w:tabs>
                <w:tab w:val="center" w:pos="284"/>
              </w:tabs>
              <w:ind w:left="266" w:right="-3091" w:hanging="266"/>
            </w:pPr>
            <w:r>
              <w:t>Luca JAHIER (kansalaisyhteiskunnan organisaatiot – IT)</w:t>
            </w:r>
          </w:p>
          <w:p w14:paraId="683BAA35" w14:textId="50EBDBE5" w:rsidR="00CE31C3" w:rsidRPr="00A6689B" w:rsidRDefault="00CE31C3" w:rsidP="00114B49">
            <w:pPr>
              <w:tabs>
                <w:tab w:val="center" w:pos="284"/>
              </w:tabs>
              <w:ind w:left="266" w:right="-3091" w:hanging="266"/>
            </w:pPr>
          </w:p>
        </w:tc>
      </w:tr>
      <w:tr w:rsidR="00555DA4" w:rsidRPr="00A6689B" w14:paraId="64828AE4" w14:textId="77777777" w:rsidTr="00114B49">
        <w:tc>
          <w:tcPr>
            <w:tcW w:w="1077" w:type="pct"/>
          </w:tcPr>
          <w:p w14:paraId="43A4462A" w14:textId="77777777" w:rsidR="00555DA4" w:rsidRPr="00A6689B" w:rsidRDefault="00555DA4" w:rsidP="00114B49">
            <w:pPr>
              <w:tabs>
                <w:tab w:val="center" w:pos="284"/>
              </w:tabs>
              <w:ind w:left="266" w:hanging="266"/>
              <w:rPr>
                <w:b/>
              </w:rPr>
            </w:pPr>
            <w:r>
              <w:rPr>
                <w:b/>
              </w:rPr>
              <w:t>Viiteasiakirja</w:t>
            </w:r>
          </w:p>
        </w:tc>
        <w:tc>
          <w:tcPr>
            <w:tcW w:w="3923" w:type="pct"/>
          </w:tcPr>
          <w:p w14:paraId="49FD5FBA" w14:textId="77777777" w:rsidR="00CE31C3" w:rsidRDefault="00CE31C3" w:rsidP="00CE31C3">
            <w:pPr>
              <w:tabs>
                <w:tab w:val="center" w:pos="284"/>
              </w:tabs>
              <w:overflowPunct w:val="0"/>
              <w:autoSpaceDE w:val="0"/>
              <w:autoSpaceDN w:val="0"/>
              <w:adjustRightInd w:val="0"/>
              <w:ind w:left="266" w:right="-3091" w:hanging="266"/>
              <w:textAlignment w:val="baseline"/>
            </w:pPr>
            <w:r>
              <w:t>COM(2025) 551 final</w:t>
            </w:r>
          </w:p>
          <w:p w14:paraId="10248803" w14:textId="77777777" w:rsidR="00555DA4" w:rsidRPr="00A6689B" w:rsidRDefault="00555DA4" w:rsidP="00114B49">
            <w:pPr>
              <w:tabs>
                <w:tab w:val="center" w:pos="284"/>
              </w:tabs>
              <w:ind w:left="266" w:right="-3091" w:hanging="266"/>
            </w:pPr>
            <w:r>
              <w:t>EESC-2025-02605-00-00-AC-TRA</w:t>
            </w:r>
          </w:p>
        </w:tc>
      </w:tr>
    </w:tbl>
    <w:p w14:paraId="7F1748AE" w14:textId="77777777" w:rsidR="00555DA4" w:rsidRDefault="00555DA4" w:rsidP="00555DA4">
      <w:pPr>
        <w:tabs>
          <w:tab w:val="center" w:pos="284"/>
        </w:tabs>
        <w:ind w:left="266" w:hanging="266"/>
        <w:rPr>
          <w:b/>
        </w:rPr>
      </w:pPr>
    </w:p>
    <w:p w14:paraId="3B4C4514" w14:textId="77777777" w:rsidR="00555DA4" w:rsidRPr="00A6689B" w:rsidRDefault="00555DA4" w:rsidP="00555DA4">
      <w:pPr>
        <w:keepNext/>
        <w:keepLines/>
        <w:tabs>
          <w:tab w:val="center" w:pos="284"/>
        </w:tabs>
        <w:ind w:left="266" w:hanging="266"/>
        <w:rPr>
          <w:b/>
        </w:rPr>
      </w:pPr>
      <w:r>
        <w:rPr>
          <w:b/>
        </w:rPr>
        <w:t>Keskeiset kohdat</w:t>
      </w:r>
    </w:p>
    <w:p w14:paraId="7802F27E" w14:textId="77777777" w:rsidR="00555DA4" w:rsidRPr="00A6689B" w:rsidRDefault="00555DA4" w:rsidP="00555DA4">
      <w:pPr>
        <w:keepNext/>
        <w:keepLines/>
        <w:tabs>
          <w:tab w:val="center" w:pos="284"/>
        </w:tabs>
        <w:ind w:left="266" w:hanging="266"/>
        <w:rPr>
          <w:b/>
        </w:rPr>
      </w:pPr>
    </w:p>
    <w:p w14:paraId="241DD0FF" w14:textId="77777777" w:rsidR="00555DA4" w:rsidRPr="00A6689B" w:rsidRDefault="00555DA4" w:rsidP="00555DA4">
      <w:pPr>
        <w:rPr>
          <w:bCs/>
          <w:iCs/>
        </w:rPr>
      </w:pPr>
      <w:r>
        <w:t>ETSK</w:t>
      </w:r>
    </w:p>
    <w:p w14:paraId="26E79EFB" w14:textId="77777777" w:rsidR="00555DA4" w:rsidRDefault="00555DA4" w:rsidP="009D6F2E">
      <w:pPr>
        <w:widowControl w:val="0"/>
        <w:numPr>
          <w:ilvl w:val="0"/>
          <w:numId w:val="32"/>
        </w:numPr>
        <w:overflowPunct w:val="0"/>
        <w:autoSpaceDE w:val="0"/>
        <w:autoSpaceDN w:val="0"/>
        <w:adjustRightInd w:val="0"/>
        <w:ind w:left="426"/>
        <w:textAlignment w:val="baseline"/>
        <w:rPr>
          <w:bCs/>
          <w:iCs/>
        </w:rPr>
      </w:pPr>
      <w:r>
        <w:t>suhtautuu myönteisesti komission ehdotukseen, jonka mukaan EU:n ulkopolitiikkaan liittyviä menoja lisätään tulevassa monivuotisessa rahoituskehyksessä Globaali Eurooppa -välineellä, johon sisältyy Ukrainaa koskeva varaus, ja pitää määrärahojen lisäämistä olennaisen tärkeänä, jotta EU voi vahvistaa asemaansa maailmanlaajuisena toimijana, edistää arvojaan ja rakentaa strategista autonomiaa.</w:t>
      </w:r>
    </w:p>
    <w:p w14:paraId="1ECABC95" w14:textId="77777777" w:rsidR="00555DA4" w:rsidRPr="004541E6" w:rsidRDefault="00555DA4" w:rsidP="009D6F2E">
      <w:pPr>
        <w:widowControl w:val="0"/>
        <w:numPr>
          <w:ilvl w:val="0"/>
          <w:numId w:val="32"/>
        </w:numPr>
        <w:overflowPunct w:val="0"/>
        <w:autoSpaceDE w:val="0"/>
        <w:autoSpaceDN w:val="0"/>
        <w:adjustRightInd w:val="0"/>
        <w:ind w:left="426"/>
        <w:textAlignment w:val="baseline"/>
        <w:rPr>
          <w:bCs/>
          <w:iCs/>
        </w:rPr>
      </w:pPr>
      <w:r>
        <w:t xml:space="preserve">katsoo, että EU:n olisi johdettava maailmanlaajuisia kehitystoimia ja humanitaarisia toimia ja annettava uutta pontta Yhdistyneiden kansakuntien järjestelmälle ja että Global Gateway </w:t>
      </w:r>
      <w:r>
        <w:noBreakHyphen/>
        <w:t xml:space="preserve">strategiasta olisi tultava sen tärkein väline. </w:t>
      </w:r>
    </w:p>
    <w:p w14:paraId="62B158D9" w14:textId="77777777" w:rsidR="00555DA4" w:rsidRPr="004541E6" w:rsidRDefault="00555DA4" w:rsidP="009D6F2E">
      <w:pPr>
        <w:widowControl w:val="0"/>
        <w:numPr>
          <w:ilvl w:val="0"/>
          <w:numId w:val="32"/>
        </w:numPr>
        <w:overflowPunct w:val="0"/>
        <w:autoSpaceDE w:val="0"/>
        <w:autoSpaceDN w:val="0"/>
        <w:adjustRightInd w:val="0"/>
        <w:ind w:left="426"/>
        <w:textAlignment w:val="baseline"/>
        <w:rPr>
          <w:bCs/>
          <w:iCs/>
        </w:rPr>
      </w:pPr>
      <w:r>
        <w:t>huomauttaa, että Global Gateway -strategian kansalaisyhteiskunnan ja paikallisviranomaisten neuvoa-antava foorumi on edelleen irrallaan päätöksenteosta, minkä vuoksi vuoropuhelu on hajanaista. Komitea kehottaa varmistamaan myös ETSK:n ja AK:n merkityksellisen osallistumisen.</w:t>
      </w:r>
    </w:p>
    <w:p w14:paraId="48AA69ED" w14:textId="77777777" w:rsidR="00555DA4" w:rsidRDefault="00555DA4" w:rsidP="009D6F2E">
      <w:pPr>
        <w:widowControl w:val="0"/>
        <w:numPr>
          <w:ilvl w:val="0"/>
          <w:numId w:val="32"/>
        </w:numPr>
        <w:overflowPunct w:val="0"/>
        <w:autoSpaceDE w:val="0"/>
        <w:autoSpaceDN w:val="0"/>
        <w:adjustRightInd w:val="0"/>
        <w:ind w:left="426"/>
        <w:textAlignment w:val="baseline"/>
        <w:rPr>
          <w:bCs/>
          <w:iCs/>
        </w:rPr>
      </w:pPr>
      <w:r>
        <w:t>korostaa tarvetta lisätä johdonmukaisuutta ulkopolitiikan, kehittämisen, kaupan ja Euroopan kilpailukykyrahaston välillä, jotta voidaan saavuttaa kestävä kehitys ja talouden häiriönsietokyky.</w:t>
      </w:r>
    </w:p>
    <w:p w14:paraId="4CAE94EB" w14:textId="77777777" w:rsidR="00555DA4" w:rsidRPr="004541E6" w:rsidRDefault="00555DA4" w:rsidP="009D6F2E">
      <w:pPr>
        <w:widowControl w:val="0"/>
        <w:numPr>
          <w:ilvl w:val="0"/>
          <w:numId w:val="32"/>
        </w:numPr>
        <w:overflowPunct w:val="0"/>
        <w:autoSpaceDE w:val="0"/>
        <w:autoSpaceDN w:val="0"/>
        <w:adjustRightInd w:val="0"/>
        <w:ind w:left="426"/>
        <w:textAlignment w:val="baseline"/>
        <w:rPr>
          <w:bCs/>
          <w:iCs/>
        </w:rPr>
      </w:pPr>
      <w:r>
        <w:t>peräänkuuluttaa täyttä avoimuutta ja vastuuvelvollisuutta varojen käytössä, vaikka ulkoisen toiminnan ehdotettu joustavuus onkin tervetullutta.</w:t>
      </w:r>
    </w:p>
    <w:p w14:paraId="6093E3D2" w14:textId="77777777" w:rsidR="00555DA4" w:rsidRPr="004541E6" w:rsidRDefault="00555DA4" w:rsidP="009D6F2E">
      <w:pPr>
        <w:widowControl w:val="0"/>
        <w:numPr>
          <w:ilvl w:val="0"/>
          <w:numId w:val="32"/>
        </w:numPr>
        <w:overflowPunct w:val="0"/>
        <w:autoSpaceDE w:val="0"/>
        <w:autoSpaceDN w:val="0"/>
        <w:adjustRightInd w:val="0"/>
        <w:ind w:left="426"/>
        <w:textAlignment w:val="baseline"/>
        <w:rPr>
          <w:bCs/>
          <w:iCs/>
        </w:rPr>
      </w:pPr>
      <w:r>
        <w:t xml:space="preserve">kehottaa hyödyntämään komission eriarvoisuusindikaattoria Global Gateway -hankkeissa. </w:t>
      </w:r>
    </w:p>
    <w:p w14:paraId="2497D113" w14:textId="77777777" w:rsidR="00555DA4" w:rsidRPr="004541E6" w:rsidRDefault="00555DA4" w:rsidP="009D6F2E">
      <w:pPr>
        <w:widowControl w:val="0"/>
        <w:numPr>
          <w:ilvl w:val="0"/>
          <w:numId w:val="32"/>
        </w:numPr>
        <w:overflowPunct w:val="0"/>
        <w:autoSpaceDE w:val="0"/>
        <w:autoSpaceDN w:val="0"/>
        <w:adjustRightInd w:val="0"/>
        <w:ind w:left="426"/>
        <w:textAlignment w:val="baseline"/>
        <w:rPr>
          <w:bCs/>
          <w:iCs/>
        </w:rPr>
      </w:pPr>
      <w:r>
        <w:t xml:space="preserve">toivoo, että olemassa olevia elimiä, kuten kansalaisyhteiskunnan foorumeita, osallistetaan tehokkaammin suhteiden ylläpitämisessä kumppanimaiden organisaatioihin. </w:t>
      </w:r>
    </w:p>
    <w:p w14:paraId="6F3C7AF3" w14:textId="77777777" w:rsidR="00555DA4" w:rsidRPr="004541E6" w:rsidRDefault="00555DA4" w:rsidP="009D6F2E">
      <w:pPr>
        <w:widowControl w:val="0"/>
        <w:numPr>
          <w:ilvl w:val="0"/>
          <w:numId w:val="32"/>
        </w:numPr>
        <w:overflowPunct w:val="0"/>
        <w:autoSpaceDE w:val="0"/>
        <w:autoSpaceDN w:val="0"/>
        <w:adjustRightInd w:val="0"/>
        <w:ind w:left="426"/>
        <w:textAlignment w:val="baseline"/>
        <w:rPr>
          <w:bCs/>
          <w:iCs/>
        </w:rPr>
      </w:pPr>
      <w:r>
        <w:t>kannattaa kaikkia toimia vaurauden ja turvallisuuden lisäämiseksi lähinaapurustossa ja siten koko EU:ssa sekä unionin laajentumista edelleen.</w:t>
      </w:r>
    </w:p>
    <w:p w14:paraId="7E45AD31" w14:textId="77777777" w:rsidR="00555DA4" w:rsidRPr="004541E6" w:rsidRDefault="00555DA4" w:rsidP="009D6F2E">
      <w:pPr>
        <w:widowControl w:val="0"/>
        <w:numPr>
          <w:ilvl w:val="0"/>
          <w:numId w:val="32"/>
        </w:numPr>
        <w:overflowPunct w:val="0"/>
        <w:autoSpaceDE w:val="0"/>
        <w:autoSpaceDN w:val="0"/>
        <w:adjustRightInd w:val="0"/>
        <w:ind w:left="426"/>
        <w:textAlignment w:val="baseline"/>
        <w:rPr>
          <w:bCs/>
          <w:iCs/>
        </w:rPr>
      </w:pPr>
      <w:r>
        <w:t>korostaa, että kansalaisyhteiskunnan organisaatioille on osoitettava ennakoitavaa ja vakaata rahoitusta, jotta voidaan edistää etenkin demokratiaa, kansalaisyhteiskunnan toimintamahdollisuuksia ja sukupuolten tasa-arvoa.</w:t>
      </w:r>
    </w:p>
    <w:p w14:paraId="521226D0" w14:textId="77777777" w:rsidR="00555DA4" w:rsidRDefault="00555DA4" w:rsidP="009D6F2E">
      <w:pPr>
        <w:widowControl w:val="0"/>
        <w:numPr>
          <w:ilvl w:val="0"/>
          <w:numId w:val="32"/>
        </w:numPr>
        <w:overflowPunct w:val="0"/>
        <w:autoSpaceDE w:val="0"/>
        <w:autoSpaceDN w:val="0"/>
        <w:adjustRightInd w:val="0"/>
        <w:ind w:left="426"/>
        <w:textAlignment w:val="baseline"/>
        <w:rPr>
          <w:bCs/>
          <w:iCs/>
        </w:rPr>
      </w:pPr>
      <w:r>
        <w:t>toivoo, että taloudellisen yhteistyön ja yrittäjyyden tavoitteisiin yhdistetään myös kunnianhimoisia sosiaalisia sekä ihmisoikeuksia ja ympäristöä koskevia suojatoimia.</w:t>
      </w:r>
    </w:p>
    <w:p w14:paraId="1D67D6B3" w14:textId="77777777" w:rsidR="00555DA4" w:rsidRPr="004541E6" w:rsidRDefault="00555DA4" w:rsidP="009D6F2E">
      <w:pPr>
        <w:widowControl w:val="0"/>
        <w:numPr>
          <w:ilvl w:val="0"/>
          <w:numId w:val="32"/>
        </w:numPr>
        <w:overflowPunct w:val="0"/>
        <w:autoSpaceDE w:val="0"/>
        <w:autoSpaceDN w:val="0"/>
        <w:adjustRightInd w:val="0"/>
        <w:ind w:left="426"/>
        <w:textAlignment w:val="baseline"/>
        <w:rPr>
          <w:bCs/>
          <w:iCs/>
        </w:rPr>
      </w:pPr>
      <w:r>
        <w:t>vastustaa maksujen keskeyttämistä muuttoliikepolitiikan yhteydessä ja korostaa, että asetettujen tavoitteiden saavuttamiseksi tarvitaan myönteisiä kannustimia.</w:t>
      </w:r>
    </w:p>
    <w:p w14:paraId="33A46267" w14:textId="77777777" w:rsidR="00555DA4" w:rsidRPr="000624A9" w:rsidRDefault="00555DA4" w:rsidP="00555DA4">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555DA4" w:rsidRPr="00A6689B" w14:paraId="542B5B06" w14:textId="77777777" w:rsidTr="00114B49">
        <w:tc>
          <w:tcPr>
            <w:tcW w:w="1077" w:type="pct"/>
          </w:tcPr>
          <w:p w14:paraId="445FC6EF" w14:textId="77777777" w:rsidR="00555DA4" w:rsidRPr="00A6689B" w:rsidRDefault="00555DA4" w:rsidP="00114B49">
            <w:pPr>
              <w:rPr>
                <w:i/>
              </w:rPr>
            </w:pPr>
            <w:r>
              <w:rPr>
                <w:b/>
                <w:i/>
              </w:rPr>
              <w:t>Yhteydenotot</w:t>
            </w:r>
          </w:p>
        </w:tc>
        <w:tc>
          <w:tcPr>
            <w:tcW w:w="3923" w:type="pct"/>
          </w:tcPr>
          <w:p w14:paraId="295F9D89" w14:textId="77777777" w:rsidR="00555DA4" w:rsidRPr="00A6689B" w:rsidRDefault="00555DA4" w:rsidP="00114B49">
            <w:pPr>
              <w:rPr>
                <w:i/>
              </w:rPr>
            </w:pPr>
            <w:r>
              <w:rPr>
                <w:i/>
              </w:rPr>
              <w:t xml:space="preserve">Daniele Vitali </w:t>
            </w:r>
          </w:p>
        </w:tc>
      </w:tr>
      <w:tr w:rsidR="00555DA4" w:rsidRPr="00A6689B" w14:paraId="66E30678" w14:textId="77777777" w:rsidTr="00114B49">
        <w:tc>
          <w:tcPr>
            <w:tcW w:w="1077" w:type="pct"/>
          </w:tcPr>
          <w:p w14:paraId="1E4FCF3F" w14:textId="77777777" w:rsidR="00555DA4" w:rsidRPr="00A6689B" w:rsidRDefault="00555DA4" w:rsidP="00114B49">
            <w:pPr>
              <w:rPr>
                <w:i/>
              </w:rPr>
            </w:pPr>
            <w:r>
              <w:rPr>
                <w:i/>
              </w:rPr>
              <w:t>P.</w:t>
            </w:r>
          </w:p>
        </w:tc>
        <w:tc>
          <w:tcPr>
            <w:tcW w:w="3923" w:type="pct"/>
          </w:tcPr>
          <w:p w14:paraId="76CE6419" w14:textId="77777777" w:rsidR="00555DA4" w:rsidRPr="00A6689B" w:rsidRDefault="00555DA4" w:rsidP="00114B49">
            <w:pPr>
              <w:rPr>
                <w:i/>
              </w:rPr>
            </w:pPr>
            <w:r>
              <w:rPr>
                <w:i/>
              </w:rPr>
              <w:t>+32 2546 8817</w:t>
            </w:r>
          </w:p>
        </w:tc>
      </w:tr>
      <w:tr w:rsidR="00555DA4" w:rsidRPr="00A6689B" w14:paraId="5CDF115A" w14:textId="77777777" w:rsidTr="00114B49">
        <w:tc>
          <w:tcPr>
            <w:tcW w:w="1077" w:type="pct"/>
          </w:tcPr>
          <w:p w14:paraId="2E7C1F4F" w14:textId="77777777" w:rsidR="00555DA4" w:rsidRPr="00A6689B" w:rsidRDefault="00555DA4" w:rsidP="00114B49">
            <w:pPr>
              <w:rPr>
                <w:i/>
              </w:rPr>
            </w:pPr>
            <w:r>
              <w:rPr>
                <w:i/>
              </w:rPr>
              <w:t>Sähköposti</w:t>
            </w:r>
          </w:p>
        </w:tc>
        <w:tc>
          <w:tcPr>
            <w:tcW w:w="3923" w:type="pct"/>
          </w:tcPr>
          <w:p w14:paraId="6AC9DAE2" w14:textId="77777777" w:rsidR="00555DA4" w:rsidRPr="00A6689B" w:rsidRDefault="008921B6" w:rsidP="00114B49">
            <w:pPr>
              <w:rPr>
                <w:i/>
              </w:rPr>
            </w:pPr>
            <w:hyperlink r:id="rId44" w:history="1">
              <w:r w:rsidR="00555DA4">
                <w:rPr>
                  <w:rStyle w:val="Hyperlink"/>
                  <w:i/>
                </w:rPr>
                <w:t>Daniele.Vitali@eesc.europa.eu</w:t>
              </w:r>
            </w:hyperlink>
          </w:p>
        </w:tc>
      </w:tr>
    </w:tbl>
    <w:p w14:paraId="10C75FAD" w14:textId="366D0FF4" w:rsidR="00555DA4" w:rsidRDefault="00555DA4">
      <w:pPr>
        <w:spacing w:after="160" w:line="259" w:lineRule="auto"/>
        <w:jc w:val="left"/>
      </w:pPr>
      <w:r>
        <w:br w:type="page"/>
      </w:r>
    </w:p>
    <w:p w14:paraId="0E77954A" w14:textId="2B7DB79A" w:rsidR="00555DA4" w:rsidRPr="001D72B0" w:rsidRDefault="008921B6" w:rsidP="00555DA4">
      <w:pPr>
        <w:widowControl w:val="0"/>
        <w:numPr>
          <w:ilvl w:val="0"/>
          <w:numId w:val="4"/>
        </w:numPr>
        <w:overflowPunct w:val="0"/>
        <w:autoSpaceDE w:val="0"/>
        <w:autoSpaceDN w:val="0"/>
        <w:adjustRightInd w:val="0"/>
        <w:ind w:hanging="567"/>
        <w:textAlignment w:val="baseline"/>
        <w:rPr>
          <w:sz w:val="20"/>
        </w:rPr>
      </w:pPr>
      <w:hyperlink r:id="rId45" w:history="1">
        <w:r w:rsidR="00555DA4">
          <w:rPr>
            <w:rStyle w:val="Hyperlink"/>
            <w:b/>
            <w:i/>
            <w:sz w:val="28"/>
          </w:rPr>
          <w:t>Ennakoitavissa oleva ja yhteinen etenemistapa EU:ssa olevia ukrainalaisia varten</w:t>
        </w:r>
      </w:hyperlink>
    </w:p>
    <w:p w14:paraId="1CA7039A" w14:textId="77777777" w:rsidR="00555DA4" w:rsidRPr="001D72B0" w:rsidRDefault="00555DA4" w:rsidP="00555DA4">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555DA4" w:rsidRPr="00A6689B" w14:paraId="05130E09" w14:textId="77777777" w:rsidTr="00114B49">
        <w:tc>
          <w:tcPr>
            <w:tcW w:w="1077" w:type="pct"/>
          </w:tcPr>
          <w:p w14:paraId="4E41E042" w14:textId="77777777" w:rsidR="00555DA4" w:rsidRPr="00A6689B" w:rsidRDefault="00555DA4" w:rsidP="00114B49">
            <w:pPr>
              <w:tabs>
                <w:tab w:val="center" w:pos="284"/>
              </w:tabs>
              <w:ind w:left="266" w:hanging="266"/>
              <w:rPr>
                <w:b/>
              </w:rPr>
            </w:pPr>
            <w:r>
              <w:rPr>
                <w:b/>
              </w:rPr>
              <w:t xml:space="preserve">Esittelijä </w:t>
            </w:r>
          </w:p>
        </w:tc>
        <w:tc>
          <w:tcPr>
            <w:tcW w:w="3923" w:type="pct"/>
          </w:tcPr>
          <w:p w14:paraId="504513BD" w14:textId="77777777" w:rsidR="00555DA4" w:rsidRPr="00A6689B" w:rsidRDefault="00555DA4" w:rsidP="00114B49">
            <w:pPr>
              <w:tabs>
                <w:tab w:val="center" w:pos="284"/>
              </w:tabs>
              <w:ind w:left="266" w:right="-3091" w:hanging="266"/>
            </w:pPr>
            <w:r>
              <w:t>Mateusz SZYMAŃSKI (työntekijät – PL)</w:t>
            </w:r>
          </w:p>
        </w:tc>
      </w:tr>
      <w:tr w:rsidR="00555DA4" w:rsidRPr="00A6689B" w14:paraId="7885BE4C" w14:textId="77777777" w:rsidTr="00114B49">
        <w:tc>
          <w:tcPr>
            <w:tcW w:w="1077" w:type="pct"/>
          </w:tcPr>
          <w:p w14:paraId="470E109D" w14:textId="77777777" w:rsidR="00555DA4" w:rsidRPr="00A6689B" w:rsidRDefault="00555DA4" w:rsidP="00114B49">
            <w:pPr>
              <w:tabs>
                <w:tab w:val="center" w:pos="284"/>
              </w:tabs>
              <w:ind w:left="266" w:hanging="266"/>
              <w:rPr>
                <w:b/>
              </w:rPr>
            </w:pPr>
            <w:r>
              <w:rPr>
                <w:b/>
              </w:rPr>
              <w:t>Yhteisesittelijä</w:t>
            </w:r>
          </w:p>
        </w:tc>
        <w:tc>
          <w:tcPr>
            <w:tcW w:w="3923" w:type="pct"/>
          </w:tcPr>
          <w:p w14:paraId="42E614C9" w14:textId="77777777" w:rsidR="00555DA4" w:rsidRDefault="00555DA4" w:rsidP="00114B49">
            <w:pPr>
              <w:tabs>
                <w:tab w:val="center" w:pos="284"/>
              </w:tabs>
              <w:ind w:left="266" w:right="-3091" w:hanging="266"/>
            </w:pPr>
            <w:r>
              <w:t>Krzysztof BALON (kansalaisyhteiskunnan organisaatiot – PL)</w:t>
            </w:r>
          </w:p>
          <w:p w14:paraId="01A02A5C" w14:textId="089B24F9" w:rsidR="00CE31C3" w:rsidRPr="00A6689B" w:rsidRDefault="00CE31C3" w:rsidP="00114B49">
            <w:pPr>
              <w:tabs>
                <w:tab w:val="center" w:pos="284"/>
              </w:tabs>
              <w:ind w:left="266" w:right="-3091" w:hanging="266"/>
            </w:pPr>
          </w:p>
        </w:tc>
      </w:tr>
      <w:tr w:rsidR="00555DA4" w:rsidRPr="00A6689B" w14:paraId="34D7D08E" w14:textId="77777777" w:rsidTr="00114B49">
        <w:tc>
          <w:tcPr>
            <w:tcW w:w="1077" w:type="pct"/>
          </w:tcPr>
          <w:p w14:paraId="3DE25043" w14:textId="77777777" w:rsidR="00555DA4" w:rsidRPr="00156DC6" w:rsidRDefault="00555DA4" w:rsidP="00114B49">
            <w:pPr>
              <w:tabs>
                <w:tab w:val="center" w:pos="284"/>
              </w:tabs>
              <w:ind w:left="266" w:hanging="266"/>
              <w:rPr>
                <w:b/>
              </w:rPr>
            </w:pPr>
            <w:r>
              <w:rPr>
                <w:b/>
              </w:rPr>
              <w:t>Viiteasiakirja</w:t>
            </w:r>
          </w:p>
        </w:tc>
        <w:tc>
          <w:tcPr>
            <w:tcW w:w="3923" w:type="pct"/>
          </w:tcPr>
          <w:p w14:paraId="35BF6A2D" w14:textId="77777777" w:rsidR="00CE31C3" w:rsidRDefault="00CE31C3" w:rsidP="00CE31C3">
            <w:pPr>
              <w:tabs>
                <w:tab w:val="center" w:pos="284"/>
              </w:tabs>
              <w:overflowPunct w:val="0"/>
              <w:autoSpaceDE w:val="0"/>
              <w:autoSpaceDN w:val="0"/>
              <w:adjustRightInd w:val="0"/>
              <w:ind w:left="266" w:right="-3091" w:hanging="266"/>
              <w:textAlignment w:val="baseline"/>
            </w:pPr>
            <w:r>
              <w:t>COM(2025) 649 final</w:t>
            </w:r>
          </w:p>
          <w:p w14:paraId="2E2DF9E0" w14:textId="77777777" w:rsidR="00555DA4" w:rsidRPr="00156DC6" w:rsidRDefault="00555DA4" w:rsidP="00114B49">
            <w:pPr>
              <w:tabs>
                <w:tab w:val="center" w:pos="284"/>
              </w:tabs>
              <w:ind w:left="266" w:right="-3091" w:hanging="266"/>
            </w:pPr>
            <w:r>
              <w:t>EESC-2025-02613-00-00-AC</w:t>
            </w:r>
          </w:p>
        </w:tc>
      </w:tr>
    </w:tbl>
    <w:p w14:paraId="5668AAAE" w14:textId="77777777" w:rsidR="00555DA4" w:rsidRDefault="00555DA4" w:rsidP="00555DA4">
      <w:pPr>
        <w:tabs>
          <w:tab w:val="center" w:pos="284"/>
        </w:tabs>
        <w:ind w:left="266" w:hanging="266"/>
        <w:rPr>
          <w:b/>
        </w:rPr>
      </w:pPr>
    </w:p>
    <w:p w14:paraId="0868BFEA" w14:textId="77777777" w:rsidR="00555DA4" w:rsidRPr="00A6689B" w:rsidRDefault="00555DA4" w:rsidP="00555DA4">
      <w:pPr>
        <w:keepNext/>
        <w:keepLines/>
        <w:tabs>
          <w:tab w:val="center" w:pos="284"/>
        </w:tabs>
        <w:ind w:left="266" w:hanging="266"/>
        <w:rPr>
          <w:b/>
        </w:rPr>
      </w:pPr>
      <w:r>
        <w:rPr>
          <w:b/>
        </w:rPr>
        <w:t>Keskeiset kohdat</w:t>
      </w:r>
    </w:p>
    <w:p w14:paraId="35971A4C" w14:textId="77777777" w:rsidR="00555DA4" w:rsidRPr="00A6689B" w:rsidRDefault="00555DA4" w:rsidP="00555DA4">
      <w:pPr>
        <w:keepNext/>
        <w:keepLines/>
        <w:tabs>
          <w:tab w:val="center" w:pos="284"/>
        </w:tabs>
        <w:ind w:left="266" w:hanging="266"/>
        <w:rPr>
          <w:b/>
        </w:rPr>
      </w:pPr>
    </w:p>
    <w:p w14:paraId="00D8A87C" w14:textId="77777777" w:rsidR="00555DA4" w:rsidRPr="00A6689B" w:rsidRDefault="00555DA4" w:rsidP="00555DA4">
      <w:pPr>
        <w:rPr>
          <w:bCs/>
          <w:iCs/>
        </w:rPr>
      </w:pPr>
      <w:r>
        <w:t>ETSK</w:t>
      </w:r>
    </w:p>
    <w:p w14:paraId="12C44C7B" w14:textId="77777777" w:rsidR="00555DA4" w:rsidRDefault="00555DA4" w:rsidP="009D6F2E">
      <w:pPr>
        <w:widowControl w:val="0"/>
        <w:numPr>
          <w:ilvl w:val="0"/>
          <w:numId w:val="33"/>
        </w:numPr>
        <w:overflowPunct w:val="0"/>
        <w:autoSpaceDE w:val="0"/>
        <w:autoSpaceDN w:val="0"/>
        <w:adjustRightInd w:val="0"/>
        <w:ind w:left="426"/>
        <w:textAlignment w:val="baseline"/>
        <w:rPr>
          <w:bCs/>
          <w:iCs/>
        </w:rPr>
      </w:pPr>
      <w:r>
        <w:t>on vankkumattoman solidaarinen Ukrainan kansaa kohtaan. Komitea muistuttaa, että Venäjän hyökkäys Ukrainaan on ajanut miljoonat ukrainalaiset pakenemaan vaaraa, ja korostaa sitä, miten kansalaisyhteiskunnan organisaatiot toimivat Ukrainasta siirtymään joutuneiden ihmisten määrän ollessa suurimmillaan.</w:t>
      </w:r>
    </w:p>
    <w:p w14:paraId="0FB6BD57" w14:textId="77777777" w:rsidR="00555DA4" w:rsidRPr="00B348D7" w:rsidRDefault="00555DA4" w:rsidP="009D6F2E">
      <w:pPr>
        <w:widowControl w:val="0"/>
        <w:numPr>
          <w:ilvl w:val="0"/>
          <w:numId w:val="33"/>
        </w:numPr>
        <w:overflowPunct w:val="0"/>
        <w:autoSpaceDE w:val="0"/>
        <w:autoSpaceDN w:val="0"/>
        <w:adjustRightInd w:val="0"/>
        <w:ind w:left="426"/>
        <w:textAlignment w:val="baseline"/>
        <w:rPr>
          <w:bCs/>
          <w:iCs/>
        </w:rPr>
      </w:pPr>
      <w:r>
        <w:t>toteaa, että tilapäinen suojelu on osoittautunut Ukrainasta siirtymään joutuneille ihmisille hyödylliseksi ratkaisuksi, sillä Ukrainaan palaamiseen ei ole vielä edellytyksiä, koska hyökkäys jatkuu edelleen. Komitea pitää tervetulleena, että tilapäistä suojelua on päätetty jatkaa.</w:t>
      </w:r>
    </w:p>
    <w:p w14:paraId="708A697D" w14:textId="77777777" w:rsidR="00555DA4" w:rsidRPr="00A6689B" w:rsidRDefault="00555DA4" w:rsidP="009D6F2E">
      <w:pPr>
        <w:widowControl w:val="0"/>
        <w:numPr>
          <w:ilvl w:val="0"/>
          <w:numId w:val="33"/>
        </w:numPr>
        <w:overflowPunct w:val="0"/>
        <w:autoSpaceDE w:val="0"/>
        <w:autoSpaceDN w:val="0"/>
        <w:adjustRightInd w:val="0"/>
        <w:ind w:left="426"/>
        <w:textAlignment w:val="baseline"/>
        <w:rPr>
          <w:bCs/>
          <w:iCs/>
        </w:rPr>
      </w:pPr>
      <w:r>
        <w:t>painottaa, että tilapäistä suojelua saaville henkilöille on luotava pitkän aikavälin näkymät, ja pyytää, että Euroopan komissio ja jäsenvaltiot pyrkisivät edistämään ja helpottamaan siirtymistä pysyvämpään oleskelun perustaan ja asteittaista siirtymistä pois tilapäisestä suojelusta.</w:t>
      </w:r>
    </w:p>
    <w:p w14:paraId="08FDCF6C" w14:textId="77777777" w:rsidR="00555DA4" w:rsidRPr="00A6689B" w:rsidRDefault="00555DA4" w:rsidP="009D6F2E">
      <w:pPr>
        <w:widowControl w:val="0"/>
        <w:numPr>
          <w:ilvl w:val="0"/>
          <w:numId w:val="33"/>
        </w:numPr>
        <w:overflowPunct w:val="0"/>
        <w:autoSpaceDE w:val="0"/>
        <w:autoSpaceDN w:val="0"/>
        <w:adjustRightInd w:val="0"/>
        <w:ind w:left="426"/>
        <w:textAlignment w:val="baseline"/>
        <w:rPr>
          <w:bCs/>
          <w:iCs/>
        </w:rPr>
      </w:pPr>
      <w:r>
        <w:t>huomauttaa, että ukrainalaisten saapuminen EU:hun on lisännyt jäsenvaltioiden julkisiin palveluihin kohdistuvia paineita, ja korostaa tarvetta lisätä investointeja laadukkaisiin yleishyödyllisiin palveluihin, myös asuntoihin. Niiden tulee olla yhdenvertaisesti kaikkien EU:ssa laillisesti oleskelevien ihmisten saatavilla.</w:t>
      </w:r>
    </w:p>
    <w:p w14:paraId="0C0B066E" w14:textId="77777777" w:rsidR="00555DA4" w:rsidRPr="00A6689B" w:rsidRDefault="00555DA4" w:rsidP="009D6F2E">
      <w:pPr>
        <w:widowControl w:val="0"/>
        <w:numPr>
          <w:ilvl w:val="0"/>
          <w:numId w:val="33"/>
        </w:numPr>
        <w:overflowPunct w:val="0"/>
        <w:autoSpaceDE w:val="0"/>
        <w:autoSpaceDN w:val="0"/>
        <w:adjustRightInd w:val="0"/>
        <w:ind w:left="426"/>
        <w:textAlignment w:val="baseline"/>
      </w:pPr>
      <w:r>
        <w:t>toteaa, että ukrainalaisten onnistunut kotoutuminen EU:hun olisi pyrittävä varmistamaan kielikurssien avulla, tukemalla paikallisyhteisön aloitteita, ukrainalaisten lasten jäsenvaltioissa saaman opetuksen kautta, torjumalla disinformaatiota ja Venäjän tiedustelutoimintaa sekä kutsumalla ukrainalaisia mukaan järjestötoimintaan heidän paikallisyhteisöissään.</w:t>
      </w:r>
    </w:p>
    <w:p w14:paraId="1E02532D" w14:textId="77777777" w:rsidR="00555DA4" w:rsidRPr="00B348D7" w:rsidRDefault="00555DA4" w:rsidP="009D6F2E">
      <w:pPr>
        <w:widowControl w:val="0"/>
        <w:numPr>
          <w:ilvl w:val="0"/>
          <w:numId w:val="33"/>
        </w:numPr>
        <w:overflowPunct w:val="0"/>
        <w:autoSpaceDE w:val="0"/>
        <w:autoSpaceDN w:val="0"/>
        <w:adjustRightInd w:val="0"/>
        <w:ind w:left="426"/>
        <w:textAlignment w:val="baseline"/>
      </w:pPr>
      <w:r>
        <w:t>tähdentää, että ukrainalaisille on tärkeää taata oikeudenmukaiset työolot ja -ehdot sekä EU:ssa että Ukrainassa. Jäsenvaltioiden olisi torjuttava ukrainalaisten hyväksikäyttöä ja eriarvoista kohtelua työelämässä, ja Ukrainan hallituksen olisi palattava työmarkkinaosapuolten kanssa käytävän vuoropuhelun kautta ratkaisuihin, jotka ovat työntekijöille ja ammattiyhdistystoiminnalle suotuisia.</w:t>
      </w:r>
    </w:p>
    <w:p w14:paraId="5A3D9513" w14:textId="77777777" w:rsidR="00555DA4" w:rsidRPr="000624A9" w:rsidRDefault="00555DA4" w:rsidP="00555DA4">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555DA4" w:rsidRPr="00A6689B" w14:paraId="6DC76595" w14:textId="77777777" w:rsidTr="00114B49">
        <w:tc>
          <w:tcPr>
            <w:tcW w:w="1077" w:type="pct"/>
          </w:tcPr>
          <w:p w14:paraId="078CEECB" w14:textId="77777777" w:rsidR="00555DA4" w:rsidRPr="00A6689B" w:rsidRDefault="00555DA4" w:rsidP="00114B49">
            <w:pPr>
              <w:rPr>
                <w:i/>
              </w:rPr>
            </w:pPr>
            <w:r>
              <w:rPr>
                <w:b/>
                <w:i/>
              </w:rPr>
              <w:t>Yhteydenotot</w:t>
            </w:r>
          </w:p>
        </w:tc>
        <w:tc>
          <w:tcPr>
            <w:tcW w:w="3923" w:type="pct"/>
          </w:tcPr>
          <w:p w14:paraId="44B1A302" w14:textId="015B8E2A" w:rsidR="00555DA4" w:rsidRPr="00A6689B" w:rsidRDefault="00555DA4" w:rsidP="00114B49">
            <w:pPr>
              <w:rPr>
                <w:i/>
              </w:rPr>
            </w:pPr>
            <w:r>
              <w:rPr>
                <w:i/>
              </w:rPr>
              <w:t xml:space="preserve">Katarína </w:t>
            </w:r>
            <w:r w:rsidR="00CE31C3">
              <w:rPr>
                <w:i/>
              </w:rPr>
              <w:t>Grzeszczyk Albrechtová</w:t>
            </w:r>
          </w:p>
        </w:tc>
      </w:tr>
      <w:tr w:rsidR="00555DA4" w:rsidRPr="00A6689B" w14:paraId="0796BD01" w14:textId="77777777" w:rsidTr="00114B49">
        <w:tc>
          <w:tcPr>
            <w:tcW w:w="1077" w:type="pct"/>
          </w:tcPr>
          <w:p w14:paraId="1590E783" w14:textId="77777777" w:rsidR="00555DA4" w:rsidRPr="00A6689B" w:rsidRDefault="00555DA4" w:rsidP="00114B49">
            <w:pPr>
              <w:rPr>
                <w:i/>
              </w:rPr>
            </w:pPr>
            <w:r>
              <w:rPr>
                <w:i/>
              </w:rPr>
              <w:t>P.</w:t>
            </w:r>
          </w:p>
        </w:tc>
        <w:tc>
          <w:tcPr>
            <w:tcW w:w="3923" w:type="pct"/>
          </w:tcPr>
          <w:p w14:paraId="730E5318" w14:textId="77777777" w:rsidR="00555DA4" w:rsidRPr="00A6689B" w:rsidRDefault="00555DA4" w:rsidP="00114B49">
            <w:pPr>
              <w:rPr>
                <w:i/>
              </w:rPr>
            </w:pPr>
            <w:r>
              <w:rPr>
                <w:i/>
              </w:rPr>
              <w:t>+32 25469460</w:t>
            </w:r>
          </w:p>
        </w:tc>
      </w:tr>
      <w:tr w:rsidR="00555DA4" w:rsidRPr="00A6689B" w14:paraId="00F3234E" w14:textId="77777777" w:rsidTr="00114B49">
        <w:tc>
          <w:tcPr>
            <w:tcW w:w="1077" w:type="pct"/>
          </w:tcPr>
          <w:p w14:paraId="3CDD7773" w14:textId="77777777" w:rsidR="00555DA4" w:rsidRPr="00A6689B" w:rsidRDefault="00555DA4" w:rsidP="00114B49">
            <w:pPr>
              <w:rPr>
                <w:i/>
              </w:rPr>
            </w:pPr>
            <w:r>
              <w:rPr>
                <w:i/>
              </w:rPr>
              <w:t>Sähköposti</w:t>
            </w:r>
          </w:p>
        </w:tc>
        <w:tc>
          <w:tcPr>
            <w:tcW w:w="3923" w:type="pct"/>
          </w:tcPr>
          <w:p w14:paraId="173C5770" w14:textId="77777777" w:rsidR="00555DA4" w:rsidRPr="00A6689B" w:rsidRDefault="008921B6" w:rsidP="00114B49">
            <w:pPr>
              <w:rPr>
                <w:i/>
              </w:rPr>
            </w:pPr>
            <w:hyperlink r:id="rId46" w:history="1">
              <w:r w:rsidR="00555DA4">
                <w:rPr>
                  <w:rStyle w:val="Hyperlink"/>
                  <w:i/>
                </w:rPr>
                <w:t>Katarina.Albrechtova@eesc.europa.eu</w:t>
              </w:r>
            </w:hyperlink>
            <w:r w:rsidR="00555DA4">
              <w:rPr>
                <w:i/>
              </w:rPr>
              <w:t xml:space="preserve"> </w:t>
            </w:r>
          </w:p>
        </w:tc>
      </w:tr>
    </w:tbl>
    <w:p w14:paraId="1109DBE9" w14:textId="77777777" w:rsidR="00555DA4" w:rsidRDefault="00555DA4">
      <w:pPr>
        <w:spacing w:after="160" w:line="259" w:lineRule="auto"/>
        <w:jc w:val="left"/>
      </w:pPr>
    </w:p>
    <w:p w14:paraId="4464305F" w14:textId="0A483FE1" w:rsidR="006D2C8A" w:rsidRDefault="006D2C8A">
      <w:pPr>
        <w:spacing w:after="160" w:line="259" w:lineRule="auto"/>
        <w:jc w:val="left"/>
      </w:pPr>
      <w:r>
        <w:br w:type="page"/>
      </w:r>
    </w:p>
    <w:p w14:paraId="528C73AA" w14:textId="46DE726B" w:rsidR="006D2C8A" w:rsidRPr="006D2C8A" w:rsidRDefault="006D2C8A" w:rsidP="006D2C8A">
      <w:pPr>
        <w:pStyle w:val="Heading1"/>
        <w:rPr>
          <w:b/>
        </w:rPr>
      </w:pPr>
      <w:bookmarkStart w:id="12" w:name="_Toc216768399"/>
      <w:r>
        <w:rPr>
          <w:b/>
          <w:color w:val="222A35" w:themeColor="text2" w:themeShade="80"/>
        </w:rPr>
        <w:lastRenderedPageBreak/>
        <w:t>NEUVOA-ANTAVA VALIOKUNTA ”TEOLLISUUDEN MUUTOKSET”</w:t>
      </w:r>
      <w:bookmarkEnd w:id="12"/>
    </w:p>
    <w:p w14:paraId="713E272F" w14:textId="77777777" w:rsidR="006D2C8A" w:rsidRDefault="006D2C8A" w:rsidP="006D2C8A"/>
    <w:p w14:paraId="5273EE79" w14:textId="4A634B0F" w:rsidR="00555DA4" w:rsidRPr="00555DA4" w:rsidRDefault="008921B6" w:rsidP="00555DA4">
      <w:pPr>
        <w:widowControl w:val="0"/>
        <w:numPr>
          <w:ilvl w:val="0"/>
          <w:numId w:val="4"/>
        </w:numPr>
        <w:overflowPunct w:val="0"/>
        <w:autoSpaceDE w:val="0"/>
        <w:autoSpaceDN w:val="0"/>
        <w:adjustRightInd w:val="0"/>
        <w:spacing w:line="276" w:lineRule="auto"/>
        <w:ind w:hanging="567"/>
        <w:textAlignment w:val="baseline"/>
        <w:rPr>
          <w:sz w:val="20"/>
          <w:szCs w:val="20"/>
        </w:rPr>
      </w:pPr>
      <w:hyperlink r:id="rId47" w:history="1">
        <w:r w:rsidR="00555DA4" w:rsidRPr="00555DA4">
          <w:rPr>
            <w:b/>
            <w:i/>
            <w:color w:val="0000FF"/>
            <w:sz w:val="28"/>
            <w:szCs w:val="20"/>
            <w:u w:val="single"/>
          </w:rPr>
          <w:t>Pysyvien materiaalien potentiaalin kehittäminen EU:n kiertotaloudessa</w:t>
        </w:r>
      </w:hyperlink>
    </w:p>
    <w:p w14:paraId="44908401" w14:textId="77777777" w:rsidR="00555DA4" w:rsidRPr="00555DA4" w:rsidRDefault="00555DA4" w:rsidP="00011012">
      <w:pPr>
        <w:widowControl w:val="0"/>
        <w:overflowPunct w:val="0"/>
        <w:autoSpaceDE w:val="0"/>
        <w:autoSpaceDN w:val="0"/>
        <w:adjustRightInd w:val="0"/>
        <w:ind w:left="567"/>
        <w:textAlignment w:val="baseline"/>
      </w:pP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555DA4" w:rsidRPr="00555DA4" w14:paraId="027AF5DC" w14:textId="77777777" w:rsidTr="00114B49">
        <w:tc>
          <w:tcPr>
            <w:tcW w:w="1077" w:type="pct"/>
          </w:tcPr>
          <w:p w14:paraId="7724F15A" w14:textId="77777777" w:rsidR="00555DA4" w:rsidRPr="00555DA4" w:rsidRDefault="00555DA4" w:rsidP="00011012">
            <w:pPr>
              <w:tabs>
                <w:tab w:val="center" w:pos="284"/>
              </w:tabs>
              <w:overflowPunct w:val="0"/>
              <w:autoSpaceDE w:val="0"/>
              <w:autoSpaceDN w:val="0"/>
              <w:adjustRightInd w:val="0"/>
              <w:ind w:left="266" w:hanging="266"/>
              <w:textAlignment w:val="baseline"/>
              <w:rPr>
                <w:b/>
                <w:sz w:val="22"/>
                <w:szCs w:val="22"/>
              </w:rPr>
            </w:pPr>
            <w:r w:rsidRPr="00555DA4">
              <w:rPr>
                <w:b/>
                <w:sz w:val="22"/>
                <w:szCs w:val="22"/>
              </w:rPr>
              <w:t>Esittelijä</w:t>
            </w:r>
          </w:p>
        </w:tc>
        <w:tc>
          <w:tcPr>
            <w:tcW w:w="3923" w:type="pct"/>
          </w:tcPr>
          <w:p w14:paraId="5F4C057A" w14:textId="57386CE2" w:rsidR="00555DA4" w:rsidRPr="00555DA4" w:rsidRDefault="00555DA4" w:rsidP="00011012">
            <w:pPr>
              <w:tabs>
                <w:tab w:val="center" w:pos="284"/>
              </w:tabs>
              <w:overflowPunct w:val="0"/>
              <w:autoSpaceDE w:val="0"/>
              <w:autoSpaceDN w:val="0"/>
              <w:adjustRightInd w:val="0"/>
              <w:ind w:left="266" w:right="-3091" w:hanging="266"/>
              <w:textAlignment w:val="baseline"/>
              <w:rPr>
                <w:sz w:val="22"/>
                <w:szCs w:val="22"/>
              </w:rPr>
            </w:pPr>
            <w:r w:rsidRPr="00555DA4">
              <w:rPr>
                <w:sz w:val="22"/>
                <w:szCs w:val="22"/>
              </w:rPr>
              <w:t xml:space="preserve">Andrea </w:t>
            </w:r>
            <w:r w:rsidR="00CE31C3" w:rsidRPr="00011012">
              <w:rPr>
                <w:sz w:val="22"/>
                <w:szCs w:val="22"/>
              </w:rPr>
              <w:t xml:space="preserve">MONE </w:t>
            </w:r>
            <w:r w:rsidRPr="00555DA4">
              <w:rPr>
                <w:sz w:val="22"/>
                <w:szCs w:val="22"/>
              </w:rPr>
              <w:t>(työntekijät – IT)</w:t>
            </w:r>
          </w:p>
        </w:tc>
      </w:tr>
      <w:tr w:rsidR="00555DA4" w:rsidRPr="00555DA4" w14:paraId="3E1261B4" w14:textId="77777777" w:rsidTr="00114B49">
        <w:tc>
          <w:tcPr>
            <w:tcW w:w="1077" w:type="pct"/>
          </w:tcPr>
          <w:p w14:paraId="4236B8E9" w14:textId="77777777" w:rsidR="00555DA4" w:rsidRPr="00555DA4" w:rsidRDefault="00555DA4" w:rsidP="00011012">
            <w:pPr>
              <w:tabs>
                <w:tab w:val="center" w:pos="284"/>
              </w:tabs>
              <w:overflowPunct w:val="0"/>
              <w:autoSpaceDE w:val="0"/>
              <w:autoSpaceDN w:val="0"/>
              <w:adjustRightInd w:val="0"/>
              <w:ind w:left="266" w:hanging="266"/>
              <w:textAlignment w:val="baseline"/>
              <w:rPr>
                <w:b/>
                <w:sz w:val="22"/>
                <w:szCs w:val="22"/>
              </w:rPr>
            </w:pPr>
            <w:r w:rsidRPr="00555DA4">
              <w:rPr>
                <w:b/>
                <w:sz w:val="22"/>
                <w:szCs w:val="22"/>
              </w:rPr>
              <w:t>Yhteisesittelijä</w:t>
            </w:r>
          </w:p>
        </w:tc>
        <w:tc>
          <w:tcPr>
            <w:tcW w:w="3923" w:type="pct"/>
          </w:tcPr>
          <w:p w14:paraId="761888C0" w14:textId="4970B002" w:rsidR="00555DA4" w:rsidRPr="00011012" w:rsidRDefault="00555DA4" w:rsidP="00011012">
            <w:pPr>
              <w:tabs>
                <w:tab w:val="center" w:pos="284"/>
              </w:tabs>
              <w:overflowPunct w:val="0"/>
              <w:autoSpaceDE w:val="0"/>
              <w:autoSpaceDN w:val="0"/>
              <w:adjustRightInd w:val="0"/>
              <w:ind w:left="266" w:right="-3091" w:hanging="266"/>
              <w:textAlignment w:val="baseline"/>
              <w:rPr>
                <w:sz w:val="22"/>
                <w:szCs w:val="22"/>
              </w:rPr>
            </w:pPr>
            <w:r w:rsidRPr="00555DA4">
              <w:rPr>
                <w:sz w:val="22"/>
                <w:szCs w:val="22"/>
              </w:rPr>
              <w:t xml:space="preserve">Michal </w:t>
            </w:r>
            <w:r w:rsidR="00CE31C3" w:rsidRPr="00011012">
              <w:rPr>
                <w:sz w:val="22"/>
                <w:szCs w:val="22"/>
              </w:rPr>
              <w:t xml:space="preserve">PINTÉR </w:t>
            </w:r>
            <w:r w:rsidRPr="00555DA4">
              <w:rPr>
                <w:sz w:val="22"/>
                <w:szCs w:val="22"/>
              </w:rPr>
              <w:t>(työnantajat – SK)</w:t>
            </w:r>
          </w:p>
          <w:p w14:paraId="4860A122" w14:textId="08E5E1EA" w:rsidR="00CE31C3" w:rsidRPr="00555DA4" w:rsidRDefault="00CE31C3" w:rsidP="00011012">
            <w:pPr>
              <w:tabs>
                <w:tab w:val="center" w:pos="284"/>
              </w:tabs>
              <w:overflowPunct w:val="0"/>
              <w:autoSpaceDE w:val="0"/>
              <w:autoSpaceDN w:val="0"/>
              <w:adjustRightInd w:val="0"/>
              <w:ind w:left="266" w:right="-3091" w:hanging="266"/>
              <w:textAlignment w:val="baseline"/>
              <w:rPr>
                <w:sz w:val="22"/>
                <w:szCs w:val="22"/>
              </w:rPr>
            </w:pPr>
          </w:p>
        </w:tc>
      </w:tr>
      <w:tr w:rsidR="00555DA4" w:rsidRPr="00555DA4" w14:paraId="13224B10" w14:textId="77777777" w:rsidTr="00114B49">
        <w:tc>
          <w:tcPr>
            <w:tcW w:w="1077" w:type="pct"/>
          </w:tcPr>
          <w:p w14:paraId="623B13C0" w14:textId="77777777" w:rsidR="00555DA4" w:rsidRPr="00555DA4" w:rsidRDefault="00555DA4" w:rsidP="00011012">
            <w:pPr>
              <w:tabs>
                <w:tab w:val="center" w:pos="284"/>
              </w:tabs>
              <w:overflowPunct w:val="0"/>
              <w:autoSpaceDE w:val="0"/>
              <w:autoSpaceDN w:val="0"/>
              <w:adjustRightInd w:val="0"/>
              <w:ind w:left="266" w:hanging="266"/>
              <w:textAlignment w:val="baseline"/>
              <w:rPr>
                <w:b/>
                <w:sz w:val="22"/>
                <w:szCs w:val="22"/>
              </w:rPr>
            </w:pPr>
            <w:r w:rsidRPr="00555DA4">
              <w:rPr>
                <w:b/>
                <w:sz w:val="22"/>
                <w:szCs w:val="22"/>
              </w:rPr>
              <w:t>Viiteasiakirja</w:t>
            </w:r>
          </w:p>
        </w:tc>
        <w:tc>
          <w:tcPr>
            <w:tcW w:w="3923" w:type="pct"/>
          </w:tcPr>
          <w:p w14:paraId="2A1CD159" w14:textId="77777777" w:rsidR="00CE31C3" w:rsidRPr="00011012" w:rsidRDefault="00CE31C3" w:rsidP="00011012">
            <w:pPr>
              <w:tabs>
                <w:tab w:val="center" w:pos="284"/>
              </w:tabs>
              <w:overflowPunct w:val="0"/>
              <w:autoSpaceDE w:val="0"/>
              <w:autoSpaceDN w:val="0"/>
              <w:adjustRightInd w:val="0"/>
              <w:ind w:left="266" w:right="-3091" w:hanging="266"/>
              <w:textAlignment w:val="baseline"/>
              <w:rPr>
                <w:sz w:val="22"/>
                <w:szCs w:val="22"/>
              </w:rPr>
            </w:pPr>
            <w:r w:rsidRPr="00011012">
              <w:rPr>
                <w:sz w:val="22"/>
                <w:szCs w:val="22"/>
              </w:rPr>
              <w:t>Oma-aloitteinen lausunto</w:t>
            </w:r>
          </w:p>
          <w:p w14:paraId="0F719308" w14:textId="37E6BE3C" w:rsidR="00555DA4" w:rsidRPr="00555DA4" w:rsidRDefault="00555DA4" w:rsidP="00011012">
            <w:pPr>
              <w:tabs>
                <w:tab w:val="center" w:pos="284"/>
              </w:tabs>
              <w:overflowPunct w:val="0"/>
              <w:autoSpaceDE w:val="0"/>
              <w:autoSpaceDN w:val="0"/>
              <w:adjustRightInd w:val="0"/>
              <w:ind w:left="266" w:right="-3091" w:hanging="266"/>
              <w:textAlignment w:val="baseline"/>
              <w:rPr>
                <w:sz w:val="22"/>
                <w:szCs w:val="22"/>
              </w:rPr>
            </w:pPr>
            <w:r w:rsidRPr="00555DA4">
              <w:rPr>
                <w:sz w:val="22"/>
                <w:szCs w:val="22"/>
              </w:rPr>
              <w:t>EESC-2025-02364-00-00-AC</w:t>
            </w:r>
          </w:p>
        </w:tc>
      </w:tr>
    </w:tbl>
    <w:p w14:paraId="25A65E49" w14:textId="77777777" w:rsidR="00555DA4" w:rsidRPr="00555DA4" w:rsidRDefault="00555DA4" w:rsidP="00011012">
      <w:pPr>
        <w:tabs>
          <w:tab w:val="center" w:pos="284"/>
        </w:tabs>
        <w:overflowPunct w:val="0"/>
        <w:autoSpaceDE w:val="0"/>
        <w:autoSpaceDN w:val="0"/>
        <w:adjustRightInd w:val="0"/>
        <w:ind w:left="266" w:hanging="266"/>
        <w:textAlignment w:val="baseline"/>
        <w:rPr>
          <w:b/>
        </w:rPr>
      </w:pPr>
    </w:p>
    <w:p w14:paraId="7A7BD635" w14:textId="77777777" w:rsidR="00555DA4" w:rsidRPr="00555DA4" w:rsidRDefault="00555DA4" w:rsidP="00011012">
      <w:pPr>
        <w:keepNext/>
        <w:keepLines/>
        <w:tabs>
          <w:tab w:val="center" w:pos="284"/>
        </w:tabs>
        <w:overflowPunct w:val="0"/>
        <w:autoSpaceDE w:val="0"/>
        <w:autoSpaceDN w:val="0"/>
        <w:adjustRightInd w:val="0"/>
        <w:ind w:left="266" w:hanging="266"/>
        <w:textAlignment w:val="baseline"/>
        <w:rPr>
          <w:b/>
        </w:rPr>
      </w:pPr>
      <w:r w:rsidRPr="00555DA4">
        <w:rPr>
          <w:b/>
        </w:rPr>
        <w:t>Keskeiset kohdat</w:t>
      </w:r>
    </w:p>
    <w:p w14:paraId="7BD5983A" w14:textId="77777777" w:rsidR="00555DA4" w:rsidRPr="00555DA4" w:rsidRDefault="00555DA4" w:rsidP="00011012">
      <w:pPr>
        <w:keepNext/>
        <w:keepLines/>
        <w:tabs>
          <w:tab w:val="center" w:pos="284"/>
        </w:tabs>
        <w:overflowPunct w:val="0"/>
        <w:autoSpaceDE w:val="0"/>
        <w:autoSpaceDN w:val="0"/>
        <w:adjustRightInd w:val="0"/>
        <w:ind w:left="266" w:hanging="266"/>
        <w:textAlignment w:val="baseline"/>
        <w:rPr>
          <w:b/>
        </w:rPr>
      </w:pPr>
    </w:p>
    <w:p w14:paraId="4C3DD557" w14:textId="77777777" w:rsidR="00555DA4" w:rsidRPr="00555DA4" w:rsidRDefault="00555DA4" w:rsidP="00555DA4">
      <w:pPr>
        <w:overflowPunct w:val="0"/>
        <w:autoSpaceDE w:val="0"/>
        <w:autoSpaceDN w:val="0"/>
        <w:adjustRightInd w:val="0"/>
        <w:spacing w:line="276" w:lineRule="auto"/>
        <w:textAlignment w:val="baseline"/>
        <w:rPr>
          <w:bCs/>
          <w:iCs/>
        </w:rPr>
      </w:pPr>
      <w:r w:rsidRPr="00555DA4">
        <w:rPr>
          <w:szCs w:val="20"/>
        </w:rPr>
        <w:t>ETSK</w:t>
      </w:r>
    </w:p>
    <w:p w14:paraId="7B2E5693" w14:textId="77777777" w:rsidR="00555DA4" w:rsidRPr="00555DA4" w:rsidRDefault="00555DA4" w:rsidP="009D6F2E">
      <w:pPr>
        <w:numPr>
          <w:ilvl w:val="0"/>
          <w:numId w:val="34"/>
        </w:numPr>
        <w:overflowPunct w:val="0"/>
        <w:autoSpaceDE w:val="0"/>
        <w:autoSpaceDN w:val="0"/>
        <w:adjustRightInd w:val="0"/>
        <w:spacing w:line="276" w:lineRule="auto"/>
        <w:ind w:left="426"/>
        <w:textAlignment w:val="baseline"/>
        <w:rPr>
          <w:lang w:eastAsia="en-GB"/>
        </w:rPr>
      </w:pPr>
      <w:r w:rsidRPr="00555DA4">
        <w:rPr>
          <w:szCs w:val="24"/>
          <w:lang w:eastAsia="en-GB"/>
        </w:rPr>
        <w:t xml:space="preserve">toteaa, että </w:t>
      </w:r>
      <w:r w:rsidRPr="00555DA4">
        <w:rPr>
          <w:b/>
          <w:szCs w:val="24"/>
          <w:lang w:eastAsia="en-GB"/>
        </w:rPr>
        <w:t>pysyvät materiaalit ovat perustavan tärkeitä</w:t>
      </w:r>
      <w:r w:rsidRPr="00555DA4">
        <w:rPr>
          <w:szCs w:val="24"/>
          <w:lang w:eastAsia="en-GB"/>
        </w:rPr>
        <w:t xml:space="preserve"> todellisen kiertotalouden mahdollistamisessa erityisesti pakkausalalla, ja ne olisi </w:t>
      </w:r>
      <w:r w:rsidRPr="00555DA4">
        <w:rPr>
          <w:b/>
          <w:szCs w:val="24"/>
          <w:lang w:eastAsia="en-GB"/>
        </w:rPr>
        <w:t>tunnustettava erikseen EU:n lainsäädännössä</w:t>
      </w:r>
      <w:r w:rsidRPr="00555DA4">
        <w:rPr>
          <w:szCs w:val="24"/>
          <w:lang w:eastAsia="en-GB"/>
        </w:rPr>
        <w:t>.</w:t>
      </w:r>
    </w:p>
    <w:p w14:paraId="3BBC3BCA" w14:textId="77777777" w:rsidR="00555DA4" w:rsidRPr="00555DA4" w:rsidRDefault="00555DA4" w:rsidP="009D6F2E">
      <w:pPr>
        <w:numPr>
          <w:ilvl w:val="0"/>
          <w:numId w:val="34"/>
        </w:numPr>
        <w:overflowPunct w:val="0"/>
        <w:autoSpaceDE w:val="0"/>
        <w:autoSpaceDN w:val="0"/>
        <w:adjustRightInd w:val="0"/>
        <w:spacing w:line="276" w:lineRule="auto"/>
        <w:ind w:left="426"/>
        <w:textAlignment w:val="baseline"/>
        <w:rPr>
          <w:lang w:eastAsia="en-GB"/>
        </w:rPr>
      </w:pPr>
      <w:r w:rsidRPr="00555DA4">
        <w:rPr>
          <w:b/>
          <w:szCs w:val="24"/>
          <w:lang w:eastAsia="en-GB"/>
        </w:rPr>
        <w:t>kannattaa EU:n kunnianhimoista tavoitetta saavuttaa pakkausjätteen 90 prosentin erilliskeräystavoite vuoteen 2030 mennessä</w:t>
      </w:r>
      <w:r w:rsidRPr="00555DA4">
        <w:rPr>
          <w:szCs w:val="24"/>
          <w:lang w:eastAsia="en-GB"/>
        </w:rPr>
        <w:t xml:space="preserve"> ja korostaa edistyneen keräyksen, lajittelun ja korkealaatuisen kierrätysinfrastruktuurin merkitystä materiaalin säilyttämisen maksimoimiseksi ja suljetussa kierrossa tapahtuvan pysyvien materiaalien kierrätyksen mahdollistamiseksi.</w:t>
      </w:r>
    </w:p>
    <w:p w14:paraId="3F4E8DEC" w14:textId="77777777" w:rsidR="00555DA4" w:rsidRPr="00555DA4" w:rsidRDefault="00555DA4" w:rsidP="009D6F2E">
      <w:pPr>
        <w:numPr>
          <w:ilvl w:val="0"/>
          <w:numId w:val="34"/>
        </w:numPr>
        <w:overflowPunct w:val="0"/>
        <w:autoSpaceDE w:val="0"/>
        <w:autoSpaceDN w:val="0"/>
        <w:adjustRightInd w:val="0"/>
        <w:spacing w:line="276" w:lineRule="auto"/>
        <w:ind w:left="426"/>
        <w:textAlignment w:val="baseline"/>
        <w:rPr>
          <w:lang w:eastAsia="en-GB"/>
        </w:rPr>
      </w:pPr>
      <w:r w:rsidRPr="00555DA4">
        <w:rPr>
          <w:b/>
          <w:szCs w:val="24"/>
          <w:lang w:eastAsia="en-GB"/>
        </w:rPr>
        <w:t>kehottaa vahvistamaan ja yhdenmukaistamaan laajennettua tuottajavastuuta koskevia järjestelmiä</w:t>
      </w:r>
      <w:r w:rsidRPr="00555DA4">
        <w:rPr>
          <w:szCs w:val="24"/>
          <w:lang w:eastAsia="en-GB"/>
        </w:rPr>
        <w:t xml:space="preserve"> kaikissa EU:n jäsenvaltioissa. Tähän sisältyy </w:t>
      </w:r>
      <w:r w:rsidRPr="00555DA4">
        <w:rPr>
          <w:b/>
          <w:szCs w:val="24"/>
          <w:lang w:eastAsia="en-GB"/>
        </w:rPr>
        <w:t>ympäristönäkökohtien perusteella mukautettujen maksujen asettaminen avointen ja johdonmukaisten kriteerien pohjalta</w:t>
      </w:r>
      <w:r w:rsidRPr="00555DA4">
        <w:rPr>
          <w:szCs w:val="24"/>
          <w:lang w:eastAsia="en-GB"/>
        </w:rPr>
        <w:t xml:space="preserve">, oikeasuhtaisten maksurakenteiden varmistaminen ja </w:t>
      </w:r>
      <w:r w:rsidRPr="00555DA4">
        <w:rPr>
          <w:b/>
          <w:szCs w:val="24"/>
          <w:lang w:eastAsia="en-GB"/>
        </w:rPr>
        <w:t>näin saatujen tulojen pitäminen erillään</w:t>
      </w:r>
      <w:r w:rsidRPr="00555DA4">
        <w:rPr>
          <w:szCs w:val="24"/>
          <w:lang w:eastAsia="en-GB"/>
        </w:rPr>
        <w:t xml:space="preserve"> investoitaviksi uudelleen samaan materiaalivirtaan.</w:t>
      </w:r>
    </w:p>
    <w:p w14:paraId="43A772E5" w14:textId="77777777" w:rsidR="00555DA4" w:rsidRPr="00555DA4" w:rsidRDefault="00555DA4" w:rsidP="009D6F2E">
      <w:pPr>
        <w:numPr>
          <w:ilvl w:val="0"/>
          <w:numId w:val="34"/>
        </w:numPr>
        <w:overflowPunct w:val="0"/>
        <w:autoSpaceDE w:val="0"/>
        <w:autoSpaceDN w:val="0"/>
        <w:adjustRightInd w:val="0"/>
        <w:spacing w:line="276" w:lineRule="auto"/>
        <w:ind w:left="426"/>
        <w:textAlignment w:val="baseline"/>
        <w:rPr>
          <w:lang w:eastAsia="en-GB"/>
        </w:rPr>
      </w:pPr>
      <w:r w:rsidRPr="00555DA4">
        <w:rPr>
          <w:b/>
          <w:szCs w:val="24"/>
          <w:lang w:eastAsia="en-GB"/>
        </w:rPr>
        <w:t>toteaa, että tarvitaan priorisoituja investointeja</w:t>
      </w:r>
      <w:r w:rsidRPr="00555DA4">
        <w:rPr>
          <w:szCs w:val="24"/>
          <w:lang w:eastAsia="en-GB"/>
        </w:rPr>
        <w:t xml:space="preserve"> nykyaikaiseen infrastruktuuriin pakkausjätteen erilliskeräystä, lajittelua ja kierrätystä varten. On annettava </w:t>
      </w:r>
      <w:r w:rsidRPr="00555DA4">
        <w:rPr>
          <w:b/>
          <w:szCs w:val="24"/>
          <w:lang w:eastAsia="en-GB"/>
        </w:rPr>
        <w:t>lisätukea alueille, joilla on muita heikompi suoritus- tai investointikyky</w:t>
      </w:r>
      <w:r w:rsidRPr="00555DA4">
        <w:rPr>
          <w:szCs w:val="24"/>
          <w:lang w:eastAsia="en-GB"/>
        </w:rPr>
        <w:t>, jotta voidaan varmistaa, että kaikki jäsenvaltiot pystyvät saavuttamaan kiertotaloustavoitteet.</w:t>
      </w:r>
    </w:p>
    <w:p w14:paraId="09EFA512" w14:textId="77777777" w:rsidR="00555DA4" w:rsidRPr="00555DA4" w:rsidRDefault="00555DA4" w:rsidP="009D6F2E">
      <w:pPr>
        <w:numPr>
          <w:ilvl w:val="0"/>
          <w:numId w:val="34"/>
        </w:numPr>
        <w:overflowPunct w:val="0"/>
        <w:autoSpaceDE w:val="0"/>
        <w:autoSpaceDN w:val="0"/>
        <w:adjustRightInd w:val="0"/>
        <w:spacing w:line="276" w:lineRule="auto"/>
        <w:ind w:left="426"/>
        <w:textAlignment w:val="baseline"/>
        <w:rPr>
          <w:lang w:eastAsia="en-GB"/>
        </w:rPr>
      </w:pPr>
      <w:r w:rsidRPr="00555DA4">
        <w:rPr>
          <w:b/>
          <w:szCs w:val="24"/>
          <w:lang w:eastAsia="en-GB"/>
        </w:rPr>
        <w:t>suosittaa, että kansalaisten kierrätyskäyttäytymistä arvioidaan EU:n laajuisesti</w:t>
      </w:r>
      <w:r w:rsidRPr="00555DA4">
        <w:rPr>
          <w:szCs w:val="24"/>
          <w:lang w:eastAsia="en-GB"/>
        </w:rPr>
        <w:t xml:space="preserve"> puutteiden, esteiden ja parhaiden käytäntöjen kartoittamiseksi. ETSK kehottaa toteuttamaan tämän arvioinnin pohjalta toimenpiteitä, joilla lisätään kuluttajien osallistumista pakkausjätteen erilliskeräykseen, sillä kotitalouksissa tapahtuva erottelu on tärkeä ensimmäinen vaihe kierrätyksessä.</w:t>
      </w:r>
    </w:p>
    <w:p w14:paraId="499C49E7" w14:textId="77777777" w:rsidR="00555DA4" w:rsidRPr="00555DA4" w:rsidRDefault="00555DA4" w:rsidP="009D6F2E">
      <w:pPr>
        <w:numPr>
          <w:ilvl w:val="0"/>
          <w:numId w:val="34"/>
        </w:numPr>
        <w:overflowPunct w:val="0"/>
        <w:autoSpaceDE w:val="0"/>
        <w:autoSpaceDN w:val="0"/>
        <w:adjustRightInd w:val="0"/>
        <w:spacing w:line="276" w:lineRule="auto"/>
        <w:ind w:left="426"/>
        <w:textAlignment w:val="baseline"/>
        <w:rPr>
          <w:lang w:eastAsia="en-GB"/>
        </w:rPr>
      </w:pPr>
      <w:r w:rsidRPr="00555DA4">
        <w:rPr>
          <w:b/>
          <w:szCs w:val="24"/>
          <w:lang w:eastAsia="en-GB"/>
        </w:rPr>
        <w:t>korostaa, että kiertotalouteen on tärkeää siirtyä sosiaalisesti kestävällä tavalla</w:t>
      </w:r>
      <w:r w:rsidRPr="00555DA4">
        <w:rPr>
          <w:szCs w:val="24"/>
          <w:lang w:eastAsia="en-GB"/>
        </w:rPr>
        <w:t xml:space="preserve">, ja kehottaa ennakoimaan varhaisessa vaiheessa sen vaikutuksia työmarkkinoihin. On taattava mahdollisuus saada </w:t>
      </w:r>
      <w:r w:rsidRPr="00555DA4">
        <w:rPr>
          <w:b/>
          <w:szCs w:val="24"/>
          <w:lang w:eastAsia="en-GB"/>
        </w:rPr>
        <w:t>täydennys- ja uudelleenkoulutusta</w:t>
      </w:r>
      <w:r w:rsidRPr="00555DA4">
        <w:rPr>
          <w:szCs w:val="24"/>
          <w:lang w:eastAsia="en-GB"/>
        </w:rPr>
        <w:t xml:space="preserve"> työpaikasta toiseen siirtymisen tukemiseksi niin, että työntekijät voivat osallistua täysipainoisesti kehittyvään kiertotalouteen ja hyötyä siitä.</w:t>
      </w:r>
    </w:p>
    <w:p w14:paraId="0BCBFCC3" w14:textId="77777777" w:rsidR="00555DA4" w:rsidRPr="00555DA4" w:rsidRDefault="00555DA4" w:rsidP="009D6F2E">
      <w:pPr>
        <w:numPr>
          <w:ilvl w:val="0"/>
          <w:numId w:val="34"/>
        </w:numPr>
        <w:overflowPunct w:val="0"/>
        <w:autoSpaceDE w:val="0"/>
        <w:autoSpaceDN w:val="0"/>
        <w:adjustRightInd w:val="0"/>
        <w:ind w:left="426"/>
        <w:textAlignment w:val="baseline"/>
        <w:rPr>
          <w:lang w:eastAsia="en-GB"/>
        </w:rPr>
      </w:pPr>
      <w:r w:rsidRPr="00555DA4">
        <w:rPr>
          <w:b/>
          <w:szCs w:val="24"/>
          <w:lang w:eastAsia="en-GB"/>
        </w:rPr>
        <w:t>suosittaa, että vahvistetaan työmarkkinaosapuolten vuoropuhelua kaikilla tasoilla</w:t>
      </w:r>
      <w:r w:rsidRPr="00555DA4">
        <w:rPr>
          <w:szCs w:val="24"/>
          <w:lang w:eastAsia="en-GB"/>
        </w:rPr>
        <w:t xml:space="preserve"> ja </w:t>
      </w:r>
      <w:r w:rsidRPr="00555DA4">
        <w:rPr>
          <w:b/>
          <w:szCs w:val="24"/>
          <w:lang w:eastAsia="en-GB"/>
        </w:rPr>
        <w:t>edistetään työehtosopimusneuvotteluja</w:t>
      </w:r>
      <w:r w:rsidRPr="00555DA4">
        <w:rPr>
          <w:szCs w:val="24"/>
          <w:lang w:eastAsia="en-GB"/>
        </w:rPr>
        <w:t xml:space="preserve"> myös yritysten tasolla sen varmistamiseksi, että siirryttäessä kiertotalouteen perustuviin liiketoimintamalleihin työntekijät saavat tietoa, heitä </w:t>
      </w:r>
      <w:r w:rsidRPr="00555DA4">
        <w:rPr>
          <w:lang w:eastAsia="en-GB"/>
        </w:rPr>
        <w:t>kuullaan ja heidät osallistetaan.</w:t>
      </w:r>
    </w:p>
    <w:p w14:paraId="2BAC7026" w14:textId="77777777" w:rsidR="00555DA4" w:rsidRPr="00555DA4" w:rsidRDefault="00555DA4" w:rsidP="00011012">
      <w:pPr>
        <w:ind w:left="567"/>
        <w:rPr>
          <w:lang w:eastAsia="en-GB"/>
        </w:rPr>
      </w:pP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555DA4" w:rsidRPr="00555DA4" w14:paraId="7DCFB714" w14:textId="77777777" w:rsidTr="00114B49">
        <w:tc>
          <w:tcPr>
            <w:tcW w:w="1077" w:type="pct"/>
          </w:tcPr>
          <w:p w14:paraId="11573B33" w14:textId="77777777" w:rsidR="00555DA4" w:rsidRPr="00555DA4" w:rsidRDefault="00555DA4" w:rsidP="00011012">
            <w:pPr>
              <w:overflowPunct w:val="0"/>
              <w:autoSpaceDE w:val="0"/>
              <w:autoSpaceDN w:val="0"/>
              <w:adjustRightInd w:val="0"/>
              <w:textAlignment w:val="baseline"/>
              <w:rPr>
                <w:i/>
                <w:sz w:val="22"/>
                <w:szCs w:val="22"/>
              </w:rPr>
            </w:pPr>
            <w:r w:rsidRPr="00555DA4">
              <w:rPr>
                <w:b/>
                <w:i/>
                <w:sz w:val="22"/>
                <w:szCs w:val="22"/>
              </w:rPr>
              <w:t>Yhteydenotot</w:t>
            </w:r>
          </w:p>
        </w:tc>
        <w:tc>
          <w:tcPr>
            <w:tcW w:w="3923" w:type="pct"/>
          </w:tcPr>
          <w:p w14:paraId="5A86BB63" w14:textId="77777777" w:rsidR="00555DA4" w:rsidRPr="00555DA4" w:rsidRDefault="00555DA4" w:rsidP="00011012">
            <w:pPr>
              <w:overflowPunct w:val="0"/>
              <w:autoSpaceDE w:val="0"/>
              <w:autoSpaceDN w:val="0"/>
              <w:adjustRightInd w:val="0"/>
              <w:textAlignment w:val="baseline"/>
              <w:rPr>
                <w:i/>
                <w:sz w:val="22"/>
                <w:szCs w:val="22"/>
              </w:rPr>
            </w:pPr>
            <w:r w:rsidRPr="00555DA4">
              <w:rPr>
                <w:i/>
                <w:sz w:val="22"/>
                <w:szCs w:val="22"/>
              </w:rPr>
              <w:t>Adam Dorywalski</w:t>
            </w:r>
          </w:p>
        </w:tc>
      </w:tr>
      <w:tr w:rsidR="00555DA4" w:rsidRPr="00555DA4" w14:paraId="37B18710" w14:textId="77777777" w:rsidTr="00114B49">
        <w:tc>
          <w:tcPr>
            <w:tcW w:w="1077" w:type="pct"/>
          </w:tcPr>
          <w:p w14:paraId="24AF6C9C" w14:textId="77777777" w:rsidR="00555DA4" w:rsidRPr="00555DA4" w:rsidRDefault="00555DA4" w:rsidP="00011012">
            <w:pPr>
              <w:overflowPunct w:val="0"/>
              <w:autoSpaceDE w:val="0"/>
              <w:autoSpaceDN w:val="0"/>
              <w:adjustRightInd w:val="0"/>
              <w:textAlignment w:val="baseline"/>
              <w:rPr>
                <w:i/>
                <w:sz w:val="22"/>
                <w:szCs w:val="22"/>
              </w:rPr>
            </w:pPr>
            <w:r w:rsidRPr="00555DA4">
              <w:rPr>
                <w:i/>
                <w:sz w:val="22"/>
                <w:szCs w:val="22"/>
              </w:rPr>
              <w:t>P.</w:t>
            </w:r>
          </w:p>
        </w:tc>
        <w:tc>
          <w:tcPr>
            <w:tcW w:w="3923" w:type="pct"/>
          </w:tcPr>
          <w:p w14:paraId="78E65756" w14:textId="77777777" w:rsidR="00555DA4" w:rsidRPr="00555DA4" w:rsidRDefault="00555DA4" w:rsidP="00011012">
            <w:pPr>
              <w:overflowPunct w:val="0"/>
              <w:autoSpaceDE w:val="0"/>
              <w:autoSpaceDN w:val="0"/>
              <w:adjustRightInd w:val="0"/>
              <w:textAlignment w:val="baseline"/>
              <w:rPr>
                <w:i/>
                <w:sz w:val="22"/>
                <w:szCs w:val="22"/>
              </w:rPr>
            </w:pPr>
            <w:r w:rsidRPr="00555DA4">
              <w:rPr>
                <w:i/>
                <w:sz w:val="22"/>
                <w:szCs w:val="22"/>
              </w:rPr>
              <w:t>+32 25469397</w:t>
            </w:r>
          </w:p>
        </w:tc>
      </w:tr>
      <w:tr w:rsidR="00555DA4" w:rsidRPr="00555DA4" w14:paraId="7F389EEC" w14:textId="77777777" w:rsidTr="00114B49">
        <w:tc>
          <w:tcPr>
            <w:tcW w:w="1077" w:type="pct"/>
          </w:tcPr>
          <w:p w14:paraId="30973E5D" w14:textId="77777777" w:rsidR="00555DA4" w:rsidRPr="00555DA4" w:rsidRDefault="00555DA4" w:rsidP="00011012">
            <w:pPr>
              <w:overflowPunct w:val="0"/>
              <w:autoSpaceDE w:val="0"/>
              <w:autoSpaceDN w:val="0"/>
              <w:adjustRightInd w:val="0"/>
              <w:textAlignment w:val="baseline"/>
              <w:rPr>
                <w:i/>
                <w:sz w:val="22"/>
                <w:szCs w:val="22"/>
              </w:rPr>
            </w:pPr>
            <w:r w:rsidRPr="00555DA4">
              <w:rPr>
                <w:i/>
                <w:sz w:val="22"/>
                <w:szCs w:val="22"/>
              </w:rPr>
              <w:t>Sähköposti</w:t>
            </w:r>
          </w:p>
        </w:tc>
        <w:tc>
          <w:tcPr>
            <w:tcW w:w="3923" w:type="pct"/>
          </w:tcPr>
          <w:p w14:paraId="35404F8D" w14:textId="77777777" w:rsidR="00555DA4" w:rsidRPr="00555DA4" w:rsidRDefault="008921B6" w:rsidP="00011012">
            <w:pPr>
              <w:overflowPunct w:val="0"/>
              <w:autoSpaceDE w:val="0"/>
              <w:autoSpaceDN w:val="0"/>
              <w:adjustRightInd w:val="0"/>
              <w:textAlignment w:val="baseline"/>
              <w:rPr>
                <w:i/>
                <w:sz w:val="22"/>
                <w:szCs w:val="22"/>
              </w:rPr>
            </w:pPr>
            <w:hyperlink r:id="rId48" w:history="1">
              <w:r w:rsidR="00555DA4" w:rsidRPr="00555DA4">
                <w:rPr>
                  <w:i/>
                  <w:color w:val="0000FF"/>
                  <w:sz w:val="22"/>
                  <w:szCs w:val="22"/>
                  <w:u w:val="single"/>
                </w:rPr>
                <w:t>Adam.Dorywalski@eesc.europa.eu</w:t>
              </w:r>
            </w:hyperlink>
          </w:p>
        </w:tc>
      </w:tr>
    </w:tbl>
    <w:p w14:paraId="0ADFCE73" w14:textId="77777777" w:rsidR="00555DA4" w:rsidRDefault="00555DA4">
      <w:pPr>
        <w:spacing w:after="160" w:line="259" w:lineRule="auto"/>
        <w:jc w:val="left"/>
      </w:pPr>
      <w:r>
        <w:br w:type="page"/>
      </w:r>
    </w:p>
    <w:p w14:paraId="53A458A9" w14:textId="0F444753" w:rsidR="00555DA4" w:rsidRPr="0003586F" w:rsidRDefault="008921B6" w:rsidP="00555DA4">
      <w:pPr>
        <w:widowControl w:val="0"/>
        <w:numPr>
          <w:ilvl w:val="0"/>
          <w:numId w:val="4"/>
        </w:numPr>
        <w:overflowPunct w:val="0"/>
        <w:autoSpaceDE w:val="0"/>
        <w:autoSpaceDN w:val="0"/>
        <w:adjustRightInd w:val="0"/>
        <w:ind w:hanging="567"/>
        <w:textAlignment w:val="baseline"/>
        <w:rPr>
          <w:sz w:val="20"/>
        </w:rPr>
      </w:pPr>
      <w:hyperlink r:id="rId49" w:history="1">
        <w:r w:rsidR="00555DA4">
          <w:rPr>
            <w:rStyle w:val="Hyperlink"/>
            <w:b/>
            <w:i/>
            <w:sz w:val="28"/>
          </w:rPr>
          <w:t>Teollisuusosuuskunnat</w:t>
        </w:r>
      </w:hyperlink>
      <w:r w:rsidR="00555DA4">
        <w:rPr>
          <w:b/>
          <w:i/>
          <w:sz w:val="28"/>
        </w:rPr>
        <w:t xml:space="preserve"> </w:t>
      </w:r>
    </w:p>
    <w:p w14:paraId="62EA351E" w14:textId="77777777" w:rsidR="00555DA4" w:rsidRPr="00A6689B" w:rsidRDefault="00555DA4" w:rsidP="00555DA4">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555DA4" w:rsidRPr="008630AF" w14:paraId="6D7D40C2" w14:textId="77777777" w:rsidTr="00114B49">
        <w:tc>
          <w:tcPr>
            <w:tcW w:w="1077" w:type="pct"/>
          </w:tcPr>
          <w:p w14:paraId="4E04A50D" w14:textId="77777777" w:rsidR="00555DA4" w:rsidRPr="00A6689B" w:rsidRDefault="00555DA4" w:rsidP="00114B49">
            <w:pPr>
              <w:tabs>
                <w:tab w:val="center" w:pos="284"/>
              </w:tabs>
              <w:ind w:left="266" w:hanging="266"/>
              <w:rPr>
                <w:b/>
              </w:rPr>
            </w:pPr>
            <w:r>
              <w:rPr>
                <w:b/>
              </w:rPr>
              <w:t>Esittelijä</w:t>
            </w:r>
          </w:p>
        </w:tc>
        <w:tc>
          <w:tcPr>
            <w:tcW w:w="3923" w:type="pct"/>
          </w:tcPr>
          <w:p w14:paraId="233CC5CE" w14:textId="77777777" w:rsidR="00555DA4" w:rsidRPr="0027488D" w:rsidRDefault="00555DA4" w:rsidP="00114B49">
            <w:pPr>
              <w:tabs>
                <w:tab w:val="center" w:pos="284"/>
              </w:tabs>
              <w:ind w:left="266" w:right="-3091" w:hanging="266"/>
            </w:pPr>
            <w:r>
              <w:t>Giuseppe GUERINI (kansalaisyhteiskunnan organisaatiot – IT)</w:t>
            </w:r>
          </w:p>
        </w:tc>
      </w:tr>
      <w:tr w:rsidR="00555DA4" w:rsidRPr="00A6689B" w14:paraId="284F6BCC" w14:textId="77777777" w:rsidTr="00114B49">
        <w:tc>
          <w:tcPr>
            <w:tcW w:w="1077" w:type="pct"/>
          </w:tcPr>
          <w:p w14:paraId="792A32E8" w14:textId="77777777" w:rsidR="00555DA4" w:rsidRPr="00A6689B" w:rsidRDefault="00555DA4" w:rsidP="00114B49">
            <w:pPr>
              <w:tabs>
                <w:tab w:val="center" w:pos="284"/>
              </w:tabs>
              <w:ind w:left="266" w:hanging="266"/>
              <w:rPr>
                <w:b/>
              </w:rPr>
            </w:pPr>
            <w:r>
              <w:rPr>
                <w:b/>
              </w:rPr>
              <w:t>Yhteisesittelijä</w:t>
            </w:r>
          </w:p>
        </w:tc>
        <w:tc>
          <w:tcPr>
            <w:tcW w:w="3923" w:type="pct"/>
          </w:tcPr>
          <w:p w14:paraId="19587ADB" w14:textId="77777777" w:rsidR="00555DA4" w:rsidRDefault="00555DA4" w:rsidP="00114B49">
            <w:pPr>
              <w:tabs>
                <w:tab w:val="center" w:pos="284"/>
              </w:tabs>
              <w:ind w:left="266" w:right="-3091" w:hanging="266"/>
            </w:pPr>
            <w:r>
              <w:t>Michal PINTÉR (työnantajat – SK)</w:t>
            </w:r>
          </w:p>
          <w:p w14:paraId="62EFE5CA" w14:textId="35766048" w:rsidR="00CE31C3" w:rsidRPr="00D97375" w:rsidRDefault="00CE31C3" w:rsidP="00114B49">
            <w:pPr>
              <w:tabs>
                <w:tab w:val="center" w:pos="284"/>
              </w:tabs>
              <w:ind w:left="266" w:right="-3091" w:hanging="266"/>
            </w:pPr>
          </w:p>
        </w:tc>
      </w:tr>
      <w:tr w:rsidR="00555DA4" w:rsidRPr="00A6689B" w14:paraId="1F149F55" w14:textId="77777777" w:rsidTr="00114B49">
        <w:tc>
          <w:tcPr>
            <w:tcW w:w="1077" w:type="pct"/>
          </w:tcPr>
          <w:p w14:paraId="09E73CCA" w14:textId="77777777" w:rsidR="00555DA4" w:rsidRPr="00A6689B" w:rsidRDefault="00555DA4" w:rsidP="00114B49">
            <w:pPr>
              <w:tabs>
                <w:tab w:val="center" w:pos="284"/>
              </w:tabs>
              <w:ind w:left="266" w:hanging="266"/>
              <w:rPr>
                <w:b/>
              </w:rPr>
            </w:pPr>
            <w:r>
              <w:rPr>
                <w:b/>
              </w:rPr>
              <w:t>Viiteasiakirja</w:t>
            </w:r>
          </w:p>
        </w:tc>
        <w:tc>
          <w:tcPr>
            <w:tcW w:w="3923" w:type="pct"/>
          </w:tcPr>
          <w:p w14:paraId="39138864" w14:textId="13FF00F9" w:rsidR="00CE31C3" w:rsidRDefault="00CE31C3" w:rsidP="00114B49">
            <w:pPr>
              <w:tabs>
                <w:tab w:val="center" w:pos="284"/>
              </w:tabs>
              <w:ind w:left="266" w:right="-3091" w:hanging="266"/>
            </w:pPr>
            <w:r>
              <w:t>Oma-aloitteinen lausunto</w:t>
            </w:r>
          </w:p>
          <w:p w14:paraId="0713D665" w14:textId="6119E282" w:rsidR="00555DA4" w:rsidRPr="00A6689B" w:rsidRDefault="00555DA4" w:rsidP="00114B49">
            <w:pPr>
              <w:tabs>
                <w:tab w:val="center" w:pos="284"/>
              </w:tabs>
              <w:ind w:left="266" w:right="-3091" w:hanging="266"/>
            </w:pPr>
            <w:r>
              <w:t>EESC-2025-01083-00-00-AC</w:t>
            </w:r>
          </w:p>
        </w:tc>
      </w:tr>
    </w:tbl>
    <w:p w14:paraId="75315405" w14:textId="77777777" w:rsidR="00555DA4" w:rsidRDefault="00555DA4" w:rsidP="00555DA4">
      <w:pPr>
        <w:tabs>
          <w:tab w:val="center" w:pos="284"/>
        </w:tabs>
        <w:ind w:left="266" w:hanging="266"/>
        <w:rPr>
          <w:b/>
        </w:rPr>
      </w:pPr>
    </w:p>
    <w:p w14:paraId="00714359" w14:textId="77777777" w:rsidR="00555DA4" w:rsidRPr="00A6689B" w:rsidRDefault="00555DA4" w:rsidP="00555DA4">
      <w:pPr>
        <w:keepNext/>
        <w:keepLines/>
        <w:tabs>
          <w:tab w:val="center" w:pos="284"/>
        </w:tabs>
        <w:ind w:left="266" w:hanging="266"/>
        <w:rPr>
          <w:b/>
        </w:rPr>
      </w:pPr>
      <w:r>
        <w:rPr>
          <w:b/>
        </w:rPr>
        <w:t>Keskeiset kohdat</w:t>
      </w:r>
    </w:p>
    <w:p w14:paraId="143166CE" w14:textId="77777777" w:rsidR="00555DA4" w:rsidRPr="00A6689B" w:rsidRDefault="00555DA4" w:rsidP="00555DA4">
      <w:pPr>
        <w:keepNext/>
        <w:keepLines/>
        <w:tabs>
          <w:tab w:val="center" w:pos="284"/>
        </w:tabs>
        <w:ind w:left="266" w:hanging="266"/>
        <w:rPr>
          <w:b/>
        </w:rPr>
      </w:pPr>
    </w:p>
    <w:p w14:paraId="4641AC87" w14:textId="77777777" w:rsidR="00555DA4" w:rsidRPr="00A6689B" w:rsidRDefault="00555DA4" w:rsidP="00555DA4">
      <w:pPr>
        <w:rPr>
          <w:bCs/>
          <w:iCs/>
        </w:rPr>
      </w:pPr>
      <w:r>
        <w:t>ETSK</w:t>
      </w:r>
    </w:p>
    <w:p w14:paraId="60848527" w14:textId="77777777" w:rsidR="00555DA4" w:rsidRDefault="00555DA4" w:rsidP="009D6F2E">
      <w:pPr>
        <w:widowControl w:val="0"/>
        <w:numPr>
          <w:ilvl w:val="0"/>
          <w:numId w:val="35"/>
        </w:numPr>
        <w:overflowPunct w:val="0"/>
        <w:autoSpaceDE w:val="0"/>
        <w:autoSpaceDN w:val="0"/>
        <w:adjustRightInd w:val="0"/>
        <w:ind w:left="426"/>
        <w:textAlignment w:val="baseline"/>
        <w:rPr>
          <w:bCs/>
          <w:iCs/>
        </w:rPr>
      </w:pPr>
      <w:r>
        <w:t>panee merkille, että Yhdistyneet kansakunnat on julistanut vuoden 2025 kansainväliseksi osuuskuntien teemavuodeksi, jonka teemana on ”Osuuskunnat paremman maailman rakentajina”, mikä heijastaa osuuskuntamallin kasvavaa kansainvälistä tunnustamista eri aloilla.</w:t>
      </w:r>
    </w:p>
    <w:p w14:paraId="56F5240D" w14:textId="77777777" w:rsidR="00555DA4" w:rsidRDefault="00555DA4" w:rsidP="009D6F2E">
      <w:pPr>
        <w:widowControl w:val="0"/>
        <w:numPr>
          <w:ilvl w:val="0"/>
          <w:numId w:val="35"/>
        </w:numPr>
        <w:overflowPunct w:val="0"/>
        <w:autoSpaceDE w:val="0"/>
        <w:autoSpaceDN w:val="0"/>
        <w:adjustRightInd w:val="0"/>
        <w:ind w:left="426"/>
        <w:textAlignment w:val="baseline"/>
        <w:rPr>
          <w:bCs/>
          <w:iCs/>
        </w:rPr>
      </w:pPr>
      <w:r>
        <w:t>suosittelee, että osuustoimintaan liittyvä opetus sisällytetään yleiseen yrittäjyys- ja ammatilliseen koulutukseen, mukaan lukien rahoituslaitosten tiedotustoimet ja Erasmus±ohjelman tarjoamat mahdollisuudet.</w:t>
      </w:r>
    </w:p>
    <w:p w14:paraId="1574DC5E" w14:textId="77777777" w:rsidR="00555DA4" w:rsidRPr="00277EB3" w:rsidRDefault="00555DA4" w:rsidP="009D6F2E">
      <w:pPr>
        <w:widowControl w:val="0"/>
        <w:numPr>
          <w:ilvl w:val="0"/>
          <w:numId w:val="35"/>
        </w:numPr>
        <w:overflowPunct w:val="0"/>
        <w:autoSpaceDE w:val="0"/>
        <w:autoSpaceDN w:val="0"/>
        <w:adjustRightInd w:val="0"/>
        <w:ind w:left="426"/>
        <w:textAlignment w:val="baseline"/>
        <w:rPr>
          <w:bCs/>
          <w:iCs/>
        </w:rPr>
      </w:pPr>
      <w:r>
        <w:t>katsoo, että osuuskuntatoimintaa olisi aktiivisesti edistettävä startup-yritysten ja nuorten yrittäjien keskuudessa.</w:t>
      </w:r>
    </w:p>
    <w:p w14:paraId="3F36CD3A" w14:textId="77777777" w:rsidR="00555DA4" w:rsidRPr="00277EB3" w:rsidRDefault="00555DA4" w:rsidP="009D6F2E">
      <w:pPr>
        <w:widowControl w:val="0"/>
        <w:numPr>
          <w:ilvl w:val="0"/>
          <w:numId w:val="35"/>
        </w:numPr>
        <w:overflowPunct w:val="0"/>
        <w:autoSpaceDE w:val="0"/>
        <w:autoSpaceDN w:val="0"/>
        <w:adjustRightInd w:val="0"/>
        <w:ind w:left="426"/>
        <w:textAlignment w:val="baseline"/>
        <w:rPr>
          <w:bCs/>
          <w:iCs/>
        </w:rPr>
      </w:pPr>
      <w:r>
        <w:t>kehottaa tunnustamaan teolliset osuuskunnat keskeisiksi talouden toimijoiksi ja tarjoamaan kohdennettuja taloudellisia kannustimia EU:n, kansallisella ja alueellisella tasolla (verohelpotukset, avustukset, matalakorkoinen rahoitus) teollisen symbioosin ja kiertotalouden tukemiseksi.</w:t>
      </w:r>
    </w:p>
    <w:p w14:paraId="346C040F" w14:textId="77777777" w:rsidR="00555DA4" w:rsidRPr="00277EB3" w:rsidRDefault="00555DA4" w:rsidP="009D6F2E">
      <w:pPr>
        <w:widowControl w:val="0"/>
        <w:numPr>
          <w:ilvl w:val="0"/>
          <w:numId w:val="35"/>
        </w:numPr>
        <w:overflowPunct w:val="0"/>
        <w:autoSpaceDE w:val="0"/>
        <w:autoSpaceDN w:val="0"/>
        <w:adjustRightInd w:val="0"/>
        <w:ind w:left="426"/>
        <w:textAlignment w:val="baseline"/>
        <w:rPr>
          <w:bCs/>
          <w:iCs/>
        </w:rPr>
      </w:pPr>
      <w:r>
        <w:t>kannustaa investoimaan yhteisiin teollisuuspuistoihin, ekoteollisuusalueisiin ja yhteistyöhön perustuviin tiedonjakofoorumeihin yhteistyöhön perustuvan lokalisoinnin ja kestävän tuotannon vahvistamiseksi.</w:t>
      </w:r>
    </w:p>
    <w:p w14:paraId="2EE4930F" w14:textId="77777777" w:rsidR="00555DA4" w:rsidRPr="00277EB3" w:rsidRDefault="00555DA4" w:rsidP="009D6F2E">
      <w:pPr>
        <w:widowControl w:val="0"/>
        <w:numPr>
          <w:ilvl w:val="0"/>
          <w:numId w:val="35"/>
        </w:numPr>
        <w:overflowPunct w:val="0"/>
        <w:autoSpaceDE w:val="0"/>
        <w:autoSpaceDN w:val="0"/>
        <w:adjustRightInd w:val="0"/>
        <w:ind w:left="426"/>
        <w:textAlignment w:val="baseline"/>
        <w:rPr>
          <w:bCs/>
          <w:iCs/>
        </w:rPr>
      </w:pPr>
      <w:r>
        <w:t>kehottaa sisällyttämään osuuskunnille suunnattuja politiikkatoimia EU:n koheesio-ohjelmiin ja aluekehitysstrategioihin ja asettamaan etusijalle osuustoimintaan perustuvat aloitteet alueellisen selviytymiskyvyn ja kestävyyden parantamiseksi.</w:t>
      </w:r>
    </w:p>
    <w:p w14:paraId="11EA779A" w14:textId="77777777" w:rsidR="00555DA4" w:rsidRPr="00277EB3" w:rsidRDefault="00555DA4" w:rsidP="009D6F2E">
      <w:pPr>
        <w:widowControl w:val="0"/>
        <w:numPr>
          <w:ilvl w:val="0"/>
          <w:numId w:val="35"/>
        </w:numPr>
        <w:overflowPunct w:val="0"/>
        <w:autoSpaceDE w:val="0"/>
        <w:autoSpaceDN w:val="0"/>
        <w:adjustRightInd w:val="0"/>
        <w:ind w:left="426"/>
        <w:textAlignment w:val="baseline"/>
        <w:rPr>
          <w:bCs/>
          <w:iCs/>
        </w:rPr>
      </w:pPr>
      <w:r>
        <w:t>korostaa datavetoisten osuuskuntien kasvavaa strategista merkitystä ja kehottaa EU:ta ja kansallisia viranomaisia tukemaan yhteisiä aloitteita teollisen datan hallinnoimiseksi ja jakamiseksi.</w:t>
      </w:r>
    </w:p>
    <w:p w14:paraId="6AFAF78E" w14:textId="77777777" w:rsidR="00555DA4" w:rsidRPr="00A6689B" w:rsidRDefault="00555DA4" w:rsidP="009D6F2E">
      <w:pPr>
        <w:widowControl w:val="0"/>
        <w:numPr>
          <w:ilvl w:val="0"/>
          <w:numId w:val="35"/>
        </w:numPr>
        <w:overflowPunct w:val="0"/>
        <w:autoSpaceDE w:val="0"/>
        <w:autoSpaceDN w:val="0"/>
        <w:adjustRightInd w:val="0"/>
        <w:ind w:left="426"/>
        <w:textAlignment w:val="baseline"/>
        <w:rPr>
          <w:bCs/>
          <w:iCs/>
        </w:rPr>
      </w:pPr>
      <w:r>
        <w:t>korostaa, että osuuskuntamalli tarjoaa ainutlaatuista lisäarvoa demokraattisen hallinnon, vaurauden tasapuolisen jakautumisen, yhteisön sitoutumisen ja vahvan sopeutumiskyvyn kautta, mikä vahvistaa EU:n strategista riippumattomuutta.</w:t>
      </w:r>
    </w:p>
    <w:p w14:paraId="1A65359A" w14:textId="77777777" w:rsidR="00555DA4" w:rsidRPr="000624A9" w:rsidRDefault="00555DA4" w:rsidP="00555DA4">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555DA4" w:rsidRPr="00A6689B" w14:paraId="504CEDC2" w14:textId="77777777" w:rsidTr="00114B49">
        <w:tc>
          <w:tcPr>
            <w:tcW w:w="1077" w:type="pct"/>
          </w:tcPr>
          <w:p w14:paraId="37C61A2E" w14:textId="77777777" w:rsidR="00555DA4" w:rsidRPr="00A6689B" w:rsidRDefault="00555DA4" w:rsidP="00114B49">
            <w:pPr>
              <w:rPr>
                <w:i/>
              </w:rPr>
            </w:pPr>
            <w:r>
              <w:rPr>
                <w:b/>
                <w:bCs/>
                <w:i/>
              </w:rPr>
              <w:t>Yhteydenotot</w:t>
            </w:r>
          </w:p>
        </w:tc>
        <w:tc>
          <w:tcPr>
            <w:tcW w:w="3923" w:type="pct"/>
          </w:tcPr>
          <w:p w14:paraId="45E72A42" w14:textId="45954A34" w:rsidR="00555DA4" w:rsidRPr="00A6689B" w:rsidRDefault="00555DA4" w:rsidP="00114B49">
            <w:pPr>
              <w:rPr>
                <w:i/>
              </w:rPr>
            </w:pPr>
            <w:r>
              <w:rPr>
                <w:i/>
              </w:rPr>
              <w:t xml:space="preserve">Adam </w:t>
            </w:r>
            <w:r w:rsidR="00CE31C3">
              <w:rPr>
                <w:i/>
              </w:rPr>
              <w:t>Dorywalski</w:t>
            </w:r>
          </w:p>
        </w:tc>
      </w:tr>
      <w:tr w:rsidR="00555DA4" w:rsidRPr="00A6689B" w14:paraId="19F501D1" w14:textId="77777777" w:rsidTr="00114B49">
        <w:tc>
          <w:tcPr>
            <w:tcW w:w="1077" w:type="pct"/>
          </w:tcPr>
          <w:p w14:paraId="324A05C4" w14:textId="77777777" w:rsidR="00555DA4" w:rsidRPr="00A6689B" w:rsidRDefault="00555DA4" w:rsidP="00114B49">
            <w:pPr>
              <w:rPr>
                <w:i/>
              </w:rPr>
            </w:pPr>
            <w:r>
              <w:rPr>
                <w:i/>
              </w:rPr>
              <w:t>P.</w:t>
            </w:r>
          </w:p>
        </w:tc>
        <w:tc>
          <w:tcPr>
            <w:tcW w:w="3923" w:type="pct"/>
          </w:tcPr>
          <w:p w14:paraId="5CCC0552" w14:textId="77777777" w:rsidR="00555DA4" w:rsidRPr="00A6689B" w:rsidRDefault="00555DA4" w:rsidP="00114B49">
            <w:pPr>
              <w:rPr>
                <w:i/>
              </w:rPr>
            </w:pPr>
            <w:r>
              <w:rPr>
                <w:i/>
              </w:rPr>
              <w:t>+32 25469397</w:t>
            </w:r>
          </w:p>
        </w:tc>
      </w:tr>
      <w:tr w:rsidR="00555DA4" w:rsidRPr="00A6689B" w14:paraId="283DEE6F" w14:textId="77777777" w:rsidTr="00114B49">
        <w:tc>
          <w:tcPr>
            <w:tcW w:w="1077" w:type="pct"/>
          </w:tcPr>
          <w:p w14:paraId="67537F66" w14:textId="77777777" w:rsidR="00555DA4" w:rsidRPr="00A6689B" w:rsidRDefault="00555DA4" w:rsidP="00114B49">
            <w:pPr>
              <w:rPr>
                <w:i/>
              </w:rPr>
            </w:pPr>
            <w:r>
              <w:rPr>
                <w:i/>
              </w:rPr>
              <w:t>Sähköposti</w:t>
            </w:r>
          </w:p>
        </w:tc>
        <w:tc>
          <w:tcPr>
            <w:tcW w:w="3923" w:type="pct"/>
          </w:tcPr>
          <w:p w14:paraId="094B490B" w14:textId="77777777" w:rsidR="00555DA4" w:rsidRPr="00A6689B" w:rsidRDefault="008921B6" w:rsidP="00114B49">
            <w:pPr>
              <w:rPr>
                <w:i/>
              </w:rPr>
            </w:pPr>
            <w:hyperlink r:id="rId50" w:history="1">
              <w:r w:rsidR="00555DA4">
                <w:rPr>
                  <w:rStyle w:val="Hyperlink"/>
                  <w:i/>
                </w:rPr>
                <w:t>Adam.Dorywalski@eesc.europa.eu</w:t>
              </w:r>
            </w:hyperlink>
          </w:p>
        </w:tc>
      </w:tr>
    </w:tbl>
    <w:p w14:paraId="0B14660A" w14:textId="77777777" w:rsidR="009D6F2E" w:rsidRDefault="009D6F2E" w:rsidP="00555DA4">
      <w:pPr>
        <w:jc w:val="center"/>
      </w:pPr>
    </w:p>
    <w:p w14:paraId="6AF0DE15" w14:textId="2D149E94" w:rsidR="00555DA4" w:rsidRPr="00631EB5" w:rsidRDefault="00555DA4" w:rsidP="00555DA4">
      <w:pPr>
        <w:jc w:val="center"/>
      </w:pPr>
      <w:r>
        <w:t>_____________</w:t>
      </w:r>
    </w:p>
    <w:p w14:paraId="624F2268" w14:textId="77777777" w:rsidR="000D394D" w:rsidRDefault="000D394D">
      <w:pPr>
        <w:spacing w:after="160" w:line="259" w:lineRule="auto"/>
        <w:jc w:val="left"/>
      </w:pPr>
    </w:p>
    <w:sectPr w:rsidR="000D394D" w:rsidSect="00D40A83">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2378842" w:rsidR="00B518C9" w:rsidRPr="00B518C9" w:rsidRDefault="00FF4B24" w:rsidP="00B518C9">
    <w:pPr>
      <w:pStyle w:val="Footer"/>
    </w:pPr>
    <w:r>
      <w:t>EESC-2025-03552-00-00-TCD-TRA (EN</w:t>
    </w:r>
    <w:r w:rsidR="00B518C9">
      <w:t xml:space="preserve">) </w:t>
    </w:r>
    <w:r w:rsidR="00B518C9">
      <w:fldChar w:fldCharType="begin"/>
    </w:r>
    <w:r w:rsidR="00B518C9">
      <w:instrText xml:space="preserve"> PAGE  \* Arabic  \* MERGEFORMAT </w:instrText>
    </w:r>
    <w:r w:rsidR="00B518C9">
      <w:fldChar w:fldCharType="separate"/>
    </w:r>
    <w:r w:rsidR="00BC5FBA">
      <w:rPr>
        <w:noProof/>
      </w:rPr>
      <w:t>3</w:t>
    </w:r>
    <w:r w:rsidR="00B518C9">
      <w:fldChar w:fldCharType="end"/>
    </w:r>
    <w:r w:rsidR="00B518C9">
      <w:t>/</w:t>
    </w:r>
    <w:r w:rsidR="00B518C9">
      <w:fldChar w:fldCharType="begin"/>
    </w:r>
    <w:r w:rsidR="00B518C9">
      <w:instrText xml:space="preserve"> = </w:instrText>
    </w:r>
    <w:r w:rsidR="008921B6">
      <w:fldChar w:fldCharType="begin"/>
    </w:r>
    <w:r w:rsidR="008921B6">
      <w:instrText xml:space="preserve"> NUMPAGES </w:instrText>
    </w:r>
    <w:r w:rsidR="008921B6">
      <w:fldChar w:fldCharType="separate"/>
    </w:r>
    <w:r w:rsidR="008921B6">
      <w:rPr>
        <w:noProof/>
      </w:rPr>
      <w:instrText>23</w:instrText>
    </w:r>
    <w:r w:rsidR="008921B6">
      <w:rPr>
        <w:noProof/>
      </w:rPr>
      <w:fldChar w:fldCharType="end"/>
    </w:r>
    <w:r w:rsidR="00B518C9">
      <w:instrText xml:space="preserve"> -0 </w:instrText>
    </w:r>
    <w:r w:rsidR="00B518C9">
      <w:fldChar w:fldCharType="separate"/>
    </w:r>
    <w:r w:rsidR="008921B6">
      <w:rPr>
        <w:noProof/>
      </w:rPr>
      <w:t>23</w:t>
    </w:r>
    <w:r w:rsidR="00B518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47E777EB" w14:textId="77777777" w:rsidR="00FF4B24" w:rsidRDefault="00FF4B24" w:rsidP="00FF4B24">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https://eur-lex.europa.eu/legal-content/FI/TXT/?uri=legissum:4623532</w:t>
        </w:r>
      </w:hyperlink>
      <w:r>
        <w:rPr>
          <w:sz w:val="16"/>
        </w:rPr>
        <w:t>.</w:t>
      </w:r>
    </w:p>
  </w:footnote>
  <w:footnote w:id="2">
    <w:p w14:paraId="15F04758" w14:textId="77777777" w:rsidR="00FF4B24" w:rsidRPr="00ED3E39" w:rsidRDefault="00FF4B24" w:rsidP="00FF4B24">
      <w:pPr>
        <w:keepLines/>
        <w:spacing w:after="60" w:line="240" w:lineRule="auto"/>
        <w:ind w:left="567" w:hanging="567"/>
      </w:pPr>
      <w:r>
        <w:rPr>
          <w:rStyle w:val="FootnoteReference"/>
        </w:rPr>
        <w:footnoteRef/>
      </w:r>
      <w:r>
        <w:rPr>
          <w:sz w:val="16"/>
        </w:rPr>
        <w:tab/>
      </w:r>
      <w:hyperlink r:id="rId2">
        <w:r>
          <w:rPr>
            <w:color w:val="0000FF"/>
            <w:sz w:val="16"/>
            <w:u w:val="single"/>
          </w:rPr>
          <w:t>https://eur-lex.europa.eu/legal-content/FI/TXT/?uri=CELEX:52022XC0930(02)</w:t>
        </w:r>
      </w:hyperlink>
      <w:r>
        <w:rPr>
          <w:sz w:val="16"/>
        </w:rPr>
        <w:t>.</w:t>
      </w:r>
    </w:p>
  </w:footnote>
  <w:footnote w:id="3">
    <w:p w14:paraId="3DEDADB2" w14:textId="77777777" w:rsidR="00FF4B24" w:rsidRPr="0023267D" w:rsidRDefault="00FF4B24" w:rsidP="00FF4B24">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https://eur-lex.europa.eu/legal-content/FI/TXT/PDF/?uri=CELEX:32021H1534</w:t>
        </w:r>
      </w:hyperlink>
      <w:r>
        <w:t>.</w:t>
      </w:r>
    </w:p>
  </w:footnote>
  <w:footnote w:id="4">
    <w:p w14:paraId="622D5E61" w14:textId="77777777" w:rsidR="00FF4B24" w:rsidRPr="00C510E4" w:rsidRDefault="00FF4B24" w:rsidP="00FF4B24">
      <w:pPr>
        <w:keepLines/>
        <w:spacing w:after="60" w:line="240" w:lineRule="auto"/>
        <w:ind w:left="567" w:hanging="567"/>
      </w:pPr>
      <w:r>
        <w:rPr>
          <w:rStyle w:val="FootnoteReference"/>
        </w:rPr>
        <w:footnoteRef/>
      </w:r>
      <w:r>
        <w:tab/>
      </w:r>
      <w:r>
        <w:rPr>
          <w:sz w:val="16"/>
        </w:rPr>
        <w:t xml:space="preserve">EUVL C, C/2025/114, 10.1.2025, ELI: </w:t>
      </w:r>
      <w:hyperlink r:id="rId4" w:history="1">
        <w:r>
          <w:rPr>
            <w:rStyle w:val="Hyperlink"/>
            <w:sz w:val="16"/>
          </w:rPr>
          <w:t>http://data.europa.eu/eli/C/2025/114/oj</w:t>
        </w:r>
      </w:hyperlink>
      <w:r>
        <w:rPr>
          <w:sz w:val="16"/>
        </w:rPr>
        <w:t>.</w:t>
      </w:r>
    </w:p>
  </w:footnote>
  <w:footnote w:id="5">
    <w:p w14:paraId="4440914A" w14:textId="77777777" w:rsidR="00927539" w:rsidRPr="00360DD3" w:rsidRDefault="00927539" w:rsidP="00927539">
      <w:pPr>
        <w:pStyle w:val="FootnoteText"/>
      </w:pPr>
      <w:r>
        <w:rPr>
          <w:rStyle w:val="FootnoteReference"/>
        </w:rPr>
        <w:footnoteRef/>
      </w:r>
      <w:r>
        <w:tab/>
        <w:t xml:space="preserve">ETSK:n oma-aloitteinen lausunto aiheesta </w:t>
      </w:r>
      <w:hyperlink w:anchor=":~:text=The%20only%20reliable%20way%20to%20preserve%20the%20rainforests%20is%20through" w:history="1">
        <w:r>
          <w:rPr>
            <w:rStyle w:val="Hyperlink"/>
            <w:i/>
          </w:rPr>
          <w:t>Amazonin sademetsäkato – vaikutukset ilmastonmuutokseen ja ympäristöön maailmanlaajuisesti sekä seuraukset yrityksille, työntekijöille ja väestölle</w:t>
        </w:r>
      </w:hyperlink>
      <w:r>
        <w:t xml:space="preserve">, </w:t>
      </w:r>
      <w:hyperlink r:id="rId5" w:history="1">
        <w:r>
          <w:rPr>
            <w:rStyle w:val="Hyperlink"/>
          </w:rPr>
          <w:t>EUVL C/2024/6882, 28.11.2024</w:t>
        </w:r>
      </w:hyperlink>
      <w:r>
        <w:t>.</w:t>
      </w:r>
    </w:p>
  </w:footnote>
  <w:footnote w:id="6">
    <w:p w14:paraId="7C128EBC" w14:textId="77777777" w:rsidR="00927539" w:rsidRPr="00360DD3" w:rsidRDefault="00927539" w:rsidP="00927539">
      <w:pPr>
        <w:pStyle w:val="FootnoteText"/>
      </w:pPr>
      <w:r>
        <w:rPr>
          <w:rStyle w:val="FootnoteReference"/>
        </w:rPr>
        <w:footnoteRef/>
      </w:r>
      <w:r>
        <w:tab/>
        <w:t xml:space="preserve">ETSK:n lausunto aiheesta </w:t>
      </w:r>
      <w:hyperlink r:id="rId6" w:history="1">
        <w:r>
          <w:rPr>
            <w:rStyle w:val="Hyperlink"/>
            <w:i/>
          </w:rPr>
          <w:t>EU:n markkinoille saatettaviin tuotteisiin liittyvän metsäkadon ja metsien tilan heikkenemisen riskin minimointi</w:t>
        </w:r>
      </w:hyperlink>
      <w:r>
        <w:t xml:space="preserve">, </w:t>
      </w:r>
      <w:hyperlink r:id="rId7" w:history="1">
        <w:r>
          <w:rPr>
            <w:rStyle w:val="Hyperlink"/>
          </w:rPr>
          <w:t>EUVL C 275, 18.7.2022</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03818CA"/>
    <w:multiLevelType w:val="multilevel"/>
    <w:tmpl w:val="7582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B09C6"/>
    <w:multiLevelType w:val="hybridMultilevel"/>
    <w:tmpl w:val="68842F5C"/>
    <w:lvl w:ilvl="0" w:tplc="89029AA0">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 w15:restartNumberingAfterBreak="0">
    <w:nsid w:val="0AEC301A"/>
    <w:multiLevelType w:val="hybridMultilevel"/>
    <w:tmpl w:val="0CF2222A"/>
    <w:lvl w:ilvl="0" w:tplc="89029AA0">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47622F3"/>
    <w:multiLevelType w:val="hybridMultilevel"/>
    <w:tmpl w:val="0C0C8D7E"/>
    <w:lvl w:ilvl="0" w:tplc="89029AA0">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6"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81EF8"/>
    <w:multiLevelType w:val="hybridMultilevel"/>
    <w:tmpl w:val="7004AC8A"/>
    <w:lvl w:ilvl="0" w:tplc="89029AA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76C75"/>
    <w:multiLevelType w:val="hybridMultilevel"/>
    <w:tmpl w:val="42563360"/>
    <w:lvl w:ilvl="0" w:tplc="89029AA0">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35C340D9"/>
    <w:multiLevelType w:val="hybridMultilevel"/>
    <w:tmpl w:val="EFF89ED6"/>
    <w:lvl w:ilvl="0" w:tplc="89029AA0">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2"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3" w15:restartNumberingAfterBreak="0">
    <w:nsid w:val="39D97148"/>
    <w:multiLevelType w:val="hybridMultilevel"/>
    <w:tmpl w:val="64A456A0"/>
    <w:lvl w:ilvl="0" w:tplc="89029AA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77004"/>
    <w:multiLevelType w:val="hybridMultilevel"/>
    <w:tmpl w:val="1F601724"/>
    <w:lvl w:ilvl="0" w:tplc="89029AA0">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6" w15:restartNumberingAfterBreak="0">
    <w:nsid w:val="435678AA"/>
    <w:multiLevelType w:val="hybridMultilevel"/>
    <w:tmpl w:val="C40A6CA0"/>
    <w:lvl w:ilvl="0" w:tplc="89029AA0">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45796F1F"/>
    <w:multiLevelType w:val="hybridMultilevel"/>
    <w:tmpl w:val="84E24038"/>
    <w:lvl w:ilvl="0" w:tplc="89029AA0">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8" w15:restartNumberingAfterBreak="0">
    <w:nsid w:val="4DEE797C"/>
    <w:multiLevelType w:val="hybridMultilevel"/>
    <w:tmpl w:val="9EA21B80"/>
    <w:lvl w:ilvl="0" w:tplc="89029AA0">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9" w15:restartNumberingAfterBreak="0">
    <w:nsid w:val="4FB343B2"/>
    <w:multiLevelType w:val="multilevel"/>
    <w:tmpl w:val="762E40FA"/>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15:restartNumberingAfterBreak="0">
    <w:nsid w:val="5596340B"/>
    <w:multiLevelType w:val="hybridMultilevel"/>
    <w:tmpl w:val="9CCA822E"/>
    <w:lvl w:ilvl="0" w:tplc="89029AA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2" w15:restartNumberingAfterBreak="0">
    <w:nsid w:val="5B14652C"/>
    <w:multiLevelType w:val="hybridMultilevel"/>
    <w:tmpl w:val="4C1AEE82"/>
    <w:lvl w:ilvl="0" w:tplc="89029AA0">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23" w15:restartNumberingAfterBreak="0">
    <w:nsid w:val="5ECD1847"/>
    <w:multiLevelType w:val="hybridMultilevel"/>
    <w:tmpl w:val="3E548C58"/>
    <w:lvl w:ilvl="0" w:tplc="89029AA0">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4" w15:restartNumberingAfterBreak="0">
    <w:nsid w:val="60933C29"/>
    <w:multiLevelType w:val="hybridMultilevel"/>
    <w:tmpl w:val="79866908"/>
    <w:lvl w:ilvl="0" w:tplc="89029AA0">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8F08F3"/>
    <w:multiLevelType w:val="hybridMultilevel"/>
    <w:tmpl w:val="FFAE5DFA"/>
    <w:lvl w:ilvl="0" w:tplc="89029AA0">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7" w15:restartNumberingAfterBreak="0">
    <w:nsid w:val="64E56A98"/>
    <w:multiLevelType w:val="hybridMultilevel"/>
    <w:tmpl w:val="49188236"/>
    <w:lvl w:ilvl="0" w:tplc="89029AA0">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8" w15:restartNumberingAfterBreak="0">
    <w:nsid w:val="66E70BBE"/>
    <w:multiLevelType w:val="hybridMultilevel"/>
    <w:tmpl w:val="61B84AEE"/>
    <w:lvl w:ilvl="0" w:tplc="89029AA0">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9"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0"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1"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5CE2993"/>
    <w:multiLevelType w:val="hybridMultilevel"/>
    <w:tmpl w:val="2DBE341E"/>
    <w:lvl w:ilvl="0" w:tplc="89029AA0">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C3032"/>
    <w:multiLevelType w:val="multilevel"/>
    <w:tmpl w:val="58D6A5FA"/>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79BE41BA"/>
    <w:multiLevelType w:val="hybridMultilevel"/>
    <w:tmpl w:val="5D061332"/>
    <w:lvl w:ilvl="0" w:tplc="89029AA0">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0"/>
  </w:num>
  <w:num w:numId="2">
    <w:abstractNumId w:val="30"/>
  </w:num>
  <w:num w:numId="3">
    <w:abstractNumId w:val="34"/>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31"/>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7"/>
  </w:num>
  <w:num w:numId="8">
    <w:abstractNumId w:val="6"/>
  </w:num>
  <w:num w:numId="9">
    <w:abstractNumId w:val="32"/>
  </w:num>
  <w:num w:numId="10">
    <w:abstractNumId w:val="9"/>
  </w:num>
  <w:num w:numId="11">
    <w:abstractNumId w:val="14"/>
  </w:num>
  <w:num w:numId="12">
    <w:abstractNumId w:val="12"/>
  </w:num>
  <w:num w:numId="13">
    <w:abstractNumId w:val="21"/>
  </w:num>
  <w:num w:numId="14">
    <w:abstractNumId w:val="25"/>
  </w:num>
  <w:num w:numId="15">
    <w:abstractNumId w:val="29"/>
  </w:num>
  <w:num w:numId="16">
    <w:abstractNumId w:val="36"/>
  </w:num>
  <w:num w:numId="17">
    <w:abstractNumId w:val="24"/>
  </w:num>
  <w:num w:numId="18">
    <w:abstractNumId w:val="19"/>
  </w:num>
  <w:num w:numId="19">
    <w:abstractNumId w:val="35"/>
  </w:num>
  <w:num w:numId="20">
    <w:abstractNumId w:val="16"/>
  </w:num>
  <w:num w:numId="21">
    <w:abstractNumId w:val="15"/>
  </w:num>
  <w:num w:numId="22">
    <w:abstractNumId w:val="23"/>
  </w:num>
  <w:num w:numId="23">
    <w:abstractNumId w:val="3"/>
  </w:num>
  <w:num w:numId="24">
    <w:abstractNumId w:val="17"/>
  </w:num>
  <w:num w:numId="25">
    <w:abstractNumId w:val="11"/>
  </w:num>
  <w:num w:numId="26">
    <w:abstractNumId w:val="2"/>
  </w:num>
  <w:num w:numId="27">
    <w:abstractNumId w:val="20"/>
  </w:num>
  <w:num w:numId="28">
    <w:abstractNumId w:val="13"/>
  </w:num>
  <w:num w:numId="29">
    <w:abstractNumId w:val="18"/>
  </w:num>
  <w:num w:numId="30">
    <w:abstractNumId w:val="22"/>
  </w:num>
  <w:num w:numId="31">
    <w:abstractNumId w:val="8"/>
  </w:num>
  <w:num w:numId="32">
    <w:abstractNumId w:val="27"/>
  </w:num>
  <w:num w:numId="33">
    <w:abstractNumId w:val="26"/>
  </w:num>
  <w:num w:numId="34">
    <w:abstractNumId w:val="28"/>
  </w:num>
  <w:num w:numId="35">
    <w:abstractNumId w:val="5"/>
  </w:num>
  <w:num w:numId="36">
    <w:abstractNumId w:val="4"/>
  </w:num>
  <w:num w:numId="37">
    <w:abstractNumId w:val="3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fi-FI" w:vendorID="64" w:dllVersion="6" w:nlCheck="1" w:checkStyle="0"/>
  <w:activeWritingStyle w:appName="MSWord" w:lang="fi-FI" w:vendorID="64" w:dllVersion="4096" w:nlCheck="1" w:checkStyle="0"/>
  <w:activeWritingStyle w:appName="MSWord" w:lang="en-GB"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6204"/>
    <w:rsid w:val="00010A4D"/>
    <w:rsid w:val="00011012"/>
    <w:rsid w:val="00063DFF"/>
    <w:rsid w:val="00066CBB"/>
    <w:rsid w:val="000D394D"/>
    <w:rsid w:val="001E12E1"/>
    <w:rsid w:val="001E391D"/>
    <w:rsid w:val="002A5636"/>
    <w:rsid w:val="002B7981"/>
    <w:rsid w:val="003066BE"/>
    <w:rsid w:val="003227CC"/>
    <w:rsid w:val="003239E6"/>
    <w:rsid w:val="003F326D"/>
    <w:rsid w:val="003F5613"/>
    <w:rsid w:val="003F77B6"/>
    <w:rsid w:val="003F79EF"/>
    <w:rsid w:val="0043191A"/>
    <w:rsid w:val="004A5CD7"/>
    <w:rsid w:val="004D7AC0"/>
    <w:rsid w:val="00532089"/>
    <w:rsid w:val="00555DA4"/>
    <w:rsid w:val="00586B4B"/>
    <w:rsid w:val="005A0BDA"/>
    <w:rsid w:val="005E7651"/>
    <w:rsid w:val="00641262"/>
    <w:rsid w:val="006D2C8A"/>
    <w:rsid w:val="006D2D64"/>
    <w:rsid w:val="00766B1A"/>
    <w:rsid w:val="007F5784"/>
    <w:rsid w:val="00845F24"/>
    <w:rsid w:val="0088219D"/>
    <w:rsid w:val="008921B6"/>
    <w:rsid w:val="008E5DBC"/>
    <w:rsid w:val="00927539"/>
    <w:rsid w:val="009D6F2E"/>
    <w:rsid w:val="00A20E9D"/>
    <w:rsid w:val="00A272B2"/>
    <w:rsid w:val="00AD4580"/>
    <w:rsid w:val="00B203DA"/>
    <w:rsid w:val="00B518C9"/>
    <w:rsid w:val="00B61A11"/>
    <w:rsid w:val="00BC5FBA"/>
    <w:rsid w:val="00BE54B3"/>
    <w:rsid w:val="00C008B4"/>
    <w:rsid w:val="00C17ABD"/>
    <w:rsid w:val="00C26C67"/>
    <w:rsid w:val="00C821A5"/>
    <w:rsid w:val="00CE31C3"/>
    <w:rsid w:val="00D341DD"/>
    <w:rsid w:val="00D43613"/>
    <w:rsid w:val="00D444F3"/>
    <w:rsid w:val="00D7076A"/>
    <w:rsid w:val="00D76F0C"/>
    <w:rsid w:val="00D81F5E"/>
    <w:rsid w:val="00D92269"/>
    <w:rsid w:val="00DE176A"/>
    <w:rsid w:val="00E00A6B"/>
    <w:rsid w:val="00E77899"/>
    <w:rsid w:val="00F362C7"/>
    <w:rsid w:val="00F83C17"/>
    <w:rsid w:val="00F93366"/>
    <w:rsid w:val="00F96D7F"/>
    <w:rsid w:val="00FC456F"/>
    <w:rsid w:val="00FF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FF4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4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E5D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275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27539"/>
    <w:rPr>
      <w:rFonts w:ascii="Times New Roman" w:eastAsia="Times New Roman" w:hAnsi="Times New Roman" w:cs="Times New Roman"/>
    </w:rPr>
  </w:style>
  <w:style w:type="table" w:customStyle="1" w:styleId="TableGrid5">
    <w:name w:val="Table Grid5"/>
    <w:basedOn w:val="TableNormal"/>
    <w:next w:val="TableGrid"/>
    <w:rsid w:val="009275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55D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55D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fi/our-work/opinions-information-reports/plenary-session-summaries" TargetMode="External"/><Relationship Id="rId18" Type="http://schemas.openxmlformats.org/officeDocument/2006/relationships/hyperlink" Target="https://www.eesc.europa.eu/fi/our-work/opinions-information-reports/opinions/establishing-european-fund-regional-development-including-european-territorial-cooperation-interreg-and-cohesion-fund" TargetMode="External"/><Relationship Id="rId26" Type="http://schemas.openxmlformats.org/officeDocument/2006/relationships/hyperlink" Target="mailto:Maja.Radman@eesc.europa.eu" TargetMode="External"/><Relationship Id="rId39" Type="http://schemas.openxmlformats.org/officeDocument/2006/relationships/hyperlink" Target="mailto:Martine.Delanoy@eesc.europa.eu" TargetMode="External"/><Relationship Id="rId3" Type="http://schemas.openxmlformats.org/officeDocument/2006/relationships/customXml" Target="../customXml/item3.xml"/><Relationship Id="rId21" Type="http://schemas.openxmlformats.org/officeDocument/2006/relationships/hyperlink" Target="mailto:june.bedaton@eesc.europa.eu" TargetMode="External"/><Relationship Id="rId34" Type="http://schemas.openxmlformats.org/officeDocument/2006/relationships/hyperlink" Target="https://www.eesc.europa.eu/fi/our-work/opinions-information-reports/opinions/competitiveness-fund" TargetMode="External"/><Relationship Id="rId42" Type="http://schemas.openxmlformats.org/officeDocument/2006/relationships/hyperlink" Target="mailto:Marie-Laurence.Drillon@eesc.europa.eu" TargetMode="External"/><Relationship Id="rId47" Type="http://schemas.openxmlformats.org/officeDocument/2006/relationships/hyperlink" Target="https://www.eesc.europa.eu/fi/our-work/opinions-information-reports/opinions/facilitating-potential-permanent-materials-eu-circular-economy" TargetMode="External"/><Relationship Id="rId50" Type="http://schemas.openxmlformats.org/officeDocument/2006/relationships/hyperlink" Target="mailto:Adam.Dorywalski@eesc.europa.e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Georgios.Meleas@eesc.europa.eu" TargetMode="External"/><Relationship Id="rId25" Type="http://schemas.openxmlformats.org/officeDocument/2006/relationships/hyperlink" Target="https://eur-lex.europa.eu/eli/C/2023/874/oj" TargetMode="External"/><Relationship Id="rId33" Type="http://schemas.openxmlformats.org/officeDocument/2006/relationships/hyperlink" Target="mailto:Silvia.Staffa@eesc.europa.eu" TargetMode="External"/><Relationship Id="rId38" Type="http://schemas.openxmlformats.org/officeDocument/2006/relationships/hyperlink" Target="https://www.eesc.europa.eu/fi/our-work/opinions-information-reports/opinions/amendment-deforestation-regulation-eu-20231115" TargetMode="External"/><Relationship Id="rId46" Type="http://schemas.openxmlformats.org/officeDocument/2006/relationships/hyperlink" Target="mailto:Katarina.Albrechtova@eesc.europa.eu" TargetMode="External"/><Relationship Id="rId2" Type="http://schemas.openxmlformats.org/officeDocument/2006/relationships/customXml" Target="../customXml/item2.xml"/><Relationship Id="rId16" Type="http://schemas.openxmlformats.org/officeDocument/2006/relationships/hyperlink" Target="https://www.eesc.europa.eu/fi/our-work/opinions-information-reports/opinions/implementation-eu-macro-regional-strategies-5th-report" TargetMode="External"/><Relationship Id="rId20" Type="http://schemas.openxmlformats.org/officeDocument/2006/relationships/hyperlink" Target="https://www.eesc.europa.eu/fi/our-work/opinions-information-reports/opinions/labour-rights-journalists-and-media-professionals-safeguard-independence-and-truthful-information" TargetMode="External"/><Relationship Id="rId29" Type="http://schemas.openxmlformats.org/officeDocument/2006/relationships/hyperlink" Target="mailto:Albert.Precup@eesc.europa.eu" TargetMode="External"/><Relationship Id="rId41" Type="http://schemas.openxmlformats.org/officeDocument/2006/relationships/hyperlink" Target="mailto:Arturo.Iniguez@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fi/our-work/opinions-information-reports/opinions/co2-emission-class-heavy-duty-vehicles-trailers-0" TargetMode="External"/><Relationship Id="rId32" Type="http://schemas.openxmlformats.org/officeDocument/2006/relationships/hyperlink" Target="https://www.eesc.europa.eu/fi/our-work/opinions-information-reports/opinions/report-competition-policy-2024" TargetMode="External"/><Relationship Id="rId37" Type="http://schemas.openxmlformats.org/officeDocument/2006/relationships/hyperlink" Target="mailto:Annalisa.Tessarolo@eesc.europa.eu" TargetMode="External"/><Relationship Id="rId40" Type="http://schemas.openxmlformats.org/officeDocument/2006/relationships/hyperlink" Target="https://www.eesc.europa.eu/fi/our-work/opinions-information-reports/opinions/revision-union-civil-protection-mechanism" TargetMode="External"/><Relationship Id="rId45" Type="http://schemas.openxmlformats.org/officeDocument/2006/relationships/hyperlink" Target="https://www.eesc.europa.eu/fi/our-work/opinions-information-reports/opinions/predictable-and-common-european-way-forward-ukrainians-e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Alessia.Cova@eesc.europa.eu" TargetMode="External"/><Relationship Id="rId28" Type="http://schemas.openxmlformats.org/officeDocument/2006/relationships/hyperlink" Target="https://www.eesc.europa.eu/fi/our-work/opinions-information-reports/opinions/nuclear-illustrative-programme-1" TargetMode="External"/><Relationship Id="rId36" Type="http://schemas.openxmlformats.org/officeDocument/2006/relationships/hyperlink" Target="https://www.eesc.europa.eu/fi/our-work/opinions-information-reports/opinions/review-european-public-procurement-legal-framework" TargetMode="External"/><Relationship Id="rId49" Type="http://schemas.openxmlformats.org/officeDocument/2006/relationships/hyperlink" Target="https://www.eesc.europa.eu/fi/our-work/opinions-information-reports/opinions/industrial-cooperatives-tool-challenge-inclusive-and-sustainable-competitiveness" TargetMode="External"/><Relationship Id="rId10" Type="http://schemas.openxmlformats.org/officeDocument/2006/relationships/footnotes" Target="footnotes.xml"/><Relationship Id="rId19" Type="http://schemas.openxmlformats.org/officeDocument/2006/relationships/hyperlink" Target="mailto:Georgios.Meleas@eesc.europa.eu" TargetMode="External"/><Relationship Id="rId31" Type="http://schemas.openxmlformats.org/officeDocument/2006/relationships/hyperlink" Target="mailto:Annalisa.Tessarolo@eesc.europa.eu" TargetMode="External"/><Relationship Id="rId44" Type="http://schemas.openxmlformats.org/officeDocument/2006/relationships/hyperlink" Target="mailto:Daniele.Vitali@eesc.europa.e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fi/our-work/opinions-information-reports/opinions/agoraeu-and-justice-programmes" TargetMode="External"/><Relationship Id="rId27" Type="http://schemas.openxmlformats.org/officeDocument/2006/relationships/hyperlink" Target="mailto:GiorgiaAndrea.Bordignon@eesc.europa.eu" TargetMode="External"/><Relationship Id="rId30" Type="http://schemas.openxmlformats.org/officeDocument/2006/relationships/hyperlink" Target="https://www.eesc.europa.eu/fi/our-work/opinions-information-reports/opinions/single-market-strategy" TargetMode="External"/><Relationship Id="rId35" Type="http://schemas.openxmlformats.org/officeDocument/2006/relationships/hyperlink" Target="mailto:Silvia.Staffa@eesc.europa.eu" TargetMode="External"/><Relationship Id="rId43" Type="http://schemas.openxmlformats.org/officeDocument/2006/relationships/hyperlink" Target="https://www.eesc.europa.eu/fi/our-work/opinions-information-reports/opinions/global-europe-multiannual-financial-framework-proposal" TargetMode="External"/><Relationship Id="rId48" Type="http://schemas.openxmlformats.org/officeDocument/2006/relationships/hyperlink" Target="mailto:Adam.Dorywalski@eesc.europa.eu" TargetMode="External"/><Relationship Id="rId8" Type="http://schemas.openxmlformats.org/officeDocument/2006/relationships/settings" Target="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I/TXT/PDF/?uri=CELEX:32021H1534" TargetMode="External"/><Relationship Id="rId7" Type="http://schemas.openxmlformats.org/officeDocument/2006/relationships/hyperlink" Target="https://eur-lex.europa.eu/legal-content/FI/TXT/?uri=uriserv%3AOJ.C_.2022.275.01.0088.01.FIN&amp;toc=OJ%3AC%3A2022%3A275%3ATOC" TargetMode="External"/><Relationship Id="rId2" Type="http://schemas.openxmlformats.org/officeDocument/2006/relationships/hyperlink" Target="https://eur-lex.europa.eu/legal-content/FI/TXT/?uri=CELEX:52022XC0930(02)" TargetMode="External"/><Relationship Id="rId1" Type="http://schemas.openxmlformats.org/officeDocument/2006/relationships/hyperlink" Target="https://eur-lex.europa.eu/legal-content/FI/TXT/?uri=legissum:4623532" TargetMode="External"/><Relationship Id="rId6" Type="http://schemas.openxmlformats.org/officeDocument/2006/relationships/hyperlink" Target="https://www.eesc.europa.eu/fi/our-work/opinions-information-reports/opinions/minimising-risk-deforestation-and-forest-degradation-associated-products-placed-eu-market" TargetMode="External"/><Relationship Id="rId5" Type="http://schemas.openxmlformats.org/officeDocument/2006/relationships/hyperlink" Target="https://eur-lex.europa.eu/legal-content/FI/TXT/?uri=OJ:C_202406882"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A6WAAD5KZT2Q-284857674-6422</_dlc_DocId>
    <_dlc_DocIdUrl xmlns="1a33af13-4045-4f88-9d7b-618e30f79918">
      <Url>http://dm/eesc/2025/_layouts/15/DocIdRedir.aspx?ID=A6WAAD5KZT2Q-284857674-6422</Url>
      <Description>A6WAAD5KZT2Q-284857674-6422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2025-12-22T12:00:00+00:00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Eskelinen Juha</DisplayName>
        <AccountId>1503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C5D6-F0B5-47DB-BE7C-32FF8C4EF632}">
  <ds:schemaRefs>
    <ds:schemaRef ds:uri="http://schemas.microsoft.com/sharepoint/v3/contenttype/forms"/>
  </ds:schemaRefs>
</ds:datastoreItem>
</file>

<file path=customXml/itemProps2.xml><?xml version="1.0" encoding="utf-8"?>
<ds:datastoreItem xmlns:ds="http://schemas.openxmlformats.org/officeDocument/2006/customXml" ds:itemID="{54F88CD9-5EE4-4EB7-B546-EA98810FD5CF}">
  <ds:schemaRefs>
    <ds:schemaRef ds:uri="http://schemas.microsoft.com/sharepoint/events"/>
  </ds:schemaRefs>
</ds:datastoreItem>
</file>

<file path=customXml/itemProps3.xml><?xml version="1.0" encoding="utf-8"?>
<ds:datastoreItem xmlns:ds="http://schemas.openxmlformats.org/officeDocument/2006/customXml" ds:itemID="{63297BEA-3242-44A2-812F-2BB38AA5A18B}"/>
</file>

<file path=customXml/itemProps4.xml><?xml version="1.0" encoding="utf-8"?>
<ds:datastoreItem xmlns:ds="http://schemas.openxmlformats.org/officeDocument/2006/customXml" ds:itemID="{9FCA33E1-3F15-4A91-B7B6-7465861EED29}">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5.xml><?xml version="1.0" encoding="utf-8"?>
<ds:datastoreItem xmlns:ds="http://schemas.openxmlformats.org/officeDocument/2006/customXml" ds:itemID="{07072465-A09D-4A3C-B3B8-7970EC28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5131</Words>
  <Characters>41569</Characters>
  <Application>Microsoft Office Word</Application>
  <DocSecurity>0</DocSecurity>
  <Lines>346</Lines>
  <Paragraphs>93</Paragraphs>
  <ScaleCrop>false</ScaleCrop>
  <HeadingPairs>
    <vt:vector size="2" baseType="variant">
      <vt:variant>
        <vt:lpstr>Title</vt:lpstr>
      </vt:variant>
      <vt:variant>
        <vt:i4>1</vt:i4>
      </vt:variant>
    </vt:vector>
  </HeadingPairs>
  <TitlesOfParts>
    <vt:vector size="1" baseType="lpstr">
      <vt:lpstr>Täysistunnossa annetut lausunnot - ETSK:n uusi asiakirjamalli</vt:lpstr>
    </vt:vector>
  </TitlesOfParts>
  <Manager/>
  <Company/>
  <LinksUpToDate>false</LinksUpToDate>
  <CharactersWithSpaces>46607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Annetut lausunnot - 601. täysistunto - joulukuu 2025</dc:title>
  <dc:subject>ADMIN</dc:subject>
  <dc:creator/>
  <cp:keywords>COR-EESC-2022-02583-01-00-ADMIN-TRA-EN</cp:keywords>
  <dc:description>Rapporteur:  - Original language: EN - Date of document: 05/12/2022 - Date of meeting:  - External documents:  - Administrator:  SUCIU Serban</dc:description>
  <cp:lastModifiedBy/>
  <cp:revision>7</cp:revision>
  <dcterms:created xsi:type="dcterms:W3CDTF">2025-12-16T06:10:00Z</dcterms:created>
  <dcterms:modified xsi:type="dcterms:W3CDTF">2025-12-22T06:31:00Z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02/05/2022, 02/05/2022, 28/06/2021</vt:lpwstr>
  </property>
  <property fmtid="{D5CDD505-2E9C-101B-9397-08002B2CF9AE}" pid="4" name="Pref_Time">
    <vt:lpwstr>12:28:29, 12:25:37, 08:41:48</vt:lpwstr>
  </property>
  <property fmtid="{D5CDD505-2E9C-101B-9397-08002B2CF9AE}" pid="5" name="Pref_User">
    <vt:lpwstr>enied, enied, enied</vt:lpwstr>
  </property>
  <property fmtid="{D5CDD505-2E9C-101B-9397-08002B2CF9AE}" pid="6" name="Pref_FileName">
    <vt:lpwstr>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509446ae-82f9-44a8-a70f-532fd2b505c5</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3552</vt:i4>
  </property>
  <property fmtid="{D5CDD505-2E9C-101B-9397-08002B2CF9AE}" pid="14" name="DocumentYear">
    <vt:i4>2025</vt:i4>
  </property>
  <property fmtid="{D5CDD505-2E9C-101B-9397-08002B2CF9AE}" pid="15" name="DocumentVersion">
    <vt:i4>0</vt:i4>
  </property>
  <property fmtid="{D5CDD505-2E9C-101B-9397-08002B2CF9AE}" pid="16" name="FicheNumber">
    <vt:i4>297819</vt:i4>
  </property>
  <property fmtid="{D5CDD505-2E9C-101B-9397-08002B2CF9AE}" pid="17" name="DocumentStatus">
    <vt:lpwstr>13;#TRA|150d2a88-1431-44e6-a8ca-0bb753ab8672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AvailableTranslations_0">
    <vt:lpwstr>LT|a7ff5ce7-6123-4f68-865a-a57c31810414;SV|c2ed69e7-a339-43d7-8f22-d93680a92aa0;NL|55c6556c-b4f4-441d-9acf-c498d4f838bd;EN|f2175f21-25d7-44a3-96da-d6a61b075e1b;DA|5d49c027-8956-412b-aa16-e85a0f96ad0e;EL|6d4f4d51-af9b-4650-94b4-4276bee85c91;IT|0774613c-01ed-4e5d-a25d-11d2388de825;FR|d2afafd3-4c81-4f60-8f52-ee33f2f54ff3;HR|2f555653-ed1a-4fe6-8362-9082d95989e5;HU|6b229040-c589-4408-b4c1-4285663d20a8;RO|feb747a2-64cd-4299-af12-4833ddc30497;ES|e7a6b05b-ae16-40c8-add9-68b64b03aeba;PT|50ccc04a-eadd-42ae-a0cb-acaf45f812ba</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42;#EL|6d4f4d51-af9b-4650-94b4-4276bee85c91;#34;#IT|0774613c-01ed-4e5d-a25d-11d2388de825;#33;#PT|50ccc04a-eadd-42ae-a0cb-acaf45f812ba;#30;#LT|a7ff5ce7-6123-4f68-865a-a57c31810414;#67;#SPL-CES|32d8cb1f-c9ec-4365-95c7-8385a18618ac;#28;#SV|c2ed69e7-a339-43d7-8f22-d93680a92aa0;#27;#NL|55c6556c-b4f4-441d-9acf-c498d4f838bd;#50;#HR|2f555653-ed1a-4fe6-8362-9082d95989e5;#22;#FI|87606a43-d45f-42d6-b8c9-e1a3457db5b7;#19;#TCD|cd9d6eb6-3f4f-424a-b2d1-57c9d450eaaf;#16;#ES|e7a6b05b-ae16-40c8-add9-68b64b03aeba;#15;#Unrestricted|826e22d7-d029-4ec0-a450-0c28ff673572;#13;#TRA|150d2a88-1431-44e6-a8ca-0bb753ab8672;#12;#FR|d2afafd3-4c81-4f60-8f52-ee33f2f54ff3;#8;#Final|ea5e6674-7b27-4bac-b091-73adbb394efe;#5;#EN|f2175f21-25d7-44a3-96da-d6a61b075e1b;#40;#DA|5d49c027-8956-412b-aa16-e85a0f96ad0e;#36;#RO|feb747a2-64cd-4299-af12-4833ddc30497;#1;#EESC|422833ec-8d7e-4e65-8e4e-8bed07ffb729;#37;#HU|6b229040-c589-4408-b4c1-4285663d20a8</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Language">
    <vt:lpwstr>35;#FI|87606a43-d45f-42d6-b8c9-e1a3457db5b7</vt:lpwstr>
  </property>
  <property fmtid="{D5CDD505-2E9C-101B-9397-08002B2CF9AE}" pid="35" name="DocumentLanguage_0">
    <vt:lpwstr>FI|87606a43-d45f-42d6-b8c9-e1a3457db5b7</vt:lpwstr>
  </property>
  <property fmtid="{D5CDD505-2E9C-101B-9397-08002B2CF9AE}" pid="36" name="MeetingDate">
    <vt:filetime>2026-01-21T12:00:00Z</vt:filetime>
  </property>
</Properties>
</file>