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03B2A84D" w:rsidR="004D7AC0" w:rsidRDefault="00B55E7D" w:rsidP="004D7AC0">
      <w:pPr>
        <w:jc w:val="center"/>
      </w:pPr>
      <w:r>
        <w:rPr>
          <w:noProof/>
        </w:rPr>
        <w:drawing>
          <wp:inline distT="0" distB="0" distL="0" distR="0" wp14:anchorId="3993FCE7" wp14:editId="75561D65">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77EF482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Brüssel, 17. detsember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TÄISKOGU 601. ISTUNGJÄRK</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3.-4. detsember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VASTUVÕETUD ARVAMUSTE, RESOLUTSIOONIDE JA TEABE-/HINDAMISARUANNETE KOKKUVÕTE</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Käesolev dokument on kättesaadav kõigis ELi ametlikes keeltes</w:t>
            </w:r>
            <w:r>
              <w:br/>
              <w:t>komitee kodulehel:</w:t>
            </w:r>
            <w:r>
              <w:br/>
            </w:r>
            <w:r>
              <w:br/>
            </w:r>
            <w:hyperlink r:id="rId12" w:history="1">
              <w:r>
                <w:rPr>
                  <w:rStyle w:val="Hyperlink"/>
                </w:rPr>
                <w:t>https://www.eesc.europa.eu/et/our-work/opinions-information-reports/plenary-session-summaries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Dokumendis nimetatud arvamustega saab tutvuda internetis, kasutades komitee otsingumootorit:</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Sisukord</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6EC8A8D1" w14:textId="3E93C1DA" w:rsidR="001E02D8" w:rsidRDefault="004D7AC0">
          <w:pPr>
            <w:pStyle w:val="TOC1"/>
            <w:tabs>
              <w:tab w:val="left" w:pos="440"/>
              <w:tab w:val="right" w:leader="dot" w:pos="9063"/>
            </w:tabs>
            <w:rPr>
              <w:rFonts w:asciiTheme="minorHAnsi" w:eastAsiaTheme="minorEastAsia" w:hAnsiTheme="minorHAnsi" w:cstheme="minorBidi"/>
              <w:noProof/>
              <w:lang w:eastAsia="et-EE"/>
            </w:rPr>
          </w:pPr>
          <w:r>
            <w:fldChar w:fldCharType="begin"/>
          </w:r>
          <w:r>
            <w:instrText xml:space="preserve"> TOC \o "1-3" \h \z \u </w:instrText>
          </w:r>
          <w:r>
            <w:fldChar w:fldCharType="separate"/>
          </w:r>
          <w:hyperlink w:anchor="_Toc217288585" w:history="1">
            <w:r w:rsidR="001E02D8" w:rsidRPr="002556AC">
              <w:rPr>
                <w:rStyle w:val="Hyperlink"/>
                <w:b/>
                <w:noProof/>
              </w:rPr>
              <w:t>1.</w:t>
            </w:r>
            <w:r w:rsidR="001E02D8">
              <w:rPr>
                <w:rFonts w:asciiTheme="minorHAnsi" w:eastAsiaTheme="minorEastAsia" w:hAnsiTheme="minorHAnsi" w:cstheme="minorBidi"/>
                <w:noProof/>
                <w:lang w:eastAsia="et-EE"/>
              </w:rPr>
              <w:tab/>
            </w:r>
            <w:r w:rsidR="001E02D8" w:rsidRPr="002556AC">
              <w:rPr>
                <w:rStyle w:val="Hyperlink"/>
                <w:b/>
                <w:noProof/>
              </w:rPr>
              <w:t>MAJANDUS- JA RAHALIIDU NING MAJANDUSLIKU JA SOTSIAALSE ÜHTEKUULUVUSE SEKTSIOON</w:t>
            </w:r>
            <w:r w:rsidR="001E02D8">
              <w:rPr>
                <w:noProof/>
                <w:webHidden/>
              </w:rPr>
              <w:tab/>
            </w:r>
            <w:r w:rsidR="001E02D8">
              <w:rPr>
                <w:noProof/>
                <w:webHidden/>
              </w:rPr>
              <w:fldChar w:fldCharType="begin"/>
            </w:r>
            <w:r w:rsidR="001E02D8">
              <w:rPr>
                <w:noProof/>
                <w:webHidden/>
              </w:rPr>
              <w:instrText xml:space="preserve"> PAGEREF _Toc217288585 \h </w:instrText>
            </w:r>
            <w:r w:rsidR="001E02D8">
              <w:rPr>
                <w:noProof/>
                <w:webHidden/>
              </w:rPr>
            </w:r>
            <w:r w:rsidR="001E02D8">
              <w:rPr>
                <w:noProof/>
                <w:webHidden/>
              </w:rPr>
              <w:fldChar w:fldCharType="separate"/>
            </w:r>
            <w:r w:rsidR="001E02D8">
              <w:rPr>
                <w:noProof/>
                <w:webHidden/>
              </w:rPr>
              <w:t>3</w:t>
            </w:r>
            <w:r w:rsidR="001E02D8">
              <w:rPr>
                <w:noProof/>
                <w:webHidden/>
              </w:rPr>
              <w:fldChar w:fldCharType="end"/>
            </w:r>
          </w:hyperlink>
        </w:p>
        <w:p w14:paraId="17258989" w14:textId="03F956A3" w:rsidR="001E02D8" w:rsidRPr="001E02D8" w:rsidRDefault="001E02D8" w:rsidP="001E02D8">
          <w:pPr>
            <w:pStyle w:val="TOC1"/>
            <w:tabs>
              <w:tab w:val="left" w:pos="440"/>
              <w:tab w:val="right" w:leader="dot" w:pos="9063"/>
            </w:tabs>
            <w:rPr>
              <w:rFonts w:asciiTheme="minorHAnsi" w:eastAsiaTheme="minorEastAsia" w:hAnsiTheme="minorHAnsi" w:cstheme="minorBidi"/>
              <w:noProof/>
              <w:lang w:eastAsia="et-EE"/>
            </w:rPr>
          </w:pPr>
          <w:hyperlink w:anchor="_Toc217288586" w:history="1">
            <w:r w:rsidRPr="002556AC">
              <w:rPr>
                <w:rStyle w:val="Hyperlink"/>
                <w:b/>
                <w:noProof/>
              </w:rPr>
              <w:t>2.</w:t>
            </w:r>
            <w:r>
              <w:rPr>
                <w:rFonts w:asciiTheme="minorHAnsi" w:eastAsiaTheme="minorEastAsia" w:hAnsiTheme="minorHAnsi" w:cstheme="minorBidi"/>
                <w:noProof/>
                <w:lang w:eastAsia="et-EE"/>
              </w:rPr>
              <w:tab/>
            </w:r>
            <w:r w:rsidRPr="002556AC">
              <w:rPr>
                <w:rStyle w:val="Hyperlink"/>
                <w:b/>
                <w:noProof/>
              </w:rPr>
              <w:t>TÖÖHÕIVE, SOTSIAALKÜSIMUSTE JA KODAKONDSUSE SEKTSIOON</w:t>
            </w:r>
            <w:r>
              <w:rPr>
                <w:noProof/>
                <w:webHidden/>
              </w:rPr>
              <w:tab/>
            </w:r>
            <w:r>
              <w:rPr>
                <w:noProof/>
                <w:webHidden/>
              </w:rPr>
              <w:fldChar w:fldCharType="begin"/>
            </w:r>
            <w:r>
              <w:rPr>
                <w:noProof/>
                <w:webHidden/>
              </w:rPr>
              <w:instrText xml:space="preserve"> PAGEREF _Toc217288586 \h </w:instrText>
            </w:r>
            <w:r>
              <w:rPr>
                <w:noProof/>
                <w:webHidden/>
              </w:rPr>
            </w:r>
            <w:r>
              <w:rPr>
                <w:noProof/>
                <w:webHidden/>
              </w:rPr>
              <w:fldChar w:fldCharType="separate"/>
            </w:r>
            <w:r>
              <w:rPr>
                <w:noProof/>
                <w:webHidden/>
              </w:rPr>
              <w:t>5</w:t>
            </w:r>
            <w:r>
              <w:rPr>
                <w:noProof/>
                <w:webHidden/>
              </w:rPr>
              <w:fldChar w:fldCharType="end"/>
            </w:r>
          </w:hyperlink>
        </w:p>
        <w:p w14:paraId="1619FFA6" w14:textId="5E69E6B3" w:rsidR="001E02D8" w:rsidRDefault="001E02D8">
          <w:pPr>
            <w:pStyle w:val="TOC1"/>
            <w:tabs>
              <w:tab w:val="left" w:pos="440"/>
              <w:tab w:val="right" w:leader="dot" w:pos="9063"/>
            </w:tabs>
            <w:rPr>
              <w:rFonts w:asciiTheme="minorHAnsi" w:eastAsiaTheme="minorEastAsia" w:hAnsiTheme="minorHAnsi" w:cstheme="minorBidi"/>
              <w:noProof/>
              <w:lang w:eastAsia="et-EE"/>
            </w:rPr>
          </w:pPr>
          <w:hyperlink w:anchor="_Toc217288591" w:history="1">
            <w:r w:rsidRPr="002556AC">
              <w:rPr>
                <w:rStyle w:val="Hyperlink"/>
                <w:b/>
                <w:noProof/>
              </w:rPr>
              <w:t>3.</w:t>
            </w:r>
            <w:r>
              <w:rPr>
                <w:rFonts w:asciiTheme="minorHAnsi" w:eastAsiaTheme="minorEastAsia" w:hAnsiTheme="minorHAnsi" w:cstheme="minorBidi"/>
                <w:noProof/>
                <w:lang w:eastAsia="et-EE"/>
              </w:rPr>
              <w:tab/>
            </w:r>
            <w:r w:rsidRPr="002556AC">
              <w:rPr>
                <w:rStyle w:val="Hyperlink"/>
                <w:b/>
                <w:noProof/>
              </w:rPr>
              <w:t>TRANSPORDI, ENERGEETIKA, INFRASTRUKTUURI JA INFOÜHISKONNA SEKTSIOON</w:t>
            </w:r>
            <w:r>
              <w:rPr>
                <w:noProof/>
                <w:webHidden/>
              </w:rPr>
              <w:tab/>
            </w:r>
            <w:r>
              <w:rPr>
                <w:noProof/>
                <w:webHidden/>
              </w:rPr>
              <w:fldChar w:fldCharType="begin"/>
            </w:r>
            <w:r>
              <w:rPr>
                <w:noProof/>
                <w:webHidden/>
              </w:rPr>
              <w:instrText xml:space="preserve"> PAGEREF _Toc217288591 \h </w:instrText>
            </w:r>
            <w:r>
              <w:rPr>
                <w:noProof/>
                <w:webHidden/>
              </w:rPr>
            </w:r>
            <w:r>
              <w:rPr>
                <w:noProof/>
                <w:webHidden/>
              </w:rPr>
              <w:fldChar w:fldCharType="separate"/>
            </w:r>
            <w:r>
              <w:rPr>
                <w:noProof/>
                <w:webHidden/>
              </w:rPr>
              <w:t>9</w:t>
            </w:r>
            <w:r>
              <w:rPr>
                <w:noProof/>
                <w:webHidden/>
              </w:rPr>
              <w:fldChar w:fldCharType="end"/>
            </w:r>
          </w:hyperlink>
        </w:p>
        <w:p w14:paraId="7E714397" w14:textId="62E4DE0A" w:rsidR="001E02D8" w:rsidRDefault="001E02D8">
          <w:pPr>
            <w:pStyle w:val="TOC1"/>
            <w:tabs>
              <w:tab w:val="left" w:pos="440"/>
              <w:tab w:val="right" w:leader="dot" w:pos="9063"/>
            </w:tabs>
            <w:rPr>
              <w:rFonts w:asciiTheme="minorHAnsi" w:eastAsiaTheme="minorEastAsia" w:hAnsiTheme="minorHAnsi" w:cstheme="minorBidi"/>
              <w:noProof/>
              <w:lang w:eastAsia="et-EE"/>
            </w:rPr>
          </w:pPr>
          <w:hyperlink w:anchor="_Toc217288592" w:history="1">
            <w:r w:rsidRPr="002556AC">
              <w:rPr>
                <w:rStyle w:val="Hyperlink"/>
                <w:b/>
                <w:noProof/>
              </w:rPr>
              <w:t>4.</w:t>
            </w:r>
            <w:r>
              <w:rPr>
                <w:rFonts w:asciiTheme="minorHAnsi" w:eastAsiaTheme="minorEastAsia" w:hAnsiTheme="minorHAnsi" w:cstheme="minorBidi"/>
                <w:noProof/>
                <w:lang w:eastAsia="et-EE"/>
              </w:rPr>
              <w:tab/>
            </w:r>
            <w:r w:rsidRPr="002556AC">
              <w:rPr>
                <w:rStyle w:val="Hyperlink"/>
                <w:b/>
                <w:noProof/>
              </w:rPr>
              <w:t>ÜHTSE TURU, TOOTMISE JA TARBIMISE SEKTSIOON</w:t>
            </w:r>
            <w:r>
              <w:rPr>
                <w:noProof/>
                <w:webHidden/>
              </w:rPr>
              <w:tab/>
            </w:r>
            <w:r>
              <w:rPr>
                <w:noProof/>
                <w:webHidden/>
              </w:rPr>
              <w:fldChar w:fldCharType="begin"/>
            </w:r>
            <w:r>
              <w:rPr>
                <w:noProof/>
                <w:webHidden/>
              </w:rPr>
              <w:instrText xml:space="preserve"> PAGEREF _Toc217288592 \h </w:instrText>
            </w:r>
            <w:r>
              <w:rPr>
                <w:noProof/>
                <w:webHidden/>
              </w:rPr>
            </w:r>
            <w:r>
              <w:rPr>
                <w:noProof/>
                <w:webHidden/>
              </w:rPr>
              <w:fldChar w:fldCharType="separate"/>
            </w:r>
            <w:r>
              <w:rPr>
                <w:noProof/>
                <w:webHidden/>
              </w:rPr>
              <w:t>12</w:t>
            </w:r>
            <w:r>
              <w:rPr>
                <w:noProof/>
                <w:webHidden/>
              </w:rPr>
              <w:fldChar w:fldCharType="end"/>
            </w:r>
          </w:hyperlink>
        </w:p>
        <w:p w14:paraId="5A3AF236" w14:textId="7704A1A2" w:rsidR="001E02D8" w:rsidRDefault="001E02D8">
          <w:pPr>
            <w:pStyle w:val="TOC1"/>
            <w:tabs>
              <w:tab w:val="left" w:pos="440"/>
              <w:tab w:val="right" w:leader="dot" w:pos="9063"/>
            </w:tabs>
            <w:rPr>
              <w:rFonts w:asciiTheme="minorHAnsi" w:eastAsiaTheme="minorEastAsia" w:hAnsiTheme="minorHAnsi" w:cstheme="minorBidi"/>
              <w:noProof/>
              <w:lang w:eastAsia="et-EE"/>
            </w:rPr>
          </w:pPr>
          <w:hyperlink w:anchor="_Toc217288593" w:history="1">
            <w:r w:rsidRPr="002556AC">
              <w:rPr>
                <w:rStyle w:val="Hyperlink"/>
                <w:b/>
                <w:noProof/>
              </w:rPr>
              <w:t>5.</w:t>
            </w:r>
            <w:r>
              <w:rPr>
                <w:rFonts w:asciiTheme="minorHAnsi" w:eastAsiaTheme="minorEastAsia" w:hAnsiTheme="minorHAnsi" w:cstheme="minorBidi"/>
                <w:noProof/>
                <w:lang w:eastAsia="et-EE"/>
              </w:rPr>
              <w:tab/>
            </w:r>
            <w:r w:rsidRPr="002556AC">
              <w:rPr>
                <w:rStyle w:val="Hyperlink"/>
                <w:b/>
                <w:noProof/>
              </w:rPr>
              <w:t>PÕLLUMAJANDUSE, MAAELU ARENGU JA KESKKONNA SEKTSIOON</w:t>
            </w:r>
            <w:r>
              <w:rPr>
                <w:noProof/>
                <w:webHidden/>
              </w:rPr>
              <w:tab/>
            </w:r>
            <w:r>
              <w:rPr>
                <w:noProof/>
                <w:webHidden/>
              </w:rPr>
              <w:fldChar w:fldCharType="begin"/>
            </w:r>
            <w:r>
              <w:rPr>
                <w:noProof/>
                <w:webHidden/>
              </w:rPr>
              <w:instrText xml:space="preserve"> PAGEREF _Toc217288593 \h </w:instrText>
            </w:r>
            <w:r>
              <w:rPr>
                <w:noProof/>
                <w:webHidden/>
              </w:rPr>
            </w:r>
            <w:r>
              <w:rPr>
                <w:noProof/>
                <w:webHidden/>
              </w:rPr>
              <w:fldChar w:fldCharType="separate"/>
            </w:r>
            <w:r>
              <w:rPr>
                <w:noProof/>
                <w:webHidden/>
              </w:rPr>
              <w:t>16</w:t>
            </w:r>
            <w:r>
              <w:rPr>
                <w:noProof/>
                <w:webHidden/>
              </w:rPr>
              <w:fldChar w:fldCharType="end"/>
            </w:r>
          </w:hyperlink>
        </w:p>
        <w:p w14:paraId="226AF349" w14:textId="6D053A65" w:rsidR="001E02D8" w:rsidRDefault="001E02D8">
          <w:pPr>
            <w:pStyle w:val="TOC1"/>
            <w:tabs>
              <w:tab w:val="left" w:pos="440"/>
              <w:tab w:val="right" w:leader="dot" w:pos="9063"/>
            </w:tabs>
            <w:rPr>
              <w:rFonts w:asciiTheme="minorHAnsi" w:eastAsiaTheme="minorEastAsia" w:hAnsiTheme="minorHAnsi" w:cstheme="minorBidi"/>
              <w:noProof/>
              <w:lang w:eastAsia="et-EE"/>
            </w:rPr>
          </w:pPr>
          <w:hyperlink w:anchor="_Toc217288594" w:history="1">
            <w:r w:rsidRPr="002556AC">
              <w:rPr>
                <w:rStyle w:val="Hyperlink"/>
                <w:b/>
                <w:noProof/>
              </w:rPr>
              <w:t>6.</w:t>
            </w:r>
            <w:r>
              <w:rPr>
                <w:rFonts w:asciiTheme="minorHAnsi" w:eastAsiaTheme="minorEastAsia" w:hAnsiTheme="minorHAnsi" w:cstheme="minorBidi"/>
                <w:noProof/>
                <w:lang w:eastAsia="et-EE"/>
              </w:rPr>
              <w:tab/>
            </w:r>
            <w:r w:rsidRPr="002556AC">
              <w:rPr>
                <w:rStyle w:val="Hyperlink"/>
                <w:b/>
                <w:noProof/>
              </w:rPr>
              <w:t>VÄLISSUHETE SEKTSIOON</w:t>
            </w:r>
            <w:r>
              <w:rPr>
                <w:noProof/>
                <w:webHidden/>
              </w:rPr>
              <w:tab/>
            </w:r>
            <w:r>
              <w:rPr>
                <w:noProof/>
                <w:webHidden/>
              </w:rPr>
              <w:fldChar w:fldCharType="begin"/>
            </w:r>
            <w:r>
              <w:rPr>
                <w:noProof/>
                <w:webHidden/>
              </w:rPr>
              <w:instrText xml:space="preserve"> PAGEREF _Toc217288594 \h </w:instrText>
            </w:r>
            <w:r>
              <w:rPr>
                <w:noProof/>
                <w:webHidden/>
              </w:rPr>
            </w:r>
            <w:r>
              <w:rPr>
                <w:noProof/>
                <w:webHidden/>
              </w:rPr>
              <w:fldChar w:fldCharType="separate"/>
            </w:r>
            <w:r>
              <w:rPr>
                <w:noProof/>
                <w:webHidden/>
              </w:rPr>
              <w:t>18</w:t>
            </w:r>
            <w:r>
              <w:rPr>
                <w:noProof/>
                <w:webHidden/>
              </w:rPr>
              <w:fldChar w:fldCharType="end"/>
            </w:r>
          </w:hyperlink>
        </w:p>
        <w:p w14:paraId="7C04000C" w14:textId="562419EF" w:rsidR="001E02D8" w:rsidRDefault="001E02D8">
          <w:pPr>
            <w:pStyle w:val="TOC1"/>
            <w:tabs>
              <w:tab w:val="left" w:pos="440"/>
              <w:tab w:val="right" w:leader="dot" w:pos="9063"/>
            </w:tabs>
            <w:rPr>
              <w:rFonts w:asciiTheme="minorHAnsi" w:eastAsiaTheme="minorEastAsia" w:hAnsiTheme="minorHAnsi" w:cstheme="minorBidi"/>
              <w:noProof/>
              <w:lang w:eastAsia="et-EE"/>
            </w:rPr>
          </w:pPr>
          <w:hyperlink w:anchor="_Toc217288595" w:history="1">
            <w:r w:rsidRPr="002556AC">
              <w:rPr>
                <w:rStyle w:val="Hyperlink"/>
                <w:b/>
                <w:noProof/>
              </w:rPr>
              <w:t>7.</w:t>
            </w:r>
            <w:r>
              <w:rPr>
                <w:rFonts w:asciiTheme="minorHAnsi" w:eastAsiaTheme="minorEastAsia" w:hAnsiTheme="minorHAnsi" w:cstheme="minorBidi"/>
                <w:noProof/>
                <w:lang w:eastAsia="et-EE"/>
              </w:rPr>
              <w:tab/>
            </w:r>
            <w:r w:rsidRPr="002556AC">
              <w:rPr>
                <w:rStyle w:val="Hyperlink"/>
                <w:b/>
                <w:noProof/>
              </w:rPr>
              <w:t>TÖÖSTUSE MUUTUSTE NÕUANDEKOMISJON</w:t>
            </w:r>
            <w:r>
              <w:rPr>
                <w:noProof/>
                <w:webHidden/>
              </w:rPr>
              <w:tab/>
            </w:r>
            <w:r>
              <w:rPr>
                <w:noProof/>
                <w:webHidden/>
              </w:rPr>
              <w:fldChar w:fldCharType="begin"/>
            </w:r>
            <w:r>
              <w:rPr>
                <w:noProof/>
                <w:webHidden/>
              </w:rPr>
              <w:instrText xml:space="preserve"> PAGEREF _Toc217288595 \h </w:instrText>
            </w:r>
            <w:r>
              <w:rPr>
                <w:noProof/>
                <w:webHidden/>
              </w:rPr>
            </w:r>
            <w:r>
              <w:rPr>
                <w:noProof/>
                <w:webHidden/>
              </w:rPr>
              <w:fldChar w:fldCharType="separate"/>
            </w:r>
            <w:r>
              <w:rPr>
                <w:noProof/>
                <w:webHidden/>
              </w:rPr>
              <w:t>21</w:t>
            </w:r>
            <w:r>
              <w:rPr>
                <w:noProof/>
                <w:webHidden/>
              </w:rPr>
              <w:fldChar w:fldCharType="end"/>
            </w:r>
          </w:hyperlink>
        </w:p>
        <w:p w14:paraId="4982DD6A" w14:textId="4082C5F8"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7288585"/>
      <w:r>
        <w:rPr>
          <w:b/>
        </w:rPr>
        <w:lastRenderedPageBreak/>
        <w:t>MAJANDUS- JA RAHALIIDU NING MAJANDUSLIKU JA SOTSIAALSE ÜHTEKUULUVUSE SEKTSIOON</w:t>
      </w:r>
      <w:bookmarkEnd w:id="0"/>
    </w:p>
    <w:p w14:paraId="4982DD6E" w14:textId="77777777" w:rsidR="004D7AC0" w:rsidRDefault="004D7AC0" w:rsidP="004D7AC0"/>
    <w:p w14:paraId="7E506423" w14:textId="4B34D16E" w:rsidR="00612898" w:rsidRPr="00612898" w:rsidRDefault="00BE41C1"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B55E7D">
          <w:rPr>
            <w:b/>
            <w:i/>
            <w:color w:val="0000FF"/>
            <w:sz w:val="28"/>
            <w:u w:val="single"/>
          </w:rPr>
          <w:t>ELi makropiirkondlike strateegiate rakendamine – 5. aruanne</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Raportöör</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proofErr w:type="spellStart"/>
            <w:r>
              <w:t>Stefano</w:t>
            </w:r>
            <w:proofErr w:type="spellEnd"/>
            <w:r>
              <w:t xml:space="preserve"> PALMIERI (töötajate rühm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Viitedokumendid</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 xml:space="preserve">COM(2025) 191 </w:t>
            </w:r>
            <w:proofErr w:type="spellStart"/>
            <w:r>
              <w:t>final</w:t>
            </w:r>
            <w:proofErr w:type="spellEnd"/>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 xml:space="preserve">COM(2025) 196 </w:t>
            </w:r>
            <w:proofErr w:type="spellStart"/>
            <w:r>
              <w:t>final</w:t>
            </w:r>
            <w:proofErr w:type="spellEnd"/>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Põhipunktid</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rPr>
      </w:pPr>
      <w:r>
        <w:t>Euroopa Majandus- ja Sotsiaalkomitee</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tunnistab makropiirkondlike strateegiate rolli </w:t>
      </w:r>
      <w:proofErr w:type="spellStart"/>
      <w:r>
        <w:t>mitmetasandilise</w:t>
      </w:r>
      <w:proofErr w:type="spellEnd"/>
      <w:r>
        <w:t xml:space="preserve"> koostoime loomisel poliitikavaldkondade, programmide ja osalejate vahel. Need on toetanud rohe- ja digipööret ning on pandeemia ja käimasolevate kriiside ajal aidanud arendada olulist vastupanuvõimet ja solidaarsust;</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kutsub üles tugevdama vertikaalset ja horisontaalset </w:t>
      </w:r>
      <w:proofErr w:type="spellStart"/>
      <w:r>
        <w:t>mitmetasandilist</w:t>
      </w:r>
      <w:proofErr w:type="spellEnd"/>
      <w:r>
        <w:t xml:space="preserve"> valitsemist kohalike struktuuride kaasamise teel;</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peab läbivaatamisprotsesse tervitatavaks ning kutsub üles tugevdama sotsiaalset mõõdet, kodanikuosalust (sh noorte osalust) ja </w:t>
      </w:r>
      <w:proofErr w:type="spellStart"/>
      <w:r>
        <w:t>piirkondadevahelist</w:t>
      </w:r>
      <w:proofErr w:type="spellEnd"/>
      <w:r>
        <w:t xml:space="preserve"> koostööd. Makropiirkondlikud strateegiad peavad toimima sotsiaalse kaasamise ja innovatsiooni laboritena, toetades keskkonnahoidlikku maksustamist ja inimkapitali;</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võtab teadmiseks ELi Läänemere makropiirkondliku strateegia tulemused. See strateegia on edendanud Läänemere kestlikkust ja ühendusi. 2021. aastal toimunud läbivaatamine Läänemere piirkonna strateegia keskuse osalusel tugevdas koostööd ja juhtimist. Kuigi suhted Venemaa ja Valgevenega on peatatud, kehtib strateegia endiselt;</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tõstab esile ELi Doonau makropiirkondliku strateegia edusamme. 2020. aastal toimunud läbivaatamine tugevdas sidusust ELi prioriteetidega ja noorte osalemist, kuigi esines ebavõrdsust ja ebaühtlast poliitilist pühendumust. Eesistujariigid on taas elavdanud innovatsiooni ja juhtimist;</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toob välja ELi Aadria ja Joonia mere makropiirkondliku strateegia tulemused. Seda strateegiat ajakohastati hiljuti tegevuskava viienda, sotsiaalse samba kasutuselevõtuga. Strateegia hõlmab laienemist, ringmajandust ja digiüleminekut ning partnerluste ja vastupanuvõime tugevdamist;</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hindab positiivselt ELi Alpi piirkonna makropiirkondlikku strateegiat, mis on tugevdanud koostööd ja stabiilset juhtimist ning on avatud kolmandatele riikidele. Läbivaatamine hõlmab digiülemineku, energeetika, veevarude ja ringmajanduse prioriteete;</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t>märgib, et laienemine Lääne-Balkani riikidesse, Ukrainasse ja Moldovasse on strateegiline prioriteet ning makropiirkondlikud strateegiad saavad tugevdada koostööd ja institutsioonilist suutlikkust;</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t>toob välja selle, et Venemaa sõjaline agressioon Ukraina vastu on kinnitanud makropiirkondlike strateegiate rolli solidaarsuse ja vastupanuvõime vahendina;</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t>peab väga oluliseks makropiirkondlike strateegiate asukohapõhist lähenemisviisi, mis kohandab Euroopa prioriteete territoriaalsete erijoontega ja edendab ühtekuuluvust. Selleks kasutatakse kogukonna juhitud kohalikku arengut ja uuenduslikke algatusi, et soodustada kodanike ja noorte osalust;</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t>nõuab tugevamat juhtimist ja rahastamist, milleks tuleks makropiirkondlike strateegiate prioriteedid integreerida peamistesse ELi programmidesse. Vaja on tugevdada kohalikke oskusi, tihendada partnerlusi ning kaasata aktiivselt kodanikuühiskonda ja noori;</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leiab, et uus mitmeaastane finantsraamistik (2028–2034) ohustab makropiirkondlike strateegiate nõuetekohast toimimist. Seepärast on oluline, et makropiirkondlike strateegiate prioriteedid kaasataks partnerluskavadesse;</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rõhutab vajadust läbipaistva, vastutustundliku ja korruptsioonivaba juhtimise järele makropiirkondlike strateegiatega tegelevates institutsioonides;</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kutsub üles looma Vahemere piirkonnas uue makropiirkonna, et tegeleda ühiste probleemidega, nagu kliimamuutused, rändevood, energiasüsteemi ümberkujundamine ja kestlikkus merenduses.</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12898" w:rsidRPr="00612898" w14:paraId="242A4532" w14:textId="77777777" w:rsidTr="0036489A">
        <w:tc>
          <w:tcPr>
            <w:tcW w:w="1418" w:type="dxa"/>
          </w:tcPr>
          <w:p w14:paraId="21DFEBB5" w14:textId="77777777" w:rsidR="00612898" w:rsidRPr="00612898" w:rsidRDefault="00612898" w:rsidP="00612898">
            <w:pPr>
              <w:overflowPunct w:val="0"/>
              <w:autoSpaceDE w:val="0"/>
              <w:autoSpaceDN w:val="0"/>
              <w:adjustRightInd w:val="0"/>
              <w:textAlignment w:val="baseline"/>
              <w:rPr>
                <w:i/>
              </w:rPr>
            </w:pPr>
            <w:r>
              <w:rPr>
                <w:b/>
                <w:i/>
              </w:rPr>
              <w:t>Kontaktisik</w:t>
            </w:r>
          </w:p>
        </w:tc>
        <w:tc>
          <w:tcPr>
            <w:tcW w:w="7904" w:type="dxa"/>
          </w:tcPr>
          <w:p w14:paraId="26624CD5" w14:textId="0E28249F" w:rsidR="00612898" w:rsidRPr="00612898" w:rsidRDefault="00612898" w:rsidP="00612898">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612898" w:rsidRPr="00612898" w14:paraId="169FB5DD" w14:textId="77777777" w:rsidTr="0036489A">
        <w:tc>
          <w:tcPr>
            <w:tcW w:w="1418" w:type="dxa"/>
          </w:tcPr>
          <w:p w14:paraId="04AD6363" w14:textId="77777777" w:rsidR="00612898" w:rsidRPr="00612898" w:rsidRDefault="00612898" w:rsidP="00612898">
            <w:pPr>
              <w:overflowPunct w:val="0"/>
              <w:autoSpaceDE w:val="0"/>
              <w:autoSpaceDN w:val="0"/>
              <w:adjustRightInd w:val="0"/>
              <w:textAlignment w:val="baseline"/>
              <w:rPr>
                <w:i/>
              </w:rPr>
            </w:pPr>
            <w:r>
              <w:rPr>
                <w:i/>
              </w:rPr>
              <w:t>Tel</w:t>
            </w:r>
          </w:p>
        </w:tc>
        <w:tc>
          <w:tcPr>
            <w:tcW w:w="7904" w:type="dxa"/>
          </w:tcPr>
          <w:p w14:paraId="0ACA86BD" w14:textId="574C92AA" w:rsidR="00612898" w:rsidRPr="00612898" w:rsidRDefault="00612898" w:rsidP="00612898">
            <w:pPr>
              <w:overflowPunct w:val="0"/>
              <w:autoSpaceDE w:val="0"/>
              <w:autoSpaceDN w:val="0"/>
              <w:adjustRightInd w:val="0"/>
              <w:textAlignment w:val="baseline"/>
              <w:rPr>
                <w:i/>
              </w:rPr>
            </w:pPr>
            <w:r>
              <w:rPr>
                <w:i/>
              </w:rPr>
              <w:t>+32 25469795</w:t>
            </w:r>
          </w:p>
        </w:tc>
      </w:tr>
      <w:tr w:rsidR="00612898" w:rsidRPr="00612898" w14:paraId="74BB4CF2" w14:textId="77777777" w:rsidTr="0036489A">
        <w:tc>
          <w:tcPr>
            <w:tcW w:w="1418" w:type="dxa"/>
          </w:tcPr>
          <w:p w14:paraId="0810916A" w14:textId="77777777" w:rsidR="00612898" w:rsidRPr="00612898" w:rsidRDefault="00612898" w:rsidP="00612898">
            <w:pPr>
              <w:overflowPunct w:val="0"/>
              <w:autoSpaceDE w:val="0"/>
              <w:autoSpaceDN w:val="0"/>
              <w:adjustRightInd w:val="0"/>
              <w:textAlignment w:val="baseline"/>
              <w:rPr>
                <w:i/>
              </w:rPr>
            </w:pPr>
            <w:r>
              <w:rPr>
                <w:i/>
              </w:rPr>
              <w:t>E-post</w:t>
            </w:r>
          </w:p>
        </w:tc>
        <w:tc>
          <w:tcPr>
            <w:tcW w:w="7904" w:type="dxa"/>
          </w:tcPr>
          <w:p w14:paraId="7EA756D6" w14:textId="77777777" w:rsidR="00612898" w:rsidRPr="00612898" w:rsidRDefault="00BE41C1" w:rsidP="00612898">
            <w:pPr>
              <w:overflowPunct w:val="0"/>
              <w:autoSpaceDE w:val="0"/>
              <w:autoSpaceDN w:val="0"/>
              <w:adjustRightInd w:val="0"/>
              <w:textAlignment w:val="baseline"/>
              <w:rPr>
                <w:i/>
                <w:iCs/>
              </w:rPr>
            </w:pPr>
            <w:hyperlink r:id="rId21" w:history="1">
              <w:r w:rsidR="00B55E7D">
                <w:rPr>
                  <w:i/>
                  <w:color w:val="0000FF"/>
                  <w:u w:val="single"/>
                </w:rPr>
                <w:t>Georgios.Meleas@eesc.europa.eu</w:t>
              </w:r>
            </w:hyperlink>
          </w:p>
        </w:tc>
      </w:tr>
    </w:tbl>
    <w:p w14:paraId="4982DD96" w14:textId="77777777" w:rsidR="004D7AC0" w:rsidRDefault="004D7AC0" w:rsidP="004D7AC0">
      <w:pPr>
        <w:pStyle w:val="ListParagraph"/>
        <w:ind w:left="0"/>
      </w:pPr>
    </w:p>
    <w:p w14:paraId="4B3225FD" w14:textId="69ABDE54" w:rsidR="00C82E34" w:rsidRPr="00C82E34" w:rsidRDefault="00612898" w:rsidP="00054C58">
      <w:pPr>
        <w:spacing w:after="160" w:line="259" w:lineRule="auto"/>
        <w:jc w:val="left"/>
        <w:rPr>
          <w:b/>
          <w:i/>
          <w:iCs/>
          <w:sz w:val="28"/>
          <w:szCs w:val="28"/>
        </w:rPr>
      </w:pPr>
      <w:r>
        <w:br w:type="page"/>
      </w:r>
      <w:hyperlink r:id="rId22" w:history="1">
        <w:r>
          <w:rPr>
            <w:b/>
            <w:i/>
            <w:color w:val="0000FF"/>
            <w:sz w:val="28"/>
            <w:u w:val="single"/>
          </w:rPr>
          <w:t>Euroopa Regionaalarengu Fond, mis hõlmab Interregi, ja Ühtekuuluvusfond</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616"/>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297CD7E5" w14:textId="017D2306" w:rsidR="00C82E34" w:rsidRDefault="00C82E34" w:rsidP="00C82E34">
            <w:pPr>
              <w:tabs>
                <w:tab w:val="center" w:pos="284"/>
              </w:tabs>
              <w:overflowPunct w:val="0"/>
              <w:autoSpaceDE w:val="0"/>
              <w:autoSpaceDN w:val="0"/>
              <w:adjustRightInd w:val="0"/>
              <w:ind w:left="266" w:hanging="266"/>
              <w:textAlignment w:val="baseline"/>
            </w:pPr>
            <w:r>
              <w:t>David SVENTEK (tööandjate rühm – CZ)</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 xml:space="preserve">COM(2025) 552 </w:t>
            </w:r>
            <w:proofErr w:type="spellStart"/>
            <w:r>
              <w:t>final</w:t>
            </w:r>
            <w:proofErr w:type="spellEnd"/>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Põhipunktid</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77777777" w:rsidR="00C82E34" w:rsidRDefault="00C82E34" w:rsidP="00C82E34">
      <w:pPr>
        <w:overflowPunct w:val="0"/>
        <w:autoSpaceDE w:val="0"/>
        <w:autoSpaceDN w:val="0"/>
        <w:adjustRightInd w:val="0"/>
        <w:textAlignment w:val="baseline"/>
        <w:rPr>
          <w:bCs/>
          <w:iCs/>
        </w:rPr>
      </w:pPr>
      <w:r>
        <w:t>Euroopa Majandus- ja Sotsiaalkomitee</w:t>
      </w:r>
    </w:p>
    <w:p w14:paraId="6B7D5112"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rõhutab, et vajadus vähendada kohalikke ja piirkondlikke erinevusi on jätkuvalt üks ELi integratsiooni peamisi prioriteete ning traditsiooniliste, tõestatud ja tõhusate ühtekuuluvuspoliitika vahendite kasutamine on õige viis kestliku heaolu toetamiseks kõigis ELi piirkondades;</w:t>
      </w:r>
    </w:p>
    <w:p w14:paraId="419C11E1"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 xml:space="preserve">soovitab selgitada Euroopa Regionaalarengu Fondi (ERF) ja Ühtekuuluvusfondi rolli riikliku ja piirkondliku partnerluse fondis (RPP fond) mitte ainult </w:t>
      </w:r>
      <w:proofErr w:type="spellStart"/>
      <w:r>
        <w:t>üld</w:t>
      </w:r>
      <w:proofErr w:type="spellEnd"/>
      <w:r>
        <w:t xml:space="preserve">- ja erieesmärkide kaudu, vaid ka määruses esitatud konkreetsete täpsustuste abil. Komitee sooviks, et kõnealuses arvamuses käsitletud määruse eelnõu täiendataks vähemalt lisaga, milles antaks juhiseid </w:t>
      </w:r>
      <w:proofErr w:type="spellStart"/>
      <w:r>
        <w:t>ERFi</w:t>
      </w:r>
      <w:proofErr w:type="spellEnd"/>
      <w:r>
        <w:t xml:space="preserve"> ja Ühtekuuluvusfondi tõhusaks integreerimiseks RPP fondi;</w:t>
      </w:r>
    </w:p>
    <w:p w14:paraId="1B66C5C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 xml:space="preserve">toonitab, et uus kord ei tohiks kaasa tuua </w:t>
      </w:r>
      <w:proofErr w:type="spellStart"/>
      <w:r>
        <w:t>ERFi</w:t>
      </w:r>
      <w:proofErr w:type="spellEnd"/>
      <w:r>
        <w:t xml:space="preserve"> ja Ühtekuuluvusfondi tähtsuse ega rolli vähenemist, eelkõige mahajäänud piirkondade arengu ja tööstuspiirkondade ümberkujundamise toetamisel. Samuti rõhutab komitee partnerluspõhimõtte tähtsust tulevaste programmide kavandamisel;</w:t>
      </w:r>
    </w:p>
    <w:p w14:paraId="50BDF90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nõustub tulevase Interregi programmi sisu ja temaatilise rõhuasetusega ning kavandatud erijuhtudel selle koostoimega instrumendiga „Globaalne Euroopa“;</w:t>
      </w:r>
    </w:p>
    <w:p w14:paraId="23072895"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toetab üldiselt ettepanekus esitatud uuenduslikku lähenemisviisi loodud Interregi programmi tuleviku kohta, eelkõige seoses rakendusstruktuuri heakskiitmisega Interregi kava eri peatükkide tasandil;</w:t>
      </w:r>
    </w:p>
    <w:p w14:paraId="64ACA7F4"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juhib tähelepanu ohule, et piirkondliku piiriülese tasandi asjaomased osalejad ei pruugi jõuda kokkuleppele, sest määruse eelnõu ei ole väga üksikasjalik. Komitee soovitab võtta kohe pärast määruse vastuvõtmist vastu ka rakendusakti;</w:t>
      </w:r>
    </w:p>
    <w:p w14:paraId="4EB434F3"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soovitab tagada, et vahendite tõlgendamine ja rakendamine liikmesriikide tasandil oleks võrreldav ning et liikmesriikide vahel ei oleks märkimisväärseid erinevusi;</w:t>
      </w:r>
    </w:p>
    <w:p w14:paraId="72602B09"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toetab rakendus- ja haldusmenetluste lihtsustamist, et vahendeid saaks tõhusamalt kasutada;</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rPr>
      </w:pPr>
      <w:r>
        <w:t xml:space="preserve">väljendab heameelt selle üle, et </w:t>
      </w:r>
      <w:proofErr w:type="spellStart"/>
      <w:r>
        <w:t>ERFi</w:t>
      </w:r>
      <w:proofErr w:type="spellEnd"/>
      <w:r>
        <w:t xml:space="preserve"> ja Ühtekuuluvusfondi määruse ettepanekus nähakse ette ka võimalus toetada kestlikku linnaarengut ning selle raames integreeritud linna- ja territoriaalarengu strateegiaid, milles keskendutakse kestlikule arengule ning käsitletakse keskkonna-, energia- ja kliimaprobleemide lahendamist ja õiglast üleminekut puhtale, kliimaneutraalsele ja vastupidavale majandusele. Erilist tähelepanu pööratakse eluasemele, vaesusele, kultuuripärandile ning digitehnoloogia võimaluste kasutamisele innovatsiooni ja energiatõhususe jaoks.</w:t>
      </w:r>
    </w:p>
    <w:p w14:paraId="63EC4849" w14:textId="77777777" w:rsidR="00056F0F" w:rsidRPr="00C82E34" w:rsidRDefault="00056F0F" w:rsidP="00054C58">
      <w:pPr>
        <w:overflowPunct w:val="0"/>
        <w:autoSpaceDE w:val="0"/>
        <w:autoSpaceDN w:val="0"/>
        <w:adjustRightInd w:val="0"/>
        <w:ind w:left="284"/>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82E34" w:rsidRPr="00C82E34" w14:paraId="04833A6C" w14:textId="77777777" w:rsidTr="0036489A">
        <w:tc>
          <w:tcPr>
            <w:tcW w:w="1418" w:type="dxa"/>
          </w:tcPr>
          <w:p w14:paraId="720E543D" w14:textId="77777777" w:rsidR="00C82E34" w:rsidRPr="00C82E34" w:rsidRDefault="00C82E34" w:rsidP="00C82E34">
            <w:pPr>
              <w:overflowPunct w:val="0"/>
              <w:autoSpaceDE w:val="0"/>
              <w:autoSpaceDN w:val="0"/>
              <w:adjustRightInd w:val="0"/>
              <w:textAlignment w:val="baseline"/>
              <w:rPr>
                <w:i/>
              </w:rPr>
            </w:pPr>
            <w:r>
              <w:rPr>
                <w:b/>
                <w:i/>
              </w:rPr>
              <w:t>Kontaktisik</w:t>
            </w:r>
          </w:p>
        </w:tc>
        <w:tc>
          <w:tcPr>
            <w:tcW w:w="7904" w:type="dxa"/>
          </w:tcPr>
          <w:p w14:paraId="2AC28C0B" w14:textId="5FFF53BD" w:rsidR="00C82E34" w:rsidRPr="00C82E34" w:rsidRDefault="00C82E34" w:rsidP="00C82E34">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C82E34" w:rsidRPr="00C82E34" w14:paraId="06EB7C5A" w14:textId="77777777" w:rsidTr="0036489A">
        <w:tc>
          <w:tcPr>
            <w:tcW w:w="1418" w:type="dxa"/>
          </w:tcPr>
          <w:p w14:paraId="3964EC18" w14:textId="77777777" w:rsidR="00C82E34" w:rsidRPr="00C82E34" w:rsidRDefault="00C82E34" w:rsidP="00C82E34">
            <w:pPr>
              <w:overflowPunct w:val="0"/>
              <w:autoSpaceDE w:val="0"/>
              <w:autoSpaceDN w:val="0"/>
              <w:adjustRightInd w:val="0"/>
              <w:textAlignment w:val="baseline"/>
              <w:rPr>
                <w:i/>
              </w:rPr>
            </w:pPr>
            <w:r>
              <w:rPr>
                <w:i/>
              </w:rPr>
              <w:t>Tel</w:t>
            </w:r>
          </w:p>
        </w:tc>
        <w:tc>
          <w:tcPr>
            <w:tcW w:w="7904" w:type="dxa"/>
          </w:tcPr>
          <w:p w14:paraId="6FC22AA9" w14:textId="7577C11B" w:rsidR="00C82E34" w:rsidRPr="00C82E34" w:rsidRDefault="00C82E34" w:rsidP="00C82E34">
            <w:pPr>
              <w:overflowPunct w:val="0"/>
              <w:autoSpaceDE w:val="0"/>
              <w:autoSpaceDN w:val="0"/>
              <w:adjustRightInd w:val="0"/>
              <w:textAlignment w:val="baseline"/>
              <w:rPr>
                <w:i/>
              </w:rPr>
            </w:pPr>
            <w:r>
              <w:rPr>
                <w:i/>
              </w:rPr>
              <w:t>+32 25469795</w:t>
            </w:r>
          </w:p>
        </w:tc>
      </w:tr>
      <w:tr w:rsidR="00C82E34" w:rsidRPr="00C82E34" w14:paraId="03D8EF0B" w14:textId="77777777" w:rsidTr="0036489A">
        <w:tc>
          <w:tcPr>
            <w:tcW w:w="1418" w:type="dxa"/>
          </w:tcPr>
          <w:p w14:paraId="130E2BFD" w14:textId="77777777" w:rsidR="00C82E34" w:rsidRPr="00C82E34" w:rsidRDefault="00C82E34" w:rsidP="00C82E34">
            <w:pPr>
              <w:overflowPunct w:val="0"/>
              <w:autoSpaceDE w:val="0"/>
              <w:autoSpaceDN w:val="0"/>
              <w:adjustRightInd w:val="0"/>
              <w:textAlignment w:val="baseline"/>
              <w:rPr>
                <w:i/>
              </w:rPr>
            </w:pPr>
            <w:r>
              <w:rPr>
                <w:i/>
              </w:rPr>
              <w:t>E-post</w:t>
            </w:r>
          </w:p>
        </w:tc>
        <w:tc>
          <w:tcPr>
            <w:tcW w:w="7904" w:type="dxa"/>
          </w:tcPr>
          <w:p w14:paraId="3D770788" w14:textId="77777777" w:rsidR="00C82E34" w:rsidRDefault="00BE41C1" w:rsidP="00C82E34">
            <w:pPr>
              <w:overflowPunct w:val="0"/>
              <w:autoSpaceDE w:val="0"/>
              <w:autoSpaceDN w:val="0"/>
              <w:adjustRightInd w:val="0"/>
              <w:textAlignment w:val="baseline"/>
            </w:pPr>
            <w:hyperlink r:id="rId23" w:history="1">
              <w:r w:rsidR="00B55E7D">
                <w:rPr>
                  <w:i/>
                  <w:color w:val="0000FF"/>
                  <w:u w:val="single"/>
                </w:rPr>
                <w:t>Georgios.Meleas@eesc.europa.eu</w:t>
              </w:r>
            </w:hyperlink>
          </w:p>
          <w:p w14:paraId="21BA5198" w14:textId="77777777" w:rsidR="00D6499D" w:rsidRPr="00C82E34" w:rsidRDefault="00D6499D" w:rsidP="00C82E34">
            <w:pPr>
              <w:overflowPunct w:val="0"/>
              <w:autoSpaceDE w:val="0"/>
              <w:autoSpaceDN w:val="0"/>
              <w:adjustRightInd w:val="0"/>
              <w:textAlignment w:val="baseline"/>
              <w:rPr>
                <w:i/>
                <w:iCs/>
                <w:lang w:val="en-GB"/>
              </w:rPr>
            </w:pPr>
          </w:p>
        </w:tc>
      </w:tr>
    </w:tbl>
    <w:p w14:paraId="4982DD99" w14:textId="77777777" w:rsidR="004D7AC0" w:rsidRDefault="004D7AC0" w:rsidP="004D7AC0">
      <w:pPr>
        <w:pStyle w:val="Heading1"/>
        <w:rPr>
          <w:b/>
        </w:rPr>
      </w:pPr>
      <w:bookmarkStart w:id="1" w:name="_Toc75527081"/>
      <w:bookmarkStart w:id="2" w:name="_Toc217288586"/>
      <w:r>
        <w:rPr>
          <w:b/>
        </w:rPr>
        <w:t>TÖÖHÕIVE, SOTSIAALKÜSIMUSTE JA KODAKONDSUSE SEKTSIOON</w:t>
      </w:r>
      <w:bookmarkEnd w:id="1"/>
      <w:bookmarkEnd w:id="2"/>
    </w:p>
    <w:p w14:paraId="4982DD9A" w14:textId="77777777" w:rsidR="004D7AC0" w:rsidRDefault="004D7AC0" w:rsidP="004D7AC0"/>
    <w:p w14:paraId="0203F323" w14:textId="77777777" w:rsidR="00C24C34" w:rsidRDefault="00C24C34" w:rsidP="004D7AC0"/>
    <w:p w14:paraId="0D85C8AE" w14:textId="4B607989" w:rsidR="00E972B2" w:rsidRPr="00E972B2" w:rsidRDefault="00BE41C1"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Ajakirjanike ja meediatöötajate tööõigused kui sõltumatuse ja tõese teabe tagatis</w:t>
        </w:r>
      </w:hyperlink>
    </w:p>
    <w:p w14:paraId="60707368" w14:textId="77777777"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E972B2" w14:paraId="7386250C" w14:textId="77777777" w:rsidTr="0036489A">
        <w:tc>
          <w:tcPr>
            <w:tcW w:w="1701"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Raportöör</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Kaasraportöör</w:t>
            </w:r>
          </w:p>
        </w:tc>
        <w:tc>
          <w:tcPr>
            <w:tcW w:w="6237" w:type="dxa"/>
          </w:tcPr>
          <w:p w14:paraId="59B0A1D0" w14:textId="77777777" w:rsidR="00E972B2" w:rsidRPr="00E972B2" w:rsidRDefault="00E972B2" w:rsidP="00E972B2">
            <w:pPr>
              <w:overflowPunct w:val="0"/>
              <w:autoSpaceDE w:val="0"/>
              <w:autoSpaceDN w:val="0"/>
              <w:adjustRightInd w:val="0"/>
              <w:ind w:left="567" w:hanging="567"/>
              <w:textAlignment w:val="baseline"/>
            </w:pPr>
            <w:r>
              <w:t>José Antonio MORENO DÍAZ (töötajate rühm – ES)</w:t>
            </w:r>
          </w:p>
          <w:p w14:paraId="683C7CA1" w14:textId="4F234B12" w:rsidR="00E972B2" w:rsidRPr="00E972B2" w:rsidRDefault="00E972B2" w:rsidP="00E972B2">
            <w:pPr>
              <w:overflowPunct w:val="0"/>
              <w:autoSpaceDE w:val="0"/>
              <w:autoSpaceDN w:val="0"/>
              <w:adjustRightInd w:val="0"/>
              <w:ind w:left="567" w:hanging="567"/>
              <w:textAlignment w:val="baseline"/>
            </w:pPr>
            <w:r>
              <w:t>Christian MOOS (kodanikuühiskonna organisatsioonide rühm – DE)</w:t>
            </w:r>
          </w:p>
        </w:tc>
      </w:tr>
      <w:tr w:rsidR="00E972B2" w:rsidRPr="00E972B2" w14:paraId="403DF22C" w14:textId="77777777" w:rsidTr="0036489A">
        <w:tc>
          <w:tcPr>
            <w:tcW w:w="1701"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Viitedokument</w:t>
            </w:r>
          </w:p>
        </w:tc>
        <w:tc>
          <w:tcPr>
            <w:tcW w:w="6237" w:type="dxa"/>
          </w:tcPr>
          <w:p w14:paraId="3C316E73" w14:textId="77777777" w:rsidR="00E972B2" w:rsidRPr="00054C58"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54C58" w:rsidRDefault="00DB1B79" w:rsidP="00E972B2">
            <w:pPr>
              <w:tabs>
                <w:tab w:val="center" w:pos="284"/>
              </w:tabs>
              <w:overflowPunct w:val="0"/>
              <w:autoSpaceDE w:val="0"/>
              <w:autoSpaceDN w:val="0"/>
              <w:adjustRightInd w:val="0"/>
              <w:ind w:left="567" w:hanging="567"/>
              <w:textAlignment w:val="baseline"/>
            </w:pPr>
            <w:r>
              <w:t>omaalgatuslik arvamus</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r w:rsidR="00E972B2" w:rsidRPr="00E972B2" w14:paraId="5DAEC2A3" w14:textId="77777777" w:rsidTr="0036489A">
        <w:tc>
          <w:tcPr>
            <w:tcW w:w="1701" w:type="dxa"/>
            <w:vMerge/>
          </w:tcPr>
          <w:p w14:paraId="23805FDF" w14:textId="77777777" w:rsidR="00E972B2" w:rsidRPr="00054C58" w:rsidRDefault="00E972B2" w:rsidP="00E972B2">
            <w:pPr>
              <w:tabs>
                <w:tab w:val="center" w:pos="284"/>
              </w:tabs>
              <w:overflowPunct w:val="0"/>
              <w:autoSpaceDE w:val="0"/>
              <w:autoSpaceDN w:val="0"/>
              <w:adjustRightInd w:val="0"/>
              <w:ind w:left="266" w:hanging="266"/>
              <w:textAlignment w:val="baseline"/>
              <w:rPr>
                <w:b/>
                <w:lang w:val="en-GB"/>
              </w:rPr>
            </w:pPr>
          </w:p>
        </w:tc>
        <w:tc>
          <w:tcPr>
            <w:tcW w:w="6237" w:type="dxa"/>
          </w:tcPr>
          <w:p w14:paraId="0EEAB858" w14:textId="77777777" w:rsidR="00E972B2" w:rsidRPr="00054C58"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Põhipunktid</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Euroopa Majandus- ja Sotsiaalkomitee</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7288587"/>
      <w:r>
        <w:t>nõuab tungivalt, et ametiasutused võtaksid kiireloomulisi kaitsemeetmeid ajakirjanike kasvava ebakindluse vastu, ning nõuab Euroopa meediavabaduse määruse täielikku kohaldamist. Samuti nõuab komitee lisaks olemasolevatele toetustele sõltumatu toetuse kehtestamist meediaväljaannetele, et tagada Euroopa meediasektori kestlikkus, ning vahendite märkimisväärset suurendamist usaldusväärse teabe ökosüsteemi kaitsmiseks;</w:t>
      </w:r>
      <w:bookmarkEnd w:id="3"/>
    </w:p>
    <w:p w14:paraId="699C4C8F"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4" w:name="_Toc217288588"/>
      <w:r>
        <w:t>kutsub Euroopa Komisjoni üles esitama ambitsioonika poliitikameetmete ja investeeringute paketi, et toetada kvaliteetseid töökohti meediasektoris ning kutsub valitsusi üles edendama sotsiaaldialoogi ja kollektiivläbirääkimisi kõigi ajakirjanike, sealhulgas vabakutseliste jaoks, võttes üle piisavat miinimumpalka käsitleva direktiivi,</w:t>
      </w:r>
      <w:r w:rsidRPr="00E972B2">
        <w:rPr>
          <w:sz w:val="24"/>
          <w:szCs w:val="24"/>
          <w:vertAlign w:val="superscript"/>
          <w:lang w:val="en-GB"/>
        </w:rPr>
        <w:footnoteReference w:id="1"/>
      </w:r>
      <w:r>
        <w:t xml:space="preserve"> kus see on asjakohane, ning suunised liidu konkurentsiõiguse kohaldamise kohta füüsilistest isikutest ettevõtjate kollektiivlepingute suhtes</w:t>
      </w:r>
      <w:r w:rsidRPr="00E972B2">
        <w:rPr>
          <w:sz w:val="24"/>
          <w:szCs w:val="24"/>
          <w:vertAlign w:val="superscript"/>
          <w:lang w:val="en-GB"/>
        </w:rPr>
        <w:footnoteReference w:id="2"/>
      </w:r>
      <w:r>
        <w:t>. Lisaks kutsub komitee Euroopa Komisjoni ja liikmesriike üles võitlema fiktiivse iseenda tööandjana tegutsemise vastu;</w:t>
      </w:r>
      <w:bookmarkEnd w:id="4"/>
    </w:p>
    <w:p w14:paraId="2C320535" w14:textId="77777777" w:rsidR="00E972B2"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5" w:name="_Toc217288589"/>
      <w:r>
        <w:t xml:space="preserve">kutsub Euroopa Komisjoni üles järgima soovitust ajakirjanike kaitse, turvalisuse ja </w:t>
      </w:r>
      <w:proofErr w:type="spellStart"/>
      <w:r>
        <w:t>võimestamise</w:t>
      </w:r>
      <w:proofErr w:type="spellEnd"/>
      <w:r>
        <w:t xml:space="preserve"> kohta</w:t>
      </w:r>
      <w:r w:rsidRPr="00E972B2">
        <w:rPr>
          <w:sz w:val="24"/>
          <w:szCs w:val="24"/>
          <w:vertAlign w:val="superscript"/>
          <w:lang w:val="en-GB"/>
        </w:rPr>
        <w:footnoteReference w:id="3"/>
      </w:r>
      <w:r>
        <w:t xml:space="preserve"> ning rõhutab vajadust tihedama koostöö järele ajakirjanike organisatsioonidega, et luua struktuure, mis suudavad kaitsta ajakirjanike turvalisust. Ajakirjanikud on töötajad, kes puutuvad suurel määral kokku stressi, läbipõlemise, veebiahistamise ja digitaalse ülekoormusega. Oleks kasulik, kui komisjon kaaluks, milliseid järelmeetmeid võtta seoses Euroopa Parlamendi 10. märtsi 2022. aasta resolutsiooniga, milles kutsutakse üles võtma vastu </w:t>
      </w:r>
      <w:proofErr w:type="spellStart"/>
      <w:r>
        <w:t>psühhosotsiaalseid</w:t>
      </w:r>
      <w:proofErr w:type="spellEnd"/>
      <w:r>
        <w:t xml:space="preserve"> riske käsitlev direktiiv. Komitee on valmis koostama sel teemal arvamuse</w:t>
      </w:r>
      <w:r w:rsidRPr="00E972B2">
        <w:rPr>
          <w:sz w:val="24"/>
          <w:szCs w:val="20"/>
          <w:vertAlign w:val="superscript"/>
          <w:lang w:val="en-GB"/>
        </w:rPr>
        <w:footnoteReference w:id="4"/>
      </w:r>
      <w:r>
        <w:t>;</w:t>
      </w:r>
      <w:bookmarkEnd w:id="5"/>
    </w:p>
    <w:p w14:paraId="15FE9461" w14:textId="77777777" w:rsidR="00E972B2" w:rsidRPr="00E972B2"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6" w:name="_Toc217288590"/>
      <w:r>
        <w:t xml:space="preserve">kutsub Euroopa Komisjoni üles jälgima, kuidas kohaldatakse ELi õigusraamistikku, mis käsitleb tehisintellekti kasutamist ajakirjanike kaitsmiseks, ning julgustab ajakirjanike ametiühinguid ja meediaorganisatsioone käsitlema tehisintellekti kasutamist </w:t>
      </w:r>
      <w:proofErr w:type="spellStart"/>
      <w:r>
        <w:t>uudistetoimetustes</w:t>
      </w:r>
      <w:proofErr w:type="spellEnd"/>
      <w:r>
        <w:t xml:space="preserve"> sotsiaaldialoogis. Samuti kutsub komitee üles rahastama projekte, millega arendatakse ajakirjanike tehisintellektipädevust, kaaluma võimalusi </w:t>
      </w:r>
      <w:proofErr w:type="spellStart"/>
      <w:r>
        <w:t>kaasrahastada</w:t>
      </w:r>
      <w:proofErr w:type="spellEnd"/>
      <w:r>
        <w:t xml:space="preserve"> Euroopa ajakirjandusakadeemiaid, koolitusi ja võimalusel ka toetusi noorte ajakirjanike palkadeks meediaettevõtetest, mis vastavad rangetele kvaliteetse ajakirjanduse ja töötingimuste standarditele.</w:t>
      </w:r>
      <w:bookmarkEnd w:id="6"/>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E972B2" w:rsidRPr="00E972B2" w14:paraId="2A48BF49" w14:textId="77777777" w:rsidTr="0036489A">
        <w:tc>
          <w:tcPr>
            <w:tcW w:w="1210"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Pr>
                <w:b/>
                <w:i/>
              </w:rPr>
              <w:t>Kontaktisik</w:t>
            </w:r>
          </w:p>
        </w:tc>
        <w:tc>
          <w:tcPr>
            <w:tcW w:w="4493"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proofErr w:type="spellStart"/>
            <w:r>
              <w:rPr>
                <w:i/>
              </w:rPr>
              <w:t>June</w:t>
            </w:r>
            <w:proofErr w:type="spellEnd"/>
            <w:r>
              <w:rPr>
                <w:i/>
              </w:rPr>
              <w:t xml:space="preserve"> </w:t>
            </w:r>
            <w:proofErr w:type="spellStart"/>
            <w:r>
              <w:rPr>
                <w:i/>
              </w:rPr>
              <w:t>Bedaton</w:t>
            </w:r>
            <w:proofErr w:type="spellEnd"/>
          </w:p>
        </w:tc>
      </w:tr>
      <w:tr w:rsidR="00E972B2" w:rsidRPr="00E972B2" w14:paraId="6AAFD04B" w14:textId="77777777" w:rsidTr="0036489A">
        <w:tc>
          <w:tcPr>
            <w:tcW w:w="1210"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Pr>
                <w:i/>
              </w:rPr>
              <w:t>Tel</w:t>
            </w:r>
          </w:p>
        </w:tc>
        <w:tc>
          <w:tcPr>
            <w:tcW w:w="4493"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Pr>
                <w:i/>
              </w:rPr>
              <w:t>+32 25468134</w:t>
            </w:r>
          </w:p>
        </w:tc>
      </w:tr>
      <w:tr w:rsidR="00E972B2" w:rsidRPr="00E972B2" w14:paraId="20D34920" w14:textId="77777777" w:rsidTr="0036489A">
        <w:tc>
          <w:tcPr>
            <w:tcW w:w="1210"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Pr>
                <w:i/>
              </w:rPr>
              <w:t>E-post</w:t>
            </w:r>
          </w:p>
        </w:tc>
        <w:tc>
          <w:tcPr>
            <w:tcW w:w="4493" w:type="dxa"/>
          </w:tcPr>
          <w:p w14:paraId="49B7876D" w14:textId="77777777" w:rsidR="00E972B2" w:rsidRPr="00E972B2" w:rsidRDefault="00BE41C1" w:rsidP="00E972B2">
            <w:pPr>
              <w:overflowPunct w:val="0"/>
              <w:autoSpaceDE w:val="0"/>
              <w:autoSpaceDN w:val="0"/>
              <w:adjustRightInd w:val="0"/>
              <w:spacing w:line="240" w:lineRule="auto"/>
              <w:textAlignment w:val="baseline"/>
              <w:rPr>
                <w:i/>
                <w:iCs/>
              </w:rPr>
            </w:pPr>
            <w:hyperlink r:id="rId25" w:history="1">
              <w:r w:rsidR="00B55E7D">
                <w:rPr>
                  <w:i/>
                  <w:color w:val="0000FF"/>
                  <w:u w:val="single"/>
                </w:rPr>
                <w:t>june.bedaton@eesc.europa.eu</w:t>
              </w:r>
            </w:hyperlink>
            <w:r w:rsidR="00B55E7D">
              <w:rPr>
                <w:i/>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 xml:space="preserve">Programm </w:t>
        </w:r>
        <w:proofErr w:type="spellStart"/>
        <w:r>
          <w:rPr>
            <w:b/>
            <w:i/>
            <w:color w:val="0000FF"/>
            <w:sz w:val="28"/>
            <w:u w:val="single"/>
          </w:rPr>
          <w:t>AgoraEU</w:t>
        </w:r>
        <w:proofErr w:type="spellEnd"/>
        <w:r>
          <w:rPr>
            <w:b/>
            <w:i/>
            <w:color w:val="0000FF"/>
            <w:sz w:val="28"/>
            <w:u w:val="single"/>
          </w:rPr>
          <w:t xml:space="preserve"> ja õigusprogramm</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Raportöör</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proofErr w:type="spellStart"/>
            <w:r>
              <w:t>Ionuț</w:t>
            </w:r>
            <w:proofErr w:type="spellEnd"/>
            <w:r>
              <w:t xml:space="preserve"> SIBIAN (kodanikuühiskonna organisatsioonide rühm – 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Viitedokumendid</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 xml:space="preserve">COM(2025) 463 </w:t>
            </w:r>
            <w:proofErr w:type="spellStart"/>
            <w:r>
              <w:t>final</w:t>
            </w:r>
            <w:proofErr w:type="spellEnd"/>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 xml:space="preserve">COM(2025) 550 </w:t>
            </w:r>
            <w:proofErr w:type="spellStart"/>
            <w:r>
              <w:t>final</w:t>
            </w:r>
            <w:proofErr w:type="spellEnd"/>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Põhipunktid</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r>
        <w:rPr>
          <w:b/>
        </w:rPr>
        <w:t>Euroopa Majandus- ja Sotsiaalkomitee</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tunneb heameelt Euroopa Komisjoni ettepaneku üle programmi </w:t>
      </w:r>
      <w:proofErr w:type="spellStart"/>
      <w:r>
        <w:t>AgoraEU</w:t>
      </w:r>
      <w:proofErr w:type="spellEnd"/>
      <w:r>
        <w:t xml:space="preserve"> ja õigusprogrammi kohta ning kutsub Euroopa Parlamenti ja nõukogu üles ettepanekud heaks kiitma, vähendamata kavandatud rahastamispaketti;</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kutsub üles sõnaselgelt tunnustama huvide kaitsmist kodanikuühiskonna organisatsioonide töö olulise osana, samuti nende rolli poliitikakujundamises, et tugevdada demokraatiat ja vastupanuvõimet;</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soovitab kehtestada tegevustoetused kõigis </w:t>
      </w:r>
      <w:proofErr w:type="spellStart"/>
      <w:r>
        <w:t>AgoraEU</w:t>
      </w:r>
      <w:proofErr w:type="spellEnd"/>
      <w:r>
        <w:t xml:space="preserve"> tegevussuundades, et tugevdada kodanikuühiskonna organisatsioonide institutsioonilist stabiilsust, ning kutsub üles laiendama õigusprogrammi tegevustoetusi Euroopa üldistes huvides tegutsevatele mittetulundusühendustele;</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toetab vahendusorganisatsioonide kaudu kolmandatele isikutele antava rahalise toetuse säilitamist, et jõuda väiksemate või rohujuure tasandi rühmadeni, ning kutsub üles tagama vahendajate sõltumatuse ja nende juhtimise vastavuse ELi põhiõiguste hartale kui peamised rahastamiskõlblikkuse kriteeriumid nende valimisel. Komitee nõuab ka selgust </w:t>
      </w:r>
      <w:proofErr w:type="spellStart"/>
      <w:r>
        <w:t>kaasrahastamismäärade</w:t>
      </w:r>
      <w:proofErr w:type="spellEnd"/>
      <w:r>
        <w:t xml:space="preserve"> osas ning teeb ettepaneku lubada kuni 100 % ulatuses ELi rahastust vahendajatele ja lõplikele toetusesaajatele, kes rakendavad delegeeritud tegevust;</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märgib vajadust kohandada programmi „Loov Euroopa“ teabepunktide volitusi ja ressursse, et tulemuslikult toetada </w:t>
      </w:r>
      <w:proofErr w:type="spellStart"/>
      <w:r>
        <w:t>AgoraEU</w:t>
      </w:r>
      <w:proofErr w:type="spellEnd"/>
      <w:r>
        <w:t xml:space="preserve"> laiemat ulatust kultuuri-, meedia- ja kodanikuühiskonna sektorites;</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kutsub üles kehtestama kindlasummaliste maksete ja mitmeaastaste toetuste puhul paindlikkust ja kaitsemeetmeid (nt indekseerimine, parandusmehhanismid), et vältida rahalist survet toetusesaajatele;</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soovib selgust Euroopa Konkurentsivõime Fondi ja </w:t>
      </w:r>
      <w:proofErr w:type="spellStart"/>
      <w:r>
        <w:t>AgoraEU</w:t>
      </w:r>
      <w:proofErr w:type="spellEnd"/>
      <w:r>
        <w:t xml:space="preserve"> MEDIA+ tegevussuuna vahelise koostoime kohta ning ärgitab komisjoni ühendama toetusesaajad ja koostama tegevuskava, et muuta toimivaks kombineeritud ja kumulatiivne rahastamine mõlema kavandatud määruse raames, sealhulgas ühised hanked, peadirektoraatide koostöö ja tulemuslikkuse järelevalve;</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soovitab pöörata õigusprogrammis suuremat tähelepanu ohvrite õigustele ja õiguskaitse kättesaadavusele, sealhulgas abivõrgustike, õiguspraktikute koolituse ja piiriülese õigusabi rahastamisele;</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nõuab, et mõlemas programmis käsitletaks ELi-siseseid erinevusi rahastamises, eelkõige ida-läänesuunalist lõhet;</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peab kahetsusväärseks kodanikuühiskonna dialoogi töörühma väljajätmist </w:t>
      </w:r>
      <w:proofErr w:type="spellStart"/>
      <w:r>
        <w:t>AgoraEU</w:t>
      </w:r>
      <w:proofErr w:type="spellEnd"/>
      <w:r>
        <w:t xml:space="preserve"> määrusest ja kutsub tungivalt üles selle sinna uuesti lisama;</w:t>
      </w:r>
    </w:p>
    <w:p w14:paraId="0337C2BE" w14:textId="77777777" w:rsidR="008D0052" w:rsidRDefault="008D0052" w:rsidP="00F65006">
      <w:pPr>
        <w:numPr>
          <w:ilvl w:val="0"/>
          <w:numId w:val="21"/>
        </w:numPr>
        <w:tabs>
          <w:tab w:val="clear" w:pos="720"/>
        </w:tabs>
        <w:overflowPunct w:val="0"/>
        <w:autoSpaceDE w:val="0"/>
        <w:autoSpaceDN w:val="0"/>
        <w:adjustRightInd w:val="0"/>
        <w:ind w:left="284" w:hanging="284"/>
        <w:textAlignment w:val="baseline"/>
      </w:pPr>
      <w:r>
        <w:t xml:space="preserve">rõhutab, et programmi mõju sõltub asjakohasest riiklikust taristust ja kaasrahastusest, ning teeb ettepaneku siduda juurdepääs eelarve jagatud täitmise alla kuuluvatele ELi fondidele liikmesriikide tõendatud toetusega programmi </w:t>
      </w:r>
      <w:proofErr w:type="spellStart"/>
      <w:r>
        <w:t>AgoraEU</w:t>
      </w:r>
      <w:proofErr w:type="spellEnd"/>
      <w:r>
        <w:t xml:space="preserve"> ja õigusprogrammi eesmärkidele.</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8D0052" w:rsidRPr="008D0052" w14:paraId="02CD12AD" w14:textId="77777777" w:rsidTr="0036489A">
        <w:tc>
          <w:tcPr>
            <w:tcW w:w="1210"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Kontaktisik</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proofErr w:type="spellStart"/>
            <w:r>
              <w:rPr>
                <w:i/>
              </w:rPr>
              <w:t>Alessia</w:t>
            </w:r>
            <w:proofErr w:type="spellEnd"/>
            <w:r>
              <w:rPr>
                <w:i/>
              </w:rPr>
              <w:t xml:space="preserve"> </w:t>
            </w:r>
            <w:proofErr w:type="spellStart"/>
            <w:r>
              <w:rPr>
                <w:i/>
              </w:rPr>
              <w:t>Cova</w:t>
            </w:r>
            <w:proofErr w:type="spellEnd"/>
          </w:p>
        </w:tc>
      </w:tr>
      <w:tr w:rsidR="008D0052" w:rsidRPr="008D0052" w14:paraId="00343FBD" w14:textId="77777777" w:rsidTr="0036489A">
        <w:tc>
          <w:tcPr>
            <w:tcW w:w="1210"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Tel</w:t>
            </w:r>
          </w:p>
        </w:tc>
        <w:tc>
          <w:tcPr>
            <w:tcW w:w="4493"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36489A">
        <w:tc>
          <w:tcPr>
            <w:tcW w:w="1210"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E-post</w:t>
            </w:r>
          </w:p>
        </w:tc>
        <w:tc>
          <w:tcPr>
            <w:tcW w:w="4493" w:type="dxa"/>
          </w:tcPr>
          <w:p w14:paraId="4E6DFDFB" w14:textId="77777777" w:rsidR="008D0052" w:rsidRPr="008D0052" w:rsidRDefault="00BE41C1" w:rsidP="008D0052">
            <w:pPr>
              <w:overflowPunct w:val="0"/>
              <w:autoSpaceDE w:val="0"/>
              <w:autoSpaceDN w:val="0"/>
              <w:adjustRightInd w:val="0"/>
              <w:spacing w:line="240" w:lineRule="auto"/>
              <w:textAlignment w:val="baseline"/>
              <w:rPr>
                <w:i/>
                <w:iCs/>
              </w:rPr>
            </w:pPr>
            <w:hyperlink r:id="rId27" w:history="1">
              <w:r w:rsidR="00B55E7D">
                <w:rPr>
                  <w:i/>
                  <w:color w:val="0000FF"/>
                  <w:u w:val="single"/>
                </w:rPr>
                <w:t>Alessia.Cova@eesc.europa.eu</w:t>
              </w:r>
            </w:hyperlink>
          </w:p>
        </w:tc>
      </w:tr>
    </w:tbl>
    <w:p w14:paraId="4982DDC5" w14:textId="04BE9D07" w:rsidR="004D7AC0" w:rsidRDefault="004D7AC0" w:rsidP="004D7AC0">
      <w:pPr>
        <w:spacing w:after="160" w:line="259" w:lineRule="auto"/>
        <w:jc w:val="left"/>
      </w:pPr>
    </w:p>
    <w:p w14:paraId="4982DDC6" w14:textId="77777777" w:rsidR="004D7AC0" w:rsidRDefault="004D7AC0" w:rsidP="004D7AC0">
      <w:pPr>
        <w:pStyle w:val="Heading1"/>
        <w:rPr>
          <w:b/>
        </w:rPr>
      </w:pPr>
      <w:bookmarkStart w:id="7" w:name="_Toc24617160"/>
      <w:bookmarkStart w:id="8" w:name="_Toc75527082"/>
      <w:bookmarkStart w:id="9" w:name="_Toc217288591"/>
      <w:r>
        <w:rPr>
          <w:b/>
        </w:rPr>
        <w:t>TRANSPORDI, ENERGEETIKA, INFRASTRUKTUURI JA INFOÜHISKONNA SEKTSIOON</w:t>
      </w:r>
      <w:bookmarkEnd w:id="7"/>
      <w:bookmarkEnd w:id="8"/>
      <w:bookmarkEnd w:id="9"/>
    </w:p>
    <w:p w14:paraId="4982DDC7" w14:textId="77777777" w:rsidR="004D7AC0" w:rsidRDefault="004D7AC0" w:rsidP="004D7AC0"/>
    <w:p w14:paraId="34EB6B62" w14:textId="6F247683" w:rsidR="00BC676C" w:rsidRPr="00BC676C" w:rsidRDefault="00BE41C1"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B55E7D">
          <w:rPr>
            <w:b/>
            <w:i/>
            <w:color w:val="0000FF"/>
            <w:sz w:val="28"/>
            <w:u w:val="single"/>
          </w:rPr>
          <w:t>Haagistega raskesõidukite CO</w:t>
        </w:r>
        <w:r w:rsidR="00B55E7D">
          <w:rPr>
            <w:b/>
            <w:i/>
            <w:color w:val="0000FF"/>
            <w:sz w:val="28"/>
            <w:u w:val="single"/>
            <w:vertAlign w:val="subscript"/>
          </w:rPr>
          <w:t>2</w:t>
        </w:r>
        <w:r w:rsidR="00B55E7D">
          <w:rPr>
            <w:b/>
            <w:i/>
            <w:color w:val="0000FF"/>
            <w:sz w:val="28"/>
            <w:u w:val="single"/>
          </w:rPr>
          <w:t> heite klass</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Viitedokumendid</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C-kategooria arvamus</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w:t>
            </w:r>
            <w:proofErr w:type="spellStart"/>
            <w:r>
              <w:t>final</w:t>
            </w:r>
            <w:proofErr w:type="spellEnd"/>
            <w:r>
              <w:t xml:space="preserve">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Põhipunktid</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Kuna komitee on kõnealuses küsimuses oma seisukohta juba väljendanud 20. septembril 2023 vastu võetud arvamuses TEN/815 „Haagistega raskesõidukite CO</w:t>
      </w:r>
      <w:r>
        <w:rPr>
          <w:vertAlign w:val="subscript"/>
        </w:rPr>
        <w:t>2</w:t>
      </w:r>
      <w:r>
        <w:t> heite klass“ (</w:t>
      </w:r>
      <w:hyperlink r:id="rId29" w:history="1">
        <w:r>
          <w:rPr>
            <w:color w:val="0000FF"/>
            <w:u w:val="single"/>
          </w:rPr>
          <w:t>C/2023/874</w:t>
        </w:r>
      </w:hyperlink>
      <w:r>
        <w:t>), otsustas komitee loobuda sel teemal uue arvamuse koostamisest ning viidata eelnimetatud dokumendis väljendatud seisukohale.</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C676C" w:rsidRPr="00BC676C" w14:paraId="63E00060" w14:textId="77777777" w:rsidTr="0036489A">
        <w:tc>
          <w:tcPr>
            <w:tcW w:w="1418"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Pr>
                <w:b/>
                <w:i/>
              </w:rPr>
              <w:t>Kontaktisik</w:t>
            </w:r>
          </w:p>
        </w:tc>
        <w:tc>
          <w:tcPr>
            <w:tcW w:w="7904"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Pr>
                <w:i/>
              </w:rPr>
              <w:t xml:space="preserve">Maja </w:t>
            </w:r>
            <w:proofErr w:type="spellStart"/>
            <w:r>
              <w:rPr>
                <w:i/>
              </w:rPr>
              <w:t>Radman</w:t>
            </w:r>
            <w:proofErr w:type="spellEnd"/>
          </w:p>
        </w:tc>
      </w:tr>
      <w:tr w:rsidR="00BC676C" w:rsidRPr="00BC676C" w14:paraId="10A1FE95" w14:textId="77777777" w:rsidTr="0036489A">
        <w:tc>
          <w:tcPr>
            <w:tcW w:w="1418"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Tel</w:t>
            </w:r>
          </w:p>
        </w:tc>
        <w:tc>
          <w:tcPr>
            <w:tcW w:w="7904"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Pr>
                <w:i/>
              </w:rPr>
              <w:t>+32 254690</w:t>
            </w:r>
            <w:r>
              <w:t>51</w:t>
            </w:r>
          </w:p>
        </w:tc>
      </w:tr>
      <w:tr w:rsidR="00BC676C" w:rsidRPr="00BC676C" w14:paraId="31255C9B" w14:textId="77777777" w:rsidTr="0036489A">
        <w:tc>
          <w:tcPr>
            <w:tcW w:w="1418"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Pr>
                <w:i/>
              </w:rPr>
              <w:t>E-post</w:t>
            </w:r>
          </w:p>
        </w:tc>
        <w:tc>
          <w:tcPr>
            <w:tcW w:w="7904" w:type="dxa"/>
          </w:tcPr>
          <w:p w14:paraId="53D1C2A7" w14:textId="77777777" w:rsidR="00BC676C" w:rsidRPr="00BC676C" w:rsidRDefault="00BE41C1" w:rsidP="00BC676C">
            <w:pPr>
              <w:overflowPunct w:val="0"/>
              <w:autoSpaceDE w:val="0"/>
              <w:autoSpaceDN w:val="0"/>
              <w:adjustRightInd w:val="0"/>
              <w:ind w:left="720" w:hanging="720"/>
              <w:textAlignment w:val="baseline"/>
              <w:rPr>
                <w:i/>
              </w:rPr>
            </w:pPr>
            <w:hyperlink r:id="rId30" w:history="1">
              <w:r w:rsidR="00B55E7D">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225530F0" w14:textId="77777777" w:rsidR="004D7AC0" w:rsidRDefault="004D7AC0" w:rsidP="004D7AC0">
      <w:pPr>
        <w:pStyle w:val="ListParagraph"/>
        <w:ind w:left="0"/>
      </w:pP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fldChar w:fldCharType="begin"/>
      </w:r>
      <w:r w:rsidRPr="0005334D">
        <w:rPr>
          <w:b/>
          <w:i/>
          <w:sz w:val="28"/>
        </w:rPr>
        <w:instrText xml:space="preserve"> HYPERLINK "https://www.eesc.europa.eu/et/our-work/opinions-information-reports/opinions/eu-space-act" </w:instrText>
      </w:r>
      <w:r w:rsidRPr="0005334D">
        <w:rPr>
          <w:b/>
          <w:i/>
          <w:sz w:val="28"/>
        </w:rPr>
        <w:fldChar w:fldCharType="separate"/>
      </w:r>
      <w:r>
        <w:rPr>
          <w:b/>
          <w:i/>
          <w:color w:val="0000FF"/>
          <w:sz w:val="28"/>
          <w:u w:val="single"/>
        </w:rPr>
        <w:t>ELi kosmosetegevuse määrus</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Raportöör</w:t>
            </w:r>
          </w:p>
        </w:tc>
        <w:tc>
          <w:tcPr>
            <w:tcW w:w="5387" w:type="dxa"/>
          </w:tcPr>
          <w:p w14:paraId="1C51F404" w14:textId="0A3C4CB8" w:rsidR="0005334D" w:rsidRPr="0005334D" w:rsidRDefault="0005334D" w:rsidP="0005334D">
            <w:pPr>
              <w:tabs>
                <w:tab w:val="center" w:pos="284"/>
              </w:tabs>
              <w:overflowPunct w:val="0"/>
              <w:autoSpaceDE w:val="0"/>
              <w:autoSpaceDN w:val="0"/>
              <w:adjustRightInd w:val="0"/>
              <w:ind w:left="266" w:hanging="266"/>
              <w:textAlignment w:val="baseline"/>
            </w:pPr>
            <w:proofErr w:type="spellStart"/>
            <w:r>
              <w:t>Angelo</w:t>
            </w:r>
            <w:proofErr w:type="spellEnd"/>
            <w:r>
              <w:t xml:space="preserve"> PAGLIARA (töötajate rühm –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Viitedokumendid </w:t>
            </w:r>
          </w:p>
        </w:tc>
        <w:tc>
          <w:tcPr>
            <w:tcW w:w="5387"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w:t>
            </w:r>
            <w:proofErr w:type="spellStart"/>
            <w:r>
              <w:t>final</w:t>
            </w:r>
            <w:proofErr w:type="spellEnd"/>
            <w:r>
              <w:t xml:space="preserve">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Põhipunktid</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Euroopa Majandus- ja Sotsiaalkomitee</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struktuurselt ja viivitamata </w:t>
      </w:r>
      <w:r>
        <w:rPr>
          <w:b/>
        </w:rPr>
        <w:t>suurendada Euroopa avaliku sektori investeeringuid kosmosetegevusse</w:t>
      </w:r>
      <w:r>
        <w:t xml:space="preserve"> ning kasvatada </w:t>
      </w:r>
      <w:r>
        <w:rPr>
          <w:b/>
        </w:rPr>
        <w:t>2030. aastaks</w:t>
      </w:r>
      <w:r>
        <w:t xml:space="preserve"> kosmoseinvesteeringute mahu </w:t>
      </w:r>
      <w:r>
        <w:rPr>
          <w:b/>
        </w:rPr>
        <w:t xml:space="preserve">vähemalt 0,2 %-ni </w:t>
      </w:r>
      <w:proofErr w:type="spellStart"/>
      <w:r>
        <w:rPr>
          <w:b/>
        </w:rPr>
        <w:t>SKPst</w:t>
      </w:r>
      <w:proofErr w:type="spellEnd"/>
      <w:r>
        <w:t>;</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w:t>
      </w:r>
      <w:r>
        <w:rPr>
          <w:b/>
        </w:rPr>
        <w:t>selgitada, kuidas aluslepingu artiklit 114 saab kasutada kosmosega seotud toodete, teenuste ja andmete siseturu õigusliku alusena</w:t>
      </w:r>
      <w:r>
        <w:t xml:space="preserve">, ning soovitab sätestada, et kosmosetegevuse määruse sätteid tuleb tõlgendada </w:t>
      </w:r>
      <w:r>
        <w:rPr>
          <w:b/>
        </w:rPr>
        <w:t>liikmesriikide poolt juba võetud rahvusvaheliste kohustuste</w:t>
      </w:r>
      <w:r>
        <w:t xml:space="preserve"> valguses;</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selgitada, miks </w:t>
      </w:r>
      <w:r>
        <w:rPr>
          <w:b/>
        </w:rPr>
        <w:t>I jaotises viidatakse üksnes kasutaja</w:t>
      </w:r>
      <w:r>
        <w:t xml:space="preserve"> või kolmanda riigi kosmosekasutaja </w:t>
      </w:r>
      <w:r>
        <w:rPr>
          <w:b/>
        </w:rPr>
        <w:t>asutamise liikmesriigi kriteeriumile</w:t>
      </w:r>
      <w:r>
        <w:t>, viitamata seejuures päritoluriigile, ning soovitab</w:t>
      </w:r>
      <w:r>
        <w:rPr>
          <w:b/>
        </w:rPr>
        <w:t xml:space="preserve"> selgitada artikli 6 lõiget 3, et tagada parem kooskõla riiklike kosmosevaldkonna õigusaktidega</w:t>
      </w:r>
      <w:r>
        <w:t>, millega tehakse kindlaks kasutajad, kes peavad saama loa kas oma päritolu või territooriumi alusel, kus kosmosetegevus toimub;</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w:t>
      </w:r>
      <w:r>
        <w:rPr>
          <w:b/>
        </w:rPr>
        <w:t>II jaotises selgitada erandite toimimist ja paindlikkust lubade väljastamise protsessides</w:t>
      </w:r>
      <w:r>
        <w:t>, täpsustades nende tähtaegu, kohaldatavust mitteäriliste missioonide suhtes, komisjoni kontrollivolitusi ning Euroopa Kosmoseagentuuri ja Euroopa Liidu Kosmoseprogrammi Ameti operatiivset rolli;</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täpselt määratleda </w:t>
      </w:r>
      <w:r>
        <w:rPr>
          <w:b/>
        </w:rPr>
        <w:t>piirid, mille ulatuses liikmesriigid võivad kehtestada rangemaid nõudeid</w:t>
      </w:r>
      <w:r>
        <w:t xml:space="preserve"> kosmosepõhiste andmete ja kosmoseteenuste vabale liikumisele liidus;</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rõhutab vajadust </w:t>
      </w:r>
      <w:r>
        <w:rPr>
          <w:b/>
        </w:rPr>
        <w:t>tugevdada vastastikust tunnustamist ja ühiseid eeskirju, et vältida killustatust</w:t>
      </w:r>
      <w:r>
        <w:t xml:space="preserve"> ja bürokraatlikke takistusi;</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w:t>
      </w:r>
      <w:r>
        <w:rPr>
          <w:b/>
        </w:rPr>
        <w:t>siduda Euroopa kosmosestrateegia Euroopa strateegilise autonoomiaga</w:t>
      </w:r>
      <w:r>
        <w:t xml:space="preserve"> ning edendada </w:t>
      </w:r>
      <w:r>
        <w:rPr>
          <w:b/>
        </w:rPr>
        <w:t>täiendavaid ökosüsteeme ja kosmosemajanduse mitmekordistavat mõju</w:t>
      </w:r>
      <w:r>
        <w:t>, et toetada konkreetseid sektoreid;</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soovitab töötada välja </w:t>
      </w:r>
      <w:r>
        <w:rPr>
          <w:b/>
        </w:rPr>
        <w:t>kosmosealaste oskuste ja tööhõive integreeritud strateegia</w:t>
      </w:r>
      <w:r>
        <w:t xml:space="preserve"> ning võtta vastu </w:t>
      </w:r>
      <w:r>
        <w:rPr>
          <w:b/>
        </w:rPr>
        <w:t>Euroopa kosmosealaste oskuste tegevuskava</w:t>
      </w:r>
      <w:r>
        <w:t>;</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nõuab järgmises mitmeaastases finantsraamistikus 2028–2034 piisavaid vahendeid </w:t>
      </w:r>
      <w:r>
        <w:rPr>
          <w:b/>
        </w:rPr>
        <w:t>EUSPA operatiivseks tugevdamiseks</w:t>
      </w:r>
      <w:r>
        <w:t>.</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5334D" w:rsidRPr="0005334D" w14:paraId="2E1C4F7A" w14:textId="77777777" w:rsidTr="0036489A">
        <w:tc>
          <w:tcPr>
            <w:tcW w:w="1418" w:type="dxa"/>
          </w:tcPr>
          <w:p w14:paraId="3B838871" w14:textId="77777777" w:rsidR="0005334D" w:rsidRPr="0005334D" w:rsidRDefault="0005334D" w:rsidP="0005334D">
            <w:pPr>
              <w:overflowPunct w:val="0"/>
              <w:autoSpaceDE w:val="0"/>
              <w:autoSpaceDN w:val="0"/>
              <w:adjustRightInd w:val="0"/>
              <w:textAlignment w:val="baseline"/>
              <w:rPr>
                <w:i/>
              </w:rPr>
            </w:pPr>
            <w:r>
              <w:rPr>
                <w:b/>
                <w:i/>
              </w:rPr>
              <w:t>Kontaktisik</w:t>
            </w:r>
          </w:p>
        </w:tc>
        <w:tc>
          <w:tcPr>
            <w:tcW w:w="5670" w:type="dxa"/>
          </w:tcPr>
          <w:p w14:paraId="40162F2B" w14:textId="77777777" w:rsidR="0005334D" w:rsidRPr="0005334D" w:rsidRDefault="0005334D" w:rsidP="0005334D">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05334D" w:rsidRPr="0005334D" w14:paraId="362A9B5A" w14:textId="77777777" w:rsidTr="0036489A">
        <w:tc>
          <w:tcPr>
            <w:tcW w:w="1418" w:type="dxa"/>
          </w:tcPr>
          <w:p w14:paraId="0F21C068" w14:textId="77777777" w:rsidR="0005334D" w:rsidRPr="0005334D" w:rsidRDefault="0005334D" w:rsidP="0005334D">
            <w:pPr>
              <w:overflowPunct w:val="0"/>
              <w:autoSpaceDE w:val="0"/>
              <w:autoSpaceDN w:val="0"/>
              <w:adjustRightInd w:val="0"/>
              <w:textAlignment w:val="baseline"/>
              <w:rPr>
                <w:i/>
              </w:rPr>
            </w:pPr>
            <w:r>
              <w:rPr>
                <w:i/>
              </w:rPr>
              <w:t>Tel</w:t>
            </w:r>
          </w:p>
        </w:tc>
        <w:tc>
          <w:tcPr>
            <w:tcW w:w="5670" w:type="dxa"/>
          </w:tcPr>
          <w:p w14:paraId="1CDF1B64" w14:textId="77777777" w:rsidR="0005334D" w:rsidRPr="0005334D" w:rsidRDefault="0005334D" w:rsidP="0005334D">
            <w:pPr>
              <w:overflowPunct w:val="0"/>
              <w:autoSpaceDE w:val="0"/>
              <w:autoSpaceDN w:val="0"/>
              <w:adjustRightInd w:val="0"/>
              <w:textAlignment w:val="baseline"/>
              <w:rPr>
                <w:i/>
              </w:rPr>
            </w:pPr>
            <w:r>
              <w:rPr>
                <w:i/>
              </w:rPr>
              <w:t>+32 25468</w:t>
            </w:r>
            <w:r>
              <w:t>535</w:t>
            </w:r>
          </w:p>
        </w:tc>
      </w:tr>
      <w:tr w:rsidR="0005334D" w:rsidRPr="0005334D" w14:paraId="2C7002E1" w14:textId="77777777" w:rsidTr="0036489A">
        <w:tc>
          <w:tcPr>
            <w:tcW w:w="1418" w:type="dxa"/>
          </w:tcPr>
          <w:p w14:paraId="1B96A53D" w14:textId="36B45CE4" w:rsidR="0005334D" w:rsidRPr="0005334D" w:rsidRDefault="008C414B" w:rsidP="0005334D">
            <w:pPr>
              <w:overflowPunct w:val="0"/>
              <w:autoSpaceDE w:val="0"/>
              <w:autoSpaceDN w:val="0"/>
              <w:adjustRightInd w:val="0"/>
              <w:textAlignment w:val="baseline"/>
              <w:rPr>
                <w:i/>
              </w:rPr>
            </w:pPr>
            <w:r>
              <w:rPr>
                <w:i/>
              </w:rPr>
              <w:t>E-post</w:t>
            </w:r>
          </w:p>
        </w:tc>
        <w:tc>
          <w:tcPr>
            <w:tcW w:w="5670" w:type="dxa"/>
          </w:tcPr>
          <w:p w14:paraId="7D4DCAF5" w14:textId="77777777" w:rsidR="0005334D" w:rsidRPr="0005334D" w:rsidRDefault="00BE41C1" w:rsidP="0005334D">
            <w:pPr>
              <w:overflowPunct w:val="0"/>
              <w:autoSpaceDE w:val="0"/>
              <w:autoSpaceDN w:val="0"/>
              <w:adjustRightInd w:val="0"/>
              <w:textAlignment w:val="baseline"/>
              <w:rPr>
                <w:i/>
              </w:rPr>
            </w:pPr>
            <w:hyperlink r:id="rId31" w:history="1">
              <w:r w:rsidR="00B55E7D">
                <w:rPr>
                  <w:i/>
                  <w:color w:val="0000FF"/>
                  <w:u w:val="single"/>
                </w:rPr>
                <w:t>GiorgiaAndrea.Bordignon@eesc.europa.eu</w:t>
              </w:r>
            </w:hyperlink>
            <w:r w:rsidR="00B55E7D">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405C607C" w:rsidR="00B8543B" w:rsidRPr="00B8543B" w:rsidRDefault="00BE41C1" w:rsidP="00B8543B">
      <w:pPr>
        <w:widowControl w:val="0"/>
        <w:numPr>
          <w:ilvl w:val="0"/>
          <w:numId w:val="4"/>
        </w:numPr>
        <w:overflowPunct w:val="0"/>
        <w:autoSpaceDE w:val="0"/>
        <w:autoSpaceDN w:val="0"/>
        <w:adjustRightInd w:val="0"/>
        <w:ind w:hanging="567"/>
        <w:textAlignment w:val="baseline"/>
        <w:rPr>
          <w:sz w:val="20"/>
          <w:szCs w:val="20"/>
        </w:rPr>
      </w:pPr>
      <w:hyperlink r:id="rId32" w:history="1">
        <w:r w:rsidR="00B55E7D">
          <w:rPr>
            <w:b/>
            <w:i/>
            <w:color w:val="0000FF"/>
            <w:sz w:val="28"/>
            <w:u w:val="single"/>
          </w:rPr>
          <w:t>Tuumaenergia näidisprogramm</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Raportöör</w:t>
            </w:r>
          </w:p>
        </w:tc>
        <w:tc>
          <w:tcPr>
            <w:tcW w:w="7229" w:type="dxa"/>
          </w:tcPr>
          <w:p w14:paraId="741530A3" w14:textId="32EE3DBA" w:rsidR="00B8543B" w:rsidRPr="00B8543B" w:rsidRDefault="00B8543B" w:rsidP="00B8543B">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(töötajate rühm – RO)</w:t>
            </w:r>
          </w:p>
        </w:tc>
      </w:tr>
      <w:tr w:rsidR="00B8543B" w:rsidRPr="00B8543B" w14:paraId="1EF069F7" w14:textId="77777777" w:rsidTr="0036489A">
        <w:tc>
          <w:tcPr>
            <w:tcW w:w="1951"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Kaasraportöör</w:t>
            </w:r>
          </w:p>
        </w:tc>
        <w:tc>
          <w:tcPr>
            <w:tcW w:w="7229" w:type="dxa"/>
          </w:tcPr>
          <w:p w14:paraId="6C41DC74" w14:textId="78C2E9C0" w:rsidR="00B8543B" w:rsidRDefault="00B8543B" w:rsidP="00B8543B">
            <w:pPr>
              <w:tabs>
                <w:tab w:val="center" w:pos="284"/>
              </w:tabs>
              <w:overflowPunct w:val="0"/>
              <w:autoSpaceDE w:val="0"/>
              <w:autoSpaceDN w:val="0"/>
              <w:adjustRightInd w:val="0"/>
              <w:ind w:left="266" w:hanging="266"/>
              <w:textAlignment w:val="baseline"/>
            </w:pPr>
            <w:r>
              <w:t>Alena MASTANTUONO (tööandjate rühm –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Viitedokumendid</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 xml:space="preserve">COM(2025) 315 </w:t>
            </w:r>
            <w:proofErr w:type="spellStart"/>
            <w:r>
              <w:t>final</w:t>
            </w:r>
            <w:proofErr w:type="spellEnd"/>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Põhipunktid</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Euroopa Majandus- ja Sotsiaalkomitee</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on veendunud, et tuumaenergial on praegu ja ka edaspidi oluline roll Euroopa CO</w:t>
      </w:r>
      <w:r>
        <w:rPr>
          <w:vertAlign w:val="subscript"/>
        </w:rPr>
        <w:t>2</w:t>
      </w:r>
      <w:r>
        <w:t> heite vähendamisel ning strateegilise autonoomia tugevdamisel energia ja tehnoloogia valdkonnas;</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soovitab kohaldada tuumaenergiasektori investeeringute suhtes samu tingimusi kui taastuvate energiaallikate puhul;</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soovitab kiirendada investeerimist konkreetsete finants- ja regulatiivsete meetmete abil, nagu ühtlustatud riigiabimenetlused, juurdepääs ELi rahastamisvahenditele, kestlik rahastamine, litsentsimismenetlused ning kiiremad otsused ELi ja riiklikul tasandil;</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leiab, et usalduse, isevastutuse ja ühiskondliku heakskiidu tagamisel on keskse tähtsusega dialoog kodanikuühiskonnaga;</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nõuab tõhustatud regulatiivset koostööd liikmesriikide vahel;</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soovitab võtta arvesse tuumaenergia rolli võrgu stabiliseerimisel ja kutsub üles lisama tuumaenergia näidisprogrammi arvutuse, kui palju süsteemseid kulusid saab tänu tuumaenergiale vältida.</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1A87DBFF" w14:textId="77777777" w:rsidTr="0036489A">
        <w:tc>
          <w:tcPr>
            <w:tcW w:w="1951" w:type="dxa"/>
          </w:tcPr>
          <w:p w14:paraId="5E9F41AD" w14:textId="77777777" w:rsidR="00B8543B" w:rsidRPr="00B8543B" w:rsidRDefault="00B8543B" w:rsidP="00B8543B">
            <w:pPr>
              <w:overflowPunct w:val="0"/>
              <w:autoSpaceDE w:val="0"/>
              <w:autoSpaceDN w:val="0"/>
              <w:adjustRightInd w:val="0"/>
              <w:textAlignment w:val="baseline"/>
              <w:rPr>
                <w:i/>
              </w:rPr>
            </w:pPr>
            <w:r>
              <w:rPr>
                <w:b/>
                <w:i/>
              </w:rPr>
              <w:t>Kontaktisik</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Pr>
                <w:i/>
              </w:rPr>
              <w:t>Tel</w:t>
            </w:r>
          </w:p>
        </w:tc>
        <w:tc>
          <w:tcPr>
            <w:tcW w:w="7229" w:type="dxa"/>
          </w:tcPr>
          <w:p w14:paraId="113BC3FF" w14:textId="77777777" w:rsidR="00B8543B" w:rsidRPr="00B8543B" w:rsidRDefault="00B8543B" w:rsidP="00B8543B">
            <w:pPr>
              <w:overflowPunct w:val="0"/>
              <w:autoSpaceDE w:val="0"/>
              <w:autoSpaceDN w:val="0"/>
              <w:adjustRightInd w:val="0"/>
              <w:textAlignment w:val="baseline"/>
              <w:rPr>
                <w:i/>
              </w:rPr>
            </w:pPr>
            <w:r>
              <w:rPr>
                <w:i/>
              </w:rPr>
              <w:t>+32 25469326</w:t>
            </w:r>
          </w:p>
        </w:tc>
      </w:tr>
      <w:tr w:rsidR="00B8543B" w:rsidRPr="00B8543B" w14:paraId="358EB551" w14:textId="77777777" w:rsidTr="0036489A">
        <w:tc>
          <w:tcPr>
            <w:tcW w:w="1951" w:type="dxa"/>
          </w:tcPr>
          <w:p w14:paraId="2EF8A9AA" w14:textId="77777777" w:rsidR="00B8543B" w:rsidRPr="00B8543B" w:rsidRDefault="00B8543B" w:rsidP="00B8543B">
            <w:pPr>
              <w:overflowPunct w:val="0"/>
              <w:autoSpaceDE w:val="0"/>
              <w:autoSpaceDN w:val="0"/>
              <w:adjustRightInd w:val="0"/>
              <w:textAlignment w:val="baseline"/>
              <w:rPr>
                <w:i/>
              </w:rPr>
            </w:pPr>
            <w:r>
              <w:rPr>
                <w:i/>
              </w:rPr>
              <w:t>E-post</w:t>
            </w:r>
          </w:p>
        </w:tc>
        <w:tc>
          <w:tcPr>
            <w:tcW w:w="7229" w:type="dxa"/>
          </w:tcPr>
          <w:p w14:paraId="1491B9B9" w14:textId="77777777" w:rsidR="00B8543B" w:rsidRPr="00B8543B" w:rsidRDefault="00BE41C1" w:rsidP="00B8543B">
            <w:pPr>
              <w:overflowPunct w:val="0"/>
              <w:autoSpaceDE w:val="0"/>
              <w:autoSpaceDN w:val="0"/>
              <w:adjustRightInd w:val="0"/>
              <w:textAlignment w:val="baseline"/>
              <w:rPr>
                <w:i/>
              </w:rPr>
            </w:pPr>
            <w:hyperlink r:id="rId33" w:history="1">
              <w:r w:rsidR="00B55E7D">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10" w:name="_Toc75527083"/>
      <w:bookmarkStart w:id="11" w:name="_Toc217288592"/>
      <w:r>
        <w:rPr>
          <w:b/>
        </w:rPr>
        <w:t>ÜHTSE TURU, TOOTMISE JA TARBIMISE SEKTSIOON</w:t>
      </w:r>
      <w:bookmarkEnd w:id="10"/>
      <w:bookmarkEnd w:id="11"/>
    </w:p>
    <w:p w14:paraId="4982DDF4" w14:textId="77777777" w:rsidR="004D7AC0" w:rsidRDefault="004D7AC0" w:rsidP="004D7AC0"/>
    <w:p w14:paraId="5D547137" w14:textId="688E5B24" w:rsidR="00465162" w:rsidRPr="00465162" w:rsidRDefault="00BE41C1"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B55E7D">
          <w:rPr>
            <w:b/>
            <w:i/>
            <w:color w:val="0000FF"/>
            <w:sz w:val="28"/>
            <w:u w:val="single"/>
          </w:rPr>
          <w:t>Ühtse turu strateegia</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521"/>
      </w:tblGrid>
      <w:tr w:rsidR="00465162" w:rsidRPr="00465162" w14:paraId="79DD90B6" w14:textId="77777777" w:rsidTr="0036489A">
        <w:tc>
          <w:tcPr>
            <w:tcW w:w="1701"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Raportöörid</w:t>
            </w:r>
          </w:p>
        </w:tc>
        <w:tc>
          <w:tcPr>
            <w:tcW w:w="6521" w:type="dxa"/>
          </w:tcPr>
          <w:p w14:paraId="1AA6537D" w14:textId="384B5F9A"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Emilie</w:t>
            </w:r>
            <w:proofErr w:type="spellEnd"/>
            <w:r>
              <w:t xml:space="preserve"> PROUZET (tööandjate rühm – FR)</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Angelo</w:t>
            </w:r>
            <w:proofErr w:type="spellEnd"/>
            <w:r>
              <w:t xml:space="preserve"> PAGLIARA (töötajate rühm – IT)</w:t>
            </w:r>
          </w:p>
          <w:p w14:paraId="1F24C2EA" w14:textId="03B9D796" w:rsidR="00465162" w:rsidRPr="00465162" w:rsidRDefault="00465162" w:rsidP="00465162">
            <w:pPr>
              <w:tabs>
                <w:tab w:val="center" w:pos="284"/>
              </w:tabs>
              <w:overflowPunct w:val="0"/>
              <w:autoSpaceDE w:val="0"/>
              <w:autoSpaceDN w:val="0"/>
              <w:adjustRightInd w:val="0"/>
              <w:ind w:left="266" w:hanging="266"/>
              <w:textAlignment w:val="baseline"/>
            </w:pPr>
            <w:r>
              <w:t>Giuseppe GUERINI (kodanikuühiskonna organisatsioonide rühm – 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Viitedokumendid</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 xml:space="preserve">COM(2025) 500 </w:t>
            </w:r>
            <w:proofErr w:type="spellStart"/>
            <w:r>
              <w:t>final</w:t>
            </w:r>
            <w:proofErr w:type="spellEnd"/>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Põhipunktid</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Euroopa Majandus- ja Sotsiaalkomitee</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toetab täielikult komisjoni kindlaks määratud prioriteete, mis vastavad sidusrühmade tõstatatud probleemidele;</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kordab, et õigusnormide lihtsustamisel tuleb täielikult järgida sotsiaalseid ja töötajate õigusi. Seetõttu on oluline, et Euroopa Parlament ja liikmesriikide parlamendid ning sotsiaalpartnerid oleksid struktuuriliselt kaasatud alates õigusloomeprotsessi varajastest etappidest;</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kavatseb anda aktiivsema panuse ühtse turu juhtimisse, võttes muu hulgas tugevama rolli ühtse turu normide täitmise tagamise rakkerühma protsessis;</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kutsub komisjoni üles esitama seadusandlikke ettepanekuid, et tegeleda territoriaalsete tarnepiirangutega ja ühtlustada toodete märgistamist;</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väljendab heameelt komisjoni teadaande üle ettepaneku kohta kehtestada ettevõtjatele vabatahtlik 28. režiim, kuid rõhutab vajadust tõhusate kaitsemeetmete järele võimalike kuritarvituste vastu;</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 xml:space="preserve">tunnistab standardimise keskset rolli integratsiooni ja innovatsiooni </w:t>
      </w:r>
      <w:proofErr w:type="spellStart"/>
      <w:r>
        <w:t>liikumapaneva</w:t>
      </w:r>
      <w:proofErr w:type="spellEnd"/>
      <w:r>
        <w:t xml:space="preserve"> jõuna, kuid rõhutab läbipaistvuse, kaasatuse ja struktureeritud osalemise põhimõtteid;</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toetab kutsekvalifikatsioonide tunnustamise lihtsustamist, sealhulgas kolmandate riikide kodanike puhul, kuid rõhutab, et kvalifikatsioonid peavad olema selgelt määratletud, kontrollitavad ja tõendatud kvaliteediga;</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toetab Euroopa Tööjõuameti (ELA) tugevdamist;</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kutsub üles laiendama ühtse turu ulatust sellistele strateegilistele sektoritele nagu energeetika ja rahandus. Komitee rõhutab vajadust kaasava juhtimise järele ja kutsub üles vaatama läbi riigihankeid käsitlevad õigusaktid. Samal ajal tuleks leida sobivad viisid sotsiaalsete, keskkonnaalaste ja innovatsioonialaste eesmärkide </w:t>
      </w:r>
      <w:proofErr w:type="spellStart"/>
      <w:r>
        <w:t>arvessevõtmiseks</w:t>
      </w:r>
      <w:proofErr w:type="spellEnd"/>
      <w:r>
        <w:t xml:space="preserve">. </w:t>
      </w:r>
    </w:p>
    <w:p w14:paraId="2800F0AE"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65162" w:rsidRPr="00465162" w14:paraId="7E653814" w14:textId="77777777" w:rsidTr="0036489A">
        <w:tc>
          <w:tcPr>
            <w:tcW w:w="1418" w:type="dxa"/>
          </w:tcPr>
          <w:p w14:paraId="6898358A" w14:textId="77777777" w:rsidR="00465162" w:rsidRPr="00465162" w:rsidRDefault="00465162" w:rsidP="00465162">
            <w:pPr>
              <w:overflowPunct w:val="0"/>
              <w:autoSpaceDE w:val="0"/>
              <w:autoSpaceDN w:val="0"/>
              <w:adjustRightInd w:val="0"/>
              <w:spacing w:line="240" w:lineRule="auto"/>
              <w:textAlignment w:val="baseline"/>
              <w:rPr>
                <w:i/>
              </w:rPr>
            </w:pPr>
            <w:r>
              <w:rPr>
                <w:b/>
                <w:i/>
              </w:rPr>
              <w:t>Kontaktisik</w:t>
            </w:r>
          </w:p>
        </w:tc>
        <w:tc>
          <w:tcPr>
            <w:tcW w:w="5670"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465162" w:rsidRPr="00465162" w14:paraId="3F0424C9" w14:textId="77777777" w:rsidTr="0036489A">
        <w:tc>
          <w:tcPr>
            <w:tcW w:w="1418"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Tel</w:t>
            </w:r>
          </w:p>
        </w:tc>
        <w:tc>
          <w:tcPr>
            <w:tcW w:w="5670"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Pr>
                <w:i/>
              </w:rPr>
              <w:t>+ 32 25469732</w:t>
            </w:r>
          </w:p>
        </w:tc>
      </w:tr>
      <w:tr w:rsidR="00465162" w:rsidRPr="00465162" w14:paraId="6449EA12" w14:textId="77777777" w:rsidTr="0036489A">
        <w:tc>
          <w:tcPr>
            <w:tcW w:w="1418" w:type="dxa"/>
          </w:tcPr>
          <w:p w14:paraId="1D040452" w14:textId="0B90490C" w:rsidR="00465162" w:rsidRPr="00465162" w:rsidRDefault="00034990" w:rsidP="00465162">
            <w:pPr>
              <w:overflowPunct w:val="0"/>
              <w:autoSpaceDE w:val="0"/>
              <w:autoSpaceDN w:val="0"/>
              <w:adjustRightInd w:val="0"/>
              <w:spacing w:line="240" w:lineRule="auto"/>
              <w:textAlignment w:val="baseline"/>
              <w:rPr>
                <w:i/>
              </w:rPr>
            </w:pPr>
            <w:r>
              <w:rPr>
                <w:i/>
              </w:rPr>
              <w:t>E-post</w:t>
            </w:r>
          </w:p>
        </w:tc>
        <w:tc>
          <w:tcPr>
            <w:tcW w:w="5670" w:type="dxa"/>
          </w:tcPr>
          <w:p w14:paraId="3E267456" w14:textId="77777777" w:rsidR="00465162" w:rsidRPr="00465162" w:rsidRDefault="00BE41C1" w:rsidP="00465162">
            <w:pPr>
              <w:overflowPunct w:val="0"/>
              <w:autoSpaceDE w:val="0"/>
              <w:autoSpaceDN w:val="0"/>
              <w:adjustRightInd w:val="0"/>
              <w:spacing w:line="240" w:lineRule="auto"/>
              <w:textAlignment w:val="baseline"/>
              <w:rPr>
                <w:i/>
              </w:rPr>
            </w:pPr>
            <w:hyperlink r:id="rId35" w:history="1">
              <w:r w:rsidR="00B55E7D">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6" w:tgtFrame="_blank" w:history="1">
        <w:r>
          <w:rPr>
            <w:b/>
            <w:i/>
            <w:color w:val="0000FF"/>
            <w:sz w:val="28"/>
            <w:u w:val="single"/>
          </w:rPr>
          <w:t>2024. aasta konkurentsipoliitika aruanne</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Raportöör</w:t>
            </w:r>
          </w:p>
        </w:tc>
        <w:tc>
          <w:tcPr>
            <w:tcW w:w="5387" w:type="dxa"/>
          </w:tcPr>
          <w:p w14:paraId="1D2ED450" w14:textId="10B4B8A6" w:rsidR="008A6059" w:rsidRPr="008A6059" w:rsidRDefault="008A6059" w:rsidP="008A6059">
            <w:pPr>
              <w:tabs>
                <w:tab w:val="center" w:pos="284"/>
              </w:tabs>
              <w:overflowPunct w:val="0"/>
              <w:autoSpaceDE w:val="0"/>
              <w:autoSpaceDN w:val="0"/>
              <w:adjustRightInd w:val="0"/>
              <w:ind w:left="266" w:hanging="266"/>
              <w:textAlignment w:val="baseline"/>
            </w:pPr>
            <w:r>
              <w:t>Andrea MONE (töötajate rühm –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 xml:space="preserve">COM(2025) 181 </w:t>
            </w:r>
            <w:proofErr w:type="spellStart"/>
            <w:r>
              <w:t>final</w:t>
            </w:r>
            <w:proofErr w:type="spellEnd"/>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Põhipunktid</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Euroopa Majandus- ja Sotsiaalkomitee</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pooldab </w:t>
      </w:r>
      <w:r>
        <w:rPr>
          <w:b/>
        </w:rPr>
        <w:t>komisjoni 2024. aastal vastu võetud lähenemist konkurentsieeskirjade täitmise tagamisele</w:t>
      </w:r>
      <w:r>
        <w:t>. Sellega viiakse konkurentsipoliitika kooskõlla ELi digi-, rohe- ja vastupidavuse eesmärkidega ning kaitstakse samal ajal hästi toimivat ja konkurentsivõimelist ühtset turgu;</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toetab komisjoni jõupingutusi </w:t>
      </w:r>
      <w:r>
        <w:rPr>
          <w:b/>
        </w:rPr>
        <w:t xml:space="preserve">konkurentsieeskirjade tõhususe ja </w:t>
      </w:r>
      <w:proofErr w:type="spellStart"/>
      <w:r>
        <w:rPr>
          <w:b/>
        </w:rPr>
        <w:t>prognoositavuse</w:t>
      </w:r>
      <w:proofErr w:type="spellEnd"/>
      <w:r>
        <w:t xml:space="preserve"> suurendamiseks. Välja võib tuua turgu valitsevate ettevõtjate kuritahtlikku konkurente tõrjuvat tegevust käsitlevate uute suuniste väljatöötamise, ajakohastatud teatise asjaomase turu määratlemise kohta ja paremad vahendid tarbijate heaolule avalduva mõju hindamiseks;</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rõhutab, kui oluline on tegeleda konkurentsiprobleemidega </w:t>
      </w:r>
      <w:r>
        <w:rPr>
          <w:b/>
        </w:rPr>
        <w:t>digiturgudel</w:t>
      </w:r>
      <w:r>
        <w:t>. Komitee julgustab komisjoni jätkuvalt tugevdama eeskirjade täitmise tagamist nii traditsiooniliste konkurentsieeskirjade kui ka digiturgude määruse alusel, võttes arvesse struktuurset domineerimist ja turule sisenemise tõkkeid platvormipõhistes ärimudelites;</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kutsub üles tagama </w:t>
      </w:r>
      <w:r>
        <w:rPr>
          <w:b/>
        </w:rPr>
        <w:t>tugevama ühinemiste kontrolli</w:t>
      </w:r>
      <w:r>
        <w:t xml:space="preserve">, sh raamistiku, et kontrollida künnisest allapoole jäävaid omandamisi, mis võivad konkurentsi kahjustada (nt konkurentsist vabanemise eesmärgil toimuvad omandamised). Komitee nõuab, et ühinemiste hindamisel </w:t>
      </w:r>
      <w:r>
        <w:rPr>
          <w:b/>
        </w:rPr>
        <w:t>võetaks rohkem arvesse mõju tööturule ja innovatsioonidünaamikat</w:t>
      </w:r>
      <w:r>
        <w:t>;</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rõhutab vajadust</w:t>
      </w:r>
      <w:r>
        <w:rPr>
          <w:b/>
        </w:rPr>
        <w:t xml:space="preserve"> riigiabi eeskirjade</w:t>
      </w:r>
      <w:r>
        <w:t xml:space="preserve"> järele, eelkõige uue puhta tööstuse kokkuleppega seotud riigiabi raamistiku ja </w:t>
      </w:r>
      <w:proofErr w:type="spellStart"/>
      <w:r>
        <w:t>üleeuroopalist</w:t>
      </w:r>
      <w:proofErr w:type="spellEnd"/>
      <w:r>
        <w:t xml:space="preserve"> huvi pakkuvate tähtsate projektide menetluste puhul. Need eeskirjad aitaksid </w:t>
      </w:r>
      <w:r>
        <w:rPr>
          <w:b/>
        </w:rPr>
        <w:t>edendada piiriülest osalemist, vähendada killustatust ja toetada</w:t>
      </w:r>
      <w:r>
        <w:t xml:space="preserve"> puhta tööstuse kokkuleppe jaoks olulisi </w:t>
      </w:r>
      <w:r>
        <w:rPr>
          <w:b/>
        </w:rPr>
        <w:t>strateegilisi investeeringuid</w:t>
      </w:r>
      <w:r>
        <w:t>, tagades samal ajal ühtekuuluvuse ja võrdsed tingimused kõigis liikmesriikides.</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A6059" w:rsidRPr="008A6059" w14:paraId="60D2607C" w14:textId="77777777" w:rsidTr="0036489A">
        <w:tc>
          <w:tcPr>
            <w:tcW w:w="1418"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Pr>
                <w:b/>
                <w:i/>
              </w:rPr>
              <w:t>Kontaktisik</w:t>
            </w:r>
          </w:p>
        </w:tc>
        <w:tc>
          <w:tcPr>
            <w:tcW w:w="5670"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8A6059" w:rsidRPr="008A6059" w14:paraId="3BAB393F" w14:textId="77777777" w:rsidTr="0036489A">
        <w:tc>
          <w:tcPr>
            <w:tcW w:w="1418"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Tel</w:t>
            </w:r>
          </w:p>
        </w:tc>
        <w:tc>
          <w:tcPr>
            <w:tcW w:w="5670"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Pr>
                <w:i/>
              </w:rPr>
              <w:t>+ 32 25468378</w:t>
            </w:r>
          </w:p>
        </w:tc>
      </w:tr>
      <w:tr w:rsidR="008A6059" w:rsidRPr="008A6059" w14:paraId="6DC120EA" w14:textId="77777777" w:rsidTr="0036489A">
        <w:tc>
          <w:tcPr>
            <w:tcW w:w="1418" w:type="dxa"/>
          </w:tcPr>
          <w:p w14:paraId="32C00486" w14:textId="001C808A" w:rsidR="008A6059" w:rsidRPr="008A6059" w:rsidRDefault="006E6F14" w:rsidP="008A6059">
            <w:pPr>
              <w:overflowPunct w:val="0"/>
              <w:autoSpaceDE w:val="0"/>
              <w:autoSpaceDN w:val="0"/>
              <w:adjustRightInd w:val="0"/>
              <w:spacing w:line="240" w:lineRule="auto"/>
              <w:textAlignment w:val="baseline"/>
              <w:rPr>
                <w:i/>
              </w:rPr>
            </w:pPr>
            <w:r>
              <w:rPr>
                <w:i/>
              </w:rPr>
              <w:t>E-post</w:t>
            </w:r>
          </w:p>
        </w:tc>
        <w:tc>
          <w:tcPr>
            <w:tcW w:w="5670" w:type="dxa"/>
          </w:tcPr>
          <w:p w14:paraId="0B7A4BF8" w14:textId="77777777" w:rsidR="008A6059" w:rsidRPr="008A6059" w:rsidRDefault="00BE41C1" w:rsidP="008A6059">
            <w:pPr>
              <w:overflowPunct w:val="0"/>
              <w:autoSpaceDE w:val="0"/>
              <w:autoSpaceDN w:val="0"/>
              <w:adjustRightInd w:val="0"/>
              <w:spacing w:line="240" w:lineRule="auto"/>
              <w:textAlignment w:val="baseline"/>
              <w:rPr>
                <w:i/>
              </w:rPr>
            </w:pPr>
            <w:hyperlink r:id="rId37" w:history="1">
              <w:r w:rsidR="00B55E7D">
                <w:rPr>
                  <w:i/>
                  <w:color w:val="0000FF"/>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Euroopa Konkurentsivõime Fond</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Raportöör</w:t>
            </w:r>
          </w:p>
        </w:tc>
        <w:tc>
          <w:tcPr>
            <w:tcW w:w="3892" w:type="pct"/>
          </w:tcPr>
          <w:p w14:paraId="51845819" w14:textId="525A6D0F" w:rsidR="00685A3A" w:rsidRPr="00685A3A" w:rsidRDefault="00685A3A" w:rsidP="00685A3A">
            <w:pPr>
              <w:tabs>
                <w:tab w:val="center" w:pos="0"/>
              </w:tabs>
              <w:overflowPunct w:val="0"/>
              <w:autoSpaceDE w:val="0"/>
              <w:autoSpaceDN w:val="0"/>
              <w:adjustRightInd w:val="0"/>
              <w:ind w:left="266" w:hanging="266"/>
              <w:textAlignment w:val="baseline"/>
            </w:pPr>
            <w:r>
              <w:t>Milena ANGELOVA (tööandjate rühm – BG)</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Viitedokumendid</w:t>
            </w:r>
          </w:p>
        </w:tc>
        <w:tc>
          <w:tcPr>
            <w:tcW w:w="3892"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 xml:space="preserve">COM(2025) 555 </w:t>
            </w:r>
            <w:proofErr w:type="spellStart"/>
            <w:r>
              <w:t>final</w:t>
            </w:r>
            <w:proofErr w:type="spellEnd"/>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Põhipunktid</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Euroopa Majandus- ja Sotsiaalkomitee</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toetab Euroopa Konkurentsivõime Fondi loomist, mis on ELi järgmise eelarve nurgakivi ning innovatsiooni, vastupanuvõime ja turvalisuse </w:t>
      </w:r>
      <w:proofErr w:type="spellStart"/>
      <w:r>
        <w:t>liikumapanev</w:t>
      </w:r>
      <w:proofErr w:type="spellEnd"/>
      <w:r>
        <w:t xml:space="preserve"> jõud, rõhutades, et </w:t>
      </w:r>
      <w:r>
        <w:rPr>
          <w:b/>
        </w:rPr>
        <w:t>rahastamine peab jääma kindlalt kooskõlla kestlikkuse ja ELi sotsiaalse turumajandusega</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nõuab kogu ELi hõlmavat tulemuspõhist projektide valimist</w:t>
      </w:r>
      <w:r>
        <w:t xml:space="preserve"> koos selgete kriteeriumidega, nagu tipptase, tulevikku suunatus ja majanduslik potentsiaal. </w:t>
      </w:r>
      <w:r>
        <w:rPr>
          <w:b/>
        </w:rPr>
        <w:t>Riiklike juurdepääsukontrollide vältimiseks</w:t>
      </w:r>
      <w:r>
        <w:t xml:space="preserve"> nõuab komitee läbipaistvaid menetlusi, taotlejate võrdset juurdepääsu kõigis liikmesriikides ning sotsiaalpartnerite ja kodanikuühiskonna aktiivset kaasamist juhtimisse;</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soovitab kehtestada nn turureferendumi</w:t>
      </w:r>
      <w:r>
        <w:t xml:space="preserve">, millega nõutakse, et projektid, mille puhul taotletakse märkimisväärset täiendavat ELi rahastamist, nagu </w:t>
      </w:r>
      <w:proofErr w:type="spellStart"/>
      <w:r>
        <w:t>üleeuroopalist</w:t>
      </w:r>
      <w:proofErr w:type="spellEnd"/>
      <w:r>
        <w:t xml:space="preserve"> huvi pakkuvad tähtsad projektid või muud suuremahulised investeeringud, peavad esmalt mobiliseerima teatava osa erakapitali vahendeid. Selline turutesti mehhanism aitaks tagada projektide kvaliteeti, vähendada politiseeritud rahastamisotsuste arvu ning tugevdada seost avaliku sektori toetuse ja tegeliku konkurentsivõime vahel;</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rõhutab vajadust tugevate riskihindamis- ja ennetusvahendite järele</w:t>
      </w:r>
      <w:r>
        <w:t xml:space="preserve">, millega tagatakse, et fondi vahendid suunatakse üksnes projektidele, mis </w:t>
      </w:r>
      <w:proofErr w:type="spellStart"/>
      <w:r>
        <w:t>tõepoolest</w:t>
      </w:r>
      <w:proofErr w:type="spellEnd"/>
      <w:r>
        <w:t xml:space="preserve"> suurendavad Euroopa konkurentsivõimet ja väldivad varasemate puuduste kordumist ELi rahastamisprogrammides;</w:t>
      </w:r>
    </w:p>
    <w:p w14:paraId="4F35B8DF"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rõhutab, kui oluline on </w:t>
      </w:r>
      <w:r>
        <w:rPr>
          <w:b/>
        </w:rPr>
        <w:t xml:space="preserve">toetada </w:t>
      </w:r>
      <w:proofErr w:type="spellStart"/>
      <w:r>
        <w:rPr>
          <w:b/>
        </w:rPr>
        <w:t>VKEsid</w:t>
      </w:r>
      <w:proofErr w:type="spellEnd"/>
      <w:r>
        <w:rPr>
          <w:b/>
        </w:rPr>
        <w:t>, piirkondlikke ja piiriüleseid innovatsiooni ökosüsteeme ning investeeringuid oskustesse ja inimväärsesse töösse</w:t>
      </w:r>
      <w:r>
        <w:t>, lihtsustades samal ajal menetlusi ning tagades läbipaistva, prognoositava ja kaasava juhtimise.</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5245"/>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2572"/>
            </w:tblGrid>
            <w:tr w:rsidR="00E13363" w:rsidRPr="00A6689B" w14:paraId="014CFA79" w14:textId="77777777" w:rsidTr="0036489A">
              <w:tc>
                <w:tcPr>
                  <w:tcW w:w="742" w:type="pct"/>
                </w:tcPr>
                <w:p w14:paraId="7EB958FC" w14:textId="77777777" w:rsidR="00E13363" w:rsidRPr="00A6689B" w:rsidRDefault="00E13363" w:rsidP="00E13363">
                  <w:pPr>
                    <w:rPr>
                      <w:i/>
                    </w:rPr>
                  </w:pPr>
                  <w:r>
                    <w:rPr>
                      <w:b/>
                      <w:i/>
                    </w:rPr>
                    <w:t>Kontaktisik</w:t>
                  </w:r>
                </w:p>
              </w:tc>
              <w:tc>
                <w:tcPr>
                  <w:tcW w:w="4258" w:type="pct"/>
                </w:tcPr>
                <w:p w14:paraId="2797B023" w14:textId="00679360" w:rsidR="00E13363" w:rsidRPr="00A6689B" w:rsidRDefault="00E13363" w:rsidP="00E13363">
                  <w:pPr>
                    <w:rPr>
                      <w:i/>
                    </w:rPr>
                  </w:pPr>
                  <w:r>
                    <w:rPr>
                      <w:i/>
                    </w:rPr>
                    <w:t xml:space="preserve">Silvia </w:t>
                  </w:r>
                  <w:proofErr w:type="spellStart"/>
                  <w:r>
                    <w:rPr>
                      <w:i/>
                    </w:rPr>
                    <w:t>Staffa</w:t>
                  </w:r>
                  <w:proofErr w:type="spellEnd"/>
                </w:p>
              </w:tc>
            </w:tr>
            <w:tr w:rsidR="00E13363" w:rsidRPr="00A6689B" w14:paraId="545C7BC0" w14:textId="77777777" w:rsidTr="0036489A">
              <w:tc>
                <w:tcPr>
                  <w:tcW w:w="742" w:type="pct"/>
                </w:tcPr>
                <w:p w14:paraId="01319993" w14:textId="77777777" w:rsidR="00E13363" w:rsidRPr="00A6689B" w:rsidRDefault="00E13363" w:rsidP="00E13363">
                  <w:pPr>
                    <w:rPr>
                      <w:i/>
                    </w:rPr>
                  </w:pPr>
                  <w:r>
                    <w:rPr>
                      <w:i/>
                    </w:rPr>
                    <w:t>Tel</w:t>
                  </w:r>
                </w:p>
              </w:tc>
              <w:tc>
                <w:tcPr>
                  <w:tcW w:w="4258" w:type="pct"/>
                </w:tcPr>
                <w:p w14:paraId="66DD56EC" w14:textId="77777777" w:rsidR="00E13363" w:rsidRPr="00A6689B" w:rsidRDefault="00E13363" w:rsidP="00E13363">
                  <w:pPr>
                    <w:rPr>
                      <w:i/>
                    </w:rPr>
                  </w:pPr>
                  <w:r>
                    <w:rPr>
                      <w:i/>
                    </w:rPr>
                    <w:t>+32 254 68378</w:t>
                  </w:r>
                </w:p>
              </w:tc>
            </w:tr>
            <w:tr w:rsidR="00E13363" w:rsidRPr="00CB5569" w14:paraId="4CC970C9" w14:textId="77777777" w:rsidTr="0036489A">
              <w:tc>
                <w:tcPr>
                  <w:tcW w:w="742" w:type="pct"/>
                </w:tcPr>
                <w:p w14:paraId="7B046870" w14:textId="77777777" w:rsidR="00E13363" w:rsidRPr="00A6689B" w:rsidRDefault="00E13363" w:rsidP="00E13363">
                  <w:pPr>
                    <w:rPr>
                      <w:i/>
                    </w:rPr>
                  </w:pPr>
                  <w:r>
                    <w:rPr>
                      <w:i/>
                    </w:rPr>
                    <w:t>E-post</w:t>
                  </w:r>
                </w:p>
              </w:tc>
              <w:tc>
                <w:tcPr>
                  <w:tcW w:w="4258" w:type="pct"/>
                </w:tcPr>
                <w:p w14:paraId="73277BE8" w14:textId="77777777" w:rsidR="00E13363" w:rsidRPr="00CB5569" w:rsidRDefault="00BE41C1" w:rsidP="00E13363">
                  <w:pPr>
                    <w:rPr>
                      <w:i/>
                      <w:iCs/>
                      <w:sz w:val="20"/>
                    </w:rPr>
                  </w:pPr>
                  <w:hyperlink r:id="rId39" w:history="1">
                    <w:r w:rsidR="00B55E7D">
                      <w:rPr>
                        <w:rStyle w:val="Hyperlink"/>
                        <w:i/>
                        <w:sz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Pr>
            <w:b/>
            <w:i/>
            <w:color w:val="0000FF"/>
            <w:sz w:val="28"/>
            <w:u w:val="single"/>
          </w:rPr>
          <w:t>Euroopa riigihangete õigusraamistiku läbivaatamine</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Raportöör</w:t>
            </w:r>
          </w:p>
        </w:tc>
        <w:tc>
          <w:tcPr>
            <w:tcW w:w="3892" w:type="pct"/>
          </w:tcPr>
          <w:p w14:paraId="1387F327" w14:textId="3E223F4E" w:rsidR="00685A3A" w:rsidRPr="00685A3A" w:rsidRDefault="00685A3A" w:rsidP="00685A3A">
            <w:pPr>
              <w:tabs>
                <w:tab w:val="center" w:pos="0"/>
              </w:tabs>
              <w:overflowPunct w:val="0"/>
              <w:autoSpaceDE w:val="0"/>
              <w:autoSpaceDN w:val="0"/>
              <w:adjustRightInd w:val="0"/>
              <w:ind w:left="266" w:hanging="266"/>
              <w:textAlignment w:val="baseline"/>
            </w:pPr>
            <w:r>
              <w:t>Philip VON BROCKDORFF (töötajate rühm – MT)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Viitedokument</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pPr>
            <w:r>
              <w:t>ettevalmistav arvamus Euroopa Komisjoni taotlusel</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Põhipunktid</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Euroopa Majandus- ja Sotsiaalkomitee</w:t>
      </w:r>
    </w:p>
    <w:p w14:paraId="70A20C64" w14:textId="77777777" w:rsidR="00665929" w:rsidRPr="00685A3A" w:rsidRDefault="00665929" w:rsidP="00685A3A">
      <w:pPr>
        <w:overflowPunct w:val="0"/>
        <w:autoSpaceDE w:val="0"/>
        <w:autoSpaceDN w:val="0"/>
        <w:adjustRightInd w:val="0"/>
        <w:textAlignment w:val="baseline"/>
        <w:rPr>
          <w:lang w:val="en-GB"/>
        </w:rPr>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nõustub, et kehtivad ELi õigusaktid on vaja läbi vaadata, et tõhustada lihtsustamist, vähendada halduskulusid ning toetada ühtse turu edasist ühtlustamist;</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on seisukohal, et kestlik ELi hankepoliitika saab minna kaugemale kitsast turutõrke paradigmast, võimaldades strateegilisi ja üldsuse heaolule suunatud hankeid, sätestades sotsiaalsed, innovatsiooni- ja keskkonnaalased kriteeriumid võrdsete eesmärkidena ning tagades eraettevõtjatele õiglase juurdepääsu riigihangetele;</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märgib, et riigihankelepingud tuleb sõlmida majanduslikult kõige soodsamal alusel, rõhutades samal ajal hinnaväliste kriteeriumide, nt kvaliteedi-, innovatsiooni-, keskkonna-, kestlikkus- ja sotsiaalsete kaalutluste, eelkõige töötajate õiguste ja kollektiivlepingute tähtsust;</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 xml:space="preserve">kutsub üles kohaldama </w:t>
      </w:r>
      <w:proofErr w:type="spellStart"/>
      <w:r>
        <w:t>üldhuviteenuste</w:t>
      </w:r>
      <w:proofErr w:type="spellEnd"/>
      <w:r>
        <w:t xml:space="preserve"> poliitika suhtes terviklikku lähenemisviisi;</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on seisukohal, et riigihankelepinguid ei tohiks sõlmida ettevõtjatega, kes süstemaatiliselt rikuvad töötajate põhiõigusi või eiravad kollektiivlepinguid, millega nad on seotud;</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 xml:space="preserve">leiab, et ELi hankedirektiivide läbivaatamise käigus tuleks </w:t>
      </w:r>
      <w:proofErr w:type="spellStart"/>
      <w:r>
        <w:t>tuleks</w:t>
      </w:r>
      <w:proofErr w:type="spellEnd"/>
      <w:r>
        <w:t xml:space="preserve"> enamusosaluse kaudu kontrollitavate juriidiliste isikute puhul säilitada </w:t>
      </w:r>
      <w:proofErr w:type="spellStart"/>
      <w:r>
        <w:t>sisehangete</w:t>
      </w:r>
      <w:proofErr w:type="spellEnd"/>
      <w:r>
        <w:t xml:space="preserve"> kasutamise võimalus ja otselepingute sõlmimise võimalus tingimusel, et kehtestatakse asjakohased õiguslikud kriteeriumid ja konkurentsi moonutamine on võimalikult vähetõenäoline;</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soovitab kehtestada õigusliku kohustuse hinnata teenuste riigihankelepingutele kohaldatavate kehtivate piirmäärade mõju;</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leiab, et riigihanked võivad toetada sotsiaalselt õiglast, ökoloogiliselt kestlikku ja majanduslikult vastupanuvõimelist Euroopat ühise heaolu nimel;</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kutsub üles kehtestama kohustuslikud hindade läbivaatamise klauslid, et võtta arvesse kollektiivlepingutes ja/või tööõiguses toimunud palgaga seotud muutusi, inflatsiooni ning muid asjakohaseid tegureid, mis mõjutavad lepingu täitmist, nagu energiakulud.</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911"/>
      </w:tblGrid>
      <w:tr w:rsidR="00685A3A" w:rsidRPr="00685A3A" w14:paraId="0E43841C" w14:textId="77777777" w:rsidTr="0036489A">
        <w:tc>
          <w:tcPr>
            <w:tcW w:w="742"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Pr>
                <w:b/>
                <w:i/>
              </w:rPr>
              <w:t>Kontaktisik</w:t>
            </w:r>
          </w:p>
        </w:tc>
        <w:tc>
          <w:tcPr>
            <w:tcW w:w="4258"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685A3A" w:rsidRPr="00685A3A" w14:paraId="3DD656A6" w14:textId="77777777" w:rsidTr="0036489A">
        <w:tc>
          <w:tcPr>
            <w:tcW w:w="742"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Tel</w:t>
            </w:r>
          </w:p>
        </w:tc>
        <w:tc>
          <w:tcPr>
            <w:tcW w:w="4258"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Pr>
                <w:i/>
              </w:rPr>
              <w:t>+ 32 25469732</w:t>
            </w:r>
          </w:p>
        </w:tc>
      </w:tr>
      <w:tr w:rsidR="00685A3A" w:rsidRPr="00685A3A" w14:paraId="31FFB9F3" w14:textId="77777777" w:rsidTr="0036489A">
        <w:tc>
          <w:tcPr>
            <w:tcW w:w="742"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Pr>
                <w:i/>
              </w:rPr>
              <w:t>E-post</w:t>
            </w:r>
          </w:p>
        </w:tc>
        <w:tc>
          <w:tcPr>
            <w:tcW w:w="4258" w:type="pct"/>
          </w:tcPr>
          <w:p w14:paraId="04364B9F" w14:textId="77777777" w:rsidR="00685A3A" w:rsidRPr="00685A3A" w:rsidRDefault="00BE41C1" w:rsidP="00685A3A">
            <w:pPr>
              <w:overflowPunct w:val="0"/>
              <w:autoSpaceDE w:val="0"/>
              <w:autoSpaceDN w:val="0"/>
              <w:adjustRightInd w:val="0"/>
              <w:spacing w:line="240" w:lineRule="auto"/>
              <w:textAlignment w:val="baseline"/>
              <w:rPr>
                <w:i/>
                <w:iCs/>
              </w:rPr>
            </w:pPr>
            <w:hyperlink r:id="rId41" w:history="1">
              <w:r w:rsidR="00B55E7D">
                <w:rPr>
                  <w:i/>
                  <w:color w:val="0000FF"/>
                  <w:u w:val="single"/>
                </w:rPr>
                <w:t>Annalisa.Tessarolo@eesc.europa.eu</w:t>
              </w:r>
            </w:hyperlink>
          </w:p>
        </w:tc>
      </w:tr>
    </w:tbl>
    <w:p w14:paraId="40169B8F" w14:textId="3A8D790B" w:rsidR="00685A3A" w:rsidRDefault="00685A3A"/>
    <w:p w14:paraId="1E327181" w14:textId="77777777" w:rsidR="00685A3A" w:rsidRDefault="00685A3A">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12" w:name="_Toc70322234"/>
      <w:bookmarkStart w:id="13" w:name="_Toc75527084"/>
      <w:bookmarkStart w:id="14" w:name="_Toc217288593"/>
      <w:r>
        <w:rPr>
          <w:b/>
        </w:rPr>
        <w:t>PÕLLUMAJANDUSE, MAAELU ARENGU JA KESKKONNA SEKTSIOON</w:t>
      </w:r>
      <w:bookmarkEnd w:id="12"/>
      <w:bookmarkEnd w:id="13"/>
      <w:bookmarkEnd w:id="14"/>
    </w:p>
    <w:p w14:paraId="4982DE20" w14:textId="77777777" w:rsidR="004D7AC0" w:rsidRDefault="004D7AC0" w:rsidP="004D7AC0"/>
    <w:p w14:paraId="280704BE" w14:textId="42E36B01" w:rsidR="00836765" w:rsidRPr="00836765" w:rsidRDefault="00BE41C1" w:rsidP="00836765">
      <w:pPr>
        <w:widowControl w:val="0"/>
        <w:numPr>
          <w:ilvl w:val="0"/>
          <w:numId w:val="4"/>
        </w:numPr>
        <w:overflowPunct w:val="0"/>
        <w:autoSpaceDE w:val="0"/>
        <w:autoSpaceDN w:val="0"/>
        <w:adjustRightInd w:val="0"/>
        <w:ind w:hanging="567"/>
        <w:textAlignment w:val="baseline"/>
        <w:rPr>
          <w:b/>
        </w:rPr>
      </w:pPr>
      <w:hyperlink r:id="rId42" w:history="1">
        <w:r w:rsidR="00B55E7D">
          <w:rPr>
            <w:b/>
            <w:i/>
            <w:color w:val="0000FF"/>
            <w:sz w:val="28"/>
            <w:u w:val="single"/>
          </w:rPr>
          <w:t>Raadamist käsitleva määruse (EL) 2023/1115 muutmine</w:t>
        </w:r>
      </w:hyperlink>
      <w:r w:rsidR="00B55E7D">
        <w:rPr>
          <w:b/>
          <w:i/>
          <w:sz w:val="28"/>
        </w:rPr>
        <w:t xml:space="preserve"> </w:t>
      </w:r>
    </w:p>
    <w:p w14:paraId="304DC66A" w14:textId="77777777" w:rsidR="00836765" w:rsidRPr="00836765" w:rsidRDefault="00836765" w:rsidP="00836765">
      <w:pPr>
        <w:widowControl w:val="0"/>
        <w:overflowPunct w:val="0"/>
        <w:autoSpaceDE w:val="0"/>
        <w:autoSpaceDN w:val="0"/>
        <w:adjustRightInd w:val="0"/>
        <w:ind w:left="266"/>
        <w:textAlignment w:val="baseline"/>
        <w:rPr>
          <w:b/>
          <w:bCs/>
          <w:i/>
          <w:iCs/>
          <w:sz w:val="28"/>
          <w:szCs w:val="28"/>
          <w:lang w:val="en-GB"/>
        </w:rPr>
      </w:pP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C-kategooria arvamus</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 xml:space="preserve">COM(2025) 652 </w:t>
            </w:r>
            <w:proofErr w:type="spellStart"/>
            <w:r>
              <w:t>final</w:t>
            </w:r>
            <w:proofErr w:type="spellEnd"/>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Põhipunktid</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Euroopa Majandus- ja Sotsiaalkomitee</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on kõnealuses küsimuses oma seisukohta juba väljendanud 19. septembril 2024 vastu võetud arvamuses EESC-2024-01183-00-00-AC-TRA</w:t>
      </w:r>
      <w:r w:rsidRPr="00836765">
        <w:rPr>
          <w:sz w:val="18"/>
          <w:szCs w:val="14"/>
          <w:vertAlign w:val="superscript"/>
          <w:lang w:val="en-GB"/>
        </w:rPr>
        <w:footnoteReference w:id="5"/>
      </w:r>
      <w:r>
        <w:t xml:space="preserve"> ja 23. veebruaril 2022 vastu võetud arvamuses EESC-2021-05690-00-00-AC-TRA</w:t>
      </w:r>
      <w:r w:rsidRPr="00836765">
        <w:rPr>
          <w:sz w:val="18"/>
          <w:szCs w:val="14"/>
          <w:vertAlign w:val="superscript"/>
          <w:lang w:val="en-GB"/>
        </w:rPr>
        <w:footnoteReference w:id="6"/>
      </w:r>
      <w:r>
        <w:t xml:space="preserve"> ning otsustas seega loobuda sel teemal uue arvamuse koostamisest ja viidata eelnimetatud dokumendis väljendatud seisukohale.</w:t>
      </w:r>
    </w:p>
    <w:p w14:paraId="65270CA5" w14:textId="77777777" w:rsidR="00836765" w:rsidRPr="00836765" w:rsidRDefault="00836765" w:rsidP="00836765">
      <w:pPr>
        <w:widowControl w:val="0"/>
        <w:overflowPunct w:val="0"/>
        <w:autoSpaceDE w:val="0"/>
        <w:autoSpaceDN w:val="0"/>
        <w:adjustRightInd w:val="0"/>
        <w:ind w:left="567"/>
        <w:textAlignment w:val="baseline"/>
        <w:rPr>
          <w:rFonts w:asciiTheme="minorHAnsi" w:hAnsiTheme="minorHAnsi"/>
          <w:szCs w:val="20"/>
          <w:lang w:val="en-GB"/>
        </w:rPr>
      </w:pP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836765" w14:paraId="4FE2C2E9" w14:textId="77777777" w:rsidTr="0036489A">
        <w:tc>
          <w:tcPr>
            <w:tcW w:w="1078" w:type="pct"/>
          </w:tcPr>
          <w:p w14:paraId="440CE4F1" w14:textId="77777777" w:rsidR="00836765" w:rsidRPr="00836765" w:rsidRDefault="00836765" w:rsidP="00836765">
            <w:pPr>
              <w:overflowPunct w:val="0"/>
              <w:autoSpaceDE w:val="0"/>
              <w:autoSpaceDN w:val="0"/>
              <w:adjustRightInd w:val="0"/>
              <w:textAlignment w:val="baseline"/>
              <w:rPr>
                <w:i/>
              </w:rPr>
            </w:pPr>
            <w:r>
              <w:rPr>
                <w:b/>
                <w:i/>
              </w:rPr>
              <w:t>Kontaktisik</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r>
              <w:rPr>
                <w:i/>
              </w:rPr>
              <w:t xml:space="preserve">Martine </w:t>
            </w:r>
            <w:proofErr w:type="spellStart"/>
            <w:r>
              <w:rPr>
                <w:i/>
              </w:rPr>
              <w:t>Delanoy</w:t>
            </w:r>
            <w:proofErr w:type="spellEnd"/>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Pr>
                <w:i/>
              </w:rPr>
              <w:t>Tel</w:t>
            </w:r>
          </w:p>
        </w:tc>
        <w:tc>
          <w:tcPr>
            <w:tcW w:w="3922" w:type="pct"/>
          </w:tcPr>
          <w:p w14:paraId="7656C45E" w14:textId="77777777" w:rsidR="00836765" w:rsidRPr="00836765" w:rsidRDefault="00836765" w:rsidP="00836765">
            <w:pPr>
              <w:overflowPunct w:val="0"/>
              <w:autoSpaceDE w:val="0"/>
              <w:autoSpaceDN w:val="0"/>
              <w:adjustRightInd w:val="0"/>
              <w:textAlignment w:val="baseline"/>
              <w:rPr>
                <w:i/>
              </w:rPr>
            </w:pPr>
            <w:r>
              <w:rPr>
                <w:i/>
              </w:rPr>
              <w:t>+32 25469</w:t>
            </w:r>
            <w:r>
              <w:t>802</w:t>
            </w:r>
          </w:p>
        </w:tc>
      </w:tr>
      <w:tr w:rsidR="00836765" w:rsidRPr="00836765" w14:paraId="24D7B260" w14:textId="77777777" w:rsidTr="0036489A">
        <w:tc>
          <w:tcPr>
            <w:tcW w:w="1078" w:type="pct"/>
          </w:tcPr>
          <w:p w14:paraId="2B01135D" w14:textId="77777777" w:rsidR="00836765" w:rsidRPr="00836765" w:rsidRDefault="00836765" w:rsidP="00836765">
            <w:pPr>
              <w:overflowPunct w:val="0"/>
              <w:autoSpaceDE w:val="0"/>
              <w:autoSpaceDN w:val="0"/>
              <w:adjustRightInd w:val="0"/>
              <w:textAlignment w:val="baseline"/>
              <w:rPr>
                <w:i/>
              </w:rPr>
            </w:pPr>
            <w:r>
              <w:rPr>
                <w:i/>
              </w:rPr>
              <w:t>E-post</w:t>
            </w:r>
          </w:p>
        </w:tc>
        <w:tc>
          <w:tcPr>
            <w:tcW w:w="3922" w:type="pct"/>
          </w:tcPr>
          <w:p w14:paraId="63509101" w14:textId="77777777" w:rsidR="00836765" w:rsidRPr="00836765" w:rsidRDefault="00BE41C1" w:rsidP="00836765">
            <w:pPr>
              <w:overflowPunct w:val="0"/>
              <w:autoSpaceDE w:val="0"/>
              <w:autoSpaceDN w:val="0"/>
              <w:adjustRightInd w:val="0"/>
              <w:textAlignment w:val="baseline"/>
              <w:rPr>
                <w:i/>
              </w:rPr>
            </w:pPr>
            <w:hyperlink r:id="rId43" w:history="1">
              <w:r w:rsidR="00B55E7D">
                <w:rPr>
                  <w:i/>
                  <w:color w:val="0000FF"/>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298CCCC6"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4" w:history="1">
        <w:r>
          <w:rPr>
            <w:b/>
            <w:i/>
            <w:color w:val="0000FF"/>
            <w:sz w:val="28"/>
            <w:u w:val="single"/>
          </w:rPr>
          <w:t>Liidu elanikkonnakaitse mehhanismi läbivaatamine</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rPr>
              <w:t>Raportöör</w:t>
            </w:r>
          </w:p>
        </w:tc>
        <w:tc>
          <w:tcPr>
            <w:tcW w:w="3923"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proofErr w:type="spellStart"/>
            <w:r>
              <w:t>Florian</w:t>
            </w:r>
            <w:proofErr w:type="spellEnd"/>
            <w:r>
              <w:t xml:space="preserve"> MARIN (töötajate rühm –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Viitedokumendid</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 xml:space="preserve">COM(2025) 548 </w:t>
            </w:r>
            <w:proofErr w:type="spellStart"/>
            <w:r>
              <w:t>final</w:t>
            </w:r>
            <w:proofErr w:type="spellEnd"/>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Põhipunktid</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pPr>
      <w:r>
        <w:t>Euroopa Majandus- ja Sotsiaalkomitee soovitab järgmist:</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seada </w:t>
      </w:r>
      <w:r>
        <w:rPr>
          <w:b/>
        </w:rPr>
        <w:t>suuremad eesmärgid</w:t>
      </w:r>
      <w:r>
        <w:t xml:space="preserve"> katastroofiohu vähendamisel ja ennetamisel, selle asemel et keskenduda peamiselt reageerimisvõimekusele. Tõhusa ja integreeritud liidu elanikkonnakaitse mehhanismi loomine peab hõlmama terviklikku </w:t>
      </w:r>
      <w:r>
        <w:rPr>
          <w:b/>
        </w:rPr>
        <w:t>katastroofiohu vähendamise meetmete raamistikku</w:t>
      </w:r>
      <w:r>
        <w:t xml:space="preserve"> kogu ELis ning suuremat tähelepanu </w:t>
      </w:r>
      <w:proofErr w:type="spellStart"/>
      <w:r>
        <w:rPr>
          <w:b/>
        </w:rPr>
        <w:t>valdkondadevahelisele</w:t>
      </w:r>
      <w:proofErr w:type="spellEnd"/>
      <w:r>
        <w:rPr>
          <w:b/>
        </w:rPr>
        <w:t xml:space="preserve"> ja piiriülesele</w:t>
      </w:r>
      <w:r>
        <w:t xml:space="preserve"> katastroofide ennetamisele. Kogu rakendamine peab toimuma terviklikus riskijuhtimissüsteemis;</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vähendada halduskoormust</w:t>
      </w:r>
      <w:r>
        <w:t xml:space="preserve">, kõrvaldada kattuvused, ajakohastada ebapiisavaid andmeid ja tugisüsteeme, suurendada koolitatud inimressursse ning investeerida ühistel standarditel ja koolitusvõimalustel põhinevatesse koostalitlusvõimelistesse võimekustesse. Samal ajal tuleb tagada </w:t>
      </w:r>
      <w:r>
        <w:rPr>
          <w:b/>
        </w:rPr>
        <w:t>kvaliteetsed töötingimused</w:t>
      </w:r>
      <w:r>
        <w:t>, mis on eeltingimused ühiskonna vastupanuvõime tugevdamiseks kogu ühiskonda hõlmavas lähenemises kriisidele;</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prognoosida ja mõista</w:t>
      </w:r>
      <w:r>
        <w:t xml:space="preserve"> katastroofe ja kriise </w:t>
      </w:r>
      <w:r>
        <w:rPr>
          <w:b/>
        </w:rPr>
        <w:t>paremini</w:t>
      </w:r>
      <w:r>
        <w:t xml:space="preserve"> ning samal ajal võtta arvesse propaganda ja desinformatsiooni rolli sotsiaalse stressi võimendamisel;</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tugevdada liidu elanikkonnakaitse mehhanismi </w:t>
      </w:r>
      <w:r>
        <w:rPr>
          <w:b/>
        </w:rPr>
        <w:t>lisarahastuse</w:t>
      </w:r>
      <w:r>
        <w:t xml:space="preserve"> kaudu, eelkõige seoses haavatavate rühmade ja piirkondadega, sh äärepoolseimate piirkondade ja sõja lähedal asuvate piirkondadega;</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tagada </w:t>
      </w:r>
      <w:r>
        <w:rPr>
          <w:b/>
        </w:rPr>
        <w:t>sidusus</w:t>
      </w:r>
      <w:r>
        <w:t xml:space="preserve"> programmiperioodiks 2028–2034 kavandatud </w:t>
      </w:r>
      <w:r>
        <w:rPr>
          <w:b/>
        </w:rPr>
        <w:t>riikliku ja piirkondliku partnerluse kavadega</w:t>
      </w:r>
      <w:r>
        <w:t>;</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edendada olemasolevate vahendite (nt Euroopa julgeolekumeetmete rahastamisvahend, Euroopa solidaarsuskorpus ja liidu elanikkonnakaitse mehhanism) </w:t>
      </w:r>
      <w:r>
        <w:rPr>
          <w:b/>
        </w:rPr>
        <w:t>vastastikust täiendavust</w:t>
      </w:r>
      <w:r>
        <w:t>;</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tagada </w:t>
      </w:r>
      <w:r>
        <w:rPr>
          <w:b/>
        </w:rPr>
        <w:t>kutselistele tuletõrjujatele ja tervishoiutöötajatele</w:t>
      </w:r>
      <w:r>
        <w:t xml:space="preserve"> piisav ja stabiilne </w:t>
      </w:r>
      <w:r>
        <w:rPr>
          <w:b/>
        </w:rPr>
        <w:t>rahastamine</w:t>
      </w:r>
      <w:r>
        <w:t>, et säilitada tõhusus ja kiire reageerimine liidu elanikkonnakaitse mehhanismis ning tugevdada samal ajal vabatahtlike rolli;</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rajada </w:t>
      </w:r>
      <w:r>
        <w:rPr>
          <w:b/>
        </w:rPr>
        <w:t>liidu elanikkonnakaitse mehhanism paindlikkusele</w:t>
      </w:r>
      <w:r>
        <w:t xml:space="preserve">, et arvestada riiklike katastroofiohje süsteemide mitmekesisust. Samas tuleb </w:t>
      </w:r>
      <w:r>
        <w:rPr>
          <w:b/>
        </w:rPr>
        <w:t>tagada piiriülene koostöö</w:t>
      </w:r>
      <w:r>
        <w:t xml:space="preserve"> ja koordineerimine, et reageerida kiiresti ja tõhusalt katastroofidele, mis ei tunne riigipiire, ning kaasata täiel määral organiseeritud kodanikuühiskond;</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kohandada hanke-eeskirju, et </w:t>
      </w:r>
      <w:r>
        <w:rPr>
          <w:b/>
        </w:rPr>
        <w:t>tagada</w:t>
      </w:r>
      <w:r>
        <w:t xml:space="preserve"> kriisi ajal </w:t>
      </w:r>
      <w:r>
        <w:rPr>
          <w:b/>
        </w:rPr>
        <w:t>elutähtsate kaupade</w:t>
      </w:r>
      <w:r>
        <w:t xml:space="preserve"> ja teenuste </w:t>
      </w:r>
      <w:r>
        <w:rPr>
          <w:b/>
        </w:rPr>
        <w:t>kiire ja tõhus pakkumine</w:t>
      </w:r>
      <w:r>
        <w:t>;</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kehtestada </w:t>
      </w:r>
      <w:r>
        <w:rPr>
          <w:b/>
        </w:rPr>
        <w:t>õnnetustest teatamise standardvorm</w:t>
      </w:r>
      <w:r>
        <w:t>, mida peavad kasutama kõik liikmesriigid.</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315A6780" w14:textId="77777777">
        <w:tc>
          <w:tcPr>
            <w:tcW w:w="1077" w:type="pct"/>
            <w:hideMark/>
          </w:tcPr>
          <w:p w14:paraId="0BC88ACD" w14:textId="77777777" w:rsidR="000122F3" w:rsidRPr="000122F3" w:rsidRDefault="000122F3" w:rsidP="000122F3">
            <w:pPr>
              <w:overflowPunct w:val="0"/>
              <w:autoSpaceDE w:val="0"/>
              <w:autoSpaceDN w:val="0"/>
              <w:adjustRightInd w:val="0"/>
              <w:rPr>
                <w:i/>
                <w:iCs/>
              </w:rPr>
            </w:pPr>
            <w:r>
              <w:rPr>
                <w:b/>
                <w:i/>
              </w:rPr>
              <w:t>Kontaktisik</w:t>
            </w:r>
          </w:p>
        </w:tc>
        <w:tc>
          <w:tcPr>
            <w:tcW w:w="3923" w:type="pct"/>
            <w:hideMark/>
          </w:tcPr>
          <w:p w14:paraId="278195BE" w14:textId="77777777" w:rsidR="000122F3" w:rsidRPr="000122F3" w:rsidRDefault="000122F3" w:rsidP="000122F3">
            <w:pPr>
              <w:overflowPunct w:val="0"/>
              <w:autoSpaceDE w:val="0"/>
              <w:autoSpaceDN w:val="0"/>
              <w:adjustRightInd w:val="0"/>
              <w:rPr>
                <w:i/>
                <w:iCs/>
              </w:rPr>
            </w:pPr>
            <w:proofErr w:type="spellStart"/>
            <w:r>
              <w:rPr>
                <w:i/>
              </w:rPr>
              <w:t>Arturo</w:t>
            </w:r>
            <w:proofErr w:type="spellEnd"/>
            <w:r>
              <w:rPr>
                <w:i/>
              </w:rPr>
              <w:t xml:space="preserve"> </w:t>
            </w:r>
            <w:proofErr w:type="spellStart"/>
            <w:r>
              <w:rPr>
                <w:i/>
              </w:rPr>
              <w:t>Iniguez</w:t>
            </w:r>
            <w:proofErr w:type="spellEnd"/>
            <w:r>
              <w:rPr>
                <w:i/>
              </w:rPr>
              <w:t xml:space="preserve"> </w:t>
            </w:r>
            <w:proofErr w:type="spellStart"/>
            <w:r>
              <w:rPr>
                <w:i/>
              </w:rPr>
              <w:t>Yuste</w:t>
            </w:r>
            <w:proofErr w:type="spellEnd"/>
          </w:p>
        </w:tc>
      </w:tr>
      <w:tr w:rsidR="000122F3" w:rsidRPr="000122F3" w14:paraId="326D7576" w14:textId="77777777">
        <w:tc>
          <w:tcPr>
            <w:tcW w:w="1077" w:type="pct"/>
            <w:hideMark/>
          </w:tcPr>
          <w:p w14:paraId="74416C4B" w14:textId="77777777" w:rsidR="000122F3" w:rsidRPr="000122F3" w:rsidRDefault="000122F3" w:rsidP="000122F3">
            <w:pPr>
              <w:overflowPunct w:val="0"/>
              <w:autoSpaceDE w:val="0"/>
              <w:autoSpaceDN w:val="0"/>
              <w:adjustRightInd w:val="0"/>
              <w:rPr>
                <w:i/>
              </w:rPr>
            </w:pPr>
            <w:r>
              <w:rPr>
                <w:i/>
              </w:rPr>
              <w:t>Tel</w:t>
            </w:r>
          </w:p>
        </w:tc>
        <w:tc>
          <w:tcPr>
            <w:tcW w:w="3923" w:type="pct"/>
            <w:hideMark/>
          </w:tcPr>
          <w:p w14:paraId="0CE46E70" w14:textId="77777777" w:rsidR="000122F3" w:rsidRPr="000122F3" w:rsidRDefault="000122F3" w:rsidP="000122F3">
            <w:pPr>
              <w:overflowPunct w:val="0"/>
              <w:autoSpaceDE w:val="0"/>
              <w:autoSpaceDN w:val="0"/>
              <w:adjustRightInd w:val="0"/>
              <w:rPr>
                <w:i/>
              </w:rPr>
            </w:pPr>
            <w:r>
              <w:rPr>
                <w:i/>
              </w:rPr>
              <w:t>+32 25468768</w:t>
            </w:r>
          </w:p>
        </w:tc>
      </w:tr>
      <w:tr w:rsidR="000122F3" w:rsidRPr="000122F3" w14:paraId="753D0F57" w14:textId="77777777">
        <w:tc>
          <w:tcPr>
            <w:tcW w:w="1077" w:type="pct"/>
            <w:hideMark/>
          </w:tcPr>
          <w:p w14:paraId="2C40013E" w14:textId="77777777" w:rsidR="000122F3" w:rsidRPr="000122F3" w:rsidRDefault="000122F3" w:rsidP="000122F3">
            <w:pPr>
              <w:overflowPunct w:val="0"/>
              <w:autoSpaceDE w:val="0"/>
              <w:autoSpaceDN w:val="0"/>
              <w:adjustRightInd w:val="0"/>
              <w:rPr>
                <w:i/>
              </w:rPr>
            </w:pPr>
            <w:r>
              <w:rPr>
                <w:i/>
              </w:rPr>
              <w:t>E-post</w:t>
            </w:r>
          </w:p>
        </w:tc>
        <w:tc>
          <w:tcPr>
            <w:tcW w:w="3923" w:type="pct"/>
            <w:hideMark/>
          </w:tcPr>
          <w:p w14:paraId="2E7C650A" w14:textId="77777777" w:rsidR="000122F3" w:rsidRPr="000122F3" w:rsidRDefault="00BE41C1" w:rsidP="000122F3">
            <w:pPr>
              <w:overflowPunct w:val="0"/>
              <w:autoSpaceDE w:val="0"/>
              <w:autoSpaceDN w:val="0"/>
              <w:adjustRightInd w:val="0"/>
              <w:rPr>
                <w:i/>
              </w:rPr>
            </w:pPr>
            <w:hyperlink r:id="rId45" w:history="1">
              <w:r w:rsidR="00B55E7D">
                <w:rPr>
                  <w:i/>
                  <w:color w:val="0000FF"/>
                  <w:u w:val="single"/>
                </w:rPr>
                <w:t>Arturo.Iniguez@eesc.europa.eu</w:t>
              </w:r>
            </w:hyperlink>
          </w:p>
        </w:tc>
      </w:tr>
    </w:tbl>
    <w:p w14:paraId="715DB2BD" w14:textId="599992C3" w:rsidR="00395794" w:rsidRDefault="00395794">
      <w:pPr>
        <w:spacing w:after="160" w:line="259" w:lineRule="auto"/>
        <w:jc w:val="left"/>
      </w:pPr>
    </w:p>
    <w:p w14:paraId="73A0193B" w14:textId="77777777" w:rsidR="00395794" w:rsidRDefault="00395794">
      <w:pPr>
        <w:spacing w:after="160" w:line="259" w:lineRule="auto"/>
        <w:jc w:val="left"/>
      </w:pPr>
      <w:r>
        <w:br w:type="page"/>
      </w:r>
    </w:p>
    <w:p w14:paraId="0B0F00AD" w14:textId="77777777" w:rsidR="007F5784" w:rsidRDefault="007F5784">
      <w:pPr>
        <w:spacing w:after="160" w:line="259" w:lineRule="auto"/>
        <w:jc w:val="left"/>
      </w:pPr>
    </w:p>
    <w:p w14:paraId="14026A78" w14:textId="4FAE1588" w:rsidR="007F5784" w:rsidRDefault="007F5784" w:rsidP="007F5784">
      <w:pPr>
        <w:pStyle w:val="Heading1"/>
        <w:rPr>
          <w:b/>
        </w:rPr>
      </w:pPr>
      <w:bookmarkStart w:id="15" w:name="_Toc217288594"/>
      <w:r>
        <w:rPr>
          <w:b/>
        </w:rPr>
        <w:t>VÄLISSUHETE SEKTSIOON</w:t>
      </w:r>
      <w:bookmarkEnd w:id="15"/>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"https://www.eesc.europa.eu/et/our-work/opinions-information-reports/opinions/european-unions-strategic-approach-black-sea-region"</w:instrText>
      </w:r>
      <w:r w:rsidRPr="00C62A6C">
        <w:rPr>
          <w:b/>
          <w:i/>
          <w:sz w:val="28"/>
        </w:rPr>
        <w:fldChar w:fldCharType="separate"/>
      </w:r>
      <w:r>
        <w:rPr>
          <w:b/>
          <w:i/>
          <w:color w:val="0000FF"/>
          <w:sz w:val="28"/>
          <w:u w:val="single"/>
        </w:rPr>
        <w:t>Musta mere piirkonda käsitlev Euroopa Liidu strateegiline lähenemisviis</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Raportöör</w:t>
            </w:r>
          </w:p>
        </w:tc>
        <w:tc>
          <w:tcPr>
            <w:tcW w:w="3889" w:type="pct"/>
          </w:tcPr>
          <w:p w14:paraId="4CC365C4" w14:textId="0A5B6F9A" w:rsidR="00237C67" w:rsidRPr="00237C67" w:rsidRDefault="00237C67" w:rsidP="00237C67">
            <w:pPr>
              <w:tabs>
                <w:tab w:val="center" w:pos="284"/>
              </w:tabs>
              <w:overflowPunct w:val="0"/>
              <w:autoSpaceDE w:val="0"/>
              <w:autoSpaceDN w:val="0"/>
              <w:adjustRightInd w:val="0"/>
              <w:ind w:left="266" w:hanging="266"/>
              <w:textAlignment w:val="baseline"/>
            </w:pPr>
            <w:r>
              <w:t>Milena ANGELOVA (tööandjate rühm –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Viitedokumendid</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 xml:space="preserve">JOIN(2025) 135 </w:t>
            </w:r>
            <w:proofErr w:type="spellStart"/>
            <w:r>
              <w:t>final</w:t>
            </w:r>
            <w:proofErr w:type="spellEnd"/>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Põhipunktid</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Euroopa Majandus- ja Sotsiaalkomitee</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väljendab heameelt </w:t>
      </w:r>
      <w:r>
        <w:rPr>
          <w:b/>
        </w:rPr>
        <w:t>kauaoodatud algatuse</w:t>
      </w:r>
      <w:r>
        <w:t xml:space="preserve"> üle pöörata erilist tähelepanu </w:t>
      </w:r>
      <w:r>
        <w:rPr>
          <w:b/>
        </w:rPr>
        <w:t>Musta mere piirkonnale</w:t>
      </w:r>
      <w:r>
        <w:t xml:space="preserve">, tehes ettepaneku luua selle jaoks Euroopa Liidu strateegiline lähenemisviis, kuid märgib, et </w:t>
      </w:r>
      <w:r>
        <w:rPr>
          <w:b/>
        </w:rPr>
        <w:t>sellega on viivitatud</w:t>
      </w:r>
      <w:r>
        <w:t xml:space="preserve">, ning nõuab seetõttu </w:t>
      </w:r>
      <w:r>
        <w:rPr>
          <w:b/>
        </w:rPr>
        <w:t>kiireid ja otsustavaid meetmeid lähenemisviisi rakendamiseks</w:t>
      </w:r>
      <w:r>
        <w:t xml:space="preserve"> ja </w:t>
      </w:r>
      <w:r>
        <w:rPr>
          <w:b/>
        </w:rPr>
        <w:t>selle kindlustamiseks piisavate vahenditega</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rõhutab, et kuigi </w:t>
      </w:r>
      <w:r>
        <w:rPr>
          <w:b/>
        </w:rPr>
        <w:t>kõik piirkonna riigid</w:t>
      </w:r>
      <w:r>
        <w:t xml:space="preserve"> kannatavad </w:t>
      </w:r>
      <w:r>
        <w:rPr>
          <w:b/>
        </w:rPr>
        <w:t>sõjalise vaenutegevuse negatiivse mõju all</w:t>
      </w:r>
      <w:r>
        <w:t xml:space="preserve">, </w:t>
      </w:r>
      <w:r>
        <w:rPr>
          <w:b/>
        </w:rPr>
        <w:t>ei ole neile kõigile antud sihipärast sotsiaalset ja majanduslikku toetust proportsionaalselt nende jõupingutuste ja ohvritega</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kutsub komisjoni üles </w:t>
      </w:r>
      <w:r>
        <w:rPr>
          <w:b/>
        </w:rPr>
        <w:t>jätkama kiiresti</w:t>
      </w:r>
      <w:r>
        <w:t xml:space="preserve"> ELi liikmesriikide, Musta mere piirkonna riikide ja kõigi sidusrühmadega konsulteerides </w:t>
      </w:r>
      <w:r>
        <w:rPr>
          <w:b/>
        </w:rPr>
        <w:t>pragmaatilise ja nõuetekohaselt rahastatud arengustrateegia ettevalmistamist selle piirkonna jaoks</w:t>
      </w:r>
      <w:r>
        <w:t>, nii et see valmiks ideaaljuhul 2025. aasta lõpuks;</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avaldab kahetsust, et </w:t>
      </w:r>
      <w:r>
        <w:rPr>
          <w:b/>
        </w:rPr>
        <w:t>varasem ELi raampoliitika</w:t>
      </w:r>
      <w:r>
        <w:t xml:space="preserve"> (Musta mere sünergia alates 2007. aastast) asjaomase piirkonna jaoks ei hõlmanud </w:t>
      </w:r>
      <w:r>
        <w:rPr>
          <w:b/>
        </w:rPr>
        <w:t>julgeolekumõõdet</w:t>
      </w:r>
      <w:r>
        <w:t xml:space="preserve">, ning toonitab, et </w:t>
      </w:r>
      <w:r>
        <w:rPr>
          <w:b/>
        </w:rPr>
        <w:t>ELi julgeolekualgatused Musta mere piirkonnas peavad andma käegakatsutavaid tulemusi</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rõhutab, et </w:t>
      </w:r>
      <w:r>
        <w:rPr>
          <w:b/>
        </w:rPr>
        <w:t>püsiva rahu saavutamine</w:t>
      </w:r>
      <w:r>
        <w:t xml:space="preserve"> on </w:t>
      </w:r>
      <w:r>
        <w:rPr>
          <w:b/>
        </w:rPr>
        <w:t>jätkusuutliku majandusarengu vajalik ja oluline eeltingimus</w:t>
      </w:r>
      <w:r>
        <w:t>, ning märgib kahetsusega, et seda ei ole dokumendis eesmärgina nimetatud;</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leiab, et </w:t>
      </w:r>
      <w:r>
        <w:rPr>
          <w:b/>
        </w:rPr>
        <w:t>strateegilise lähenemisviisi peamine piirang</w:t>
      </w:r>
      <w:r>
        <w:t xml:space="preserve"> on see, et see põhineb täielikult </w:t>
      </w:r>
      <w:r>
        <w:rPr>
          <w:b/>
        </w:rPr>
        <w:t>mitmeaastases finantsraamistikus 2021–2027 sisalduvatel olemasolevatel rahastamisvahenditel ja eelarvevahenditel</w:t>
      </w:r>
      <w:r>
        <w:t xml:space="preserve">. Komitee nõuab </w:t>
      </w:r>
      <w:r>
        <w:rPr>
          <w:b/>
        </w:rPr>
        <w:t>vahendite lihtsustamist, konsolideerimist ja prioriseerimist</w:t>
      </w:r>
      <w:r>
        <w:t>, et saavutada vahetu ja nähtav mõju;</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soovitab </w:t>
      </w:r>
      <w:r>
        <w:rPr>
          <w:b/>
        </w:rPr>
        <w:t>korraldada kõigi seniste vahendite põhjaliku mõjuanalüüsi</w:t>
      </w:r>
      <w:r>
        <w:t xml:space="preserve"> ning sõnastada selle põhjal </w:t>
      </w:r>
      <w:r>
        <w:rPr>
          <w:b/>
        </w:rPr>
        <w:t>konkreetsemad ja selgemad kohustused</w:t>
      </w:r>
      <w:r>
        <w:t xml:space="preserve"> nende edaspidiseks kasutamiseks;</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leiab, et tuleks rohkem tähelepanu pöörata </w:t>
      </w:r>
      <w:r>
        <w:rPr>
          <w:b/>
        </w:rPr>
        <w:t>hübriidohtudega võitlemisele ja juhtimishäiretele</w:t>
      </w:r>
      <w:r>
        <w:t>, mis ähvardavad kahjustada piirkondlikku stabiilsust.</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237C67" w14:paraId="500155AD" w14:textId="77777777" w:rsidTr="00C201AB">
        <w:tc>
          <w:tcPr>
            <w:tcW w:w="1090" w:type="pct"/>
          </w:tcPr>
          <w:p w14:paraId="4E7D56FB" w14:textId="77777777" w:rsidR="00237C67" w:rsidRPr="00237C67" w:rsidRDefault="00237C67" w:rsidP="00237C67">
            <w:pPr>
              <w:overflowPunct w:val="0"/>
              <w:autoSpaceDE w:val="0"/>
              <w:autoSpaceDN w:val="0"/>
              <w:adjustRightInd w:val="0"/>
              <w:textAlignment w:val="baseline"/>
              <w:rPr>
                <w:i/>
              </w:rPr>
            </w:pPr>
            <w:r>
              <w:rPr>
                <w:b/>
                <w:i/>
              </w:rPr>
              <w:t>Kontaktisik</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r>
              <w:t>Marie-</w:t>
            </w:r>
            <w:proofErr w:type="spellStart"/>
            <w:r>
              <w:t>Laurence</w:t>
            </w:r>
            <w:proofErr w:type="spellEnd"/>
            <w:r>
              <w:t xml:space="preserve"> </w:t>
            </w:r>
            <w:proofErr w:type="spellStart"/>
            <w:r>
              <w:t>Drillon</w:t>
            </w:r>
            <w:proofErr w:type="spellEnd"/>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Pr>
                <w:i/>
              </w:rPr>
              <w:t>Tel</w:t>
            </w:r>
          </w:p>
        </w:tc>
        <w:tc>
          <w:tcPr>
            <w:tcW w:w="3910" w:type="pct"/>
          </w:tcPr>
          <w:p w14:paraId="701AABDE" w14:textId="70D525BC" w:rsidR="00237C67" w:rsidRPr="00237C67" w:rsidRDefault="00237C67" w:rsidP="00237C67">
            <w:pPr>
              <w:overflowPunct w:val="0"/>
              <w:autoSpaceDE w:val="0"/>
              <w:autoSpaceDN w:val="0"/>
              <w:adjustRightInd w:val="0"/>
              <w:textAlignment w:val="baseline"/>
              <w:rPr>
                <w:i/>
              </w:rPr>
            </w:pPr>
            <w:r>
              <w:rPr>
                <w:i/>
              </w:rPr>
              <w:t>+32 2546 8320</w:t>
            </w:r>
          </w:p>
        </w:tc>
      </w:tr>
      <w:tr w:rsidR="00237C67" w:rsidRPr="00237C67" w14:paraId="532005DF" w14:textId="77777777" w:rsidTr="00C201AB">
        <w:tc>
          <w:tcPr>
            <w:tcW w:w="1090" w:type="pct"/>
          </w:tcPr>
          <w:p w14:paraId="21550A30" w14:textId="77777777" w:rsidR="00237C67" w:rsidRPr="00237C67" w:rsidRDefault="00237C67" w:rsidP="00237C67">
            <w:pPr>
              <w:overflowPunct w:val="0"/>
              <w:autoSpaceDE w:val="0"/>
              <w:autoSpaceDN w:val="0"/>
              <w:adjustRightInd w:val="0"/>
              <w:textAlignment w:val="baseline"/>
              <w:rPr>
                <w:i/>
              </w:rPr>
            </w:pPr>
            <w:r>
              <w:rPr>
                <w:i/>
              </w:rPr>
              <w:t>E-post</w:t>
            </w:r>
          </w:p>
        </w:tc>
        <w:tc>
          <w:tcPr>
            <w:tcW w:w="3910" w:type="pct"/>
          </w:tcPr>
          <w:p w14:paraId="56749FB7" w14:textId="77777777" w:rsidR="00237C67" w:rsidRPr="00237C67" w:rsidRDefault="00BE41C1" w:rsidP="00237C67">
            <w:pPr>
              <w:overflowPunct w:val="0"/>
              <w:autoSpaceDE w:val="0"/>
              <w:autoSpaceDN w:val="0"/>
              <w:adjustRightInd w:val="0"/>
              <w:textAlignment w:val="baseline"/>
              <w:rPr>
                <w:i/>
              </w:rPr>
            </w:pPr>
            <w:hyperlink r:id="rId46" w:history="1">
              <w:r w:rsidR="00B55E7D">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7" w:history="1">
        <w:r>
          <w:rPr>
            <w:b/>
            <w:i/>
            <w:color w:val="0000FF"/>
            <w:sz w:val="28"/>
            <w:u w:val="single"/>
          </w:rPr>
          <w:t>Globaalne Euroopa (mitmeaastase finantsraamistiku ettepanek)</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4316EC99" w14:textId="50054E32" w:rsidR="00C913CA" w:rsidRPr="00C913CA" w:rsidRDefault="00C913CA" w:rsidP="00C913CA">
            <w:pPr>
              <w:tabs>
                <w:tab w:val="center" w:pos="284"/>
              </w:tabs>
              <w:overflowPunct w:val="0"/>
              <w:autoSpaceDE w:val="0"/>
              <w:autoSpaceDN w:val="0"/>
              <w:adjustRightInd w:val="0"/>
              <w:ind w:left="266" w:right="-3091" w:hanging="266"/>
              <w:textAlignment w:val="baseline"/>
            </w:pPr>
            <w:proofErr w:type="spellStart"/>
            <w:r>
              <w:t>Mateusz</w:t>
            </w:r>
            <w:proofErr w:type="spellEnd"/>
            <w:r>
              <w:t xml:space="preserve"> SZYMAŃSKI (töötajate rühm – PL)</w:t>
            </w:r>
          </w:p>
        </w:tc>
      </w:tr>
      <w:tr w:rsidR="00C913CA" w:rsidRPr="00C913CA" w14:paraId="59C9D0E5" w14:textId="77777777" w:rsidTr="00C201AB">
        <w:tc>
          <w:tcPr>
            <w:tcW w:w="1077"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7376BE83" w14:textId="7695C77A" w:rsidR="00C913CA" w:rsidRDefault="00C913CA" w:rsidP="00C913CA">
            <w:pPr>
              <w:tabs>
                <w:tab w:val="center" w:pos="284"/>
              </w:tabs>
              <w:overflowPunct w:val="0"/>
              <w:autoSpaceDE w:val="0"/>
              <w:autoSpaceDN w:val="0"/>
              <w:adjustRightInd w:val="0"/>
              <w:ind w:left="266" w:right="-3091" w:hanging="266"/>
              <w:textAlignment w:val="baseline"/>
            </w:pPr>
            <w:proofErr w:type="spellStart"/>
            <w:r>
              <w:t>Luca</w:t>
            </w:r>
            <w:proofErr w:type="spellEnd"/>
            <w:r>
              <w:t xml:space="preserve"> JAHIER (kodanikuühiskonna organisatsioonide rühm –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 xml:space="preserve">COM(2025) 551 </w:t>
            </w:r>
            <w:proofErr w:type="spellStart"/>
            <w:r>
              <w:t>final</w:t>
            </w:r>
            <w:proofErr w:type="spellEnd"/>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Põhipunktid</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77777777" w:rsidR="00C913CA" w:rsidRDefault="00C913CA" w:rsidP="00C913CA">
      <w:pPr>
        <w:overflowPunct w:val="0"/>
        <w:autoSpaceDE w:val="0"/>
        <w:autoSpaceDN w:val="0"/>
        <w:adjustRightInd w:val="0"/>
        <w:textAlignment w:val="baseline"/>
        <w:rPr>
          <w:bCs/>
          <w:iCs/>
        </w:rPr>
      </w:pPr>
      <w:r>
        <w:t>Euroopa Majandus- ja Sotsiaalkomitee</w:t>
      </w: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väljendab heameelt Euroopa Komisjoni ettepaneku üle suurendada tulevase mitmeaastase finantsraamistiku raames kulutusi Euroopa Liidu välispoliitikale instrumendiga „Globaalne Euroopa“, mis hõlmab Ukraina reservi. Komitee peab seda eelarvekasvu oluliseks, et EL saaks kinnitada oma rolli ülemaailmse osaleja ja väärtuste kandjana ning luua strateegilise autonoomia;</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on seisukohal, et EL peaks etendama juhtivat rolli arengu- ja humanitaaralastes jõupingutustes ning ÜRO süsteemi taaselustamisel, kusjuures strateegiast „Global </w:t>
      </w:r>
      <w:proofErr w:type="spellStart"/>
      <w:r>
        <w:t>Gateway</w:t>
      </w:r>
      <w:proofErr w:type="spellEnd"/>
      <w:r>
        <w:t xml:space="preserve">“ peaks saama selle peamine vahend;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juhib tähelepanu sellele, et strateegia „Global </w:t>
      </w:r>
      <w:proofErr w:type="spellStart"/>
      <w:r>
        <w:t>Gateway</w:t>
      </w:r>
      <w:proofErr w:type="spellEnd"/>
      <w:r>
        <w:t>“ kodanikuühiskonna organisatsioonide ja kohalike omavalitsuste nõuandekogu ei ole endiselt seotud otsuste tegemisega ja on loonud killustatud dialoogi. Komitee kutsub üles tagama sisulise osalemise, sh Euroopa Majandus- ja Sotsiaalkomitee ning Euroopa Regioonide Komitee osaluse;</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rõhutab vajadust luua kooskõla välispoliitika, arengu, kaubanduse ja Euroopa Konkurentsivõime Fondi vahel, et saavutada kestlik areng ja majanduslik vastupanuvõime;</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ootab rahaliste vahendite kasutamisel täielikku läbipaistvust ja aruandekohustust, vaatamata positiivsetele hinnangutele </w:t>
      </w:r>
      <w:proofErr w:type="spellStart"/>
      <w:r>
        <w:t>välistegevuse</w:t>
      </w:r>
      <w:proofErr w:type="spellEnd"/>
      <w:r>
        <w:t xml:space="preserve"> kavandatud paindlikkuse kohta;</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kutsub üles laiendama komisjoni ebavõrdsuse mõõdikut strateegia „Global </w:t>
      </w:r>
      <w:proofErr w:type="spellStart"/>
      <w:r>
        <w:t>Gateway</w:t>
      </w:r>
      <w:proofErr w:type="spellEnd"/>
      <w:r>
        <w:t xml:space="preserve">“ projektidele;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ootab, et olemasolevaid organeid, näiteks kodanikuühiskonna platvorme, kaasataks ulatuslikumalt partnerriikide organisatsioonidega suhete säilitamisel;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toetab kõiki jõupingutusi heaolu ja julgeoleku tugevdamiseks meie naabruses ja seega ka ELis ning toetab liidu edasist laienemist;</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rõhutab vajadust kodanikuühiskonna organisatsioonide prognoositava ja stabiilse rahastamise järele, eelkõige demokraatia, kodanikuühiskonna tegutsemisruumi ja soolise võrdõiguslikkuse tugevdamiseks;</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loodab, et majanduskoostöö ja ettevõtluse eesmärkidega kaasnevad ambitsioonikad kaitsemeetmed sotsiaal-, inimõiguste ja keskkonna valdkonnas;</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on vastu lähenemisviisile, mille kohaselt rändepoliitika kontekstis maksed peatatakse, ja toonitab vajadust positiivsete stiimulite järele seatud eesmärkide saavutamiseks.</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5340"/>
      </w:tblGrid>
      <w:tr w:rsidR="00C913CA" w:rsidRPr="00C913CA"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2650"/>
            </w:tblGrid>
            <w:tr w:rsidR="006559C7" w:rsidRPr="00A6689B" w14:paraId="566687C9" w14:textId="77777777" w:rsidTr="002238FF">
              <w:tc>
                <w:tcPr>
                  <w:tcW w:w="1077" w:type="pct"/>
                </w:tcPr>
                <w:p w14:paraId="5EE88CD7" w14:textId="77777777" w:rsidR="006559C7" w:rsidRPr="006559C7" w:rsidRDefault="006559C7" w:rsidP="006559C7">
                  <w:pPr>
                    <w:ind w:hanging="78"/>
                    <w:rPr>
                      <w:i/>
                      <w:sz w:val="20"/>
                      <w:szCs w:val="20"/>
                    </w:rPr>
                  </w:pPr>
                  <w:r>
                    <w:rPr>
                      <w:b/>
                      <w:i/>
                      <w:sz w:val="20"/>
                    </w:rPr>
                    <w:t>Kontaktisik</w:t>
                  </w:r>
                </w:p>
              </w:tc>
              <w:tc>
                <w:tcPr>
                  <w:tcW w:w="3923" w:type="pct"/>
                </w:tcPr>
                <w:p w14:paraId="1A70046D" w14:textId="77777777" w:rsidR="006559C7" w:rsidRPr="006559C7" w:rsidRDefault="006559C7" w:rsidP="006559C7">
                  <w:pPr>
                    <w:ind w:hanging="78"/>
                    <w:rPr>
                      <w:i/>
                      <w:sz w:val="20"/>
                      <w:szCs w:val="20"/>
                    </w:rPr>
                  </w:pPr>
                  <w:r>
                    <w:rPr>
                      <w:i/>
                      <w:sz w:val="20"/>
                    </w:rPr>
                    <w:t xml:space="preserve">Daniele Vitali </w:t>
                  </w:r>
                </w:p>
              </w:tc>
            </w:tr>
            <w:tr w:rsidR="006559C7" w:rsidRPr="00A6689B" w14:paraId="6A2E51F7" w14:textId="77777777" w:rsidTr="002238FF">
              <w:tc>
                <w:tcPr>
                  <w:tcW w:w="1077" w:type="pct"/>
                </w:tcPr>
                <w:p w14:paraId="36742115" w14:textId="77777777" w:rsidR="006559C7" w:rsidRPr="006559C7" w:rsidRDefault="006559C7" w:rsidP="006559C7">
                  <w:pPr>
                    <w:ind w:hanging="78"/>
                    <w:rPr>
                      <w:i/>
                      <w:sz w:val="20"/>
                      <w:szCs w:val="20"/>
                    </w:rPr>
                  </w:pPr>
                  <w:r>
                    <w:rPr>
                      <w:i/>
                      <w:sz w:val="20"/>
                    </w:rPr>
                    <w:t>Tel</w:t>
                  </w:r>
                </w:p>
              </w:tc>
              <w:tc>
                <w:tcPr>
                  <w:tcW w:w="3923" w:type="pct"/>
                </w:tcPr>
                <w:p w14:paraId="2025EE29" w14:textId="2C5781A0" w:rsidR="006559C7" w:rsidRPr="006559C7" w:rsidRDefault="006559C7" w:rsidP="006559C7">
                  <w:pPr>
                    <w:ind w:hanging="78"/>
                    <w:rPr>
                      <w:i/>
                      <w:sz w:val="20"/>
                      <w:szCs w:val="20"/>
                    </w:rPr>
                  </w:pPr>
                  <w:r>
                    <w:rPr>
                      <w:i/>
                      <w:sz w:val="20"/>
                    </w:rPr>
                    <w:t>+32 25468817</w:t>
                  </w:r>
                </w:p>
              </w:tc>
            </w:tr>
            <w:tr w:rsidR="006559C7" w:rsidRPr="00A6689B" w14:paraId="40EB0530" w14:textId="77777777" w:rsidTr="002238FF">
              <w:tc>
                <w:tcPr>
                  <w:tcW w:w="1077" w:type="pct"/>
                </w:tcPr>
                <w:p w14:paraId="0E0B5DFB" w14:textId="77777777" w:rsidR="006559C7" w:rsidRPr="006559C7" w:rsidRDefault="006559C7" w:rsidP="006559C7">
                  <w:pPr>
                    <w:ind w:hanging="78"/>
                    <w:rPr>
                      <w:i/>
                      <w:sz w:val="20"/>
                      <w:szCs w:val="20"/>
                    </w:rPr>
                  </w:pPr>
                  <w:r>
                    <w:rPr>
                      <w:i/>
                      <w:sz w:val="20"/>
                    </w:rPr>
                    <w:t>E-post</w:t>
                  </w:r>
                </w:p>
              </w:tc>
              <w:tc>
                <w:tcPr>
                  <w:tcW w:w="3923" w:type="pct"/>
                </w:tcPr>
                <w:p w14:paraId="65211337" w14:textId="77777777" w:rsidR="006559C7" w:rsidRPr="006559C7" w:rsidRDefault="00BE41C1" w:rsidP="006559C7">
                  <w:pPr>
                    <w:ind w:hanging="78"/>
                    <w:rPr>
                      <w:i/>
                      <w:sz w:val="20"/>
                      <w:szCs w:val="20"/>
                    </w:rPr>
                  </w:pPr>
                  <w:hyperlink r:id="rId48" w:history="1">
                    <w:r w:rsidR="00B55E7D">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Prognoositav ja ühine euroopalik tulevikutee ELis viibivate ukrainlaste jaoks</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 xml:space="preserve">Raportöör </w:t>
            </w:r>
          </w:p>
        </w:tc>
        <w:tc>
          <w:tcPr>
            <w:tcW w:w="3923"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proofErr w:type="spellStart"/>
            <w:r>
              <w:t>Mateusz</w:t>
            </w:r>
            <w:proofErr w:type="spellEnd"/>
            <w:r>
              <w:t xml:space="preserve"> SZYMAŃSKI (töötajate rühm – PL)</w:t>
            </w:r>
          </w:p>
        </w:tc>
      </w:tr>
      <w:tr w:rsidR="004503DC" w:rsidRPr="004503DC" w14:paraId="712EFFED" w14:textId="77777777" w:rsidTr="00C201AB">
        <w:tc>
          <w:tcPr>
            <w:tcW w:w="1077"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proofErr w:type="spellStart"/>
            <w:r>
              <w:t>Krzysztof</w:t>
            </w:r>
            <w:proofErr w:type="spellEnd"/>
            <w:r>
              <w:t xml:space="preserve"> BALON (kodanikuühiskonna organisatsioonide rühm –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 xml:space="preserve">COM(2025) 649 </w:t>
            </w:r>
            <w:proofErr w:type="spellStart"/>
            <w:r>
              <w:t>final</w:t>
            </w:r>
            <w:proofErr w:type="spellEnd"/>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Põhipunktid</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Euroopa Majandus- ja Sotsiaalkomitee</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kordab oma solidaarsust Ukraina rahvaga ja tuletab meelde, et Venemaa Ukraina-vastane agressioon sundis miljoneid ukrainlasi ohu eest põgenema. Komitee toonitab kodanikuühiskonna organisatsioonide rolli Ukraina põgenike suurima sissevoolu ajal;</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märgib, et ajutine kaitse on osutunud Ukraina põgenike jaoks kasulikuks lahenduseks. Samal ajal ei ole käimasoleva agressiooni tõttu Ukrainas veel tingimusi sinna tagasipöördumiseks. Komitee tunnustab otsust pikendada ajutist kaitset veel üheks ajavahemikuks;</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rõhutab vajadust pikaajalise perspektiivi järele ajutist kaitset saavate inimeste jaoks ning kutsub Euroopa Komisjoni ja liikmesriike üles võtma meetmeid, et hõlbustada üleminekut alalisemale riigis viibimise alusele ja loobuda järk-järgult ajutisest kaitsest;</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 xml:space="preserve">juhib tähelepanu sellele, et ukrainlaste ELi saabumisega tekkinud olukord on suurendanud survet liikmesriikide avalike teenuste süsteemidele, ning rõhutab vajadust suurendada investeeringuid kvaliteetsetesse </w:t>
      </w:r>
      <w:proofErr w:type="spellStart"/>
      <w:r>
        <w:t>üldhuviteenustesse</w:t>
      </w:r>
      <w:proofErr w:type="spellEnd"/>
      <w:r>
        <w:t>, sh eluasemetesse, mis peavad olema võrdsetel alustel kättesaadavad kõigile ELis seaduslikult elavatele inimestele;</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viitab vajadusele teha jõupingutusi, et tagada ukrainlaste edukas integreerimine ELi, toetades keelekursusi, kohalike kogukondade algatusi, Ukraina laste õpetamist liikmesriikide haridussüsteemides ning võideldes desinformatsiooni ja Venemaa luuretegevuse vastu, samuti kaasates ukrainlasi kohalikes kogukondades tegutsevatesse organisatsioonidesse;</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rõhutab, kui oluline on luua ukrainlastele õiglased töötingimused nii ELis kui ka Ukrainas. Liikmesriikidelt eeldatakse, et nad võitlevad ukrainlaste ärakasutamise ja ebavõrdse kohtlemise vastu tööhõives, samal ajal kui Ukraina valitsus peaks sotsiaaldialoogi kaudu taastama töötajatele ja ametiühingute tegevusele soodsad tingimused.</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0C28C241" w14:textId="77777777" w:rsidTr="00C201AB">
        <w:tc>
          <w:tcPr>
            <w:tcW w:w="1077" w:type="pct"/>
          </w:tcPr>
          <w:p w14:paraId="011666E9" w14:textId="77777777" w:rsidR="004503DC" w:rsidRPr="004503DC" w:rsidRDefault="004503DC" w:rsidP="004503DC">
            <w:pPr>
              <w:overflowPunct w:val="0"/>
              <w:autoSpaceDE w:val="0"/>
              <w:autoSpaceDN w:val="0"/>
              <w:adjustRightInd w:val="0"/>
              <w:textAlignment w:val="baseline"/>
              <w:rPr>
                <w:i/>
              </w:rPr>
            </w:pPr>
            <w:r>
              <w:rPr>
                <w:b/>
                <w:i/>
              </w:rPr>
              <w:t>Kontaktisik</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proofErr w:type="spellStart"/>
            <w:r>
              <w:rPr>
                <w:i/>
              </w:rPr>
              <w:t>Katarína</w:t>
            </w:r>
            <w:proofErr w:type="spellEnd"/>
            <w:r>
              <w:rPr>
                <w:i/>
              </w:rPr>
              <w:t xml:space="preserve"> </w:t>
            </w:r>
            <w:proofErr w:type="spellStart"/>
            <w:r>
              <w:rPr>
                <w:i/>
              </w:rPr>
              <w:t>Grzeszczyk</w:t>
            </w:r>
            <w:proofErr w:type="spellEnd"/>
            <w:r>
              <w:rPr>
                <w:i/>
              </w:rPr>
              <w:t xml:space="preserve"> </w:t>
            </w:r>
            <w:proofErr w:type="spellStart"/>
            <w:r>
              <w:rPr>
                <w:i/>
              </w:rPr>
              <w:t>Albrechtová</w:t>
            </w:r>
            <w:proofErr w:type="spellEnd"/>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Pr>
                <w:i/>
              </w:rPr>
              <w:t>Tel</w:t>
            </w:r>
          </w:p>
        </w:tc>
        <w:tc>
          <w:tcPr>
            <w:tcW w:w="3923" w:type="pct"/>
          </w:tcPr>
          <w:p w14:paraId="2AB00694" w14:textId="77777777" w:rsidR="004503DC" w:rsidRPr="004503DC" w:rsidRDefault="004503DC" w:rsidP="004503DC">
            <w:pPr>
              <w:overflowPunct w:val="0"/>
              <w:autoSpaceDE w:val="0"/>
              <w:autoSpaceDN w:val="0"/>
              <w:adjustRightInd w:val="0"/>
              <w:textAlignment w:val="baseline"/>
              <w:rPr>
                <w:i/>
              </w:rPr>
            </w:pPr>
            <w:r>
              <w:rPr>
                <w:i/>
              </w:rPr>
              <w:t>+32 25469460</w:t>
            </w:r>
          </w:p>
        </w:tc>
      </w:tr>
      <w:tr w:rsidR="004503DC" w:rsidRPr="004503DC" w14:paraId="704DFCB6" w14:textId="77777777" w:rsidTr="00C201AB">
        <w:tc>
          <w:tcPr>
            <w:tcW w:w="1077" w:type="pct"/>
          </w:tcPr>
          <w:p w14:paraId="18D5B7A9" w14:textId="77777777" w:rsidR="004503DC" w:rsidRPr="004503DC" w:rsidRDefault="004503DC" w:rsidP="004503DC">
            <w:pPr>
              <w:overflowPunct w:val="0"/>
              <w:autoSpaceDE w:val="0"/>
              <w:autoSpaceDN w:val="0"/>
              <w:adjustRightInd w:val="0"/>
              <w:textAlignment w:val="baseline"/>
              <w:rPr>
                <w:i/>
              </w:rPr>
            </w:pPr>
            <w:r>
              <w:rPr>
                <w:i/>
              </w:rPr>
              <w:t>E-post</w:t>
            </w:r>
          </w:p>
        </w:tc>
        <w:tc>
          <w:tcPr>
            <w:tcW w:w="3923" w:type="pct"/>
          </w:tcPr>
          <w:p w14:paraId="59F392A7" w14:textId="77777777" w:rsidR="004503DC" w:rsidRPr="004503DC" w:rsidRDefault="00BE41C1" w:rsidP="004503DC">
            <w:pPr>
              <w:overflowPunct w:val="0"/>
              <w:autoSpaceDE w:val="0"/>
              <w:autoSpaceDN w:val="0"/>
              <w:adjustRightInd w:val="0"/>
              <w:textAlignment w:val="baseline"/>
              <w:rPr>
                <w:i/>
              </w:rPr>
            </w:pPr>
            <w:hyperlink r:id="rId50" w:history="1">
              <w:r w:rsidR="00B55E7D">
                <w:rPr>
                  <w:i/>
                  <w:color w:val="0000FF"/>
                  <w:u w:val="single"/>
                </w:rPr>
                <w:t>Katarina.Albrechtova@eesc.europa.eu</w:t>
              </w:r>
            </w:hyperlink>
            <w:r w:rsidR="00B55E7D">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4464305F" w14:textId="38E0F292" w:rsidR="004503DC" w:rsidRDefault="004503DC">
      <w:pPr>
        <w:spacing w:after="160" w:line="259" w:lineRule="auto"/>
        <w:jc w:val="left"/>
      </w:pPr>
    </w:p>
    <w:p w14:paraId="28C69286" w14:textId="77777777" w:rsidR="004503DC" w:rsidRDefault="004503DC">
      <w:pPr>
        <w:spacing w:after="160" w:line="259" w:lineRule="auto"/>
        <w:jc w:val="left"/>
      </w:pPr>
      <w:r>
        <w:br w:type="page"/>
      </w:r>
    </w:p>
    <w:p w14:paraId="54681B02" w14:textId="77777777" w:rsidR="006D2C8A" w:rsidRDefault="006D2C8A">
      <w:pPr>
        <w:spacing w:after="160" w:line="259" w:lineRule="auto"/>
        <w:jc w:val="left"/>
      </w:pPr>
    </w:p>
    <w:p w14:paraId="528C73AA" w14:textId="46DE726B" w:rsidR="006D2C8A" w:rsidRPr="006D2C8A" w:rsidRDefault="006D2C8A" w:rsidP="006D2C8A">
      <w:pPr>
        <w:pStyle w:val="Heading1"/>
        <w:rPr>
          <w:b/>
        </w:rPr>
      </w:pPr>
      <w:bookmarkStart w:id="16" w:name="_Toc217288595"/>
      <w:r>
        <w:rPr>
          <w:b/>
          <w:color w:val="222A35" w:themeColor="text2" w:themeShade="80"/>
        </w:rPr>
        <w:t>TÖÖSTUSE MUUTUSTE NÕUANDEKOMISJON</w:t>
      </w:r>
      <w:bookmarkEnd w:id="16"/>
    </w:p>
    <w:p w14:paraId="713E272F" w14:textId="77777777" w:rsidR="006D2C8A" w:rsidRDefault="006D2C8A" w:rsidP="006D2C8A"/>
    <w:p w14:paraId="7383D97E" w14:textId="13359D4F" w:rsidR="00ED76AC" w:rsidRPr="00ED76AC" w:rsidRDefault="00BE41C1" w:rsidP="00ED76AC">
      <w:pPr>
        <w:widowControl w:val="0"/>
        <w:numPr>
          <w:ilvl w:val="0"/>
          <w:numId w:val="16"/>
        </w:numPr>
        <w:overflowPunct w:val="0"/>
        <w:autoSpaceDE w:val="0"/>
        <w:autoSpaceDN w:val="0"/>
        <w:adjustRightInd w:val="0"/>
        <w:ind w:hanging="567"/>
        <w:rPr>
          <w:sz w:val="20"/>
          <w:szCs w:val="20"/>
        </w:rPr>
      </w:pPr>
      <w:hyperlink r:id="rId51" w:history="1">
        <w:r w:rsidR="00B55E7D">
          <w:rPr>
            <w:b/>
            <w:i/>
            <w:color w:val="0000FF"/>
            <w:sz w:val="28"/>
            <w:u w:val="single"/>
          </w:rPr>
          <w:t>Püsimaterjalide potentsiaali edendamine ELi ringmajanduses</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rPr>
              <w:t>Raportöör</w:t>
            </w:r>
          </w:p>
        </w:tc>
        <w:tc>
          <w:tcPr>
            <w:tcW w:w="3923"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r>
              <w:t>Andrea MONE (töötajate rühm – IT)</w:t>
            </w:r>
          </w:p>
        </w:tc>
      </w:tr>
      <w:tr w:rsidR="00ED76AC" w:rsidRPr="00ED76AC" w14:paraId="21F71A9D" w14:textId="77777777">
        <w:tc>
          <w:tcPr>
            <w:tcW w:w="1077"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r>
              <w:rPr>
                <w:b/>
              </w:rPr>
              <w:t>Kaasraportöör</w:t>
            </w:r>
          </w:p>
        </w:tc>
        <w:tc>
          <w:tcPr>
            <w:tcW w:w="3923"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proofErr w:type="spellStart"/>
            <w:r>
              <w:t>Michal</w:t>
            </w:r>
            <w:proofErr w:type="spellEnd"/>
            <w:r>
              <w:t xml:space="preserve"> PINTÉR (tööandjate rühm –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tc>
          <w:tcPr>
            <w:tcW w:w="1077"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Pr>
                <w:b/>
              </w:rPr>
              <w:t>Viitedokument</w:t>
            </w:r>
          </w:p>
        </w:tc>
        <w:tc>
          <w:tcPr>
            <w:tcW w:w="3923" w:type="pct"/>
            <w:hideMark/>
          </w:tcPr>
          <w:p w14:paraId="340633E9" w14:textId="2162F333" w:rsidR="00707689" w:rsidRDefault="00707689" w:rsidP="00ED76AC">
            <w:pPr>
              <w:tabs>
                <w:tab w:val="center" w:pos="284"/>
              </w:tabs>
              <w:overflowPunct w:val="0"/>
              <w:autoSpaceDE w:val="0"/>
              <w:autoSpaceDN w:val="0"/>
              <w:adjustRightInd w:val="0"/>
              <w:ind w:left="266" w:right="-3091" w:hanging="266"/>
            </w:pPr>
            <w:r>
              <w:t>omaalgatuslik arvamus</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ED76AC"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Põhipunktid</w:t>
      </w:r>
    </w:p>
    <w:p w14:paraId="2370EF24"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p>
    <w:p w14:paraId="3E92F3F2" w14:textId="77777777" w:rsidR="00ED76AC" w:rsidRPr="00ED76AC" w:rsidRDefault="00ED76AC" w:rsidP="00ED76AC">
      <w:pPr>
        <w:overflowPunct w:val="0"/>
        <w:autoSpaceDE w:val="0"/>
        <w:autoSpaceDN w:val="0"/>
        <w:adjustRightInd w:val="0"/>
        <w:rPr>
          <w:bCs/>
          <w:iCs/>
        </w:rPr>
      </w:pPr>
      <w:r>
        <w:t>Euroopa Majandus- ja Sotsiaalkomitee</w:t>
      </w:r>
    </w:p>
    <w:p w14:paraId="26A569C6" w14:textId="77777777" w:rsidR="00ED76AC" w:rsidRPr="00ED76AC" w:rsidRDefault="00ED76AC" w:rsidP="00054C58">
      <w:pPr>
        <w:numPr>
          <w:ilvl w:val="0"/>
          <w:numId w:val="34"/>
        </w:numPr>
        <w:overflowPunct w:val="0"/>
        <w:autoSpaceDE w:val="0"/>
        <w:autoSpaceDN w:val="0"/>
        <w:adjustRightInd w:val="0"/>
        <w:ind w:left="284" w:hanging="284"/>
      </w:pPr>
      <w:r>
        <w:rPr>
          <w:b/>
        </w:rPr>
        <w:t>tunnistab püsimaterjalide väga olulist rolli</w:t>
      </w:r>
      <w:r>
        <w:t xml:space="preserve"> tõelise ringmajanduse võimaldamisel, eelkõige pakendite puhul, ning kutsub üles </w:t>
      </w:r>
      <w:r>
        <w:rPr>
          <w:b/>
        </w:rPr>
        <w:t>neid ELi õigusaktides selgelt tunnustama</w:t>
      </w:r>
      <w:r>
        <w:t>;</w:t>
      </w:r>
    </w:p>
    <w:p w14:paraId="32D7A91F" w14:textId="77777777" w:rsidR="00ED76AC" w:rsidRPr="00ED76AC" w:rsidRDefault="00ED76AC" w:rsidP="00054C58">
      <w:pPr>
        <w:numPr>
          <w:ilvl w:val="0"/>
          <w:numId w:val="34"/>
        </w:numPr>
        <w:overflowPunct w:val="0"/>
        <w:autoSpaceDE w:val="0"/>
        <w:autoSpaceDN w:val="0"/>
        <w:adjustRightInd w:val="0"/>
        <w:ind w:left="284" w:hanging="284"/>
      </w:pPr>
      <w:r>
        <w:rPr>
          <w:b/>
        </w:rPr>
        <w:t>toetab ELi eesmärki saavutada 2030. aastaks pakendijäätmete liigiti kogumisel 90 % määr</w:t>
      </w:r>
      <w:r>
        <w:t xml:space="preserve"> ning rõhutab seejuures, et täiustatud ja hästi rahastatud kogumise, sortimise ja ringlussevõtu kvaliteetsed süsteemid on olulised, et maksimeerida materjali säilitamist ja võimaldada püsimaterjalide suletud ahelas ringlussevõttu;</w:t>
      </w:r>
    </w:p>
    <w:p w14:paraId="167FDC16" w14:textId="77777777" w:rsidR="00ED76AC" w:rsidRPr="00ED76AC" w:rsidRDefault="00ED76AC" w:rsidP="00054C58">
      <w:pPr>
        <w:numPr>
          <w:ilvl w:val="0"/>
          <w:numId w:val="34"/>
        </w:numPr>
        <w:overflowPunct w:val="0"/>
        <w:autoSpaceDE w:val="0"/>
        <w:autoSpaceDN w:val="0"/>
        <w:adjustRightInd w:val="0"/>
        <w:ind w:left="284" w:hanging="284"/>
      </w:pPr>
      <w:r>
        <w:rPr>
          <w:b/>
        </w:rPr>
        <w:t>kutsub üles laiendatud tootjavastutuse süsteeme</w:t>
      </w:r>
      <w:r>
        <w:t xml:space="preserve"> kõigis liikmesriikides </w:t>
      </w:r>
      <w:r>
        <w:rPr>
          <w:b/>
        </w:rPr>
        <w:t>tugevdama ja ühtlustama</w:t>
      </w:r>
      <w:r>
        <w:t xml:space="preserve">. See hõlmab </w:t>
      </w:r>
      <w:r>
        <w:rPr>
          <w:b/>
        </w:rPr>
        <w:t>keskkonnahoidlikkust arvesse võtvate tasude kehtestamist selgete ja sidusate kriteeriumide alusel</w:t>
      </w:r>
      <w:r>
        <w:t xml:space="preserve">, proportsionaalseid tasusüsteeme ja </w:t>
      </w:r>
      <w:r>
        <w:rPr>
          <w:b/>
        </w:rPr>
        <w:t>laiendatud tootjavastutuse tulude sihtotstarbelist kasutust</w:t>
      </w:r>
      <w:r>
        <w:t xml:space="preserve"> samasse materjalivoogu </w:t>
      </w:r>
      <w:proofErr w:type="spellStart"/>
      <w:r>
        <w:t>reinvesteerimiseks</w:t>
      </w:r>
      <w:proofErr w:type="spellEnd"/>
      <w:r>
        <w:t>;</w:t>
      </w:r>
    </w:p>
    <w:p w14:paraId="422AF8F5" w14:textId="77777777" w:rsidR="00ED76AC" w:rsidRPr="00ED76AC" w:rsidRDefault="00ED76AC" w:rsidP="00054C58">
      <w:pPr>
        <w:numPr>
          <w:ilvl w:val="0"/>
          <w:numId w:val="34"/>
        </w:numPr>
        <w:overflowPunct w:val="0"/>
        <w:autoSpaceDE w:val="0"/>
        <w:autoSpaceDN w:val="0"/>
        <w:adjustRightInd w:val="0"/>
        <w:ind w:left="284" w:hanging="284"/>
      </w:pPr>
      <w:r>
        <w:rPr>
          <w:b/>
        </w:rPr>
        <w:t>märgib vajadust prioriteetsete investeeringute järele</w:t>
      </w:r>
      <w:r>
        <w:t xml:space="preserve"> tänapäevasesse pakendijäätmete liigiti kogumise, sortimise ja ringlussevõtu taristusse. Komitee rõhutab, et </w:t>
      </w:r>
      <w:r>
        <w:rPr>
          <w:b/>
        </w:rPr>
        <w:t>lisatoetus peaks keskenduma kehvemate tulemustega või piiratud investeerimissuutlikkusega piirkondadele</w:t>
      </w:r>
      <w:r>
        <w:t>, tagades et kõik liikmesriigid suudavad täita ringmajanduse eesmärke;</w:t>
      </w:r>
    </w:p>
    <w:p w14:paraId="059D94FE" w14:textId="77777777" w:rsidR="00ED76AC" w:rsidRPr="00ED76AC" w:rsidRDefault="00ED76AC" w:rsidP="00054C58">
      <w:pPr>
        <w:numPr>
          <w:ilvl w:val="0"/>
          <w:numId w:val="34"/>
        </w:numPr>
        <w:overflowPunct w:val="0"/>
        <w:autoSpaceDE w:val="0"/>
        <w:autoSpaceDN w:val="0"/>
        <w:adjustRightInd w:val="0"/>
        <w:ind w:left="284" w:hanging="284"/>
      </w:pPr>
      <w:r>
        <w:rPr>
          <w:b/>
        </w:rPr>
        <w:t>soovitab põhjalikult hinnata kodanike ringlussevõtualast käitumist kogu ELis</w:t>
      </w:r>
      <w:r>
        <w:t>, et teha kindlaks lüngad, takistused ja parimad tavad. Komitee kutsub üles võtma selle hinnangu põhjal meetmeid, et tugevdada tarbijate osalemist pakendijäätmete liigiti kogumises, tunnistades, et kodumajapidamistes toimuv sortimine on tulemusliku ringlussevõtu oluline esimene samm;</w:t>
      </w:r>
    </w:p>
    <w:p w14:paraId="09697A6A" w14:textId="77777777" w:rsidR="00ED76AC" w:rsidRPr="00ED76AC" w:rsidRDefault="00ED76AC" w:rsidP="00054C58">
      <w:pPr>
        <w:numPr>
          <w:ilvl w:val="0"/>
          <w:numId w:val="34"/>
        </w:numPr>
        <w:overflowPunct w:val="0"/>
        <w:autoSpaceDE w:val="0"/>
        <w:autoSpaceDN w:val="0"/>
        <w:adjustRightInd w:val="0"/>
        <w:ind w:left="284" w:hanging="284"/>
      </w:pPr>
      <w:r>
        <w:rPr>
          <w:b/>
        </w:rPr>
        <w:t>rõhutab sotsiaalselt kestliku</w:t>
      </w:r>
      <w:r>
        <w:t xml:space="preserve"> ringmajandusele </w:t>
      </w:r>
      <w:r>
        <w:rPr>
          <w:b/>
        </w:rPr>
        <w:t>ülemineku olulisust</w:t>
      </w:r>
      <w:r>
        <w:t xml:space="preserve"> ning ärgitab tungivalt varakult prognoosima mõju tööturule. Komitee kutsub üles tagama juurdepääsu </w:t>
      </w:r>
      <w:r>
        <w:rPr>
          <w:b/>
        </w:rPr>
        <w:t>täiend- ja ümberõppe võimalustele</w:t>
      </w:r>
      <w:r>
        <w:t>, et toetada sujuvat liikumist ühelt töökohalt teisele, nii et töötajad saaksid täiel määral osaleda arenevas ringmajanduses ja sellest kasu saada;</w:t>
      </w:r>
    </w:p>
    <w:p w14:paraId="2E89F971" w14:textId="77777777" w:rsidR="00ED76AC" w:rsidRPr="00ED76AC" w:rsidRDefault="00ED76AC" w:rsidP="00054C58">
      <w:pPr>
        <w:numPr>
          <w:ilvl w:val="0"/>
          <w:numId w:val="34"/>
        </w:numPr>
        <w:overflowPunct w:val="0"/>
        <w:autoSpaceDE w:val="0"/>
        <w:autoSpaceDN w:val="0"/>
        <w:adjustRightInd w:val="0"/>
        <w:ind w:left="284" w:hanging="284"/>
      </w:pPr>
      <w:r>
        <w:rPr>
          <w:b/>
        </w:rPr>
        <w:t>pooldab tugevamat sotsiaaldialoogi ja kollektiivläbirääkimisi kõigil tasanditel</w:t>
      </w:r>
      <w:r>
        <w:t>, sealhulgas ettevõtetes, et tagada ringmajanduse ärimudelitele üleminekul töötajate teavitamine, nendega konsulteerimine ja nende kaasamine.</w:t>
      </w:r>
    </w:p>
    <w:p w14:paraId="7E334215" w14:textId="77777777" w:rsidR="00ED76AC" w:rsidRPr="00ED76AC" w:rsidRDefault="00ED76AC"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Pr>
                <w:b/>
                <w:i/>
              </w:rPr>
              <w:t>Kontaktisik</w:t>
            </w:r>
          </w:p>
        </w:tc>
        <w:tc>
          <w:tcPr>
            <w:tcW w:w="3923" w:type="pct"/>
            <w:hideMark/>
          </w:tcPr>
          <w:p w14:paraId="0144A2EC" w14:textId="10811451" w:rsidR="00ED76AC" w:rsidRPr="00ED76AC" w:rsidRDefault="00ED76AC" w:rsidP="00ED76AC">
            <w:pPr>
              <w:overflowPunct w:val="0"/>
              <w:autoSpaceDE w:val="0"/>
              <w:autoSpaceDN w:val="0"/>
              <w:adjustRightInd w:val="0"/>
              <w:rPr>
                <w:i/>
              </w:rPr>
            </w:pPr>
            <w:proofErr w:type="spellStart"/>
            <w:r>
              <w:rPr>
                <w:i/>
              </w:rPr>
              <w:t>Adam</w:t>
            </w:r>
            <w:proofErr w:type="spellEnd"/>
            <w:r>
              <w:rPr>
                <w:i/>
              </w:rPr>
              <w:t xml:space="preserve"> </w:t>
            </w:r>
            <w:proofErr w:type="spellStart"/>
            <w:r>
              <w:rPr>
                <w:i/>
              </w:rPr>
              <w:t>Dorywalski</w:t>
            </w:r>
            <w:proofErr w:type="spellEnd"/>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Tel</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Pr>
                <w:i/>
              </w:rPr>
              <w:t>E-post</w:t>
            </w:r>
          </w:p>
        </w:tc>
        <w:tc>
          <w:tcPr>
            <w:tcW w:w="3923" w:type="pct"/>
            <w:hideMark/>
          </w:tcPr>
          <w:p w14:paraId="6BD8C4E6" w14:textId="77777777" w:rsidR="00ED76AC" w:rsidRPr="00ED76AC" w:rsidRDefault="00BE41C1" w:rsidP="00ED76AC">
            <w:pPr>
              <w:overflowPunct w:val="0"/>
              <w:autoSpaceDE w:val="0"/>
              <w:autoSpaceDN w:val="0"/>
              <w:adjustRightInd w:val="0"/>
              <w:rPr>
                <w:i/>
              </w:rPr>
            </w:pPr>
            <w:hyperlink r:id="rId52" w:history="1">
              <w:r w:rsidR="00B55E7D">
                <w:rPr>
                  <w:i/>
                  <w:color w:val="0000FF"/>
                  <w:u w:val="single"/>
                </w:rPr>
                <w:t>Adam.Dorywalski@eesc.europa.eu</w:t>
              </w:r>
            </w:hyperlink>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1EC58FCD" w14:textId="735BFB6C" w:rsidR="009F1AE3" w:rsidRPr="009F1AE3" w:rsidRDefault="00BE41C1"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Tööstusühistud kui vahend kaasava ja jätkusuutliku konkurentsivõime saavutamiseks</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r>
              <w:t>Giuseppe GUERINI (kodanikuühiskonna organisatsioonide rühm – IT)</w:t>
            </w:r>
          </w:p>
        </w:tc>
      </w:tr>
      <w:tr w:rsidR="009F1AE3" w:rsidRPr="009F1AE3" w14:paraId="33F2C2EB" w14:textId="77777777" w:rsidTr="007C5DD5">
        <w:tc>
          <w:tcPr>
            <w:tcW w:w="1077"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proofErr w:type="spellStart"/>
            <w:r>
              <w:t>Michal</w:t>
            </w:r>
            <w:proofErr w:type="spellEnd"/>
            <w:r>
              <w:t xml:space="preserve"> PINTÉR (tööandjate rühm –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pPr>
            <w:r>
              <w:t>omaalgatuslik arvamus</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Põhipunktid</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Euroopa Majandus- ja Sotsiaalkomitee</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märgib, et ÜRO on kuulutanud 2025. aasta rahvusvaheliseks ühistute aastaks teemaga „Ühistud loovad parema maailma“, mis kajastab seda, et üha enam tunnustatakse ühistute rolli paljudes sektorites;</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soovitab integreerida ühistupõhist ettevõtlust käsitleva hariduse tavapärasesse ettevõtlus- ja kutseõppesse, võttes muu hulgas finantsasutuste teadlikkuse suurendamise meetmeid ja pakkudes võimalusi programmi „</w:t>
      </w:r>
      <w:proofErr w:type="spellStart"/>
      <w:r>
        <w:t>Erasmus</w:t>
      </w:r>
      <w:proofErr w:type="spellEnd"/>
      <w:r>
        <w:t>+“ raames;</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on veendunud, et ühistuid tuleb aktiivselt edendada idufirmade ja noorte ettevõtjate seas;</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kutsub üles tunnistama tööstusühistud olulisteks majandustegevuses osalejateks ning rakendama ELi, riigi ja piirkonna tasandil sihipäraseid rahalisi stiimuleid (maksusoodustused, toetused, madala intressiga rahastamine), et toetada tööstussümbioosi ja ringlust;</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 xml:space="preserve">julgustab investeerima ühistesse tööstusparkidesse, </w:t>
      </w:r>
      <w:proofErr w:type="spellStart"/>
      <w:r>
        <w:t>ökotööstuspiirkondadesse</w:t>
      </w:r>
      <w:proofErr w:type="spellEnd"/>
      <w:r>
        <w:t xml:space="preserve"> ja ühistute teadmiste jagamise platvormidesse, et ühistutel oleksid kohapeal soodsad tingimused ja et laiendada kestlikku tööstustootmist;</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nõuab ühistutele mõeldud poliitikameetmete lisamist ELi ühtekuuluvusprogrammidesse ja regionaalarengu strateegiatesse, seades esikohale ühistute juhitavad algatused, et suurendada piirkondlikku vastupanuvõimet ja kestlikkust;</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rõhutab andmepõhiste ühistute kasvavat strateegilist tähtsust ning kutsub ELi ja liikmesriikide ametiasutusi üles toetama ühiseid algatusi tööstusandmete haldamiseks ja jagamiseks;</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rõhutab, et ühistumudel pakub ainulaadset lisaväärtust tänu demokraatlikule juhtimisele, jõukuse õiglasele jaotamisele, kogukonna kaasamisele ja suurele kohanemisvõimele, tugevdades ELi strateegilist autonoomiat.</w:t>
      </w:r>
    </w:p>
    <w:p w14:paraId="7F3E40C1" w14:textId="77777777" w:rsidR="009F1AE3" w:rsidRPr="009F1AE3" w:rsidRDefault="009F1AE3" w:rsidP="009F1AE3">
      <w:pPr>
        <w:widowControl w:val="0"/>
        <w:overflowPunct w:val="0"/>
        <w:autoSpaceDE w:val="0"/>
        <w:autoSpaceDN w:val="0"/>
        <w:adjustRightInd w:val="0"/>
        <w:ind w:left="567"/>
        <w:textAlignment w:val="baseline"/>
        <w:rPr>
          <w:bCs/>
          <w:iCs/>
          <w:lang w:val="en-GB"/>
        </w:rPr>
      </w:pP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23DAFD40" w14:textId="77777777" w:rsidTr="007C5DD5">
        <w:tc>
          <w:tcPr>
            <w:tcW w:w="1077" w:type="pct"/>
          </w:tcPr>
          <w:p w14:paraId="4CF24E66" w14:textId="77777777" w:rsidR="009F1AE3" w:rsidRPr="009F1AE3" w:rsidRDefault="009F1AE3" w:rsidP="009F1AE3">
            <w:pPr>
              <w:overflowPunct w:val="0"/>
              <w:autoSpaceDE w:val="0"/>
              <w:autoSpaceDN w:val="0"/>
              <w:adjustRightInd w:val="0"/>
              <w:textAlignment w:val="baseline"/>
              <w:rPr>
                <w:i/>
              </w:rPr>
            </w:pPr>
            <w:r>
              <w:rPr>
                <w:b/>
                <w:i/>
              </w:rPr>
              <w:t>Kontaktisik</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proofErr w:type="spellStart"/>
            <w:r>
              <w:rPr>
                <w:i/>
              </w:rPr>
              <w:t>Adam</w:t>
            </w:r>
            <w:proofErr w:type="spellEnd"/>
            <w:r>
              <w:rPr>
                <w:i/>
              </w:rPr>
              <w:t xml:space="preserve"> </w:t>
            </w:r>
            <w:proofErr w:type="spellStart"/>
            <w:r>
              <w:rPr>
                <w:i/>
              </w:rPr>
              <w:t>Dorywalski</w:t>
            </w:r>
            <w:proofErr w:type="spellEnd"/>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Pr>
                <w:i/>
              </w:rPr>
              <w:t>Tel</w:t>
            </w:r>
          </w:p>
        </w:tc>
        <w:tc>
          <w:tcPr>
            <w:tcW w:w="3923" w:type="pct"/>
          </w:tcPr>
          <w:p w14:paraId="5A333E81" w14:textId="77777777" w:rsidR="009F1AE3" w:rsidRPr="009F1AE3" w:rsidRDefault="009F1AE3" w:rsidP="009F1AE3">
            <w:pPr>
              <w:overflowPunct w:val="0"/>
              <w:autoSpaceDE w:val="0"/>
              <w:autoSpaceDN w:val="0"/>
              <w:adjustRightInd w:val="0"/>
              <w:textAlignment w:val="baseline"/>
              <w:rPr>
                <w:i/>
              </w:rPr>
            </w:pPr>
            <w:r>
              <w:rPr>
                <w:i/>
              </w:rPr>
              <w:t>+32 25469397</w:t>
            </w:r>
          </w:p>
        </w:tc>
      </w:tr>
      <w:tr w:rsidR="009F1AE3" w:rsidRPr="009F1AE3" w14:paraId="7ABF5273" w14:textId="77777777" w:rsidTr="007C5DD5">
        <w:tc>
          <w:tcPr>
            <w:tcW w:w="1077" w:type="pct"/>
          </w:tcPr>
          <w:p w14:paraId="2931E696" w14:textId="77777777" w:rsidR="009F1AE3" w:rsidRPr="009F1AE3" w:rsidRDefault="009F1AE3" w:rsidP="009F1AE3">
            <w:pPr>
              <w:overflowPunct w:val="0"/>
              <w:autoSpaceDE w:val="0"/>
              <w:autoSpaceDN w:val="0"/>
              <w:adjustRightInd w:val="0"/>
              <w:textAlignment w:val="baseline"/>
              <w:rPr>
                <w:i/>
              </w:rPr>
            </w:pPr>
            <w:r>
              <w:rPr>
                <w:i/>
              </w:rPr>
              <w:t>E-post</w:t>
            </w:r>
          </w:p>
        </w:tc>
        <w:tc>
          <w:tcPr>
            <w:tcW w:w="3923" w:type="pct"/>
          </w:tcPr>
          <w:p w14:paraId="7A67CA0D" w14:textId="77777777" w:rsidR="009F1AE3" w:rsidRPr="009F1AE3" w:rsidRDefault="00BE41C1" w:rsidP="009F1AE3">
            <w:pPr>
              <w:overflowPunct w:val="0"/>
              <w:autoSpaceDE w:val="0"/>
              <w:autoSpaceDN w:val="0"/>
              <w:adjustRightInd w:val="0"/>
              <w:textAlignment w:val="baseline"/>
              <w:rPr>
                <w:i/>
              </w:rPr>
            </w:pPr>
            <w:hyperlink r:id="rId54" w:history="1">
              <w:r w:rsidR="00B55E7D">
                <w:rPr>
                  <w:i/>
                  <w:color w:val="0000FF"/>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fldSimple w:instr=" NUMPAGES ">
      <w:r w:rsidR="008541D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fldSimple w:instr=" NUMPAGES ">
      <w:r w:rsidR="008541DE">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https://eur-lex.europa.eu/legal-content/ET/TXT/?uri=legissum:4623532</w:t>
        </w:r>
      </w:hyperlink>
      <w:r>
        <w:rPr>
          <w:sz w:val="16"/>
        </w:rP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https://eur-lex.europa.eu/legal-content/ET/TXT/?uri=CELEX%3A52022XC0930%2802%29</w:t>
        </w:r>
      </w:hyperlink>
      <w:r>
        <w:rPr>
          <w:sz w:val="16"/>
        </w:rP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https://digital-strategy.ec.europa.eu/et/library/recommendation-protection-safety-and-empowerment-journalists</w:t>
        </w:r>
      </w:hyperlink>
      <w:r>
        <w:rPr>
          <w:sz w:val="16"/>
        </w:rPr>
        <w:t>.</w:t>
      </w:r>
    </w:p>
  </w:footnote>
  <w:footnote w:id="4">
    <w:p w14:paraId="026EF876" w14:textId="77777777" w:rsidR="00E972B2" w:rsidRPr="00C510E4" w:rsidRDefault="00E972B2" w:rsidP="00E972B2">
      <w:pPr>
        <w:keepLines/>
        <w:spacing w:after="60" w:line="240" w:lineRule="auto"/>
        <w:ind w:left="567" w:hanging="567"/>
      </w:pPr>
      <w:r>
        <w:rPr>
          <w:rStyle w:val="FootnoteReference"/>
        </w:rPr>
        <w:footnoteRef/>
      </w:r>
      <w:r>
        <w:tab/>
      </w:r>
      <w:r>
        <w:rPr>
          <w:sz w:val="16"/>
        </w:rPr>
        <w:t>ELT C, C/2025/114, 10.1.2025</w:t>
      </w:r>
      <w:r>
        <w:t xml:space="preserve">, ELI: </w:t>
      </w:r>
      <w:hyperlink r:id="rId4" w:history="1">
        <w:r>
          <w:rPr>
            <w:rStyle w:val="Hyperlink"/>
            <w:sz w:val="16"/>
          </w:rPr>
          <w:t>http://data.europa.eu/eli/C/2025/114/oj</w:t>
        </w:r>
      </w:hyperlink>
      <w:r>
        <w:t>.</w:t>
      </w:r>
    </w:p>
  </w:footnote>
  <w:footnote w:id="5">
    <w:p w14:paraId="01E2CCA5" w14:textId="77777777" w:rsidR="00836765" w:rsidRPr="00360DD3" w:rsidRDefault="00836765" w:rsidP="00836765">
      <w:pPr>
        <w:pStyle w:val="FootnoteText"/>
      </w:pPr>
      <w:r>
        <w:rPr>
          <w:rStyle w:val="FootnoteReference"/>
        </w:rPr>
        <w:footnoteRef/>
      </w:r>
      <w:r>
        <w:tab/>
        <w:t xml:space="preserve">Euroopa Majandus- ja Sotsiaalkomitee omaalgatuslik arvamus </w:t>
      </w:r>
      <w:hyperlink r:id="rId5" w:anchor=":~:text=The%20only%20reliable%20way%20to%20preserve%20the%20rainforests%20is%20through" w:history="1">
        <w:r>
          <w:rPr>
            <w:rStyle w:val="Hyperlink"/>
          </w:rPr>
          <w:t>„Amazonase vihmametsa raadamine – mõju kliimamuutustele ja maailma keskkonnale, tagajärjed ettevõtjatele, töötajatele ja elanikkonnale“</w:t>
        </w:r>
      </w:hyperlink>
      <w:r>
        <w:t xml:space="preserve">, </w:t>
      </w:r>
      <w:hyperlink r:id="rId6" w:history="1">
        <w:r>
          <w:rPr>
            <w:rStyle w:val="Hyperlink"/>
          </w:rPr>
          <w:t>ELT C/2024/6882, 28.11.2024</w:t>
        </w:r>
      </w:hyperlink>
      <w:r>
        <w:t>.</w:t>
      </w:r>
    </w:p>
  </w:footnote>
  <w:footnote w:id="6">
    <w:p w14:paraId="74D17928" w14:textId="77777777" w:rsidR="00836765" w:rsidRPr="00360DD3" w:rsidRDefault="00836765" w:rsidP="00836765">
      <w:pPr>
        <w:pStyle w:val="FootnoteText"/>
      </w:pPr>
      <w:r>
        <w:rPr>
          <w:rStyle w:val="FootnoteReference"/>
        </w:rPr>
        <w:footnoteRef/>
      </w:r>
      <w:r>
        <w:tab/>
        <w:t xml:space="preserve">Euroopa Majandus- ja Sotsiaalkomitee arvamus teemal </w:t>
      </w:r>
      <w:hyperlink r:id="rId7" w:history="1">
        <w:r>
          <w:rPr>
            <w:rStyle w:val="Hyperlink"/>
          </w:rPr>
          <w:t>„ELi turule lastud toodetest tuleneva raadamise ja metsade degradeerumise riski minimeerimine“</w:t>
        </w:r>
      </w:hyperlink>
      <w:r>
        <w:t xml:space="preserve">, </w:t>
      </w:r>
      <w:hyperlink r:id="rId8" w:history="1">
        <w:r>
          <w:rPr>
            <w:rStyle w:val="Hyperlink"/>
          </w:rPr>
          <w:t>ELT C 275, 18.7.2022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5"/>
  </w:num>
  <w:num w:numId="3">
    <w:abstractNumId w:val="3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6"/>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8"/>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24"/>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29"/>
  </w:num>
  <w:num w:numId="22">
    <w:abstractNumId w:val="12"/>
  </w:num>
  <w:num w:numId="23">
    <w:abstractNumId w:val="31"/>
  </w:num>
  <w:num w:numId="24">
    <w:abstractNumId w:val="27"/>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02D8"/>
    <w:rsid w:val="001E391D"/>
    <w:rsid w:val="00237C67"/>
    <w:rsid w:val="002A5636"/>
    <w:rsid w:val="002B0636"/>
    <w:rsid w:val="002B5AEF"/>
    <w:rsid w:val="002B7981"/>
    <w:rsid w:val="002D3663"/>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96C92"/>
    <w:rsid w:val="00AA61BE"/>
    <w:rsid w:val="00B203DA"/>
    <w:rsid w:val="00B3176C"/>
    <w:rsid w:val="00B518C9"/>
    <w:rsid w:val="00B55E7D"/>
    <w:rsid w:val="00B730AD"/>
    <w:rsid w:val="00B8543B"/>
    <w:rsid w:val="00B94F6D"/>
    <w:rsid w:val="00BA2A2C"/>
    <w:rsid w:val="00BC676C"/>
    <w:rsid w:val="00BE41C1"/>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1E02D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t/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t/our-work/opinions-information-reports/opinions/single-market-strategy" TargetMode="External"/><Relationship Id="rId42" Type="http://schemas.openxmlformats.org/officeDocument/2006/relationships/hyperlink" Target="https://www.eesc.europa.eu/et/our-work/opinions-information-reports/opinions/amendment-deforestation-regulation-eu-20231115" TargetMode="External"/><Relationship Id="rId47" Type="http://schemas.openxmlformats.org/officeDocument/2006/relationships/hyperlink" Target="https://www.eesc.europa.eu/et/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et/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t/our-work/opinions-information-reports/opinions/labour-rights-journalists-and-media-professionals-safeguard-independence-and-truthful-information" TargetMode="External"/><Relationship Id="rId32" Type="http://schemas.openxmlformats.org/officeDocument/2006/relationships/hyperlink" Target="https://www.eesc.europa.eu/et/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et/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et/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t/our-work/opinions-information-reports/opinions/co2-emission-class-heavy-duty-vehicles-trailers-0" TargetMode="External"/><Relationship Id="rId36" Type="http://schemas.openxmlformats.org/officeDocument/2006/relationships/hyperlink" Target="https://www.eesc.europa.eu/et/our-work/opinions-information-reports/opinions/report-competition-policy-2024" TargetMode="External"/><Relationship Id="rId49" Type="http://schemas.openxmlformats.org/officeDocument/2006/relationships/hyperlink" Target="https://www.eesc.europa.eu/et/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et/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t/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et/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e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et/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uriserv%3AOJ.C_.2022.275.01.0088.01.ENG&amp;toc=OJ%3AC%3A2022%3A275%3ATOC" TargetMode="External"/><Relationship Id="rId3" Type="http://schemas.openxmlformats.org/officeDocument/2006/relationships/hyperlink" Target="https://digital-strategy.ec.europa.eu/et/library/recommendation-protection-safety-and-empowerment-journalists" TargetMode="External"/><Relationship Id="rId7" Type="http://schemas.openxmlformats.org/officeDocument/2006/relationships/hyperlink" Target="https://www.eesc.europa.eu/et/our-work/opinions-information-reports/opinions/minimising-risk-deforestation-and-forest-degradation-associated-products-placed-eu-market" TargetMode="External"/><Relationship Id="rId2" Type="http://schemas.openxmlformats.org/officeDocument/2006/relationships/hyperlink" Target="https://eur-lex.europa.eu/legal-content/ET/TXT/?uri=CELEX%3A52022XC0930%2802%29" TargetMode="External"/><Relationship Id="rId1" Type="http://schemas.openxmlformats.org/officeDocument/2006/relationships/hyperlink" Target="https://eur-lex.europa.eu/legal-content/ET/TXT/?uri=legissum:4623532" TargetMode="External"/><Relationship Id="rId6" Type="http://schemas.openxmlformats.org/officeDocument/2006/relationships/hyperlink" Target="https://eur-lex.europa.eu/legal-content/ET/TXT/?uri=OJ:C_202406882" TargetMode="External"/><Relationship Id="rId5" Type="http://schemas.openxmlformats.org/officeDocument/2006/relationships/hyperlink" Target="https://www.eesc.europa.eu/et/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A6WAAD5KZT2Q-284857674-6431</_dlc_DocId>
    <_dlc_DocIdUrl xmlns="1a33af13-4045-4f88-9d7b-618e30f79918">
      <Url>http://dm/eesc/2025/_layouts/15/DocIdRedir.aspx?ID=A6WAAD5KZT2Q-284857674-6431</Url>
      <Description>A6WAAD5KZT2Q-284857674-6431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Veermäe Ülle</DisplayName>
        <AccountId>1582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CE4A9-9611-46ED-B05D-FE2C193B0697}"/>
</file>

<file path=customXml/itemProps2.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6524</Words>
  <Characters>37840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Vastuvõetud arvamuste kokkuvõte - täiskogu 601. istungjärk - detsember 2025</dc:title>
  <dc:subject>ADMIN</dc:subject>
  <dc:creator/>
  <cp:keywords>COR-EESC-2022-02583-00-00-ADMIN-TRA-EN</cp:keywords>
  <dc:description>Rapporteur:  - Original language: EN - Date of document: 20/05/2022 - Date of meeting:  - External documents:  - Administrator:  SUCIU Serban</dc:description>
  <cp:lastModifiedBy/>
  <cp:revision>7</cp:revision>
  <dcterms:created xsi:type="dcterms:W3CDTF">2025-12-15T10:39:00Z</dcterms:created>
  <dcterms:modified xsi:type="dcterms:W3CDTF">2025-12-22T08:38:00Z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45c78880-804d-43e0-bc4b-361036aebad5</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36;#RO|feb747a2-64cd-4299-af12-4833ddc30497;#40;#DA|5d49c027-8956-412b-aa16-e85a0f96ad0e;#39;#LV|46f7e311-5d9f-4663-b433-18aeccb7ace7;#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41;#ET|ff6c3f4c-b02c-4c3c-ab07-2c37995a7a0a</vt:lpwstr>
  </property>
  <property fmtid="{D5CDD505-2E9C-101B-9397-08002B2CF9AE}" pid="33" name="AvailableTranslations_0">
    <vt:lpwstr>LT|a7ff5ce7-6123-4f68-865a-a57c31810414;SV|c2ed69e7-a339-43d7-8f22-d93680a92aa0;NL|55c6556c-b4f4-441d-9acf-c498d4f838bd;EN|f2175f21-25d7-44a3-96da-d6a61b075e1b;FI|87606a43-d45f-42d6-b8c9-e1a3457db5b7;LV|46f7e311-5d9f-4663-b433-18aeccb7ace7;DA|5d49c027-8956-412b-aa16-e85a0f96ad0e;EL|6d4f4d51-af9b-4650-94b4-4276bee85c91;IT|0774613c-01ed-4e5d-a25d-11d2388de825;FR|d2afafd3-4c81-4f60-8f52-ee33f2f54ff3;HR|2f555653-ed1a-4fe6-8362-9082d95989e5;SL|98a412ae-eb01-49e9-ae3d-585a81724cfc;HU|6b229040-c589-4408-b4c1-4285663d20a8;RO|feb747a2-64cd-4299-af12-4833ddc30497;ES|e7a6b05b-ae16-40c8-add9-68b64b03aeba;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