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DD4D" w14:textId="5243E404" w:rsidR="004D7AC0" w:rsidRDefault="00E167DC" w:rsidP="004D7AC0">
      <w:pPr>
        <w:jc w:val="center"/>
      </w:pPr>
      <w:r>
        <w:rPr>
          <w:noProof/>
        </w:rPr>
        <w:drawing>
          <wp:inline distT="0" distB="0" distL="0" distR="0" wp14:anchorId="7A8BA2AA" wp14:editId="1EDAFDB6">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Picture 1" title="EESCLogo_E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4D7AC0">
        <w:rPr>
          <w:noProof/>
          <w:sz w:val="20"/>
        </w:rPr>
        <mc:AlternateContent>
          <mc:Choice Requires="wps">
            <w:drawing>
              <wp:anchor distT="0" distB="0" distL="114300" distR="114300" simplePos="0" relativeHeight="251659264" behindDoc="1" locked="0" layoutInCell="0" allowOverlap="1" wp14:anchorId="4982DE48" wp14:editId="118F5070">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82DE48" id="_x0000_t202" coordsize="21600,21600" o:spt="202" path="m,l,21600r21600,l21600,xe">
                <v:stroke joinstyle="miter"/>
                <v:path gradientshapeok="t" o:connecttype="rect"/>
              </v:shapetype>
              <v:shape id="Text Box 17" o:spid="_x0000_s1026" type="#_x0000_t202"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4982DE54" w14:textId="77777777" w:rsidR="004D7AC0" w:rsidRPr="00260E65" w:rsidRDefault="004D7AC0" w:rsidP="004D7AC0">
                      <w:pPr>
                        <w:jc w:val="center"/>
                        <w:rPr>
                          <w:rFonts w:ascii="Arial" w:hAnsi="Arial" w:cs="Arial"/>
                          <w:b/>
                          <w:bCs/>
                          <w:sz w:val="48"/>
                        </w:rPr>
                      </w:pPr>
                      <w:r>
                        <w:rPr>
                          <w:rFonts w:ascii="Arial" w:hAnsi="Arial"/>
                          <w:b/>
                          <w:sz w:val="48"/>
                        </w:rPr>
                        <w:t>ES</w:t>
                      </w:r>
                    </w:p>
                  </w:txbxContent>
                </v:textbox>
                <w10:wrap anchorx="page" anchory="page"/>
              </v:shape>
            </w:pict>
          </mc:Fallback>
        </mc:AlternateContent>
      </w:r>
    </w:p>
    <w:p w14:paraId="4982DD4E" w14:textId="77777777" w:rsidR="004D7AC0" w:rsidRDefault="004D7AC0" w:rsidP="004D7AC0"/>
    <w:p w14:paraId="4982DD4F" w14:textId="583AC3F3" w:rsidR="004D7AC0" w:rsidRDefault="004D7AC0" w:rsidP="004D7AC0">
      <w:pPr>
        <w:jc w:val="right"/>
      </w:pPr>
      <w:r>
        <w:t>Bruselas, 17 de diciembre de 2025</w:t>
      </w:r>
    </w:p>
    <w:p w14:paraId="4982DD50" w14:textId="77777777" w:rsidR="004D7AC0" w:rsidRDefault="004D7AC0" w:rsidP="004D7AC0"/>
    <w:p w14:paraId="4982DD51" w14:textId="77777777" w:rsidR="004D7AC0" w:rsidRDefault="004D7AC0" w:rsidP="004D7AC0"/>
    <w:p w14:paraId="4982DD52" w14:textId="77777777" w:rsidR="004D7AC0" w:rsidRDefault="004D7AC0" w:rsidP="004D7AC0"/>
    <w:tbl>
      <w:tblPr>
        <w:tblW w:w="0" w:type="auto"/>
        <w:tblLook w:val="04A0" w:firstRow="1" w:lastRow="0" w:firstColumn="1" w:lastColumn="0" w:noHBand="0" w:noVBand="1"/>
      </w:tblPr>
      <w:tblGrid>
        <w:gridCol w:w="9289"/>
      </w:tblGrid>
      <w:tr w:rsidR="004D7AC0" w14:paraId="4982DD59" w14:textId="77777777" w:rsidTr="00600C84">
        <w:tc>
          <w:tcPr>
            <w:tcW w:w="9289" w:type="dxa"/>
            <w:tcBorders>
              <w:bottom w:val="double" w:sz="4" w:space="0" w:color="auto"/>
            </w:tcBorders>
          </w:tcPr>
          <w:p w14:paraId="4982DD53" w14:textId="02802AB8" w:rsidR="003066BE" w:rsidRDefault="00340927" w:rsidP="00600C84">
            <w:pPr>
              <w:snapToGrid w:val="0"/>
              <w:jc w:val="center"/>
              <w:rPr>
                <w:b/>
                <w:sz w:val="32"/>
                <w:szCs w:val="32"/>
              </w:rPr>
            </w:pPr>
            <w:r>
              <w:rPr>
                <w:b/>
                <w:sz w:val="32"/>
              </w:rPr>
              <w:t>601.º PLENO</w:t>
            </w:r>
          </w:p>
          <w:p w14:paraId="4982DD54" w14:textId="77777777" w:rsidR="003066BE" w:rsidRDefault="003066BE" w:rsidP="00600C84">
            <w:pPr>
              <w:snapToGrid w:val="0"/>
              <w:jc w:val="center"/>
              <w:rPr>
                <w:b/>
                <w:sz w:val="32"/>
                <w:szCs w:val="32"/>
              </w:rPr>
            </w:pPr>
          </w:p>
          <w:p w14:paraId="4982DD55" w14:textId="2F334972" w:rsidR="003066BE" w:rsidRDefault="00340927" w:rsidP="00600C84">
            <w:pPr>
              <w:snapToGrid w:val="0"/>
              <w:jc w:val="center"/>
              <w:rPr>
                <w:b/>
                <w:sz w:val="32"/>
                <w:szCs w:val="32"/>
              </w:rPr>
            </w:pPr>
            <w:r>
              <w:rPr>
                <w:b/>
                <w:sz w:val="32"/>
              </w:rPr>
              <w:t>3 y 4 de diciembre de 2025</w:t>
            </w:r>
          </w:p>
          <w:p w14:paraId="4982DD56" w14:textId="77777777" w:rsidR="003066BE" w:rsidRDefault="003066BE" w:rsidP="00600C84">
            <w:pPr>
              <w:snapToGrid w:val="0"/>
              <w:jc w:val="center"/>
              <w:rPr>
                <w:b/>
                <w:sz w:val="32"/>
                <w:szCs w:val="32"/>
              </w:rPr>
            </w:pPr>
          </w:p>
          <w:p w14:paraId="4982DD57" w14:textId="5A35E792" w:rsidR="004D7AC0" w:rsidRPr="0081153B" w:rsidRDefault="00754027" w:rsidP="00600C84">
            <w:pPr>
              <w:snapToGrid w:val="0"/>
              <w:jc w:val="center"/>
              <w:rPr>
                <w:rFonts w:eastAsia="MS Mincho"/>
                <w:b/>
                <w:sz w:val="32"/>
                <w:szCs w:val="32"/>
              </w:rPr>
            </w:pPr>
            <w:r>
              <w:rPr>
                <w:b/>
                <w:sz w:val="32"/>
              </w:rPr>
              <w:t>SÍNTESIS DE LOS DICTÁMENES Y RESOLUCIONES APROBADOS Y DE LOS INFORMES DE EVALUACIÓN</w:t>
            </w:r>
          </w:p>
          <w:p w14:paraId="4982DD58" w14:textId="77777777" w:rsidR="004D7AC0" w:rsidRDefault="004D7AC0" w:rsidP="00600C84">
            <w:pPr>
              <w:snapToGrid w:val="0"/>
            </w:pPr>
          </w:p>
        </w:tc>
      </w:tr>
      <w:tr w:rsidR="004D7AC0" w14:paraId="4982DD5F" w14:textId="77777777" w:rsidTr="00600C84">
        <w:tc>
          <w:tcPr>
            <w:tcW w:w="9289" w:type="dxa"/>
            <w:tcBorders>
              <w:top w:val="double" w:sz="4" w:space="0" w:color="auto"/>
              <w:left w:val="double" w:sz="4" w:space="0" w:color="auto"/>
              <w:bottom w:val="double" w:sz="4" w:space="0" w:color="auto"/>
              <w:right w:val="double" w:sz="4" w:space="0" w:color="auto"/>
            </w:tcBorders>
          </w:tcPr>
          <w:p w14:paraId="4982DD5A" w14:textId="0C0FF99D" w:rsidR="004D7AC0" w:rsidRPr="0081153B" w:rsidRDefault="004D7AC0" w:rsidP="00600C84">
            <w:pPr>
              <w:snapToGrid w:val="0"/>
              <w:jc w:val="center"/>
            </w:pPr>
            <w:r>
              <w:t xml:space="preserve">Este documento puede consultarse en todas las lenguas oficiales de la Unión Europea en el sitio internet del CESE en la siguiente dirección: </w:t>
            </w:r>
            <w:r>
              <w:br/>
            </w:r>
            <w:r>
              <w:br/>
            </w:r>
            <w:hyperlink r:id="rId12" w:history="1">
              <w:r>
                <w:rPr>
                  <w:rStyle w:val="Hyperlink"/>
                </w:rPr>
                <w:t>https://www.eesc.europa.eu/es/our-work/opinions-information-reports/plenary-session-summaries</w:t>
              </w:r>
            </w:hyperlink>
          </w:p>
          <w:p w14:paraId="4982DD5B" w14:textId="77777777" w:rsidR="004D7AC0" w:rsidRPr="0081153B" w:rsidRDefault="004D7AC0" w:rsidP="00600C84">
            <w:pPr>
              <w:snapToGrid w:val="0"/>
              <w:jc w:val="center"/>
            </w:pPr>
          </w:p>
          <w:p w14:paraId="4982DD5C" w14:textId="77777777" w:rsidR="004D7AC0" w:rsidRPr="0081153B" w:rsidRDefault="004D7AC0" w:rsidP="00600C84">
            <w:pPr>
              <w:snapToGrid w:val="0"/>
              <w:jc w:val="center"/>
              <w:rPr>
                <w:rFonts w:eastAsia="SimSun"/>
              </w:rPr>
            </w:pPr>
          </w:p>
          <w:p w14:paraId="4982DD5D" w14:textId="77777777" w:rsidR="004D7AC0" w:rsidRPr="00044561" w:rsidRDefault="004D7AC0" w:rsidP="00600C84">
            <w:pPr>
              <w:snapToGrid w:val="0"/>
              <w:jc w:val="center"/>
            </w:pPr>
            <w:r>
              <w:t xml:space="preserve">Los dictámenes mencionados pueden consultarse en línea </w:t>
            </w:r>
            <w:r>
              <w:br/>
              <w:t>utilizando el motor de búsqueda del CESE:</w:t>
            </w:r>
            <w:r>
              <w:br/>
            </w:r>
            <w:r>
              <w:br/>
            </w:r>
            <w:hyperlink r:id="rId13" w:history="1">
              <w:r>
                <w:rPr>
                  <w:rStyle w:val="Hyperlink"/>
                </w:rPr>
                <w:t>https://dmsearch.eesc.europa.eu/search/opinion</w:t>
              </w:r>
            </w:hyperlink>
          </w:p>
          <w:p w14:paraId="4982DD5E" w14:textId="77777777" w:rsidR="004D7AC0" w:rsidRPr="00044561" w:rsidRDefault="004D7AC0" w:rsidP="00600C84">
            <w:pPr>
              <w:snapToGrid w:val="0"/>
              <w:jc w:val="center"/>
            </w:pPr>
          </w:p>
        </w:tc>
      </w:tr>
    </w:tbl>
    <w:p w14:paraId="4982DD60" w14:textId="77777777" w:rsidR="004D7AC0" w:rsidRDefault="004D7AC0" w:rsidP="004D7AC0"/>
    <w:p w14:paraId="4982DD61" w14:textId="77777777" w:rsidR="004D7AC0" w:rsidRDefault="004D7AC0" w:rsidP="004D7AC0"/>
    <w:p w14:paraId="4982DD62" w14:textId="77777777" w:rsidR="004D7AC0" w:rsidRDefault="004D7AC0" w:rsidP="004D7AC0">
      <w:pPr>
        <w:sectPr w:rsidR="004D7AC0" w:rsidSect="00EE6F0B">
          <w:headerReference w:type="even" r:id="rId14"/>
          <w:headerReference w:type="default" r:id="rId15"/>
          <w:footerReference w:type="even" r:id="rId16"/>
          <w:footerReference w:type="default" r:id="rId17"/>
          <w:headerReference w:type="first" r:id="rId18"/>
          <w:footerReference w:type="first" r:id="rId19"/>
          <w:pgSz w:w="11907" w:h="16839"/>
          <w:pgMar w:top="1417" w:right="1417" w:bottom="1417" w:left="1417" w:header="709" w:footer="709" w:gutter="0"/>
          <w:pgNumType w:start="1"/>
          <w:cols w:space="708"/>
          <w:docGrid w:linePitch="360"/>
        </w:sectPr>
      </w:pPr>
    </w:p>
    <w:p w14:paraId="4982DD63" w14:textId="77777777" w:rsidR="004D7AC0" w:rsidRPr="00A81AFE" w:rsidRDefault="004D7AC0" w:rsidP="004D7AC0">
      <w:pPr>
        <w:rPr>
          <w:b/>
        </w:rPr>
      </w:pPr>
      <w:r>
        <w:rPr>
          <w:b/>
        </w:rPr>
        <w:lastRenderedPageBreak/>
        <w:t>Índice:</w:t>
      </w:r>
    </w:p>
    <w:sdt>
      <w:sdtPr>
        <w:rPr>
          <w:rFonts w:ascii="Times New Roman" w:eastAsia="Times New Roman" w:hAnsi="Times New Roman" w:cs="Times New Roman"/>
          <w:color w:val="auto"/>
          <w:sz w:val="22"/>
          <w:szCs w:val="22"/>
        </w:rPr>
        <w:id w:val="-17007477"/>
        <w:docPartObj>
          <w:docPartGallery w:val="Table of Contents"/>
          <w:docPartUnique/>
        </w:docPartObj>
      </w:sdtPr>
      <w:sdtEndPr>
        <w:rPr>
          <w:b/>
          <w:bCs/>
          <w:noProof/>
        </w:rPr>
      </w:sdtEndPr>
      <w:sdtContent>
        <w:p w14:paraId="4982DD64" w14:textId="77777777" w:rsidR="004D7AC0" w:rsidRPr="00A81AFE" w:rsidRDefault="004D7AC0" w:rsidP="00934A52">
          <w:pPr>
            <w:pStyle w:val="TOCHeading"/>
            <w:pageBreakBefore w:val="0"/>
            <w:rPr>
              <w:rFonts w:ascii="Times New Roman" w:hAnsi="Times New Roman" w:cs="Times New Roman"/>
              <w:color w:val="auto"/>
              <w:sz w:val="22"/>
              <w:szCs w:val="22"/>
            </w:rPr>
          </w:pPr>
        </w:p>
        <w:p w14:paraId="56DDBDE3" w14:textId="31072E82" w:rsidR="00934A52" w:rsidRDefault="004D7AC0">
          <w:pPr>
            <w:pStyle w:val="TOC1"/>
            <w:tabs>
              <w:tab w:val="left" w:pos="440"/>
              <w:tab w:val="right" w:leader="dot" w:pos="9063"/>
            </w:tabs>
            <w:rPr>
              <w:rFonts w:asciiTheme="minorHAnsi" w:eastAsiaTheme="minorEastAsia" w:hAnsiTheme="minorHAnsi" w:cstheme="minorBidi"/>
              <w:noProof/>
              <w:lang w:val="fr-BE" w:eastAsia="fr-BE"/>
            </w:rPr>
          </w:pPr>
          <w:r>
            <w:fldChar w:fldCharType="begin"/>
          </w:r>
          <w:r>
            <w:instrText xml:space="preserve"> TOC \o "1-3" \h \z \u </w:instrText>
          </w:r>
          <w:r>
            <w:fldChar w:fldCharType="separate"/>
          </w:r>
          <w:hyperlink w:anchor="_Toc216951821" w:history="1">
            <w:r w:rsidR="00934A52" w:rsidRPr="00991EC2">
              <w:rPr>
                <w:rStyle w:val="Hyperlink"/>
                <w:b/>
                <w:noProof/>
              </w:rPr>
              <w:t>1.</w:t>
            </w:r>
            <w:r w:rsidR="00934A52">
              <w:rPr>
                <w:rFonts w:asciiTheme="minorHAnsi" w:eastAsiaTheme="minorEastAsia" w:hAnsiTheme="minorHAnsi" w:cstheme="minorBidi"/>
                <w:noProof/>
                <w:lang w:val="fr-BE" w:eastAsia="fr-BE"/>
              </w:rPr>
              <w:tab/>
            </w:r>
            <w:r w:rsidR="00934A52" w:rsidRPr="00991EC2">
              <w:rPr>
                <w:rStyle w:val="Hyperlink"/>
                <w:b/>
                <w:noProof/>
              </w:rPr>
              <w:t>UNIÓN ECONÓMICA Y MONETARIA Y COHESIÓN ECONÓMICA Y SOCIAL</w:t>
            </w:r>
            <w:r w:rsidR="00934A52">
              <w:rPr>
                <w:noProof/>
                <w:webHidden/>
              </w:rPr>
              <w:tab/>
            </w:r>
            <w:r w:rsidR="00934A52">
              <w:rPr>
                <w:noProof/>
                <w:webHidden/>
              </w:rPr>
              <w:fldChar w:fldCharType="begin"/>
            </w:r>
            <w:r w:rsidR="00934A52">
              <w:rPr>
                <w:noProof/>
                <w:webHidden/>
              </w:rPr>
              <w:instrText xml:space="preserve"> PAGEREF _Toc216951821 \h </w:instrText>
            </w:r>
            <w:r w:rsidR="00934A52">
              <w:rPr>
                <w:noProof/>
                <w:webHidden/>
              </w:rPr>
            </w:r>
            <w:r w:rsidR="00934A52">
              <w:rPr>
                <w:noProof/>
                <w:webHidden/>
              </w:rPr>
              <w:fldChar w:fldCharType="separate"/>
            </w:r>
            <w:r w:rsidR="00DE6797">
              <w:rPr>
                <w:noProof/>
                <w:webHidden/>
              </w:rPr>
              <w:t>3</w:t>
            </w:r>
            <w:r w:rsidR="00934A52">
              <w:rPr>
                <w:noProof/>
                <w:webHidden/>
              </w:rPr>
              <w:fldChar w:fldCharType="end"/>
            </w:r>
          </w:hyperlink>
        </w:p>
        <w:p w14:paraId="13CA9FE2" w14:textId="5E3691AB"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2" w:history="1">
            <w:r w:rsidR="00934A52" w:rsidRPr="00991EC2">
              <w:rPr>
                <w:rStyle w:val="Hyperlink"/>
                <w:b/>
                <w:noProof/>
              </w:rPr>
              <w:t>2.</w:t>
            </w:r>
            <w:r w:rsidR="00934A52">
              <w:rPr>
                <w:rFonts w:asciiTheme="minorHAnsi" w:eastAsiaTheme="minorEastAsia" w:hAnsiTheme="minorHAnsi" w:cstheme="minorBidi"/>
                <w:noProof/>
                <w:lang w:val="fr-BE" w:eastAsia="fr-BE"/>
              </w:rPr>
              <w:tab/>
            </w:r>
            <w:r w:rsidR="00934A52" w:rsidRPr="00991EC2">
              <w:rPr>
                <w:rStyle w:val="Hyperlink"/>
                <w:b/>
                <w:noProof/>
              </w:rPr>
              <w:t>EMPLEO, ASUNTOS SOCIALES Y CIUDADANÍA</w:t>
            </w:r>
            <w:r w:rsidR="00934A52">
              <w:rPr>
                <w:noProof/>
                <w:webHidden/>
              </w:rPr>
              <w:tab/>
            </w:r>
            <w:r w:rsidR="00934A52">
              <w:rPr>
                <w:noProof/>
                <w:webHidden/>
              </w:rPr>
              <w:fldChar w:fldCharType="begin"/>
            </w:r>
            <w:r w:rsidR="00934A52">
              <w:rPr>
                <w:noProof/>
                <w:webHidden/>
              </w:rPr>
              <w:instrText xml:space="preserve"> PAGEREF _Toc216951822 \h </w:instrText>
            </w:r>
            <w:r w:rsidR="00934A52">
              <w:rPr>
                <w:noProof/>
                <w:webHidden/>
              </w:rPr>
            </w:r>
            <w:r w:rsidR="00934A52">
              <w:rPr>
                <w:noProof/>
                <w:webHidden/>
              </w:rPr>
              <w:fldChar w:fldCharType="separate"/>
            </w:r>
            <w:r w:rsidR="00DE6797">
              <w:rPr>
                <w:noProof/>
                <w:webHidden/>
              </w:rPr>
              <w:t>7</w:t>
            </w:r>
            <w:r w:rsidR="00934A52">
              <w:rPr>
                <w:noProof/>
                <w:webHidden/>
              </w:rPr>
              <w:fldChar w:fldCharType="end"/>
            </w:r>
          </w:hyperlink>
        </w:p>
        <w:p w14:paraId="5F646296" w14:textId="20AA2A29"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3" w:history="1">
            <w:r w:rsidR="00934A52" w:rsidRPr="00991EC2">
              <w:rPr>
                <w:rStyle w:val="Hyperlink"/>
                <w:b/>
                <w:noProof/>
              </w:rPr>
              <w:t>3.</w:t>
            </w:r>
            <w:r w:rsidR="00934A52">
              <w:rPr>
                <w:rFonts w:asciiTheme="minorHAnsi" w:eastAsiaTheme="minorEastAsia" w:hAnsiTheme="minorHAnsi" w:cstheme="minorBidi"/>
                <w:noProof/>
                <w:lang w:val="fr-BE" w:eastAsia="fr-BE"/>
              </w:rPr>
              <w:tab/>
            </w:r>
            <w:r w:rsidR="00934A52" w:rsidRPr="00991EC2">
              <w:rPr>
                <w:rStyle w:val="Hyperlink"/>
                <w:b/>
                <w:noProof/>
              </w:rPr>
              <w:t>TRANSPORTE, ENERGÍA, INFRAESTRUCTURAS Y SOCIEDAD DE LA INFORMACIÓN</w:t>
            </w:r>
            <w:r w:rsidR="00934A52">
              <w:rPr>
                <w:noProof/>
                <w:webHidden/>
              </w:rPr>
              <w:tab/>
            </w:r>
            <w:r w:rsidR="00934A52">
              <w:rPr>
                <w:noProof/>
                <w:webHidden/>
              </w:rPr>
              <w:fldChar w:fldCharType="begin"/>
            </w:r>
            <w:r w:rsidR="00934A52">
              <w:rPr>
                <w:noProof/>
                <w:webHidden/>
              </w:rPr>
              <w:instrText xml:space="preserve"> PAGEREF _Toc216951823 \h </w:instrText>
            </w:r>
            <w:r w:rsidR="00934A52">
              <w:rPr>
                <w:noProof/>
                <w:webHidden/>
              </w:rPr>
            </w:r>
            <w:r w:rsidR="00934A52">
              <w:rPr>
                <w:noProof/>
                <w:webHidden/>
              </w:rPr>
              <w:fldChar w:fldCharType="separate"/>
            </w:r>
            <w:r w:rsidR="00DE6797">
              <w:rPr>
                <w:noProof/>
                <w:webHidden/>
              </w:rPr>
              <w:t>11</w:t>
            </w:r>
            <w:r w:rsidR="00934A52">
              <w:rPr>
                <w:noProof/>
                <w:webHidden/>
              </w:rPr>
              <w:fldChar w:fldCharType="end"/>
            </w:r>
          </w:hyperlink>
        </w:p>
        <w:p w14:paraId="29270B41" w14:textId="5B60EC02"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4" w:history="1">
            <w:r w:rsidR="00934A52" w:rsidRPr="00991EC2">
              <w:rPr>
                <w:rStyle w:val="Hyperlink"/>
                <w:b/>
                <w:noProof/>
              </w:rPr>
              <w:t>4.</w:t>
            </w:r>
            <w:r w:rsidR="00934A52">
              <w:rPr>
                <w:rFonts w:asciiTheme="minorHAnsi" w:eastAsiaTheme="minorEastAsia" w:hAnsiTheme="minorHAnsi" w:cstheme="minorBidi"/>
                <w:noProof/>
                <w:lang w:val="fr-BE" w:eastAsia="fr-BE"/>
              </w:rPr>
              <w:tab/>
            </w:r>
            <w:r w:rsidR="00934A52" w:rsidRPr="00991EC2">
              <w:rPr>
                <w:rStyle w:val="Hyperlink"/>
                <w:b/>
                <w:noProof/>
              </w:rPr>
              <w:t>MERCADO ÚNICO, PRODUCCIÓN Y CONSUMO</w:t>
            </w:r>
            <w:r w:rsidR="00934A52">
              <w:rPr>
                <w:noProof/>
                <w:webHidden/>
              </w:rPr>
              <w:tab/>
            </w:r>
            <w:r w:rsidR="00934A52">
              <w:rPr>
                <w:noProof/>
                <w:webHidden/>
              </w:rPr>
              <w:fldChar w:fldCharType="begin"/>
            </w:r>
            <w:r w:rsidR="00934A52">
              <w:rPr>
                <w:noProof/>
                <w:webHidden/>
              </w:rPr>
              <w:instrText xml:space="preserve"> PAGEREF _Toc216951824 \h </w:instrText>
            </w:r>
            <w:r w:rsidR="00934A52">
              <w:rPr>
                <w:noProof/>
                <w:webHidden/>
              </w:rPr>
            </w:r>
            <w:r w:rsidR="00934A52">
              <w:rPr>
                <w:noProof/>
                <w:webHidden/>
              </w:rPr>
              <w:fldChar w:fldCharType="separate"/>
            </w:r>
            <w:r w:rsidR="00DE6797">
              <w:rPr>
                <w:noProof/>
                <w:webHidden/>
              </w:rPr>
              <w:t>14</w:t>
            </w:r>
            <w:r w:rsidR="00934A52">
              <w:rPr>
                <w:noProof/>
                <w:webHidden/>
              </w:rPr>
              <w:fldChar w:fldCharType="end"/>
            </w:r>
          </w:hyperlink>
        </w:p>
        <w:p w14:paraId="59E792A1" w14:textId="4535D716"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5" w:history="1">
            <w:r w:rsidR="00934A52" w:rsidRPr="00991EC2">
              <w:rPr>
                <w:rStyle w:val="Hyperlink"/>
                <w:b/>
                <w:noProof/>
              </w:rPr>
              <w:t>5.</w:t>
            </w:r>
            <w:r w:rsidR="00934A52">
              <w:rPr>
                <w:rFonts w:asciiTheme="minorHAnsi" w:eastAsiaTheme="minorEastAsia" w:hAnsiTheme="minorHAnsi" w:cstheme="minorBidi"/>
                <w:noProof/>
                <w:lang w:val="fr-BE" w:eastAsia="fr-BE"/>
              </w:rPr>
              <w:tab/>
            </w:r>
            <w:r w:rsidR="00934A52" w:rsidRPr="00991EC2">
              <w:rPr>
                <w:rStyle w:val="Hyperlink"/>
                <w:b/>
                <w:noProof/>
              </w:rPr>
              <w:t>AGRICULTURA, DESARROLLO RURAL Y MEDIO AMBIENTE</w:t>
            </w:r>
            <w:r w:rsidR="00934A52">
              <w:rPr>
                <w:noProof/>
                <w:webHidden/>
              </w:rPr>
              <w:tab/>
            </w:r>
            <w:r w:rsidR="00934A52">
              <w:rPr>
                <w:noProof/>
                <w:webHidden/>
              </w:rPr>
              <w:fldChar w:fldCharType="begin"/>
            </w:r>
            <w:r w:rsidR="00934A52">
              <w:rPr>
                <w:noProof/>
                <w:webHidden/>
              </w:rPr>
              <w:instrText xml:space="preserve"> PAGEREF _Toc216951825 \h </w:instrText>
            </w:r>
            <w:r w:rsidR="00934A52">
              <w:rPr>
                <w:noProof/>
                <w:webHidden/>
              </w:rPr>
            </w:r>
            <w:r w:rsidR="00934A52">
              <w:rPr>
                <w:noProof/>
                <w:webHidden/>
              </w:rPr>
              <w:fldChar w:fldCharType="separate"/>
            </w:r>
            <w:r w:rsidR="00DE6797">
              <w:rPr>
                <w:noProof/>
                <w:webHidden/>
              </w:rPr>
              <w:t>18</w:t>
            </w:r>
            <w:r w:rsidR="00934A52">
              <w:rPr>
                <w:noProof/>
                <w:webHidden/>
              </w:rPr>
              <w:fldChar w:fldCharType="end"/>
            </w:r>
          </w:hyperlink>
        </w:p>
        <w:p w14:paraId="23F11869" w14:textId="5754E85C"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6" w:history="1">
            <w:r w:rsidR="00934A52" w:rsidRPr="00991EC2">
              <w:rPr>
                <w:rStyle w:val="Hyperlink"/>
                <w:b/>
                <w:noProof/>
              </w:rPr>
              <w:t>6.</w:t>
            </w:r>
            <w:r w:rsidR="00934A52">
              <w:rPr>
                <w:rFonts w:asciiTheme="minorHAnsi" w:eastAsiaTheme="minorEastAsia" w:hAnsiTheme="minorHAnsi" w:cstheme="minorBidi"/>
                <w:noProof/>
                <w:lang w:val="fr-BE" w:eastAsia="fr-BE"/>
              </w:rPr>
              <w:tab/>
            </w:r>
            <w:r w:rsidR="00934A52" w:rsidRPr="00991EC2">
              <w:rPr>
                <w:rStyle w:val="Hyperlink"/>
                <w:b/>
                <w:noProof/>
              </w:rPr>
              <w:t>RELACIONES EXTERIORES</w:t>
            </w:r>
            <w:r w:rsidR="00934A52">
              <w:rPr>
                <w:noProof/>
                <w:webHidden/>
              </w:rPr>
              <w:tab/>
            </w:r>
            <w:r w:rsidR="00934A52">
              <w:rPr>
                <w:noProof/>
                <w:webHidden/>
              </w:rPr>
              <w:fldChar w:fldCharType="begin"/>
            </w:r>
            <w:r w:rsidR="00934A52">
              <w:rPr>
                <w:noProof/>
                <w:webHidden/>
              </w:rPr>
              <w:instrText xml:space="preserve"> PAGEREF _Toc216951826 \h </w:instrText>
            </w:r>
            <w:r w:rsidR="00934A52">
              <w:rPr>
                <w:noProof/>
                <w:webHidden/>
              </w:rPr>
            </w:r>
            <w:r w:rsidR="00934A52">
              <w:rPr>
                <w:noProof/>
                <w:webHidden/>
              </w:rPr>
              <w:fldChar w:fldCharType="separate"/>
            </w:r>
            <w:r w:rsidR="00DE6797">
              <w:rPr>
                <w:noProof/>
                <w:webHidden/>
              </w:rPr>
              <w:t>20</w:t>
            </w:r>
            <w:r w:rsidR="00934A52">
              <w:rPr>
                <w:noProof/>
                <w:webHidden/>
              </w:rPr>
              <w:fldChar w:fldCharType="end"/>
            </w:r>
          </w:hyperlink>
        </w:p>
        <w:p w14:paraId="73423986" w14:textId="3FC30834" w:rsidR="00934A52" w:rsidRDefault="00236A60">
          <w:pPr>
            <w:pStyle w:val="TOC1"/>
            <w:tabs>
              <w:tab w:val="left" w:pos="440"/>
              <w:tab w:val="right" w:leader="dot" w:pos="9063"/>
            </w:tabs>
            <w:rPr>
              <w:rFonts w:asciiTheme="minorHAnsi" w:eastAsiaTheme="minorEastAsia" w:hAnsiTheme="minorHAnsi" w:cstheme="minorBidi"/>
              <w:noProof/>
              <w:lang w:val="fr-BE" w:eastAsia="fr-BE"/>
            </w:rPr>
          </w:pPr>
          <w:hyperlink w:anchor="_Toc216951827" w:history="1">
            <w:r w:rsidR="00934A52" w:rsidRPr="00991EC2">
              <w:rPr>
                <w:rStyle w:val="Hyperlink"/>
                <w:b/>
                <w:noProof/>
              </w:rPr>
              <w:t>7.</w:t>
            </w:r>
            <w:r w:rsidR="00934A52">
              <w:rPr>
                <w:rFonts w:asciiTheme="minorHAnsi" w:eastAsiaTheme="minorEastAsia" w:hAnsiTheme="minorHAnsi" w:cstheme="minorBidi"/>
                <w:noProof/>
                <w:lang w:val="fr-BE" w:eastAsia="fr-BE"/>
              </w:rPr>
              <w:tab/>
            </w:r>
            <w:r w:rsidR="00934A52" w:rsidRPr="00991EC2">
              <w:rPr>
                <w:rStyle w:val="Hyperlink"/>
                <w:b/>
                <w:noProof/>
              </w:rPr>
              <w:t>COMISIÓN CONSULTIVA DE LAS TRANSFORMACIONES INDUSTRIALES</w:t>
            </w:r>
            <w:r w:rsidR="00934A52">
              <w:rPr>
                <w:noProof/>
                <w:webHidden/>
              </w:rPr>
              <w:tab/>
            </w:r>
            <w:r w:rsidR="00934A52">
              <w:rPr>
                <w:noProof/>
                <w:webHidden/>
              </w:rPr>
              <w:fldChar w:fldCharType="begin"/>
            </w:r>
            <w:r w:rsidR="00934A52">
              <w:rPr>
                <w:noProof/>
                <w:webHidden/>
              </w:rPr>
              <w:instrText xml:space="preserve"> PAGEREF _Toc216951827 \h </w:instrText>
            </w:r>
            <w:r w:rsidR="00934A52">
              <w:rPr>
                <w:noProof/>
                <w:webHidden/>
              </w:rPr>
            </w:r>
            <w:r w:rsidR="00934A52">
              <w:rPr>
                <w:noProof/>
                <w:webHidden/>
              </w:rPr>
              <w:fldChar w:fldCharType="separate"/>
            </w:r>
            <w:r w:rsidR="00DE6797">
              <w:rPr>
                <w:noProof/>
                <w:webHidden/>
              </w:rPr>
              <w:t>23</w:t>
            </w:r>
            <w:r w:rsidR="00934A52">
              <w:rPr>
                <w:noProof/>
                <w:webHidden/>
              </w:rPr>
              <w:fldChar w:fldCharType="end"/>
            </w:r>
          </w:hyperlink>
        </w:p>
        <w:p w14:paraId="4982DD6C" w14:textId="4EA5D186" w:rsidR="004D7AC0" w:rsidRDefault="004D7AC0" w:rsidP="00934A52">
          <w:r>
            <w:rPr>
              <w:b/>
            </w:rPr>
            <w:fldChar w:fldCharType="end"/>
          </w:r>
        </w:p>
      </w:sdtContent>
    </w:sdt>
    <w:p w14:paraId="4982DD6D" w14:textId="77777777" w:rsidR="004D7AC0" w:rsidRDefault="004D7AC0" w:rsidP="004D7AC0">
      <w:pPr>
        <w:pStyle w:val="Heading1"/>
        <w:rPr>
          <w:b/>
        </w:rPr>
      </w:pPr>
      <w:bookmarkStart w:id="0" w:name="_Toc216951821"/>
      <w:r>
        <w:rPr>
          <w:b/>
        </w:rPr>
        <w:lastRenderedPageBreak/>
        <w:t>UNIÓN ECONÓMICA Y MONETARIA Y COHESIÓN ECONÓMICA Y SOCIAL</w:t>
      </w:r>
      <w:bookmarkEnd w:id="0"/>
    </w:p>
    <w:p w14:paraId="4982DD6E" w14:textId="77777777" w:rsidR="004D7AC0" w:rsidRDefault="004D7AC0" w:rsidP="004D7AC0"/>
    <w:p w14:paraId="7E506423" w14:textId="4B34D16E" w:rsidR="00612898" w:rsidRPr="00612898" w:rsidRDefault="00236A60" w:rsidP="00612898">
      <w:pPr>
        <w:widowControl w:val="0"/>
        <w:numPr>
          <w:ilvl w:val="0"/>
          <w:numId w:val="4"/>
        </w:numPr>
        <w:overflowPunct w:val="0"/>
        <w:autoSpaceDE w:val="0"/>
        <w:autoSpaceDN w:val="0"/>
        <w:adjustRightInd w:val="0"/>
        <w:spacing w:after="120"/>
        <w:ind w:hanging="567"/>
        <w:textAlignment w:val="baseline"/>
        <w:rPr>
          <w:b/>
          <w:i/>
          <w:iCs/>
          <w:sz w:val="28"/>
          <w:szCs w:val="28"/>
        </w:rPr>
      </w:pPr>
      <w:hyperlink r:id="rId20" w:history="1">
        <w:r w:rsidR="00E167DC">
          <w:rPr>
            <w:b/>
            <w:i/>
            <w:color w:val="0000FF"/>
            <w:sz w:val="28"/>
            <w:u w:val="single"/>
          </w:rPr>
          <w:t>Quinto informe sobre la aplicación de las estrategias macrorregionales de la UE</w:t>
        </w:r>
      </w:hyperlink>
    </w:p>
    <w:p w14:paraId="6D1E8521" w14:textId="77777777" w:rsidR="00612898" w:rsidRPr="00612898" w:rsidRDefault="00612898" w:rsidP="00612898">
      <w:pPr>
        <w:widowControl w:val="0"/>
        <w:overflowPunct w:val="0"/>
        <w:autoSpaceDE w:val="0"/>
        <w:autoSpaceDN w:val="0"/>
        <w:adjustRightInd w:val="0"/>
        <w:ind w:left="284"/>
        <w:textAlignment w:val="baseline"/>
        <w:rPr>
          <w:b/>
          <w:i/>
          <w:iCs/>
          <w:sz w:val="20"/>
          <w:szCs w:val="20"/>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612898" w:rsidRPr="00612898" w14:paraId="05AE56A5" w14:textId="77777777" w:rsidTr="0036489A">
        <w:tc>
          <w:tcPr>
            <w:tcW w:w="1701" w:type="dxa"/>
          </w:tcPr>
          <w:p w14:paraId="46E62AEA"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Ponente</w:t>
            </w:r>
          </w:p>
        </w:tc>
        <w:tc>
          <w:tcPr>
            <w:tcW w:w="7621" w:type="dxa"/>
          </w:tcPr>
          <w:p w14:paraId="28CBAA45" w14:textId="4453529C" w:rsidR="00612898" w:rsidRDefault="00612898">
            <w:pPr>
              <w:tabs>
                <w:tab w:val="center" w:pos="284"/>
              </w:tabs>
              <w:overflowPunct w:val="0"/>
              <w:autoSpaceDE w:val="0"/>
              <w:autoSpaceDN w:val="0"/>
              <w:adjustRightInd w:val="0"/>
              <w:ind w:left="266" w:hanging="376"/>
              <w:textAlignment w:val="baseline"/>
            </w:pPr>
            <w:r>
              <w:t>Stefano PALMIERI (Grupo de Trabajadores – IT)</w:t>
            </w:r>
          </w:p>
          <w:p w14:paraId="07092A74" w14:textId="4FEAC4CC" w:rsidR="008C414B" w:rsidRPr="00612898" w:rsidRDefault="008C414B" w:rsidP="00054C58">
            <w:pPr>
              <w:tabs>
                <w:tab w:val="center" w:pos="284"/>
              </w:tabs>
              <w:overflowPunct w:val="0"/>
              <w:autoSpaceDE w:val="0"/>
              <w:autoSpaceDN w:val="0"/>
              <w:adjustRightInd w:val="0"/>
              <w:ind w:left="266" w:hanging="376"/>
              <w:textAlignment w:val="baseline"/>
              <w:rPr>
                <w:bCs/>
              </w:rPr>
            </w:pPr>
          </w:p>
        </w:tc>
      </w:tr>
      <w:tr w:rsidR="00612898" w:rsidRPr="00C62A6C" w14:paraId="257F78E5" w14:textId="77777777" w:rsidTr="0036489A">
        <w:tc>
          <w:tcPr>
            <w:tcW w:w="1701" w:type="dxa"/>
          </w:tcPr>
          <w:p w14:paraId="0C3EBBC1" w14:textId="77777777" w:rsidR="00612898" w:rsidRPr="00612898" w:rsidRDefault="00612898" w:rsidP="00054C58">
            <w:pPr>
              <w:tabs>
                <w:tab w:val="center" w:pos="284"/>
              </w:tabs>
              <w:overflowPunct w:val="0"/>
              <w:autoSpaceDE w:val="0"/>
              <w:autoSpaceDN w:val="0"/>
              <w:adjustRightInd w:val="0"/>
              <w:ind w:left="266" w:hanging="376"/>
              <w:textAlignment w:val="baseline"/>
              <w:rPr>
                <w:b/>
              </w:rPr>
            </w:pPr>
            <w:r>
              <w:rPr>
                <w:b/>
              </w:rPr>
              <w:t>Referencias</w:t>
            </w:r>
          </w:p>
        </w:tc>
        <w:tc>
          <w:tcPr>
            <w:tcW w:w="7621" w:type="dxa"/>
          </w:tcPr>
          <w:p w14:paraId="58F0DB08" w14:textId="4B9508DB" w:rsidR="00896BC8" w:rsidRDefault="00612898">
            <w:pPr>
              <w:tabs>
                <w:tab w:val="center" w:pos="284"/>
              </w:tabs>
              <w:overflowPunct w:val="0"/>
              <w:autoSpaceDE w:val="0"/>
              <w:autoSpaceDN w:val="0"/>
              <w:adjustRightInd w:val="0"/>
              <w:ind w:left="266" w:hanging="376"/>
              <w:textAlignment w:val="baseline"/>
            </w:pPr>
            <w:r>
              <w:t>COM(2025) 191 final</w:t>
            </w:r>
          </w:p>
          <w:p w14:paraId="5DB59D59" w14:textId="2F819FC3" w:rsidR="00612898" w:rsidRPr="00612898" w:rsidRDefault="00612898" w:rsidP="00054C58">
            <w:pPr>
              <w:tabs>
                <w:tab w:val="center" w:pos="284"/>
              </w:tabs>
              <w:overflowPunct w:val="0"/>
              <w:autoSpaceDE w:val="0"/>
              <w:autoSpaceDN w:val="0"/>
              <w:adjustRightInd w:val="0"/>
              <w:ind w:left="266" w:hanging="376"/>
              <w:textAlignment w:val="baseline"/>
            </w:pPr>
            <w:r>
              <w:t>COM(2025) 196 final</w:t>
            </w:r>
          </w:p>
          <w:p w14:paraId="1B624F0D" w14:textId="1ADACC64" w:rsidR="00612898" w:rsidRPr="00612898" w:rsidRDefault="00612898" w:rsidP="00054C58">
            <w:pPr>
              <w:tabs>
                <w:tab w:val="center" w:pos="284"/>
              </w:tabs>
              <w:overflowPunct w:val="0"/>
              <w:autoSpaceDE w:val="0"/>
              <w:autoSpaceDN w:val="0"/>
              <w:adjustRightInd w:val="0"/>
              <w:ind w:left="266" w:hanging="376"/>
              <w:textAlignment w:val="baseline"/>
            </w:pPr>
            <w:r>
              <w:t>EESC-2025-02216-00-00-AC</w:t>
            </w:r>
          </w:p>
        </w:tc>
      </w:tr>
    </w:tbl>
    <w:p w14:paraId="264DB47F" w14:textId="77777777" w:rsidR="00612898" w:rsidRDefault="00612898" w:rsidP="00612898">
      <w:pPr>
        <w:keepNext/>
        <w:keepLines/>
        <w:tabs>
          <w:tab w:val="center" w:pos="284"/>
        </w:tabs>
        <w:overflowPunct w:val="0"/>
        <w:autoSpaceDE w:val="0"/>
        <w:autoSpaceDN w:val="0"/>
        <w:adjustRightInd w:val="0"/>
        <w:spacing w:before="120"/>
        <w:ind w:left="266" w:hanging="266"/>
        <w:textAlignment w:val="baseline"/>
        <w:rPr>
          <w:b/>
        </w:rPr>
      </w:pPr>
      <w:r>
        <w:rPr>
          <w:b/>
        </w:rPr>
        <w:t>Puntos clave</w:t>
      </w:r>
    </w:p>
    <w:p w14:paraId="7E8CAAEB" w14:textId="77777777" w:rsidR="004A6CE5" w:rsidRPr="00612898" w:rsidRDefault="004A6CE5" w:rsidP="00612898">
      <w:pPr>
        <w:keepNext/>
        <w:keepLines/>
        <w:tabs>
          <w:tab w:val="center" w:pos="284"/>
        </w:tabs>
        <w:overflowPunct w:val="0"/>
        <w:autoSpaceDE w:val="0"/>
        <w:autoSpaceDN w:val="0"/>
        <w:adjustRightInd w:val="0"/>
        <w:spacing w:before="120"/>
        <w:ind w:left="266" w:hanging="266"/>
        <w:textAlignment w:val="baseline"/>
        <w:rPr>
          <w:b/>
          <w:lang w:val="en-GB"/>
        </w:rPr>
      </w:pPr>
    </w:p>
    <w:p w14:paraId="0E1234AC" w14:textId="77777777" w:rsidR="00612898" w:rsidRDefault="00612898" w:rsidP="00612898">
      <w:pPr>
        <w:overflowPunct w:val="0"/>
        <w:autoSpaceDE w:val="0"/>
        <w:autoSpaceDN w:val="0"/>
        <w:adjustRightInd w:val="0"/>
        <w:textAlignment w:val="baseline"/>
        <w:rPr>
          <w:bCs/>
          <w:iCs/>
        </w:rPr>
      </w:pPr>
      <w:r>
        <w:t>El CESE:</w:t>
      </w:r>
    </w:p>
    <w:p w14:paraId="1B6220CA" w14:textId="77777777" w:rsidR="004A6CE5" w:rsidRPr="00612898" w:rsidRDefault="004A6CE5" w:rsidP="00612898">
      <w:pPr>
        <w:overflowPunct w:val="0"/>
        <w:autoSpaceDE w:val="0"/>
        <w:autoSpaceDN w:val="0"/>
        <w:adjustRightInd w:val="0"/>
        <w:textAlignment w:val="baseline"/>
        <w:rPr>
          <w:bCs/>
          <w:iCs/>
          <w:lang w:val="en-GB"/>
        </w:rPr>
      </w:pPr>
    </w:p>
    <w:p w14:paraId="6B7B575D" w14:textId="56DFD5EB" w:rsidR="00612898" w:rsidRPr="00612898" w:rsidRDefault="00612898" w:rsidP="00054C58">
      <w:pPr>
        <w:numPr>
          <w:ilvl w:val="0"/>
          <w:numId w:val="18"/>
        </w:numPr>
        <w:overflowPunct w:val="0"/>
        <w:autoSpaceDE w:val="0"/>
        <w:autoSpaceDN w:val="0"/>
        <w:adjustRightInd w:val="0"/>
        <w:contextualSpacing/>
        <w:textAlignment w:val="baseline"/>
        <w:rPr>
          <w:szCs w:val="20"/>
        </w:rPr>
      </w:pPr>
      <w:r>
        <w:t>reconoce el papel de las estrategias macrorregionales —que han supuesto un apoyo para la doble transición ecológica y digital y han desarrollado una importante capacidad de resiliencia y solidaridad durante la pandemia y las crisis actuales— a la hora de generar sinergias multinivel entre políticas, programas y agentes;</w:t>
      </w:r>
    </w:p>
    <w:p w14:paraId="75D3836B" w14:textId="641E7E0C" w:rsidR="00612898" w:rsidRPr="00612898" w:rsidRDefault="00612898" w:rsidP="00054C58">
      <w:pPr>
        <w:numPr>
          <w:ilvl w:val="0"/>
          <w:numId w:val="18"/>
        </w:numPr>
        <w:overflowPunct w:val="0"/>
        <w:autoSpaceDE w:val="0"/>
        <w:autoSpaceDN w:val="0"/>
        <w:adjustRightInd w:val="0"/>
        <w:contextualSpacing/>
        <w:textAlignment w:val="baseline"/>
        <w:rPr>
          <w:szCs w:val="20"/>
        </w:rPr>
      </w:pPr>
      <w:r>
        <w:t>pide que se refuerce la gobernanza multinivel vertical y horizontal para garantizar la participación de las estructuras locales;</w:t>
      </w:r>
    </w:p>
    <w:p w14:paraId="4E658ACB" w14:textId="00D67EDC" w:rsidR="00612898" w:rsidRPr="00612898" w:rsidRDefault="00612898" w:rsidP="00054C58">
      <w:pPr>
        <w:numPr>
          <w:ilvl w:val="0"/>
          <w:numId w:val="18"/>
        </w:numPr>
        <w:overflowPunct w:val="0"/>
        <w:autoSpaceDE w:val="0"/>
        <w:autoSpaceDN w:val="0"/>
        <w:adjustRightInd w:val="0"/>
        <w:contextualSpacing/>
        <w:textAlignment w:val="baseline"/>
        <w:rPr>
          <w:szCs w:val="20"/>
        </w:rPr>
      </w:pPr>
      <w:r>
        <w:t>muestra su satisfacción por los procesos de revisión y pide que se refuercen la dimensión social, la participación ciudadana (incluida la juventud) y la cooperación interregional. Las estrategias macrorregionales deben servir de laboratorios de inclusión e innovación social y respaldar la fiscalidad ecológica y el capital humano;</w:t>
      </w:r>
    </w:p>
    <w:p w14:paraId="288A6F61" w14:textId="77777777" w:rsidR="00612898" w:rsidRPr="00612898" w:rsidRDefault="00612898" w:rsidP="00054C58">
      <w:pPr>
        <w:numPr>
          <w:ilvl w:val="0"/>
          <w:numId w:val="18"/>
        </w:numPr>
        <w:overflowPunct w:val="0"/>
        <w:autoSpaceDE w:val="0"/>
        <w:autoSpaceDN w:val="0"/>
        <w:adjustRightInd w:val="0"/>
        <w:contextualSpacing/>
        <w:textAlignment w:val="baseline"/>
        <w:rPr>
          <w:szCs w:val="20"/>
        </w:rPr>
      </w:pPr>
      <w:r>
        <w:t>toma nota de los resultados de la Estrategia de la Unión Europea para la Región del mar Báltico (EUSBSR, por sus siglas en inglés), que ha promovido la sostenibilidad y las conexiones en el mar Báltico y cuya revisión, realizada en 2021 y que culminó con la creación del Centro de la Estrategia del Mar Báltico, ha permitido reforzar la cooperación y la gestión. Pese a la suspensión de las relaciones con Rusia y Bielorrusia, la estrategia sigue siendo válida;</w:t>
      </w:r>
    </w:p>
    <w:p w14:paraId="61DFA9B6" w14:textId="3FCD71FF" w:rsidR="00612898" w:rsidRPr="00612898" w:rsidRDefault="00612898" w:rsidP="00054C58">
      <w:pPr>
        <w:numPr>
          <w:ilvl w:val="0"/>
          <w:numId w:val="18"/>
        </w:numPr>
        <w:overflowPunct w:val="0"/>
        <w:autoSpaceDE w:val="0"/>
        <w:autoSpaceDN w:val="0"/>
        <w:adjustRightInd w:val="0"/>
        <w:contextualSpacing/>
        <w:textAlignment w:val="baseline"/>
        <w:rPr>
          <w:szCs w:val="20"/>
        </w:rPr>
      </w:pPr>
      <w:r>
        <w:t>pone de relieve los avances de la Estrategia de la Unión Europea para la Región del Danubio (EUSDR, por sus siglas en inglés), cuya revisión de 2020 le ha servido para ajustarse en mayor medida a las prioridades de la UE y reforzar la participación de la juventud, aunque siguen existiendo desigualdades y el compromiso político no es uniforme. Las presidencias han revitalizado la innovación y la gobernanza;</w:t>
      </w:r>
    </w:p>
    <w:p w14:paraId="5C7EA446" w14:textId="479B26B1" w:rsidR="00612898" w:rsidRPr="00612898" w:rsidRDefault="00612898" w:rsidP="00054C58">
      <w:pPr>
        <w:numPr>
          <w:ilvl w:val="0"/>
          <w:numId w:val="18"/>
        </w:numPr>
        <w:overflowPunct w:val="0"/>
        <w:autoSpaceDE w:val="0"/>
        <w:autoSpaceDN w:val="0"/>
        <w:adjustRightInd w:val="0"/>
        <w:contextualSpacing/>
        <w:textAlignment w:val="baseline"/>
        <w:rPr>
          <w:szCs w:val="20"/>
        </w:rPr>
      </w:pPr>
      <w:r>
        <w:t>destaca los resultados de la Estrategia de la Unión Europea para la Región del Adriático y del Jónico (EUSAIR, por sus siglas en inglés), cuyo plan de acción ha sido objeto recientemente de una actualización que ha supuesto la introducción de un quinto pilar social. La Estrategia integra la ampliación, la economía circular y la digitalización, lo que refuerza las asociaciones y la resiliencia;</w:t>
      </w:r>
    </w:p>
    <w:p w14:paraId="0171069F" w14:textId="26283E8D" w:rsidR="00612898" w:rsidRPr="00612898" w:rsidRDefault="00612898" w:rsidP="00054C58">
      <w:pPr>
        <w:numPr>
          <w:ilvl w:val="0"/>
          <w:numId w:val="18"/>
        </w:numPr>
        <w:overflowPunct w:val="0"/>
        <w:autoSpaceDE w:val="0"/>
        <w:autoSpaceDN w:val="0"/>
        <w:adjustRightInd w:val="0"/>
        <w:contextualSpacing/>
        <w:textAlignment w:val="baseline"/>
        <w:rPr>
          <w:szCs w:val="20"/>
        </w:rPr>
      </w:pPr>
      <w:r>
        <w:t>acoge con satisfacción la Estrategia de la Unión Europea para la Región Alpina (EUSALP, por sus siglas en inglés), que, gracias a su apertura hacia terceros países, ha consolidado la cooperación y una gobernanza estable. Su revisión integra las prioridades en materia de digitalización, energía, recursos hídricos y economía circular;</w:t>
      </w:r>
    </w:p>
    <w:p w14:paraId="6817B888" w14:textId="70F4706D" w:rsidR="00612898" w:rsidRPr="00612898" w:rsidRDefault="00612898" w:rsidP="00054C58">
      <w:pPr>
        <w:numPr>
          <w:ilvl w:val="0"/>
          <w:numId w:val="18"/>
        </w:numPr>
        <w:overflowPunct w:val="0"/>
        <w:autoSpaceDE w:val="0"/>
        <w:autoSpaceDN w:val="0"/>
        <w:adjustRightInd w:val="0"/>
        <w:contextualSpacing/>
        <w:textAlignment w:val="baseline"/>
        <w:rPr>
          <w:szCs w:val="20"/>
        </w:rPr>
      </w:pPr>
      <w:r>
        <w:lastRenderedPageBreak/>
        <w:t>señala que la ampliación a los Balcanes Occidentales, Ucrania y Moldavia constituye una prioridad estratégica y que las estrategias macrorregionales tienen potencial para reforzar la cooperación y las capacidades institucionales;</w:t>
      </w:r>
    </w:p>
    <w:p w14:paraId="710F3124" w14:textId="6C89F131" w:rsidR="00612898" w:rsidRPr="00612898" w:rsidRDefault="00612898" w:rsidP="00054C58">
      <w:pPr>
        <w:numPr>
          <w:ilvl w:val="0"/>
          <w:numId w:val="18"/>
        </w:numPr>
        <w:overflowPunct w:val="0"/>
        <w:autoSpaceDE w:val="0"/>
        <w:autoSpaceDN w:val="0"/>
        <w:adjustRightInd w:val="0"/>
        <w:contextualSpacing/>
        <w:textAlignment w:val="baseline"/>
        <w:rPr>
          <w:szCs w:val="20"/>
        </w:rPr>
      </w:pPr>
      <w:r>
        <w:t>observa que la agresión militar de Rusia contra Ucrania ha confirmado el papel de las estrategias macrorregionales como instrumentos de solidaridad y resiliencia;</w:t>
      </w:r>
    </w:p>
    <w:p w14:paraId="6EDD216B" w14:textId="02F6DEB7" w:rsidR="00612898" w:rsidRPr="00612898" w:rsidRDefault="00612898" w:rsidP="00054C58">
      <w:pPr>
        <w:numPr>
          <w:ilvl w:val="0"/>
          <w:numId w:val="18"/>
        </w:numPr>
        <w:overflowPunct w:val="0"/>
        <w:autoSpaceDE w:val="0"/>
        <w:autoSpaceDN w:val="0"/>
        <w:adjustRightInd w:val="0"/>
        <w:contextualSpacing/>
        <w:textAlignment w:val="baseline"/>
        <w:rPr>
          <w:szCs w:val="20"/>
        </w:rPr>
      </w:pPr>
      <w:r>
        <w:t>considera fundamental el enfoque «local» de las estrategias macrorregionales, que adapta las prioridades europeas a las especificidades territoriales y fomenta la cohesión a través de instrumentos como el desarrollo local participativo e iniciativas innovadoras, que promueven la participación ciudadana y de la juventud;</w:t>
      </w:r>
    </w:p>
    <w:p w14:paraId="34580314" w14:textId="53CAB3F9" w:rsidR="00612898" w:rsidRPr="00612898" w:rsidRDefault="00612898" w:rsidP="00054C58">
      <w:pPr>
        <w:numPr>
          <w:ilvl w:val="0"/>
          <w:numId w:val="18"/>
        </w:numPr>
        <w:overflowPunct w:val="0"/>
        <w:autoSpaceDE w:val="0"/>
        <w:autoSpaceDN w:val="0"/>
        <w:adjustRightInd w:val="0"/>
        <w:contextualSpacing/>
        <w:textAlignment w:val="baseline"/>
        <w:rPr>
          <w:szCs w:val="20"/>
        </w:rPr>
      </w:pPr>
      <w:r>
        <w:t>pide que se refuercen la gobernanza y la financiación, integrando las prioridades de las estrategias macrorregionales en los principales programas de la UE. Es necesario reforzar las capacidades locales, consolidar las asociaciones e implicar activamente a la sociedad civil y a la juventud;</w:t>
      </w:r>
    </w:p>
    <w:p w14:paraId="2F7ADDD3" w14:textId="226738B8" w:rsidR="00612898" w:rsidRPr="00612898" w:rsidRDefault="003C16C3" w:rsidP="00054C58">
      <w:pPr>
        <w:numPr>
          <w:ilvl w:val="0"/>
          <w:numId w:val="18"/>
        </w:numPr>
        <w:overflowPunct w:val="0"/>
        <w:autoSpaceDE w:val="0"/>
        <w:autoSpaceDN w:val="0"/>
        <w:adjustRightInd w:val="0"/>
        <w:contextualSpacing/>
        <w:textAlignment w:val="baseline"/>
        <w:rPr>
          <w:szCs w:val="20"/>
        </w:rPr>
      </w:pPr>
      <w:r>
        <w:t>opina que el nuevo marco financiero plurianual (MFP) 2028-2034 entraña riesgos para el buen funcionamiento de las estrategias macrorregionales. Por ello, se debe garantizar la inclusión de las prioridades de dichas estrategias en los planes de colaboración;</w:t>
      </w:r>
    </w:p>
    <w:p w14:paraId="179CAD0A" w14:textId="6CF7AC7B" w:rsidR="00612898" w:rsidRPr="00612898" w:rsidRDefault="00612898" w:rsidP="00054C58">
      <w:pPr>
        <w:numPr>
          <w:ilvl w:val="0"/>
          <w:numId w:val="18"/>
        </w:numPr>
        <w:overflowPunct w:val="0"/>
        <w:autoSpaceDE w:val="0"/>
        <w:autoSpaceDN w:val="0"/>
        <w:adjustRightInd w:val="0"/>
        <w:contextualSpacing/>
        <w:textAlignment w:val="baseline"/>
        <w:rPr>
          <w:szCs w:val="20"/>
        </w:rPr>
      </w:pPr>
      <w:r>
        <w:t>subraya la necesidad de una gobernanza transparente, responsable e íntegra en las instituciones que participan en las estrategias macrorregionales;</w:t>
      </w:r>
    </w:p>
    <w:p w14:paraId="70A713C0" w14:textId="77777777" w:rsidR="00612898" w:rsidRPr="00612898" w:rsidRDefault="00612898" w:rsidP="00054C58">
      <w:pPr>
        <w:numPr>
          <w:ilvl w:val="0"/>
          <w:numId w:val="18"/>
        </w:numPr>
        <w:overflowPunct w:val="0"/>
        <w:autoSpaceDE w:val="0"/>
        <w:autoSpaceDN w:val="0"/>
        <w:adjustRightInd w:val="0"/>
        <w:contextualSpacing/>
        <w:textAlignment w:val="baseline"/>
        <w:rPr>
          <w:bCs/>
          <w:iCs/>
        </w:rPr>
      </w:pPr>
      <w:r>
        <w:t>pide la creación de una nueva macrorregión en el Mediterráneo para abordar retos comunes, como el cambio climático, los flujos migratorios, la transición energética y la sostenibilidad azul.</w:t>
      </w:r>
    </w:p>
    <w:p w14:paraId="54AD92A7" w14:textId="77777777" w:rsidR="00612898" w:rsidRPr="00612898" w:rsidRDefault="00612898" w:rsidP="00612898">
      <w:pPr>
        <w:overflowPunct w:val="0"/>
        <w:autoSpaceDE w:val="0"/>
        <w:autoSpaceDN w:val="0"/>
        <w:adjustRightInd w:val="0"/>
        <w:ind w:left="360"/>
        <w:contextualSpacing/>
        <w:textAlignment w:val="baseline"/>
        <w:rPr>
          <w:bCs/>
          <w:iCs/>
          <w:lang w:val="en-GB"/>
        </w:rPr>
      </w:pPr>
    </w:p>
    <w:tbl>
      <w:tblPr>
        <w:tblStyle w:val="TableGrid1"/>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612898" w:rsidRPr="00612898" w14:paraId="242A4532" w14:textId="77777777" w:rsidTr="00934A52">
        <w:tc>
          <w:tcPr>
            <w:tcW w:w="2235" w:type="dxa"/>
          </w:tcPr>
          <w:p w14:paraId="21DFEBB5" w14:textId="77777777" w:rsidR="00612898" w:rsidRPr="00612898" w:rsidRDefault="00612898" w:rsidP="00612898">
            <w:pPr>
              <w:overflowPunct w:val="0"/>
              <w:autoSpaceDE w:val="0"/>
              <w:autoSpaceDN w:val="0"/>
              <w:adjustRightInd w:val="0"/>
              <w:textAlignment w:val="baseline"/>
              <w:rPr>
                <w:i/>
              </w:rPr>
            </w:pPr>
            <w:r>
              <w:rPr>
                <w:b/>
                <w:i/>
              </w:rPr>
              <w:t>Contacto:</w:t>
            </w:r>
          </w:p>
        </w:tc>
        <w:tc>
          <w:tcPr>
            <w:tcW w:w="7087" w:type="dxa"/>
          </w:tcPr>
          <w:p w14:paraId="26624CD5" w14:textId="0E28249F" w:rsidR="00612898" w:rsidRPr="00612898" w:rsidRDefault="00612898" w:rsidP="00612898">
            <w:pPr>
              <w:overflowPunct w:val="0"/>
              <w:autoSpaceDE w:val="0"/>
              <w:autoSpaceDN w:val="0"/>
              <w:adjustRightInd w:val="0"/>
              <w:textAlignment w:val="baseline"/>
              <w:rPr>
                <w:i/>
              </w:rPr>
            </w:pPr>
            <w:r>
              <w:rPr>
                <w:i/>
              </w:rPr>
              <w:t>Georgios Meleas</w:t>
            </w:r>
          </w:p>
        </w:tc>
      </w:tr>
      <w:tr w:rsidR="00612898" w:rsidRPr="00612898" w14:paraId="169FB5DD" w14:textId="77777777" w:rsidTr="00934A52">
        <w:tc>
          <w:tcPr>
            <w:tcW w:w="2235" w:type="dxa"/>
          </w:tcPr>
          <w:p w14:paraId="04AD6363" w14:textId="77777777" w:rsidR="00612898" w:rsidRPr="00612898" w:rsidRDefault="00612898" w:rsidP="00612898">
            <w:pPr>
              <w:overflowPunct w:val="0"/>
              <w:autoSpaceDE w:val="0"/>
              <w:autoSpaceDN w:val="0"/>
              <w:adjustRightInd w:val="0"/>
              <w:textAlignment w:val="baseline"/>
              <w:rPr>
                <w:i/>
              </w:rPr>
            </w:pPr>
            <w:r>
              <w:rPr>
                <w:i/>
              </w:rPr>
              <w:t>Teléfono:</w:t>
            </w:r>
          </w:p>
        </w:tc>
        <w:tc>
          <w:tcPr>
            <w:tcW w:w="7087" w:type="dxa"/>
          </w:tcPr>
          <w:p w14:paraId="0ACA86BD" w14:textId="574C92AA" w:rsidR="00612898" w:rsidRPr="00612898" w:rsidRDefault="00612898" w:rsidP="00612898">
            <w:pPr>
              <w:overflowPunct w:val="0"/>
              <w:autoSpaceDE w:val="0"/>
              <w:autoSpaceDN w:val="0"/>
              <w:adjustRightInd w:val="0"/>
              <w:textAlignment w:val="baseline"/>
              <w:rPr>
                <w:i/>
              </w:rPr>
            </w:pPr>
            <w:r>
              <w:rPr>
                <w:i/>
              </w:rPr>
              <w:t>+32 25469795</w:t>
            </w:r>
          </w:p>
        </w:tc>
      </w:tr>
      <w:tr w:rsidR="00612898" w:rsidRPr="00612898" w14:paraId="74BB4CF2" w14:textId="77777777" w:rsidTr="00934A52">
        <w:tc>
          <w:tcPr>
            <w:tcW w:w="2235" w:type="dxa"/>
          </w:tcPr>
          <w:p w14:paraId="0810916A" w14:textId="77777777" w:rsidR="00612898" w:rsidRPr="00612898" w:rsidRDefault="00612898" w:rsidP="00612898">
            <w:pPr>
              <w:overflowPunct w:val="0"/>
              <w:autoSpaceDE w:val="0"/>
              <w:autoSpaceDN w:val="0"/>
              <w:adjustRightInd w:val="0"/>
              <w:textAlignment w:val="baseline"/>
              <w:rPr>
                <w:i/>
              </w:rPr>
            </w:pPr>
            <w:r>
              <w:rPr>
                <w:i/>
              </w:rPr>
              <w:t>Correo electrónico:</w:t>
            </w:r>
          </w:p>
        </w:tc>
        <w:tc>
          <w:tcPr>
            <w:tcW w:w="7087" w:type="dxa"/>
          </w:tcPr>
          <w:p w14:paraId="7EA756D6" w14:textId="77777777" w:rsidR="00612898" w:rsidRPr="00612898" w:rsidRDefault="00236A60" w:rsidP="00612898">
            <w:pPr>
              <w:overflowPunct w:val="0"/>
              <w:autoSpaceDE w:val="0"/>
              <w:autoSpaceDN w:val="0"/>
              <w:adjustRightInd w:val="0"/>
              <w:textAlignment w:val="baseline"/>
              <w:rPr>
                <w:i/>
                <w:iCs/>
              </w:rPr>
            </w:pPr>
            <w:hyperlink r:id="rId21" w:history="1">
              <w:r w:rsidR="00E167DC">
                <w:rPr>
                  <w:i/>
                  <w:color w:val="0000FF"/>
                  <w:u w:val="single"/>
                </w:rPr>
                <w:t>Georgios.Meleas@eesc.europa.eu</w:t>
              </w:r>
            </w:hyperlink>
          </w:p>
        </w:tc>
      </w:tr>
    </w:tbl>
    <w:p w14:paraId="4982DD96" w14:textId="77777777" w:rsidR="004D7AC0" w:rsidRDefault="004D7AC0" w:rsidP="004D7AC0">
      <w:pPr>
        <w:pStyle w:val="ListParagraph"/>
        <w:ind w:left="0"/>
      </w:pPr>
    </w:p>
    <w:p w14:paraId="4B3225FD" w14:textId="69ABDE54" w:rsidR="00C82E34" w:rsidRPr="00C82E34" w:rsidRDefault="00612898" w:rsidP="00054C58">
      <w:pPr>
        <w:spacing w:after="160" w:line="259" w:lineRule="auto"/>
        <w:jc w:val="left"/>
        <w:rPr>
          <w:b/>
          <w:i/>
          <w:iCs/>
          <w:sz w:val="28"/>
          <w:szCs w:val="28"/>
        </w:rPr>
      </w:pPr>
      <w:r>
        <w:br w:type="page"/>
      </w:r>
      <w:hyperlink r:id="rId22" w:history="1">
        <w:r>
          <w:rPr>
            <w:b/>
            <w:i/>
            <w:color w:val="0000FF"/>
            <w:sz w:val="28"/>
            <w:u w:val="single"/>
          </w:rPr>
          <w:t>Creación del Fondo Europeo de Desarrollo Regional, en particular para la cooperación territorial europea (Interreg) y el Fondo de Cohesión</w:t>
        </w:r>
      </w:hyperlink>
    </w:p>
    <w:p w14:paraId="5DE846E1" w14:textId="77777777" w:rsidR="00C82E34" w:rsidRPr="00C82E34" w:rsidRDefault="00C82E34" w:rsidP="00C82E34">
      <w:pPr>
        <w:widowControl w:val="0"/>
        <w:overflowPunct w:val="0"/>
        <w:autoSpaceDE w:val="0"/>
        <w:autoSpaceDN w:val="0"/>
        <w:adjustRightInd w:val="0"/>
        <w:ind w:left="284"/>
        <w:textAlignment w:val="baseline"/>
        <w:rPr>
          <w:b/>
          <w:i/>
          <w:iCs/>
          <w:sz w:val="20"/>
          <w:szCs w:val="20"/>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C82E34" w:rsidRPr="00C82E34" w14:paraId="2D50146C" w14:textId="77777777" w:rsidTr="0036489A">
        <w:tc>
          <w:tcPr>
            <w:tcW w:w="1701" w:type="dxa"/>
          </w:tcPr>
          <w:p w14:paraId="32F41C20"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Ponente</w:t>
            </w:r>
          </w:p>
        </w:tc>
        <w:tc>
          <w:tcPr>
            <w:tcW w:w="7621" w:type="dxa"/>
          </w:tcPr>
          <w:p w14:paraId="297CD7E5" w14:textId="017D2306" w:rsidR="00C82E34" w:rsidRDefault="00C82E34" w:rsidP="00C82E34">
            <w:pPr>
              <w:tabs>
                <w:tab w:val="center" w:pos="284"/>
              </w:tabs>
              <w:overflowPunct w:val="0"/>
              <w:autoSpaceDE w:val="0"/>
              <w:autoSpaceDN w:val="0"/>
              <w:adjustRightInd w:val="0"/>
              <w:ind w:left="266" w:hanging="266"/>
              <w:textAlignment w:val="baseline"/>
            </w:pPr>
            <w:r>
              <w:t>David SVENTEK (Grupo de Empresarios – CZ)</w:t>
            </w:r>
          </w:p>
          <w:p w14:paraId="59E7D12A" w14:textId="53E0EAA6" w:rsidR="00446882" w:rsidRPr="00C82E34" w:rsidRDefault="00446882" w:rsidP="00C82E34">
            <w:pPr>
              <w:tabs>
                <w:tab w:val="center" w:pos="284"/>
              </w:tabs>
              <w:overflowPunct w:val="0"/>
              <w:autoSpaceDE w:val="0"/>
              <w:autoSpaceDN w:val="0"/>
              <w:adjustRightInd w:val="0"/>
              <w:ind w:left="266" w:hanging="266"/>
              <w:textAlignment w:val="baseline"/>
              <w:rPr>
                <w:bCs/>
              </w:rPr>
            </w:pPr>
          </w:p>
        </w:tc>
      </w:tr>
      <w:tr w:rsidR="00C82E34" w:rsidRPr="00C82E34" w14:paraId="4B15388C" w14:textId="77777777" w:rsidTr="0036489A">
        <w:tc>
          <w:tcPr>
            <w:tcW w:w="1701" w:type="dxa"/>
          </w:tcPr>
          <w:p w14:paraId="742C36BE" w14:textId="77777777" w:rsidR="00C82E34" w:rsidRPr="00C82E34" w:rsidRDefault="00C82E34" w:rsidP="00C82E34">
            <w:pPr>
              <w:tabs>
                <w:tab w:val="center" w:pos="284"/>
              </w:tabs>
              <w:overflowPunct w:val="0"/>
              <w:autoSpaceDE w:val="0"/>
              <w:autoSpaceDN w:val="0"/>
              <w:adjustRightInd w:val="0"/>
              <w:ind w:left="266" w:hanging="266"/>
              <w:textAlignment w:val="baseline"/>
              <w:rPr>
                <w:b/>
              </w:rPr>
            </w:pPr>
            <w:r>
              <w:rPr>
                <w:b/>
              </w:rPr>
              <w:t>Referencias</w:t>
            </w:r>
          </w:p>
        </w:tc>
        <w:tc>
          <w:tcPr>
            <w:tcW w:w="7621" w:type="dxa"/>
          </w:tcPr>
          <w:p w14:paraId="5F3D0A1D" w14:textId="77777777" w:rsidR="00C82E34" w:rsidRPr="00C82E34" w:rsidRDefault="00C82E34" w:rsidP="00C82E34">
            <w:pPr>
              <w:tabs>
                <w:tab w:val="center" w:pos="284"/>
              </w:tabs>
              <w:overflowPunct w:val="0"/>
              <w:autoSpaceDE w:val="0"/>
              <w:autoSpaceDN w:val="0"/>
              <w:adjustRightInd w:val="0"/>
              <w:ind w:left="266" w:hanging="266"/>
              <w:textAlignment w:val="baseline"/>
            </w:pPr>
            <w:r>
              <w:t>COM(2025) 552 final</w:t>
            </w:r>
          </w:p>
          <w:p w14:paraId="43B9D460" w14:textId="38B53CE0" w:rsidR="00C82E34" w:rsidRPr="00C82E34" w:rsidRDefault="00C82E34" w:rsidP="00C82E34">
            <w:pPr>
              <w:tabs>
                <w:tab w:val="center" w:pos="284"/>
              </w:tabs>
              <w:overflowPunct w:val="0"/>
              <w:autoSpaceDE w:val="0"/>
              <w:autoSpaceDN w:val="0"/>
              <w:adjustRightInd w:val="0"/>
              <w:ind w:left="266" w:hanging="266"/>
              <w:textAlignment w:val="baseline"/>
            </w:pPr>
            <w:r>
              <w:t>EESC-2025-03305-00-00-AC</w:t>
            </w:r>
          </w:p>
        </w:tc>
      </w:tr>
    </w:tbl>
    <w:p w14:paraId="08272C41" w14:textId="77777777" w:rsidR="00C82E34" w:rsidRDefault="00C82E34" w:rsidP="00C82E34">
      <w:pPr>
        <w:keepNext/>
        <w:keepLines/>
        <w:tabs>
          <w:tab w:val="center" w:pos="284"/>
        </w:tabs>
        <w:overflowPunct w:val="0"/>
        <w:autoSpaceDE w:val="0"/>
        <w:autoSpaceDN w:val="0"/>
        <w:adjustRightInd w:val="0"/>
        <w:spacing w:before="120"/>
        <w:ind w:left="266" w:hanging="266"/>
        <w:textAlignment w:val="baseline"/>
        <w:rPr>
          <w:b/>
        </w:rPr>
      </w:pPr>
      <w:r>
        <w:rPr>
          <w:b/>
        </w:rPr>
        <w:t>Puntos clave</w:t>
      </w:r>
    </w:p>
    <w:p w14:paraId="61DEFF14" w14:textId="77777777" w:rsidR="00C2078A" w:rsidRPr="00C82E34" w:rsidRDefault="00C2078A" w:rsidP="00C82E34">
      <w:pPr>
        <w:keepNext/>
        <w:keepLines/>
        <w:tabs>
          <w:tab w:val="center" w:pos="284"/>
        </w:tabs>
        <w:overflowPunct w:val="0"/>
        <w:autoSpaceDE w:val="0"/>
        <w:autoSpaceDN w:val="0"/>
        <w:adjustRightInd w:val="0"/>
        <w:spacing w:before="120"/>
        <w:ind w:left="266" w:hanging="266"/>
        <w:textAlignment w:val="baseline"/>
        <w:rPr>
          <w:b/>
          <w:lang w:val="en-GB"/>
        </w:rPr>
      </w:pPr>
    </w:p>
    <w:p w14:paraId="61D96179" w14:textId="154DA55F" w:rsidR="00C82E34" w:rsidRDefault="00C82E34" w:rsidP="00C82E34">
      <w:pPr>
        <w:overflowPunct w:val="0"/>
        <w:autoSpaceDE w:val="0"/>
        <w:autoSpaceDN w:val="0"/>
        <w:adjustRightInd w:val="0"/>
        <w:textAlignment w:val="baseline"/>
      </w:pPr>
      <w:r>
        <w:t>El CESE:</w:t>
      </w:r>
    </w:p>
    <w:p w14:paraId="5ECDD8AB" w14:textId="77777777" w:rsidR="00934A52" w:rsidRDefault="00934A52" w:rsidP="00C82E34">
      <w:pPr>
        <w:overflowPunct w:val="0"/>
        <w:autoSpaceDE w:val="0"/>
        <w:autoSpaceDN w:val="0"/>
        <w:adjustRightInd w:val="0"/>
        <w:textAlignment w:val="baseline"/>
        <w:rPr>
          <w:bCs/>
          <w:iCs/>
        </w:rPr>
      </w:pPr>
    </w:p>
    <w:p w14:paraId="6B7D5112"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subraya que la necesidad de reducir las disparidades regionales y territoriales sigue siendo una de las prioridades clave de la integración de la UE y que el uso de instrumentos tradicionales de eficacia demostrada de la política de cohesión es el camino adecuado para apoyar la prosperidad sostenible en todas las regiones de la Unión;</w:t>
      </w:r>
    </w:p>
    <w:p w14:paraId="419C11E1"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recomienda que se aclare el papel del Fondo Europeo de Desarrollo Regional (FEDER) y del Fondo de Cohesión en el Fondo de Colaboración Nacional y Regional (FCNR) no solo a través de objetivos generales y específicos, sino también mediante una descripción detallada en el Reglamento. El CESE acogería favorablemente que la propuesta de Reglamento a la que se refiere el presente Dictamen se desarrollara y completara al menos con un anexo en el que se ofrecieran orientaciones sobre cómo integrar eficazmente el FEDER y el Fondo de Cohesión en el FCNR;</w:t>
      </w:r>
    </w:p>
    <w:p w14:paraId="1B66C5C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insiste en que las nuevas disposiciones no deben conducir a una reducción de la importancia y la misión del FEDER y el Fondo de Cohesión, en particular a la hora de apoyar el desarrollo de las regiones que se están quedando atrás y la transformación de las zonas industriales. También hace hincapié en la importancia del principio de asociación en el diseño de los futuros programas;</w:t>
      </w:r>
    </w:p>
    <w:p w14:paraId="50BDF906"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está de acuerdo con el contenido y el enfoque temático del futuro programa Interreg y sus sinergias con el programa Europa Global en los casos específicos propuestos;</w:t>
      </w:r>
    </w:p>
    <w:p w14:paraId="23072895"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está de acuerdo, en líneas generales, con el enfoque innovador de la propuesta con respecto al futuro del ya consolidado programa Interreg, en particular en lo que se refiere a la aceptación de la estructura de ejecución a nivel de los distintos capítulos del plan Interreg;</w:t>
      </w:r>
    </w:p>
    <w:p w14:paraId="64ACA7F4"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llama la atención sobre el riesgo de que los agentes pertinentes en el ámbito regional transfronterizo no puedan llegar a un acuerdo, dado que la propuesta de Reglamento no es muy detallada, y recomienda también que se adopte el acto de ejecución inmediatamente después de la aprobación del Reglamento;</w:t>
      </w:r>
    </w:p>
    <w:p w14:paraId="4EB434F3"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recomienda que se garantice que la interpretación y la ejecución de los fondos en el nivel de los Estados miembros sean comparables y que no existan diferencias significativas entre los Estados miembros;</w:t>
      </w:r>
    </w:p>
    <w:p w14:paraId="72602B09" w14:textId="77777777" w:rsidR="00C82E34" w:rsidRPr="00C82E34" w:rsidRDefault="00C82E34" w:rsidP="00054C58">
      <w:pPr>
        <w:numPr>
          <w:ilvl w:val="0"/>
          <w:numId w:val="19"/>
        </w:numPr>
        <w:overflowPunct w:val="0"/>
        <w:autoSpaceDE w:val="0"/>
        <w:autoSpaceDN w:val="0"/>
        <w:adjustRightInd w:val="0"/>
        <w:ind w:left="284" w:hanging="284"/>
        <w:contextualSpacing/>
        <w:textAlignment w:val="baseline"/>
        <w:rPr>
          <w:szCs w:val="20"/>
        </w:rPr>
      </w:pPr>
      <w:r>
        <w:t>apoya la simplificación de los procesos administrativos y de ejecución para un uso más eficiente de los fondos;</w:t>
      </w:r>
    </w:p>
    <w:p w14:paraId="6E5FF386" w14:textId="77777777" w:rsidR="00C82E34" w:rsidRPr="00056F0F" w:rsidRDefault="00C82E34" w:rsidP="00C2078A">
      <w:pPr>
        <w:numPr>
          <w:ilvl w:val="0"/>
          <w:numId w:val="19"/>
        </w:numPr>
        <w:overflowPunct w:val="0"/>
        <w:autoSpaceDE w:val="0"/>
        <w:autoSpaceDN w:val="0"/>
        <w:adjustRightInd w:val="0"/>
        <w:ind w:left="284" w:hanging="284"/>
        <w:contextualSpacing/>
        <w:textAlignment w:val="baseline"/>
        <w:rPr>
          <w:bCs/>
          <w:iCs/>
        </w:rPr>
      </w:pPr>
      <w:r>
        <w:t xml:space="preserve">valora positivamente que la propuesta de Reglamento relativa al FEDER y el Fondo de Cohesión también prevea la posibilidad de apoyar el desarrollo urbano sostenible y, en ese marco, las estrategias integradas de desarrollo urbano y territorial centradas en el desarrollo sostenible y que abordan retos en los ámbitos del medio ambiente, la energía y el clima, y una transición justa hacia una economía limpia, climáticamente neutra y resiliente, prestando especial atención a la vivienda </w:t>
      </w:r>
      <w:r>
        <w:lastRenderedPageBreak/>
        <w:t>asequible, la pobreza, el patrimonio cultural y el uso del potencial de las tecnologías digitales para la innovación y la eficiencia energética.</w:t>
      </w:r>
    </w:p>
    <w:p w14:paraId="63EC4849" w14:textId="77777777" w:rsidR="00056F0F" w:rsidRPr="00C82E34" w:rsidRDefault="00056F0F" w:rsidP="00054C58">
      <w:pPr>
        <w:overflowPunct w:val="0"/>
        <w:autoSpaceDE w:val="0"/>
        <w:autoSpaceDN w:val="0"/>
        <w:adjustRightInd w:val="0"/>
        <w:ind w:left="284"/>
        <w:contextualSpacing/>
        <w:textAlignment w:val="baseline"/>
        <w:rPr>
          <w:bCs/>
          <w:iCs/>
          <w:lang w:val="en-GB"/>
        </w:rPr>
      </w:pPr>
    </w:p>
    <w:tbl>
      <w:tblPr>
        <w:tblStyle w:val="TableGrid2"/>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C82E34" w:rsidRPr="00C82E34" w14:paraId="04833A6C" w14:textId="77777777" w:rsidTr="00934A52">
        <w:tc>
          <w:tcPr>
            <w:tcW w:w="2235" w:type="dxa"/>
          </w:tcPr>
          <w:p w14:paraId="720E543D" w14:textId="77777777" w:rsidR="00C82E34" w:rsidRPr="00C82E34" w:rsidRDefault="00C82E34" w:rsidP="00C82E34">
            <w:pPr>
              <w:overflowPunct w:val="0"/>
              <w:autoSpaceDE w:val="0"/>
              <w:autoSpaceDN w:val="0"/>
              <w:adjustRightInd w:val="0"/>
              <w:textAlignment w:val="baseline"/>
              <w:rPr>
                <w:i/>
              </w:rPr>
            </w:pPr>
            <w:r>
              <w:rPr>
                <w:b/>
                <w:i/>
              </w:rPr>
              <w:t>Contacto:</w:t>
            </w:r>
          </w:p>
        </w:tc>
        <w:tc>
          <w:tcPr>
            <w:tcW w:w="7087" w:type="dxa"/>
          </w:tcPr>
          <w:p w14:paraId="2AC28C0B" w14:textId="5FFF53BD" w:rsidR="00C82E34" w:rsidRPr="00C82E34" w:rsidRDefault="00C82E34" w:rsidP="00C82E34">
            <w:pPr>
              <w:overflowPunct w:val="0"/>
              <w:autoSpaceDE w:val="0"/>
              <w:autoSpaceDN w:val="0"/>
              <w:adjustRightInd w:val="0"/>
              <w:textAlignment w:val="baseline"/>
              <w:rPr>
                <w:i/>
              </w:rPr>
            </w:pPr>
            <w:r>
              <w:rPr>
                <w:i/>
              </w:rPr>
              <w:t>Georgios Meleas</w:t>
            </w:r>
          </w:p>
        </w:tc>
      </w:tr>
      <w:tr w:rsidR="00C82E34" w:rsidRPr="00C82E34" w14:paraId="06EB7C5A" w14:textId="77777777" w:rsidTr="00934A52">
        <w:tc>
          <w:tcPr>
            <w:tcW w:w="2235" w:type="dxa"/>
          </w:tcPr>
          <w:p w14:paraId="3964EC18" w14:textId="77777777" w:rsidR="00C82E34" w:rsidRPr="00C82E34" w:rsidRDefault="00C82E34" w:rsidP="00C82E34">
            <w:pPr>
              <w:overflowPunct w:val="0"/>
              <w:autoSpaceDE w:val="0"/>
              <w:autoSpaceDN w:val="0"/>
              <w:adjustRightInd w:val="0"/>
              <w:textAlignment w:val="baseline"/>
              <w:rPr>
                <w:i/>
              </w:rPr>
            </w:pPr>
            <w:r>
              <w:rPr>
                <w:i/>
              </w:rPr>
              <w:t>Teléfono:</w:t>
            </w:r>
          </w:p>
        </w:tc>
        <w:tc>
          <w:tcPr>
            <w:tcW w:w="7087" w:type="dxa"/>
          </w:tcPr>
          <w:p w14:paraId="6FC22AA9" w14:textId="7577C11B" w:rsidR="00C82E34" w:rsidRPr="00C82E34" w:rsidRDefault="00C82E34" w:rsidP="00C82E34">
            <w:pPr>
              <w:overflowPunct w:val="0"/>
              <w:autoSpaceDE w:val="0"/>
              <w:autoSpaceDN w:val="0"/>
              <w:adjustRightInd w:val="0"/>
              <w:textAlignment w:val="baseline"/>
              <w:rPr>
                <w:i/>
              </w:rPr>
            </w:pPr>
            <w:r>
              <w:rPr>
                <w:i/>
              </w:rPr>
              <w:t>+32 25469795</w:t>
            </w:r>
          </w:p>
        </w:tc>
      </w:tr>
      <w:tr w:rsidR="00C82E34" w:rsidRPr="00C82E34" w14:paraId="03D8EF0B" w14:textId="77777777" w:rsidTr="00934A52">
        <w:tc>
          <w:tcPr>
            <w:tcW w:w="2235" w:type="dxa"/>
          </w:tcPr>
          <w:p w14:paraId="130E2BFD" w14:textId="77777777" w:rsidR="00C82E34" w:rsidRPr="00C82E34" w:rsidRDefault="00C82E34" w:rsidP="00C82E34">
            <w:pPr>
              <w:overflowPunct w:val="0"/>
              <w:autoSpaceDE w:val="0"/>
              <w:autoSpaceDN w:val="0"/>
              <w:adjustRightInd w:val="0"/>
              <w:textAlignment w:val="baseline"/>
              <w:rPr>
                <w:i/>
              </w:rPr>
            </w:pPr>
            <w:r>
              <w:rPr>
                <w:i/>
              </w:rPr>
              <w:t>Correo electrónico:</w:t>
            </w:r>
          </w:p>
        </w:tc>
        <w:tc>
          <w:tcPr>
            <w:tcW w:w="7087" w:type="dxa"/>
          </w:tcPr>
          <w:p w14:paraId="6763C6D9" w14:textId="77777777" w:rsidR="00D6499D" w:rsidRDefault="00236A60" w:rsidP="00C82E34">
            <w:pPr>
              <w:overflowPunct w:val="0"/>
              <w:autoSpaceDE w:val="0"/>
              <w:autoSpaceDN w:val="0"/>
              <w:adjustRightInd w:val="0"/>
              <w:textAlignment w:val="baseline"/>
              <w:rPr>
                <w:i/>
                <w:color w:val="0000FF"/>
                <w:u w:val="single"/>
              </w:rPr>
            </w:pPr>
            <w:hyperlink r:id="rId23" w:history="1">
              <w:r w:rsidR="00E167DC">
                <w:rPr>
                  <w:i/>
                  <w:color w:val="0000FF"/>
                  <w:u w:val="single"/>
                </w:rPr>
                <w:t>Georgios.Meleas@eesc.europa.eu</w:t>
              </w:r>
            </w:hyperlink>
          </w:p>
          <w:p w14:paraId="21BA5198" w14:textId="74F7F44B" w:rsidR="00934A52" w:rsidRPr="00934A52" w:rsidRDefault="00934A52" w:rsidP="00C82E34">
            <w:pPr>
              <w:overflowPunct w:val="0"/>
              <w:autoSpaceDE w:val="0"/>
              <w:autoSpaceDN w:val="0"/>
              <w:adjustRightInd w:val="0"/>
              <w:textAlignment w:val="baseline"/>
            </w:pPr>
          </w:p>
        </w:tc>
      </w:tr>
    </w:tbl>
    <w:p w14:paraId="4982DD99" w14:textId="77777777" w:rsidR="004D7AC0" w:rsidRDefault="004D7AC0" w:rsidP="004D7AC0">
      <w:pPr>
        <w:pStyle w:val="Heading1"/>
        <w:rPr>
          <w:b/>
        </w:rPr>
      </w:pPr>
      <w:bookmarkStart w:id="1" w:name="_Toc75527081"/>
      <w:bookmarkStart w:id="2" w:name="_Toc216951822"/>
      <w:r>
        <w:rPr>
          <w:b/>
        </w:rPr>
        <w:t>EMPLEO, ASUNTOS SOCIALES Y CIUDADANÍA</w:t>
      </w:r>
      <w:bookmarkEnd w:id="1"/>
      <w:bookmarkEnd w:id="2"/>
    </w:p>
    <w:p w14:paraId="0203F323" w14:textId="77777777" w:rsidR="00C24C34" w:rsidRDefault="00C24C34" w:rsidP="004D7AC0"/>
    <w:p w14:paraId="6F01FD8F" w14:textId="6C69818F" w:rsidR="00DB1B79" w:rsidRPr="00934A52" w:rsidRDefault="00236A60" w:rsidP="00E972B2">
      <w:pPr>
        <w:widowControl w:val="0"/>
        <w:numPr>
          <w:ilvl w:val="0"/>
          <w:numId w:val="6"/>
        </w:numPr>
        <w:overflowPunct w:val="0"/>
        <w:autoSpaceDE w:val="0"/>
        <w:autoSpaceDN w:val="0"/>
        <w:adjustRightInd w:val="0"/>
        <w:ind w:left="567" w:hanging="567"/>
        <w:textAlignment w:val="baseline"/>
        <w:rPr>
          <w:b/>
        </w:rPr>
      </w:pPr>
      <w:hyperlink r:id="rId24" w:history="1">
        <w:r w:rsidR="00E972B2">
          <w:rPr>
            <w:rStyle w:val="Hyperlink"/>
            <w:b/>
            <w:i/>
            <w:sz w:val="28"/>
          </w:rPr>
          <w:t>Los derechos laborales de periodistas y profesionales de los medios de comunicación como garantía de independencia e información veraz</w:t>
        </w:r>
      </w:hyperlink>
    </w:p>
    <w:p w14:paraId="0ABA41B8" w14:textId="77777777" w:rsidR="000C7C8B" w:rsidRPr="00934A52" w:rsidRDefault="000C7C8B" w:rsidP="00E972B2">
      <w:pPr>
        <w:tabs>
          <w:tab w:val="center" w:pos="284"/>
        </w:tabs>
        <w:overflowPunct w:val="0"/>
        <w:autoSpaceDE w:val="0"/>
        <w:autoSpaceDN w:val="0"/>
        <w:adjustRightInd w:val="0"/>
        <w:ind w:left="567" w:hanging="567"/>
        <w:textAlignment w:val="baseline"/>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E972B2" w:rsidRPr="00E972B2" w14:paraId="7386250C" w14:textId="77777777" w:rsidTr="0036489A">
        <w:tc>
          <w:tcPr>
            <w:tcW w:w="1701" w:type="dxa"/>
          </w:tcPr>
          <w:p w14:paraId="55083F76"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Ponente</w:t>
            </w:r>
          </w:p>
          <w:p w14:paraId="3877742D"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Coponente</w:t>
            </w:r>
          </w:p>
        </w:tc>
        <w:tc>
          <w:tcPr>
            <w:tcW w:w="6237" w:type="dxa"/>
          </w:tcPr>
          <w:p w14:paraId="59B0A1D0" w14:textId="77777777" w:rsidR="00E972B2" w:rsidRPr="00E972B2" w:rsidRDefault="00E972B2" w:rsidP="00E972B2">
            <w:pPr>
              <w:overflowPunct w:val="0"/>
              <w:autoSpaceDE w:val="0"/>
              <w:autoSpaceDN w:val="0"/>
              <w:adjustRightInd w:val="0"/>
              <w:ind w:left="567" w:hanging="567"/>
              <w:textAlignment w:val="baseline"/>
            </w:pPr>
            <w:r>
              <w:t>José Antonio MORENO DÍAZ (Grupo de Trabajadores – ES)</w:t>
            </w:r>
          </w:p>
          <w:p w14:paraId="683C7CA1" w14:textId="4F234B12" w:rsidR="00E972B2" w:rsidRPr="00E972B2" w:rsidRDefault="00E972B2" w:rsidP="00E972B2">
            <w:pPr>
              <w:overflowPunct w:val="0"/>
              <w:autoSpaceDE w:val="0"/>
              <w:autoSpaceDN w:val="0"/>
              <w:adjustRightInd w:val="0"/>
              <w:ind w:left="567" w:hanging="567"/>
              <w:textAlignment w:val="baseline"/>
            </w:pPr>
            <w:r>
              <w:t>Christian MOOS (Grupo de Organizaciones de la Sociedad Civil – DE)</w:t>
            </w:r>
          </w:p>
        </w:tc>
      </w:tr>
      <w:tr w:rsidR="00E972B2" w:rsidRPr="00E972B2" w14:paraId="403DF22C" w14:textId="77777777" w:rsidTr="0036489A">
        <w:tc>
          <w:tcPr>
            <w:tcW w:w="1701" w:type="dxa"/>
            <w:vMerge w:val="restart"/>
          </w:tcPr>
          <w:p w14:paraId="7C482129" w14:textId="77777777" w:rsidR="00E972B2" w:rsidRPr="00E972B2" w:rsidRDefault="00E972B2" w:rsidP="00E972B2">
            <w:pPr>
              <w:tabs>
                <w:tab w:val="center" w:pos="284"/>
              </w:tabs>
              <w:overflowPunct w:val="0"/>
              <w:autoSpaceDE w:val="0"/>
              <w:autoSpaceDN w:val="0"/>
              <w:adjustRightInd w:val="0"/>
              <w:ind w:left="567" w:hanging="567"/>
              <w:textAlignment w:val="baseline"/>
              <w:rPr>
                <w:b/>
              </w:rPr>
            </w:pPr>
          </w:p>
          <w:p w14:paraId="762D1FFF" w14:textId="6AE47BDD" w:rsidR="00E972B2" w:rsidRPr="00E972B2" w:rsidRDefault="00E972B2" w:rsidP="00E972B2">
            <w:pPr>
              <w:tabs>
                <w:tab w:val="center" w:pos="284"/>
              </w:tabs>
              <w:overflowPunct w:val="0"/>
              <w:autoSpaceDE w:val="0"/>
              <w:autoSpaceDN w:val="0"/>
              <w:adjustRightInd w:val="0"/>
              <w:ind w:left="567" w:hanging="567"/>
              <w:textAlignment w:val="baseline"/>
              <w:rPr>
                <w:b/>
              </w:rPr>
            </w:pPr>
            <w:r>
              <w:rPr>
                <w:b/>
              </w:rPr>
              <w:t>Referencia</w:t>
            </w:r>
          </w:p>
        </w:tc>
        <w:tc>
          <w:tcPr>
            <w:tcW w:w="6237" w:type="dxa"/>
          </w:tcPr>
          <w:p w14:paraId="3C316E73" w14:textId="77777777" w:rsidR="00E972B2" w:rsidRPr="00054C58" w:rsidRDefault="00E972B2" w:rsidP="00E972B2">
            <w:pPr>
              <w:tabs>
                <w:tab w:val="center" w:pos="284"/>
              </w:tabs>
              <w:overflowPunct w:val="0"/>
              <w:autoSpaceDE w:val="0"/>
              <w:autoSpaceDN w:val="0"/>
              <w:adjustRightInd w:val="0"/>
              <w:ind w:left="567" w:hanging="567"/>
              <w:textAlignment w:val="baseline"/>
              <w:rPr>
                <w:lang w:val="en-GB"/>
              </w:rPr>
            </w:pPr>
          </w:p>
          <w:p w14:paraId="29981116" w14:textId="11CD9731" w:rsidR="00DB1B79" w:rsidRPr="00054C58" w:rsidRDefault="00DB1B79" w:rsidP="00E972B2">
            <w:pPr>
              <w:tabs>
                <w:tab w:val="center" w:pos="284"/>
              </w:tabs>
              <w:overflowPunct w:val="0"/>
              <w:autoSpaceDE w:val="0"/>
              <w:autoSpaceDN w:val="0"/>
              <w:adjustRightInd w:val="0"/>
              <w:ind w:left="567" w:hanging="567"/>
              <w:textAlignment w:val="baseline"/>
            </w:pPr>
            <w:r>
              <w:t>Dictamen de iniciativa</w:t>
            </w:r>
          </w:p>
          <w:p w14:paraId="4F671282" w14:textId="1803C443" w:rsidR="00E972B2" w:rsidRPr="00054C58" w:rsidRDefault="00E972B2" w:rsidP="00E972B2">
            <w:pPr>
              <w:tabs>
                <w:tab w:val="center" w:pos="284"/>
              </w:tabs>
              <w:overflowPunct w:val="0"/>
              <w:autoSpaceDE w:val="0"/>
              <w:autoSpaceDN w:val="0"/>
              <w:adjustRightInd w:val="0"/>
              <w:ind w:left="567" w:hanging="567"/>
              <w:textAlignment w:val="baseline"/>
            </w:pPr>
            <w:r>
              <w:t>EESC-2025-01400-00-00-AC</w:t>
            </w:r>
          </w:p>
        </w:tc>
      </w:tr>
      <w:tr w:rsidR="00E972B2" w:rsidRPr="00E972B2" w14:paraId="5DAEC2A3" w14:textId="77777777" w:rsidTr="0036489A">
        <w:tc>
          <w:tcPr>
            <w:tcW w:w="1701" w:type="dxa"/>
            <w:vMerge/>
          </w:tcPr>
          <w:p w14:paraId="23805FDF" w14:textId="77777777" w:rsidR="00E972B2" w:rsidRPr="00054C58" w:rsidRDefault="00E972B2" w:rsidP="00E972B2">
            <w:pPr>
              <w:tabs>
                <w:tab w:val="center" w:pos="284"/>
              </w:tabs>
              <w:overflowPunct w:val="0"/>
              <w:autoSpaceDE w:val="0"/>
              <w:autoSpaceDN w:val="0"/>
              <w:adjustRightInd w:val="0"/>
              <w:ind w:left="266" w:hanging="266"/>
              <w:textAlignment w:val="baseline"/>
              <w:rPr>
                <w:b/>
                <w:lang w:val="en-GB"/>
              </w:rPr>
            </w:pPr>
          </w:p>
        </w:tc>
        <w:tc>
          <w:tcPr>
            <w:tcW w:w="6237" w:type="dxa"/>
          </w:tcPr>
          <w:p w14:paraId="0EEAB858" w14:textId="77777777" w:rsidR="00E972B2" w:rsidRPr="00054C58" w:rsidRDefault="00E972B2" w:rsidP="00E972B2">
            <w:pPr>
              <w:tabs>
                <w:tab w:val="center" w:pos="284"/>
              </w:tabs>
              <w:overflowPunct w:val="0"/>
              <w:autoSpaceDE w:val="0"/>
              <w:autoSpaceDN w:val="0"/>
              <w:adjustRightInd w:val="0"/>
              <w:ind w:left="266" w:hanging="266"/>
              <w:textAlignment w:val="baseline"/>
              <w:rPr>
                <w:sz w:val="16"/>
                <w:szCs w:val="16"/>
                <w:lang w:val="en-GB"/>
              </w:rPr>
            </w:pPr>
          </w:p>
        </w:tc>
      </w:tr>
    </w:tbl>
    <w:p w14:paraId="770A689E" w14:textId="77777777" w:rsidR="00C24C34"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146DC9AC" w14:textId="5044B617" w:rsidR="00E972B2" w:rsidRPr="00E972B2" w:rsidRDefault="00E972B2" w:rsidP="00E972B2">
      <w:pPr>
        <w:keepNext/>
        <w:keepLines/>
        <w:tabs>
          <w:tab w:val="center" w:pos="284"/>
        </w:tabs>
        <w:overflowPunct w:val="0"/>
        <w:autoSpaceDE w:val="0"/>
        <w:autoSpaceDN w:val="0"/>
        <w:adjustRightInd w:val="0"/>
        <w:ind w:left="266" w:hanging="266"/>
        <w:textAlignment w:val="baseline"/>
        <w:rPr>
          <w:b/>
        </w:rPr>
      </w:pPr>
      <w:r>
        <w:rPr>
          <w:b/>
        </w:rPr>
        <w:t>Puntos clave</w:t>
      </w:r>
    </w:p>
    <w:p w14:paraId="7CEC89B2" w14:textId="77777777" w:rsidR="00C24C34" w:rsidRPr="00E972B2" w:rsidRDefault="00C24C34" w:rsidP="00E972B2">
      <w:pPr>
        <w:keepNext/>
        <w:keepLines/>
        <w:tabs>
          <w:tab w:val="center" w:pos="284"/>
        </w:tabs>
        <w:overflowPunct w:val="0"/>
        <w:autoSpaceDE w:val="0"/>
        <w:autoSpaceDN w:val="0"/>
        <w:adjustRightInd w:val="0"/>
        <w:ind w:left="266" w:hanging="266"/>
        <w:textAlignment w:val="baseline"/>
        <w:rPr>
          <w:b/>
          <w:lang w:val="en-GB"/>
        </w:rPr>
      </w:pPr>
    </w:p>
    <w:p w14:paraId="409C084B" w14:textId="11E1ED7F" w:rsidR="00E972B2" w:rsidRDefault="00E972B2" w:rsidP="00E972B2">
      <w:pPr>
        <w:keepNext/>
        <w:keepLines/>
        <w:tabs>
          <w:tab w:val="center" w:pos="284"/>
        </w:tabs>
        <w:overflowPunct w:val="0"/>
        <w:autoSpaceDE w:val="0"/>
        <w:autoSpaceDN w:val="0"/>
        <w:adjustRightInd w:val="0"/>
        <w:ind w:left="266" w:hanging="266"/>
        <w:textAlignment w:val="baseline"/>
        <w:rPr>
          <w:szCs w:val="20"/>
        </w:rPr>
      </w:pPr>
      <w:r>
        <w:t>El CESE:</w:t>
      </w:r>
    </w:p>
    <w:p w14:paraId="466A1A93" w14:textId="77777777" w:rsidR="00C24C34" w:rsidRDefault="00C24C34" w:rsidP="00E972B2">
      <w:pPr>
        <w:keepNext/>
        <w:keepLines/>
        <w:tabs>
          <w:tab w:val="center" w:pos="284"/>
        </w:tabs>
        <w:overflowPunct w:val="0"/>
        <w:autoSpaceDE w:val="0"/>
        <w:autoSpaceDN w:val="0"/>
        <w:adjustRightInd w:val="0"/>
        <w:ind w:left="266" w:hanging="266"/>
        <w:textAlignment w:val="baseline"/>
        <w:rPr>
          <w:szCs w:val="20"/>
          <w:lang w:val="en-GB"/>
        </w:rPr>
      </w:pPr>
    </w:p>
    <w:p w14:paraId="3CF6F831" w14:textId="77777777" w:rsidR="00E972B2" w:rsidRPr="00934A52" w:rsidRDefault="00E972B2" w:rsidP="00934A52">
      <w:pPr>
        <w:pStyle w:val="ListParagraph"/>
        <w:numPr>
          <w:ilvl w:val="0"/>
          <w:numId w:val="36"/>
        </w:numPr>
        <w:ind w:left="284" w:hanging="284"/>
        <w:rPr>
          <w:szCs w:val="20"/>
        </w:rPr>
      </w:pPr>
      <w:r>
        <w:t>insta a las autoridades a que adopten medidas de protección urgentes ante la creciente inseguridad de los periodistas, y pide la plena aplicación de la Ley Europea de Libertad de los Medios de Comunicación; insta asimismo a que se establezca un mecanismo de apoyo independiente a los medios de comunicación, además de las subvenciones existentes, a fin de garantizar la sostenibilidad del sector europeo de los medios de comunicación, y pide un aumento considerable de los fondos destinados a la protección de un ecosistema de información sólido;</w:t>
      </w:r>
    </w:p>
    <w:p w14:paraId="699C4C8F" w14:textId="77777777" w:rsidR="00E972B2" w:rsidRPr="00934A52" w:rsidRDefault="00E972B2" w:rsidP="00934A52">
      <w:pPr>
        <w:pStyle w:val="ListParagraph"/>
        <w:numPr>
          <w:ilvl w:val="0"/>
          <w:numId w:val="36"/>
        </w:numPr>
        <w:ind w:left="284" w:hanging="284"/>
        <w:rPr>
          <w:bCs/>
          <w:szCs w:val="20"/>
        </w:rPr>
      </w:pPr>
      <w:r>
        <w:t>insta a la Comisión Europea a que presente un paquete ambicioso de medidas políticas e inversiones que sustenten unos empleos de calidad en el sector de los medios de comunicación, y pide a los Gobiernos que promuevan el diálogo social y la negociación colectiva para todos los periodistas, incluidos los profesionales autónomos, mediante la transposición de la Directiva sobre unos salarios mínimos adecuados en los casos que proceda</w:t>
      </w:r>
      <w:r w:rsidRPr="00E972B2">
        <w:rPr>
          <w:sz w:val="24"/>
          <w:szCs w:val="24"/>
          <w:vertAlign w:val="superscript"/>
          <w:lang w:val="en-GB"/>
        </w:rPr>
        <w:footnoteReference w:id="1"/>
      </w:r>
      <w:r>
        <w:t xml:space="preserve"> y de las Directrices sobre la aplicación del Derecho de la competencia de la Unión a los convenios colectivos relativos a las condiciones laborales de las personas que trabajan por cuenta propia sin asalariados</w:t>
      </w:r>
      <w:r w:rsidRPr="00E972B2">
        <w:rPr>
          <w:sz w:val="24"/>
          <w:szCs w:val="24"/>
          <w:vertAlign w:val="superscript"/>
          <w:lang w:val="en-GB"/>
        </w:rPr>
        <w:footnoteReference w:id="2"/>
      </w:r>
      <w:r>
        <w:t>; insta asimismo a la Comisión Europea y a los Estados miembros a que luchen contra el fenómeno de los falsos autónomos;</w:t>
      </w:r>
    </w:p>
    <w:p w14:paraId="2C320535" w14:textId="77777777" w:rsidR="00E972B2" w:rsidRPr="00934A52" w:rsidRDefault="00E972B2" w:rsidP="00934A52">
      <w:pPr>
        <w:pStyle w:val="ListParagraph"/>
        <w:numPr>
          <w:ilvl w:val="0"/>
          <w:numId w:val="36"/>
        </w:numPr>
        <w:ind w:left="284" w:hanging="284"/>
        <w:rPr>
          <w:szCs w:val="20"/>
        </w:rPr>
      </w:pPr>
      <w:r>
        <w:t>pide a la Comisión Europea que dé curso a la Recomendación sobre la protección, la seguridad y el empoderamiento de los periodistas</w:t>
      </w:r>
      <w:r w:rsidRPr="00E972B2">
        <w:rPr>
          <w:sz w:val="24"/>
          <w:szCs w:val="24"/>
          <w:vertAlign w:val="superscript"/>
          <w:lang w:val="en-GB"/>
        </w:rPr>
        <w:footnoteReference w:id="3"/>
      </w:r>
      <w:r>
        <w:t>, y subraya la necesidad de una colaboración más estrecha con las organizaciones de periodistas a fin de crear estructuras capaces de garantizar la seguridad de estos últimos. Los periodistas están muy expuestos en su trabajo al estrés, el síndrome de desgaste profesional, el acoso en línea y la sobrecarga digital. Sería útil, en este sentido, que la Comisión estudiara la forma de dar seguimiento a la Resolución del Parlamento Europeo de 10 de marzo de 2022 en la que se pedía la adopción de una Directiva sobre los riesgos psicosociales; el CESE está dispuesto a elaborar un dictamen al respecto</w:t>
      </w:r>
      <w:r w:rsidRPr="00E972B2">
        <w:rPr>
          <w:sz w:val="24"/>
          <w:szCs w:val="20"/>
          <w:vertAlign w:val="superscript"/>
          <w:lang w:val="en-GB"/>
        </w:rPr>
        <w:footnoteReference w:id="4"/>
      </w:r>
      <w:r>
        <w:t>;</w:t>
      </w:r>
    </w:p>
    <w:p w14:paraId="15FE9461" w14:textId="77777777" w:rsidR="00E972B2" w:rsidRPr="00934A52" w:rsidRDefault="00E972B2" w:rsidP="00934A52">
      <w:pPr>
        <w:pStyle w:val="ListParagraph"/>
        <w:numPr>
          <w:ilvl w:val="0"/>
          <w:numId w:val="36"/>
        </w:numPr>
        <w:ind w:left="284" w:hanging="284"/>
        <w:rPr>
          <w:szCs w:val="20"/>
        </w:rPr>
      </w:pPr>
      <w:r>
        <w:t>hace un llamamiento a la Comisión Europea para que supervise la aplicación del marco legislativo de la UE sobre la utilización de la inteligencia artificial (IA) a fin de proteger a los periodistas, y anima a los sindicatos de periodistas y a las organizaciones de medios de comunicación a que aborden las cuestiones relacionadas con el uso de la IA en las redacciones en el marco del diálogo social; pide asimismo que se financien proyectos que desarrollen la alfabetización de los periodistas en materia de IA, se estudie la posibilidad de cofinanciar las academias europeas de periodismo y las formaciones y subvencionar los salarios de los periodistas jóvenes de empresas de medios de comunicación que cumplan normas estrictas en materia de periodismo de calidad y condiciones de trabajo.</w:t>
      </w:r>
    </w:p>
    <w:p w14:paraId="628F03B6" w14:textId="77777777" w:rsidR="00E972B2" w:rsidRPr="00E972B2" w:rsidRDefault="00E972B2" w:rsidP="00E972B2">
      <w:pPr>
        <w:overflowPunct w:val="0"/>
        <w:autoSpaceDE w:val="0"/>
        <w:autoSpaceDN w:val="0"/>
        <w:adjustRightInd w:val="0"/>
        <w:textAlignment w:val="baseline"/>
        <w:rPr>
          <w:szCs w:val="20"/>
          <w:lang w:val="en-GB"/>
        </w:rPr>
      </w:pPr>
    </w:p>
    <w:tbl>
      <w:tblPr>
        <w:tblStyle w:val="TableGrid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468"/>
      </w:tblGrid>
      <w:tr w:rsidR="00E972B2" w:rsidRPr="00E972B2" w14:paraId="2A48BF49" w14:textId="77777777" w:rsidTr="00934A52">
        <w:tc>
          <w:tcPr>
            <w:tcW w:w="2235" w:type="dxa"/>
          </w:tcPr>
          <w:p w14:paraId="238E38FB" w14:textId="77777777" w:rsidR="00E972B2" w:rsidRPr="00E972B2" w:rsidRDefault="00E972B2" w:rsidP="00E972B2">
            <w:pPr>
              <w:overflowPunct w:val="0"/>
              <w:autoSpaceDE w:val="0"/>
              <w:autoSpaceDN w:val="0"/>
              <w:adjustRightInd w:val="0"/>
              <w:spacing w:line="240" w:lineRule="auto"/>
              <w:textAlignment w:val="baseline"/>
              <w:rPr>
                <w:i/>
              </w:rPr>
            </w:pPr>
            <w:r>
              <w:rPr>
                <w:b/>
                <w:i/>
              </w:rPr>
              <w:t>Contacto:</w:t>
            </w:r>
          </w:p>
        </w:tc>
        <w:tc>
          <w:tcPr>
            <w:tcW w:w="3468" w:type="dxa"/>
          </w:tcPr>
          <w:p w14:paraId="222CC330" w14:textId="77777777" w:rsidR="00E972B2" w:rsidRPr="00E972B2" w:rsidRDefault="00E972B2" w:rsidP="00E972B2">
            <w:pPr>
              <w:overflowPunct w:val="0"/>
              <w:autoSpaceDE w:val="0"/>
              <w:autoSpaceDN w:val="0"/>
              <w:adjustRightInd w:val="0"/>
              <w:spacing w:line="240" w:lineRule="auto"/>
              <w:ind w:hanging="12"/>
              <w:textAlignment w:val="baseline"/>
              <w:rPr>
                <w:i/>
              </w:rPr>
            </w:pPr>
            <w:r>
              <w:rPr>
                <w:i/>
              </w:rPr>
              <w:t>June Bedaton</w:t>
            </w:r>
          </w:p>
        </w:tc>
      </w:tr>
      <w:tr w:rsidR="00E972B2" w:rsidRPr="00E972B2" w14:paraId="6AAFD04B" w14:textId="77777777" w:rsidTr="00934A52">
        <w:tc>
          <w:tcPr>
            <w:tcW w:w="2235" w:type="dxa"/>
          </w:tcPr>
          <w:p w14:paraId="43DF2BDC" w14:textId="77777777" w:rsidR="00E972B2" w:rsidRPr="00E972B2" w:rsidRDefault="00E972B2" w:rsidP="00E972B2">
            <w:pPr>
              <w:overflowPunct w:val="0"/>
              <w:autoSpaceDE w:val="0"/>
              <w:autoSpaceDN w:val="0"/>
              <w:adjustRightInd w:val="0"/>
              <w:spacing w:line="240" w:lineRule="auto"/>
              <w:textAlignment w:val="baseline"/>
              <w:rPr>
                <w:i/>
              </w:rPr>
            </w:pPr>
            <w:r>
              <w:rPr>
                <w:i/>
              </w:rPr>
              <w:t>Teléfono:</w:t>
            </w:r>
          </w:p>
        </w:tc>
        <w:tc>
          <w:tcPr>
            <w:tcW w:w="3468" w:type="dxa"/>
          </w:tcPr>
          <w:p w14:paraId="63A276AE" w14:textId="77777777" w:rsidR="00E972B2" w:rsidRPr="00E972B2" w:rsidRDefault="00E972B2" w:rsidP="00E972B2">
            <w:pPr>
              <w:overflowPunct w:val="0"/>
              <w:autoSpaceDE w:val="0"/>
              <w:autoSpaceDN w:val="0"/>
              <w:adjustRightInd w:val="0"/>
              <w:spacing w:line="240" w:lineRule="auto"/>
              <w:textAlignment w:val="baseline"/>
              <w:rPr>
                <w:i/>
              </w:rPr>
            </w:pPr>
            <w:r>
              <w:rPr>
                <w:i/>
              </w:rPr>
              <w:t>+32 25468134</w:t>
            </w:r>
          </w:p>
        </w:tc>
      </w:tr>
      <w:tr w:rsidR="00E972B2" w:rsidRPr="00E972B2" w14:paraId="20D34920" w14:textId="77777777" w:rsidTr="00934A52">
        <w:tc>
          <w:tcPr>
            <w:tcW w:w="2235" w:type="dxa"/>
          </w:tcPr>
          <w:p w14:paraId="75D6BA57" w14:textId="77777777" w:rsidR="00E972B2" w:rsidRPr="00E972B2" w:rsidRDefault="00E972B2" w:rsidP="00E972B2">
            <w:pPr>
              <w:overflowPunct w:val="0"/>
              <w:autoSpaceDE w:val="0"/>
              <w:autoSpaceDN w:val="0"/>
              <w:adjustRightInd w:val="0"/>
              <w:spacing w:line="240" w:lineRule="auto"/>
              <w:textAlignment w:val="baseline"/>
              <w:rPr>
                <w:i/>
              </w:rPr>
            </w:pPr>
            <w:r>
              <w:rPr>
                <w:i/>
              </w:rPr>
              <w:t>Correo electrónico:</w:t>
            </w:r>
          </w:p>
        </w:tc>
        <w:tc>
          <w:tcPr>
            <w:tcW w:w="3468" w:type="dxa"/>
          </w:tcPr>
          <w:p w14:paraId="49B7876D" w14:textId="77777777" w:rsidR="00E972B2" w:rsidRPr="00E972B2" w:rsidRDefault="00236A60" w:rsidP="00E972B2">
            <w:pPr>
              <w:overflowPunct w:val="0"/>
              <w:autoSpaceDE w:val="0"/>
              <w:autoSpaceDN w:val="0"/>
              <w:adjustRightInd w:val="0"/>
              <w:spacing w:line="240" w:lineRule="auto"/>
              <w:textAlignment w:val="baseline"/>
              <w:rPr>
                <w:i/>
                <w:iCs/>
              </w:rPr>
            </w:pPr>
            <w:hyperlink r:id="rId25" w:history="1">
              <w:r w:rsidR="00E167DC">
                <w:rPr>
                  <w:i/>
                  <w:color w:val="0000FF"/>
                  <w:u w:val="single"/>
                </w:rPr>
                <w:t>june.bedaton@eesc.europa.eu</w:t>
              </w:r>
            </w:hyperlink>
            <w:r w:rsidR="00E167DC">
              <w:rPr>
                <w:i/>
              </w:rPr>
              <w:t xml:space="preserve"> </w:t>
            </w:r>
          </w:p>
        </w:tc>
      </w:tr>
    </w:tbl>
    <w:p w14:paraId="4982DDC4" w14:textId="77777777" w:rsidR="004D7AC0" w:rsidRPr="00803CA6" w:rsidRDefault="004D7AC0" w:rsidP="004D7AC0">
      <w:pPr>
        <w:pStyle w:val="ListParagraph"/>
        <w:ind w:left="0"/>
      </w:pPr>
    </w:p>
    <w:p w14:paraId="3BBEED3B" w14:textId="2A08F509" w:rsidR="008D0052" w:rsidRPr="008D0052" w:rsidRDefault="004D7AC0" w:rsidP="008D0052">
      <w:pPr>
        <w:widowControl w:val="0"/>
        <w:numPr>
          <w:ilvl w:val="0"/>
          <w:numId w:val="6"/>
        </w:numPr>
        <w:overflowPunct w:val="0"/>
        <w:autoSpaceDE w:val="0"/>
        <w:autoSpaceDN w:val="0"/>
        <w:adjustRightInd w:val="0"/>
        <w:ind w:left="567" w:hanging="567"/>
        <w:textAlignment w:val="baseline"/>
        <w:rPr>
          <w:b/>
        </w:rPr>
      </w:pPr>
      <w:r>
        <w:br w:type="page"/>
      </w:r>
      <w:hyperlink r:id="rId26" w:history="1">
        <w:r>
          <w:rPr>
            <w:b/>
            <w:i/>
            <w:color w:val="0000FF"/>
            <w:sz w:val="28"/>
            <w:u w:val="single"/>
          </w:rPr>
          <w:t>Programas AgoraEU y Justicia</w:t>
        </w:r>
      </w:hyperlink>
    </w:p>
    <w:p w14:paraId="269FC09C" w14:textId="77777777" w:rsidR="008D0052" w:rsidRPr="00934A52" w:rsidRDefault="008D0052" w:rsidP="008D0052">
      <w:pPr>
        <w:tabs>
          <w:tab w:val="center" w:pos="284"/>
        </w:tabs>
        <w:overflowPunct w:val="0"/>
        <w:autoSpaceDE w:val="0"/>
        <w:autoSpaceDN w:val="0"/>
        <w:adjustRightInd w:val="0"/>
        <w:ind w:left="567" w:hanging="567"/>
        <w:textAlignment w:val="baseline"/>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237"/>
      </w:tblGrid>
      <w:tr w:rsidR="008D0052" w:rsidRPr="008D0052" w14:paraId="439074D0" w14:textId="77777777" w:rsidTr="0036489A">
        <w:tc>
          <w:tcPr>
            <w:tcW w:w="1701" w:type="dxa"/>
          </w:tcPr>
          <w:p w14:paraId="59ACE1C9"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Ponente</w:t>
            </w:r>
          </w:p>
        </w:tc>
        <w:tc>
          <w:tcPr>
            <w:tcW w:w="6237" w:type="dxa"/>
          </w:tcPr>
          <w:p w14:paraId="585EAFF0" w14:textId="77777777" w:rsidR="008D0052" w:rsidRPr="008D0052" w:rsidRDefault="008D0052" w:rsidP="008D0052">
            <w:pPr>
              <w:overflowPunct w:val="0"/>
              <w:autoSpaceDE w:val="0"/>
              <w:autoSpaceDN w:val="0"/>
              <w:adjustRightInd w:val="0"/>
              <w:ind w:left="567" w:hanging="567"/>
              <w:textAlignment w:val="baseline"/>
            </w:pPr>
            <w:r>
              <w:t>Ionuţ SIBIAN (Grupo de Organizaciones de la Sociedad Civil – RO)</w:t>
            </w:r>
          </w:p>
        </w:tc>
      </w:tr>
      <w:tr w:rsidR="008D0052" w:rsidRPr="008D0052" w14:paraId="43DDD9C1" w14:textId="77777777" w:rsidTr="0036489A">
        <w:tc>
          <w:tcPr>
            <w:tcW w:w="1701" w:type="dxa"/>
            <w:vMerge w:val="restart"/>
          </w:tcPr>
          <w:p w14:paraId="17DE1540"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p>
          <w:p w14:paraId="3DE1E8E1" w14:textId="77777777" w:rsidR="008D0052" w:rsidRPr="008D0052" w:rsidRDefault="008D0052" w:rsidP="008D0052">
            <w:pPr>
              <w:tabs>
                <w:tab w:val="center" w:pos="284"/>
              </w:tabs>
              <w:overflowPunct w:val="0"/>
              <w:autoSpaceDE w:val="0"/>
              <w:autoSpaceDN w:val="0"/>
              <w:adjustRightInd w:val="0"/>
              <w:ind w:left="567" w:hanging="567"/>
              <w:textAlignment w:val="baseline"/>
              <w:rPr>
                <w:b/>
              </w:rPr>
            </w:pPr>
            <w:r>
              <w:rPr>
                <w:b/>
              </w:rPr>
              <w:t>Referencias</w:t>
            </w:r>
          </w:p>
        </w:tc>
        <w:tc>
          <w:tcPr>
            <w:tcW w:w="6237" w:type="dxa"/>
          </w:tcPr>
          <w:p w14:paraId="1EAFD529" w14:textId="77777777" w:rsidR="008D0052" w:rsidRPr="008D0052" w:rsidRDefault="008D0052" w:rsidP="008D0052">
            <w:pPr>
              <w:tabs>
                <w:tab w:val="center" w:pos="284"/>
              </w:tabs>
              <w:overflowPunct w:val="0"/>
              <w:autoSpaceDE w:val="0"/>
              <w:autoSpaceDN w:val="0"/>
              <w:adjustRightInd w:val="0"/>
              <w:ind w:left="567" w:hanging="567"/>
              <w:textAlignment w:val="baseline"/>
              <w:rPr>
                <w:lang w:val="pt-PT"/>
              </w:rPr>
            </w:pPr>
          </w:p>
          <w:p w14:paraId="5CB40F8B" w14:textId="72EE90C4" w:rsidR="00D6499D" w:rsidRDefault="008D0052" w:rsidP="008D0052">
            <w:pPr>
              <w:tabs>
                <w:tab w:val="center" w:pos="284"/>
              </w:tabs>
              <w:overflowPunct w:val="0"/>
              <w:autoSpaceDE w:val="0"/>
              <w:autoSpaceDN w:val="0"/>
              <w:adjustRightInd w:val="0"/>
              <w:ind w:left="567" w:hanging="567"/>
              <w:textAlignment w:val="baseline"/>
            </w:pPr>
            <w:r>
              <w:t>COM(2025) 463 final</w:t>
            </w:r>
          </w:p>
          <w:p w14:paraId="1E0886B9" w14:textId="77777777" w:rsidR="008D0052" w:rsidRDefault="008D0052" w:rsidP="008D0052">
            <w:pPr>
              <w:tabs>
                <w:tab w:val="center" w:pos="284"/>
              </w:tabs>
              <w:overflowPunct w:val="0"/>
              <w:autoSpaceDE w:val="0"/>
              <w:autoSpaceDN w:val="0"/>
              <w:adjustRightInd w:val="0"/>
              <w:ind w:left="567" w:hanging="567"/>
              <w:textAlignment w:val="baseline"/>
            </w:pPr>
            <w:r>
              <w:t>COM(2025) 550 final</w:t>
            </w:r>
          </w:p>
          <w:p w14:paraId="36D67FA6" w14:textId="77777777" w:rsidR="00F65006" w:rsidRDefault="00F65006" w:rsidP="008D0052">
            <w:pPr>
              <w:tabs>
                <w:tab w:val="center" w:pos="284"/>
              </w:tabs>
              <w:overflowPunct w:val="0"/>
              <w:autoSpaceDE w:val="0"/>
              <w:autoSpaceDN w:val="0"/>
              <w:adjustRightInd w:val="0"/>
              <w:ind w:left="567" w:hanging="567"/>
              <w:textAlignment w:val="baseline"/>
            </w:pPr>
            <w:r>
              <w:t>EESC-2025-02823-00-00-AC</w:t>
            </w:r>
          </w:p>
          <w:p w14:paraId="53FD9F87" w14:textId="5EF766CA" w:rsidR="00AA61BE" w:rsidRPr="008D0052" w:rsidRDefault="00AA61BE" w:rsidP="008D0052">
            <w:pPr>
              <w:tabs>
                <w:tab w:val="center" w:pos="284"/>
              </w:tabs>
              <w:overflowPunct w:val="0"/>
              <w:autoSpaceDE w:val="0"/>
              <w:autoSpaceDN w:val="0"/>
              <w:adjustRightInd w:val="0"/>
              <w:ind w:left="567" w:hanging="567"/>
              <w:textAlignment w:val="baseline"/>
              <w:rPr>
                <w:lang w:val="pt-PT"/>
              </w:rPr>
            </w:pPr>
          </w:p>
        </w:tc>
      </w:tr>
      <w:tr w:rsidR="008D0052" w:rsidRPr="008D0052" w14:paraId="53E4D815" w14:textId="77777777" w:rsidTr="0036489A">
        <w:tc>
          <w:tcPr>
            <w:tcW w:w="1701" w:type="dxa"/>
            <w:vMerge/>
          </w:tcPr>
          <w:p w14:paraId="30F7A78B" w14:textId="77777777" w:rsidR="008D0052" w:rsidRPr="008D0052" w:rsidRDefault="008D0052" w:rsidP="008D0052">
            <w:pPr>
              <w:tabs>
                <w:tab w:val="center" w:pos="284"/>
              </w:tabs>
              <w:overflowPunct w:val="0"/>
              <w:autoSpaceDE w:val="0"/>
              <w:autoSpaceDN w:val="0"/>
              <w:adjustRightInd w:val="0"/>
              <w:ind w:left="266" w:hanging="266"/>
              <w:textAlignment w:val="baseline"/>
              <w:rPr>
                <w:b/>
                <w:lang w:val="pt-PT"/>
              </w:rPr>
            </w:pPr>
          </w:p>
        </w:tc>
        <w:tc>
          <w:tcPr>
            <w:tcW w:w="6237" w:type="dxa"/>
          </w:tcPr>
          <w:p w14:paraId="27E33E96" w14:textId="77777777" w:rsidR="008D0052" w:rsidRPr="008D0052" w:rsidRDefault="008D0052" w:rsidP="008D0052">
            <w:pPr>
              <w:tabs>
                <w:tab w:val="center" w:pos="284"/>
              </w:tabs>
              <w:overflowPunct w:val="0"/>
              <w:autoSpaceDE w:val="0"/>
              <w:autoSpaceDN w:val="0"/>
              <w:adjustRightInd w:val="0"/>
              <w:ind w:left="266" w:hanging="266"/>
              <w:textAlignment w:val="baseline"/>
              <w:rPr>
                <w:sz w:val="2"/>
                <w:szCs w:val="2"/>
                <w:lang w:val="pt-PT"/>
              </w:rPr>
            </w:pPr>
          </w:p>
        </w:tc>
      </w:tr>
    </w:tbl>
    <w:p w14:paraId="0D42846F"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rPr>
      </w:pPr>
      <w:r>
        <w:rPr>
          <w:b/>
        </w:rPr>
        <w:t>Puntos clave</w:t>
      </w:r>
    </w:p>
    <w:p w14:paraId="4BDF51E4" w14:textId="77777777" w:rsidR="008D0052" w:rsidRPr="008D0052" w:rsidRDefault="008D0052" w:rsidP="008D0052">
      <w:pPr>
        <w:keepNext/>
        <w:keepLines/>
        <w:tabs>
          <w:tab w:val="center" w:pos="284"/>
        </w:tabs>
        <w:overflowPunct w:val="0"/>
        <w:autoSpaceDE w:val="0"/>
        <w:autoSpaceDN w:val="0"/>
        <w:adjustRightInd w:val="0"/>
        <w:ind w:left="266" w:hanging="266"/>
        <w:textAlignment w:val="baseline"/>
        <w:rPr>
          <w:b/>
          <w:lang w:val="en-GB"/>
        </w:rPr>
      </w:pPr>
    </w:p>
    <w:p w14:paraId="5155812D" w14:textId="77777777" w:rsidR="008D0052" w:rsidRDefault="008D0052" w:rsidP="008D0052">
      <w:pPr>
        <w:jc w:val="left"/>
        <w:rPr>
          <w:b/>
          <w:bCs/>
        </w:rPr>
      </w:pPr>
      <w:r>
        <w:rPr>
          <w:b/>
        </w:rPr>
        <w:t>El CESE:</w:t>
      </w:r>
    </w:p>
    <w:p w14:paraId="6CD2846B" w14:textId="77777777" w:rsidR="00F65006" w:rsidRPr="008D0052" w:rsidRDefault="00F65006" w:rsidP="008D0052">
      <w:pPr>
        <w:jc w:val="left"/>
        <w:rPr>
          <w:lang w:val="fr-BE" w:eastAsia="fr-BE"/>
        </w:rPr>
      </w:pPr>
    </w:p>
    <w:p w14:paraId="5849840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acoge con satisfacción las propuestas de la Comisión sobre los programas AgoraEU y Justicia e insta al Parlamento Europeo y al Consejo a que las respalden sin reducir la dotación financiera propuesta;</w:t>
      </w:r>
    </w:p>
    <w:p w14:paraId="175AAA81"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pide que se reconozca explícitamente la defensa de intereses como elemento esencial del trabajo de las organizaciones de la sociedad civil (OSC) y su papel en la elaboración de políticas para reforzar la democracia y la resiliencia;</w:t>
      </w:r>
    </w:p>
    <w:p w14:paraId="0C4BE5EB"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recomienda la introducción de subvenciones de funcionamiento en todos los capítulos de AgoraEU a fin de reforzar la estabilidad institucional de las OSC, y pide que las subvenciones de funcionamiento del programa Justicia se hagan extensivas a las organizaciones sin ánimo de lucro de interés general europeo;</w:t>
      </w:r>
    </w:p>
    <w:p w14:paraId="56C00DA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apoya el mantenimiento de la ayuda financiera a terceros a través de organizaciones intermediarias para llegar a grupos más pequeños o de base, y pide que se garantice la independencia de los intermediarios y la conformidad de su gobernanza con la Carta de los Derechos Fundamentales de la Unión Europea como criterios clave de admisibilidad a efectos de su selección; el CESE también pide claridad en cuanto a los porcentajes de cofinanciación, y propone hasta un 100 % de financiación de la UE para los intermediarios y los beneficiarios finales que ejecuten actividades delegadas;</w:t>
      </w:r>
    </w:p>
    <w:p w14:paraId="20D9DDF3"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señala la necesidad de adaptar el mandato y los recursos de las oficinas Europa Creativa para apoyar eficazmente el ámbito más amplio de AgoraEU en los sectores cultural, mediático y cívico;</w:t>
      </w:r>
    </w:p>
    <w:p w14:paraId="612471EA"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pide flexibilidad y salvaguardias (por ejemplo, indexación, mecanismos correctores) en las subvenciones a tanto alzado y plurianuales para evitar la presión financiera sobre los beneficiarios;</w:t>
      </w:r>
    </w:p>
    <w:p w14:paraId="4E331884"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pide claridad acerca de las sinergias entre el Fondo Europeo de Competitividad y el capítulo MEDIA + del programa AgoraEU; insta a la Comisión a que ponga en contacto a los beneficiarios de subvenciones y a que desarrolle un plan de acción para poner en marcha la financiación mixta y acumulada en virtud de ambos Reglamentos, incluidas las convocatorias conjuntas, la cooperación entre DG y el control del rendimiento;</w:t>
      </w:r>
    </w:p>
    <w:p w14:paraId="1940591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recomienda que se preste una mayor atención a los derechos de las víctimas y al acceso a la justicia en el programa Justicia, incluida la financiación de las redes de apoyo a las víctimas, la formación de los profesionales de la justicia y la asistencia jurídica gratuita transfronteriza;</w:t>
      </w:r>
    </w:p>
    <w:p w14:paraId="54A7B395"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pide que se aborden las disparidades de financiación dentro de la Unión —en particular la brecha Este-Oeste— en ambos programas;</w:t>
      </w:r>
    </w:p>
    <w:p w14:paraId="40A1333F" w14:textId="77777777" w:rsidR="008D0052" w:rsidRPr="008D0052" w:rsidRDefault="008D0052" w:rsidP="00054C58">
      <w:pPr>
        <w:numPr>
          <w:ilvl w:val="0"/>
          <w:numId w:val="21"/>
        </w:numPr>
        <w:tabs>
          <w:tab w:val="clear" w:pos="720"/>
        </w:tabs>
        <w:overflowPunct w:val="0"/>
        <w:autoSpaceDE w:val="0"/>
        <w:autoSpaceDN w:val="0"/>
        <w:adjustRightInd w:val="0"/>
        <w:ind w:left="284" w:hanging="284"/>
        <w:textAlignment w:val="baseline"/>
      </w:pPr>
      <w:r>
        <w:t>lamenta la supresión del grupo de trabajo sobre el diálogo civil del Reglamento sobre el programa AgoraEU e insta a su restablecimiento;</w:t>
      </w:r>
    </w:p>
    <w:p w14:paraId="0337C2BE" w14:textId="77777777" w:rsidR="008D0052" w:rsidRDefault="008D0052" w:rsidP="00F65006">
      <w:pPr>
        <w:numPr>
          <w:ilvl w:val="0"/>
          <w:numId w:val="21"/>
        </w:numPr>
        <w:tabs>
          <w:tab w:val="clear" w:pos="720"/>
        </w:tabs>
        <w:overflowPunct w:val="0"/>
        <w:autoSpaceDE w:val="0"/>
        <w:autoSpaceDN w:val="0"/>
        <w:adjustRightInd w:val="0"/>
        <w:ind w:left="284" w:hanging="284"/>
        <w:textAlignment w:val="baseline"/>
      </w:pPr>
      <w:r>
        <w:t>hace hincapié en que la eficacia del programa depende de una infraestructura y una cofinanciación nacionales adecuadas, y propone supeditar el acceso a los fondos de gestión compartida de la UE al apoyo prestado por los Estados miembros a los objetivos de los programas AgoraEU y Justicia.</w:t>
      </w:r>
    </w:p>
    <w:p w14:paraId="1831EAE3" w14:textId="77777777" w:rsidR="00F65006" w:rsidRPr="008D0052" w:rsidRDefault="00F65006" w:rsidP="00054C58">
      <w:pPr>
        <w:overflowPunct w:val="0"/>
        <w:autoSpaceDE w:val="0"/>
        <w:autoSpaceDN w:val="0"/>
        <w:adjustRightInd w:val="0"/>
        <w:ind w:left="360"/>
        <w:textAlignment w:val="baseline"/>
        <w:rPr>
          <w:lang w:eastAsia="fr-BE"/>
        </w:rPr>
      </w:pP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3468"/>
      </w:tblGrid>
      <w:tr w:rsidR="008D0052" w:rsidRPr="008D0052" w14:paraId="02CD12AD" w14:textId="77777777" w:rsidTr="00934A52">
        <w:tc>
          <w:tcPr>
            <w:tcW w:w="2235" w:type="dxa"/>
          </w:tcPr>
          <w:p w14:paraId="0D36B81C" w14:textId="77777777" w:rsidR="008D0052" w:rsidRPr="008D0052" w:rsidRDefault="008D0052" w:rsidP="008D0052">
            <w:pPr>
              <w:overflowPunct w:val="0"/>
              <w:autoSpaceDE w:val="0"/>
              <w:autoSpaceDN w:val="0"/>
              <w:adjustRightInd w:val="0"/>
              <w:spacing w:line="240" w:lineRule="auto"/>
              <w:textAlignment w:val="baseline"/>
              <w:rPr>
                <w:i/>
              </w:rPr>
            </w:pPr>
            <w:r>
              <w:rPr>
                <w:b/>
                <w:i/>
              </w:rPr>
              <w:t>Contacto:</w:t>
            </w:r>
          </w:p>
        </w:tc>
        <w:tc>
          <w:tcPr>
            <w:tcW w:w="3468" w:type="dxa"/>
          </w:tcPr>
          <w:p w14:paraId="0741CFC9" w14:textId="77777777" w:rsidR="008D0052" w:rsidRPr="008D0052" w:rsidRDefault="008D0052" w:rsidP="008D0052">
            <w:pPr>
              <w:overflowPunct w:val="0"/>
              <w:autoSpaceDE w:val="0"/>
              <w:autoSpaceDN w:val="0"/>
              <w:adjustRightInd w:val="0"/>
              <w:spacing w:line="240" w:lineRule="auto"/>
              <w:ind w:hanging="12"/>
              <w:textAlignment w:val="baseline"/>
              <w:rPr>
                <w:i/>
              </w:rPr>
            </w:pPr>
            <w:r>
              <w:rPr>
                <w:i/>
              </w:rPr>
              <w:t>Alessia Cova</w:t>
            </w:r>
          </w:p>
        </w:tc>
      </w:tr>
      <w:tr w:rsidR="008D0052" w:rsidRPr="008D0052" w14:paraId="00343FBD" w14:textId="77777777" w:rsidTr="00934A52">
        <w:tc>
          <w:tcPr>
            <w:tcW w:w="2235" w:type="dxa"/>
          </w:tcPr>
          <w:p w14:paraId="10523811" w14:textId="77777777" w:rsidR="008D0052" w:rsidRPr="008D0052" w:rsidRDefault="008D0052" w:rsidP="008D0052">
            <w:pPr>
              <w:overflowPunct w:val="0"/>
              <w:autoSpaceDE w:val="0"/>
              <w:autoSpaceDN w:val="0"/>
              <w:adjustRightInd w:val="0"/>
              <w:spacing w:line="240" w:lineRule="auto"/>
              <w:textAlignment w:val="baseline"/>
              <w:rPr>
                <w:i/>
              </w:rPr>
            </w:pPr>
            <w:r>
              <w:rPr>
                <w:i/>
              </w:rPr>
              <w:t>Teléfono:</w:t>
            </w:r>
          </w:p>
        </w:tc>
        <w:tc>
          <w:tcPr>
            <w:tcW w:w="3468" w:type="dxa"/>
          </w:tcPr>
          <w:p w14:paraId="3D3DA01D" w14:textId="77777777" w:rsidR="008D0052" w:rsidRPr="008D0052" w:rsidRDefault="008D0052" w:rsidP="008D0052">
            <w:pPr>
              <w:overflowPunct w:val="0"/>
              <w:autoSpaceDE w:val="0"/>
              <w:autoSpaceDN w:val="0"/>
              <w:adjustRightInd w:val="0"/>
              <w:spacing w:line="240" w:lineRule="auto"/>
              <w:textAlignment w:val="baseline"/>
              <w:rPr>
                <w:i/>
              </w:rPr>
            </w:pPr>
            <w:r>
              <w:rPr>
                <w:i/>
              </w:rPr>
              <w:t>+32 25469426</w:t>
            </w:r>
          </w:p>
        </w:tc>
      </w:tr>
      <w:tr w:rsidR="008D0052" w:rsidRPr="008D0052" w14:paraId="6CB55D06" w14:textId="77777777" w:rsidTr="00934A52">
        <w:tc>
          <w:tcPr>
            <w:tcW w:w="2235" w:type="dxa"/>
          </w:tcPr>
          <w:p w14:paraId="6F7DF6B2" w14:textId="77777777" w:rsidR="008D0052" w:rsidRPr="008D0052" w:rsidRDefault="008D0052" w:rsidP="008D0052">
            <w:pPr>
              <w:overflowPunct w:val="0"/>
              <w:autoSpaceDE w:val="0"/>
              <w:autoSpaceDN w:val="0"/>
              <w:adjustRightInd w:val="0"/>
              <w:spacing w:line="240" w:lineRule="auto"/>
              <w:textAlignment w:val="baseline"/>
              <w:rPr>
                <w:i/>
              </w:rPr>
            </w:pPr>
            <w:r>
              <w:rPr>
                <w:i/>
              </w:rPr>
              <w:t>Correo electrónico:</w:t>
            </w:r>
          </w:p>
        </w:tc>
        <w:tc>
          <w:tcPr>
            <w:tcW w:w="3468" w:type="dxa"/>
          </w:tcPr>
          <w:p w14:paraId="4E6DFDFB" w14:textId="77777777" w:rsidR="008D0052" w:rsidRPr="008D0052" w:rsidRDefault="00236A60" w:rsidP="008D0052">
            <w:pPr>
              <w:overflowPunct w:val="0"/>
              <w:autoSpaceDE w:val="0"/>
              <w:autoSpaceDN w:val="0"/>
              <w:adjustRightInd w:val="0"/>
              <w:spacing w:line="240" w:lineRule="auto"/>
              <w:textAlignment w:val="baseline"/>
              <w:rPr>
                <w:i/>
                <w:iCs/>
              </w:rPr>
            </w:pPr>
            <w:hyperlink r:id="rId27" w:history="1">
              <w:r w:rsidR="00E167DC">
                <w:rPr>
                  <w:i/>
                  <w:color w:val="0000FF"/>
                  <w:u w:val="single"/>
                </w:rPr>
                <w:t>Alessia.Cova@eesc.europa.eu</w:t>
              </w:r>
            </w:hyperlink>
          </w:p>
        </w:tc>
      </w:tr>
    </w:tbl>
    <w:p w14:paraId="4982DDC5" w14:textId="04BE9D07" w:rsidR="004D7AC0" w:rsidRDefault="004D7AC0" w:rsidP="004D7AC0">
      <w:pPr>
        <w:spacing w:after="160" w:line="259" w:lineRule="auto"/>
        <w:jc w:val="left"/>
      </w:pPr>
    </w:p>
    <w:p w14:paraId="4982DDC6" w14:textId="77777777" w:rsidR="004D7AC0" w:rsidRDefault="004D7AC0" w:rsidP="004D7AC0">
      <w:pPr>
        <w:pStyle w:val="Heading1"/>
        <w:rPr>
          <w:b/>
        </w:rPr>
      </w:pPr>
      <w:bookmarkStart w:id="3" w:name="_Toc24617160"/>
      <w:bookmarkStart w:id="4" w:name="_Toc75527082"/>
      <w:bookmarkStart w:id="5" w:name="_Toc216951823"/>
      <w:r>
        <w:rPr>
          <w:b/>
        </w:rPr>
        <w:t>TRANSPORTE, ENERGÍA, INFRAESTRUCTURAS Y SOCIEDAD DE LA INFORMACIÓN</w:t>
      </w:r>
      <w:bookmarkEnd w:id="3"/>
      <w:bookmarkEnd w:id="4"/>
      <w:bookmarkEnd w:id="5"/>
    </w:p>
    <w:p w14:paraId="4982DDC7" w14:textId="77777777" w:rsidR="004D7AC0" w:rsidRDefault="004D7AC0" w:rsidP="004D7AC0"/>
    <w:p w14:paraId="34EB6B62" w14:textId="6F247683" w:rsidR="00BC676C" w:rsidRPr="00BC676C" w:rsidRDefault="00236A60" w:rsidP="00BC676C">
      <w:pPr>
        <w:widowControl w:val="0"/>
        <w:numPr>
          <w:ilvl w:val="0"/>
          <w:numId w:val="4"/>
        </w:numPr>
        <w:overflowPunct w:val="0"/>
        <w:autoSpaceDE w:val="0"/>
        <w:autoSpaceDN w:val="0"/>
        <w:adjustRightInd w:val="0"/>
        <w:ind w:hanging="567"/>
        <w:textAlignment w:val="baseline"/>
        <w:rPr>
          <w:sz w:val="20"/>
          <w:szCs w:val="20"/>
        </w:rPr>
      </w:pPr>
      <w:hyperlink r:id="rId28" w:history="1">
        <w:r w:rsidR="00E167DC">
          <w:rPr>
            <w:b/>
            <w:i/>
            <w:color w:val="0000FF"/>
            <w:sz w:val="28"/>
            <w:u w:val="single"/>
          </w:rPr>
          <w:t>Clase por emisiones de CO</w:t>
        </w:r>
        <w:r w:rsidR="00E167DC">
          <w:rPr>
            <w:b/>
            <w:i/>
            <w:color w:val="0000FF"/>
            <w:sz w:val="28"/>
            <w:u w:val="single"/>
            <w:vertAlign w:val="subscript"/>
          </w:rPr>
          <w:t>2</w:t>
        </w:r>
        <w:r w:rsidR="00E167DC">
          <w:rPr>
            <w:b/>
            <w:i/>
            <w:color w:val="0000FF"/>
            <w:sz w:val="28"/>
            <w:u w:val="single"/>
          </w:rPr>
          <w:t xml:space="preserve"> de los vehículos pesados con remolques</w:t>
        </w:r>
      </w:hyperlink>
    </w:p>
    <w:p w14:paraId="46836B10" w14:textId="77777777" w:rsidR="00BC676C" w:rsidRPr="00BC676C" w:rsidRDefault="00BC676C" w:rsidP="00BC676C">
      <w:pPr>
        <w:widowControl w:val="0"/>
        <w:overflowPunct w:val="0"/>
        <w:autoSpaceDE w:val="0"/>
        <w:autoSpaceDN w:val="0"/>
        <w:adjustRightInd w:val="0"/>
        <w:ind w:left="567"/>
        <w:textAlignment w:val="baseline"/>
        <w:rPr>
          <w:sz w:val="20"/>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21"/>
      </w:tblGrid>
      <w:tr w:rsidR="00BC676C" w:rsidRPr="00BC676C" w14:paraId="47E39230" w14:textId="77777777" w:rsidTr="0036489A">
        <w:tc>
          <w:tcPr>
            <w:tcW w:w="1701" w:type="dxa"/>
          </w:tcPr>
          <w:p w14:paraId="573F7BF1" w14:textId="77777777" w:rsidR="00BC676C" w:rsidRPr="00BC676C" w:rsidRDefault="00BC676C" w:rsidP="00BC676C">
            <w:pPr>
              <w:tabs>
                <w:tab w:val="center" w:pos="284"/>
              </w:tabs>
              <w:overflowPunct w:val="0"/>
              <w:autoSpaceDE w:val="0"/>
              <w:autoSpaceDN w:val="0"/>
              <w:adjustRightInd w:val="0"/>
              <w:ind w:left="596" w:hanging="709"/>
              <w:textAlignment w:val="baseline"/>
              <w:rPr>
                <w:b/>
              </w:rPr>
            </w:pPr>
            <w:r>
              <w:rPr>
                <w:b/>
              </w:rPr>
              <w:t>Referencias</w:t>
            </w:r>
          </w:p>
        </w:tc>
        <w:tc>
          <w:tcPr>
            <w:tcW w:w="7621" w:type="dxa"/>
          </w:tcPr>
          <w:p w14:paraId="02FEC31D" w14:textId="2FEC81BF" w:rsidR="00F2608E" w:rsidRDefault="00F2608E" w:rsidP="00BC676C">
            <w:pPr>
              <w:tabs>
                <w:tab w:val="center" w:pos="284"/>
              </w:tabs>
              <w:overflowPunct w:val="0"/>
              <w:autoSpaceDE w:val="0"/>
              <w:autoSpaceDN w:val="0"/>
              <w:adjustRightInd w:val="0"/>
              <w:ind w:left="720" w:hanging="720"/>
              <w:textAlignment w:val="baseline"/>
              <w:rPr>
                <w:bCs/>
              </w:rPr>
            </w:pPr>
            <w:r>
              <w:t>Dictamen de categoría C</w:t>
            </w:r>
          </w:p>
          <w:p w14:paraId="3982A737" w14:textId="64E384F6" w:rsidR="00BC676C" w:rsidRPr="00BC676C" w:rsidRDefault="00BC676C" w:rsidP="00BC676C">
            <w:pPr>
              <w:tabs>
                <w:tab w:val="center" w:pos="284"/>
              </w:tabs>
              <w:overflowPunct w:val="0"/>
              <w:autoSpaceDE w:val="0"/>
              <w:autoSpaceDN w:val="0"/>
              <w:adjustRightInd w:val="0"/>
              <w:ind w:left="720" w:hanging="720"/>
              <w:textAlignment w:val="baseline"/>
              <w:rPr>
                <w:bCs/>
              </w:rPr>
            </w:pPr>
            <w:r>
              <w:t xml:space="preserve">COM(2025) 589 final </w:t>
            </w:r>
          </w:p>
          <w:p w14:paraId="6455BA93" w14:textId="77777777" w:rsidR="00BC676C" w:rsidRPr="00BC676C" w:rsidRDefault="00BC676C" w:rsidP="00BC676C">
            <w:pPr>
              <w:tabs>
                <w:tab w:val="center" w:pos="284"/>
              </w:tabs>
              <w:overflowPunct w:val="0"/>
              <w:autoSpaceDE w:val="0"/>
              <w:autoSpaceDN w:val="0"/>
              <w:adjustRightInd w:val="0"/>
              <w:ind w:left="720" w:hanging="720"/>
              <w:textAlignment w:val="baseline"/>
            </w:pPr>
            <w:r>
              <w:t>EESC-2025-03779-00-AC</w:t>
            </w:r>
          </w:p>
        </w:tc>
      </w:tr>
    </w:tbl>
    <w:p w14:paraId="006C0DCA"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4C59A366"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rPr>
      </w:pPr>
      <w:r>
        <w:rPr>
          <w:b/>
        </w:rPr>
        <w:t>Puntos clave</w:t>
      </w:r>
    </w:p>
    <w:p w14:paraId="25DE4F8F" w14:textId="77777777" w:rsidR="00BC676C" w:rsidRPr="00BC676C" w:rsidRDefault="00BC676C" w:rsidP="00BC676C">
      <w:pPr>
        <w:keepNext/>
        <w:keepLines/>
        <w:tabs>
          <w:tab w:val="center" w:pos="284"/>
        </w:tabs>
        <w:overflowPunct w:val="0"/>
        <w:autoSpaceDE w:val="0"/>
        <w:autoSpaceDN w:val="0"/>
        <w:adjustRightInd w:val="0"/>
        <w:ind w:left="720" w:hanging="720"/>
        <w:textAlignment w:val="baseline"/>
        <w:rPr>
          <w:b/>
          <w:lang w:val="en-GB"/>
        </w:rPr>
      </w:pPr>
    </w:p>
    <w:p w14:paraId="5C9ED52C" w14:textId="77777777" w:rsidR="00BC676C" w:rsidRPr="00BC676C" w:rsidRDefault="00BC676C" w:rsidP="00BC676C">
      <w:pPr>
        <w:widowControl w:val="0"/>
        <w:numPr>
          <w:ilvl w:val="0"/>
          <w:numId w:val="4"/>
        </w:numPr>
        <w:overflowPunct w:val="0"/>
        <w:autoSpaceDE w:val="0"/>
        <w:autoSpaceDN w:val="0"/>
        <w:adjustRightInd w:val="0"/>
        <w:ind w:hanging="567"/>
        <w:textAlignment w:val="baseline"/>
        <w:rPr>
          <w:bCs/>
          <w:iCs/>
        </w:rPr>
      </w:pPr>
      <w:r>
        <w:t>Considerando que ya se pronunció sobre el contenido de la propuesta objeto de examen en su Dictamen TEN/815 «Clase por emisiones de CO</w:t>
      </w:r>
      <w:r>
        <w:rPr>
          <w:vertAlign w:val="subscript"/>
        </w:rPr>
        <w:t>2</w:t>
      </w:r>
      <w:r>
        <w:t xml:space="preserve"> de los vehículos pesados con remolques» (</w:t>
      </w:r>
      <w:hyperlink r:id="rId29" w:history="1">
        <w:r>
          <w:rPr>
            <w:color w:val="0000FF"/>
            <w:u w:val="single"/>
          </w:rPr>
          <w:t>C/2023/874</w:t>
        </w:r>
      </w:hyperlink>
      <w:r>
        <w:t>), aprobado el 20 de septiembre de 2023, el Comité decidió no elaborar un nuevo Dictamen sobre el asunto y remitirse a la posición expresada en dicho documento.</w:t>
      </w:r>
    </w:p>
    <w:p w14:paraId="5464E9FA" w14:textId="77777777" w:rsidR="00BC676C" w:rsidRPr="00BC676C" w:rsidRDefault="00BC676C" w:rsidP="00BC676C">
      <w:pPr>
        <w:widowControl w:val="0"/>
        <w:overflowPunct w:val="0"/>
        <w:autoSpaceDE w:val="0"/>
        <w:autoSpaceDN w:val="0"/>
        <w:adjustRightInd w:val="0"/>
        <w:ind w:left="720" w:hanging="720"/>
        <w:textAlignment w:val="baseline"/>
        <w:rPr>
          <w:szCs w:val="20"/>
          <w:lang w:val="en-GB"/>
        </w:rPr>
      </w:pPr>
    </w:p>
    <w:tbl>
      <w:tblPr>
        <w:tblStyle w:val="TableGrid5"/>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87"/>
      </w:tblGrid>
      <w:tr w:rsidR="00BC676C" w:rsidRPr="00BC676C" w14:paraId="63E00060" w14:textId="77777777" w:rsidTr="00934A52">
        <w:tc>
          <w:tcPr>
            <w:tcW w:w="2235" w:type="dxa"/>
          </w:tcPr>
          <w:p w14:paraId="3E70F25D" w14:textId="77777777" w:rsidR="00BC676C" w:rsidRPr="00BC676C" w:rsidRDefault="00BC676C" w:rsidP="00BC676C">
            <w:pPr>
              <w:overflowPunct w:val="0"/>
              <w:autoSpaceDE w:val="0"/>
              <w:autoSpaceDN w:val="0"/>
              <w:adjustRightInd w:val="0"/>
              <w:ind w:left="720" w:hanging="720"/>
              <w:textAlignment w:val="baseline"/>
              <w:rPr>
                <w:i/>
              </w:rPr>
            </w:pPr>
            <w:r>
              <w:rPr>
                <w:b/>
                <w:i/>
              </w:rPr>
              <w:t>Contacto:</w:t>
            </w:r>
          </w:p>
        </w:tc>
        <w:tc>
          <w:tcPr>
            <w:tcW w:w="7087" w:type="dxa"/>
          </w:tcPr>
          <w:p w14:paraId="0E0EABC3" w14:textId="609FD13C" w:rsidR="00BC676C" w:rsidRPr="00BC676C" w:rsidRDefault="00BC676C" w:rsidP="00BC676C">
            <w:pPr>
              <w:overflowPunct w:val="0"/>
              <w:autoSpaceDE w:val="0"/>
              <w:autoSpaceDN w:val="0"/>
              <w:adjustRightInd w:val="0"/>
              <w:ind w:left="720" w:hanging="720"/>
              <w:textAlignment w:val="baseline"/>
              <w:rPr>
                <w:i/>
              </w:rPr>
            </w:pPr>
            <w:r>
              <w:rPr>
                <w:i/>
              </w:rPr>
              <w:t>Maja Radman</w:t>
            </w:r>
          </w:p>
        </w:tc>
      </w:tr>
      <w:tr w:rsidR="00BC676C" w:rsidRPr="00BC676C" w14:paraId="10A1FE95" w14:textId="77777777" w:rsidTr="00934A52">
        <w:tc>
          <w:tcPr>
            <w:tcW w:w="2235" w:type="dxa"/>
          </w:tcPr>
          <w:p w14:paraId="237B46FB" w14:textId="77777777" w:rsidR="00BC676C" w:rsidRPr="00BC676C" w:rsidRDefault="00BC676C" w:rsidP="00BC676C">
            <w:pPr>
              <w:overflowPunct w:val="0"/>
              <w:autoSpaceDE w:val="0"/>
              <w:autoSpaceDN w:val="0"/>
              <w:adjustRightInd w:val="0"/>
              <w:ind w:left="720" w:hanging="720"/>
              <w:textAlignment w:val="baseline"/>
              <w:rPr>
                <w:i/>
              </w:rPr>
            </w:pPr>
            <w:r>
              <w:rPr>
                <w:i/>
              </w:rPr>
              <w:t>Teléfono:</w:t>
            </w:r>
          </w:p>
        </w:tc>
        <w:tc>
          <w:tcPr>
            <w:tcW w:w="7087" w:type="dxa"/>
          </w:tcPr>
          <w:p w14:paraId="4B5ED86F" w14:textId="77777777" w:rsidR="00BC676C" w:rsidRPr="00BC676C" w:rsidRDefault="00BC676C" w:rsidP="00BC676C">
            <w:pPr>
              <w:overflowPunct w:val="0"/>
              <w:autoSpaceDE w:val="0"/>
              <w:autoSpaceDN w:val="0"/>
              <w:adjustRightInd w:val="0"/>
              <w:ind w:left="720" w:hanging="720"/>
              <w:textAlignment w:val="baseline"/>
              <w:rPr>
                <w:i/>
              </w:rPr>
            </w:pPr>
            <w:r>
              <w:rPr>
                <w:i/>
              </w:rPr>
              <w:t>+32 254690</w:t>
            </w:r>
            <w:r>
              <w:t>51</w:t>
            </w:r>
          </w:p>
        </w:tc>
      </w:tr>
      <w:tr w:rsidR="00BC676C" w:rsidRPr="00BC676C" w14:paraId="31255C9B" w14:textId="77777777" w:rsidTr="00934A52">
        <w:tc>
          <w:tcPr>
            <w:tcW w:w="2235" w:type="dxa"/>
          </w:tcPr>
          <w:p w14:paraId="31B04EF4" w14:textId="77777777" w:rsidR="00BC676C" w:rsidRPr="00BC676C" w:rsidRDefault="00BC676C" w:rsidP="00BC676C">
            <w:pPr>
              <w:overflowPunct w:val="0"/>
              <w:autoSpaceDE w:val="0"/>
              <w:autoSpaceDN w:val="0"/>
              <w:adjustRightInd w:val="0"/>
              <w:ind w:left="720" w:hanging="720"/>
              <w:textAlignment w:val="baseline"/>
              <w:rPr>
                <w:i/>
              </w:rPr>
            </w:pPr>
            <w:r>
              <w:rPr>
                <w:i/>
              </w:rPr>
              <w:t>Correo electrónico:</w:t>
            </w:r>
          </w:p>
        </w:tc>
        <w:tc>
          <w:tcPr>
            <w:tcW w:w="7087" w:type="dxa"/>
          </w:tcPr>
          <w:p w14:paraId="53D1C2A7" w14:textId="77777777" w:rsidR="00BC676C" w:rsidRPr="00BC676C" w:rsidRDefault="00236A60" w:rsidP="00BC676C">
            <w:pPr>
              <w:overflowPunct w:val="0"/>
              <w:autoSpaceDE w:val="0"/>
              <w:autoSpaceDN w:val="0"/>
              <w:adjustRightInd w:val="0"/>
              <w:ind w:left="720" w:hanging="720"/>
              <w:textAlignment w:val="baseline"/>
              <w:rPr>
                <w:i/>
              </w:rPr>
            </w:pPr>
            <w:hyperlink r:id="rId30" w:history="1">
              <w:r w:rsidR="00E167DC">
                <w:rPr>
                  <w:i/>
                  <w:color w:val="0000FF"/>
                  <w:u w:val="single"/>
                </w:rPr>
                <w:t>Maja.Radman@eesc.europa.eu</w:t>
              </w:r>
            </w:hyperlink>
          </w:p>
        </w:tc>
      </w:tr>
    </w:tbl>
    <w:p w14:paraId="4982DDEF" w14:textId="77777777" w:rsidR="004D7AC0" w:rsidRDefault="004D7AC0" w:rsidP="004D7AC0">
      <w:pPr>
        <w:pStyle w:val="ListParagraph"/>
        <w:ind w:left="0"/>
      </w:pPr>
    </w:p>
    <w:p w14:paraId="4982DDF0" w14:textId="09A1E184" w:rsidR="0005334D" w:rsidRDefault="0005334D">
      <w:pPr>
        <w:spacing w:after="160" w:line="259" w:lineRule="auto"/>
        <w:jc w:val="left"/>
      </w:pPr>
      <w:r>
        <w:br w:type="page"/>
      </w:r>
    </w:p>
    <w:p w14:paraId="15C6E6D3" w14:textId="0770B780" w:rsidR="0005334D" w:rsidRPr="0005334D" w:rsidRDefault="0005334D" w:rsidP="0005334D">
      <w:pPr>
        <w:widowControl w:val="0"/>
        <w:numPr>
          <w:ilvl w:val="0"/>
          <w:numId w:val="4"/>
        </w:numPr>
        <w:overflowPunct w:val="0"/>
        <w:autoSpaceDE w:val="0"/>
        <w:autoSpaceDN w:val="0"/>
        <w:adjustRightInd w:val="0"/>
        <w:ind w:hanging="567"/>
        <w:textAlignment w:val="baseline"/>
        <w:rPr>
          <w:color w:val="0000FF"/>
          <w:sz w:val="24"/>
          <w:szCs w:val="24"/>
          <w:u w:val="single"/>
        </w:rPr>
      </w:pPr>
      <w:r w:rsidRPr="0005334D">
        <w:rPr>
          <w:b/>
          <w:i/>
          <w:sz w:val="28"/>
        </w:rPr>
        <w:fldChar w:fldCharType="begin"/>
      </w:r>
      <w:r w:rsidRPr="0005334D">
        <w:rPr>
          <w:b/>
          <w:i/>
          <w:sz w:val="28"/>
        </w:rPr>
        <w:instrText xml:space="preserve"> HYPERLINK "https://www.eesc.europa.eu/es/our-work/opinions-information-reports/opinions/eu-space-act" </w:instrText>
      </w:r>
      <w:r w:rsidRPr="0005334D">
        <w:rPr>
          <w:b/>
          <w:i/>
          <w:sz w:val="28"/>
        </w:rPr>
        <w:fldChar w:fldCharType="separate"/>
      </w:r>
      <w:r>
        <w:rPr>
          <w:b/>
          <w:i/>
          <w:color w:val="0000FF"/>
          <w:sz w:val="28"/>
          <w:u w:val="single"/>
        </w:rPr>
        <w:t>Ley Espacial de la UE</w:t>
      </w:r>
    </w:p>
    <w:p w14:paraId="0A91F32A" w14:textId="77777777" w:rsidR="0005334D" w:rsidRPr="00934A52" w:rsidRDefault="0005334D" w:rsidP="0005334D">
      <w:pPr>
        <w:tabs>
          <w:tab w:val="center" w:pos="284"/>
        </w:tabs>
        <w:overflowPunct w:val="0"/>
        <w:autoSpaceDE w:val="0"/>
        <w:autoSpaceDN w:val="0"/>
        <w:adjustRightInd w:val="0"/>
        <w:ind w:left="266" w:hanging="266"/>
        <w:textAlignment w:val="baseline"/>
        <w:rPr>
          <w:b/>
        </w:rPr>
      </w:pPr>
      <w:r w:rsidRPr="0005334D">
        <w:rPr>
          <w:b/>
          <w:i/>
          <w:sz w:val="28"/>
        </w:rPr>
        <w:fldChar w:fldCharType="end"/>
      </w: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05334D" w:rsidRPr="0005334D" w14:paraId="0F0AF7C0" w14:textId="77777777" w:rsidTr="0036489A">
        <w:tc>
          <w:tcPr>
            <w:tcW w:w="1701" w:type="dxa"/>
          </w:tcPr>
          <w:p w14:paraId="1C2A42D0"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Ponente</w:t>
            </w:r>
          </w:p>
        </w:tc>
        <w:tc>
          <w:tcPr>
            <w:tcW w:w="5387" w:type="dxa"/>
          </w:tcPr>
          <w:p w14:paraId="1C51F404" w14:textId="0A3C4CB8" w:rsidR="0005334D" w:rsidRPr="0005334D" w:rsidRDefault="0005334D" w:rsidP="0005334D">
            <w:pPr>
              <w:tabs>
                <w:tab w:val="center" w:pos="284"/>
              </w:tabs>
              <w:overflowPunct w:val="0"/>
              <w:autoSpaceDE w:val="0"/>
              <w:autoSpaceDN w:val="0"/>
              <w:adjustRightInd w:val="0"/>
              <w:ind w:left="266" w:hanging="266"/>
              <w:textAlignment w:val="baseline"/>
            </w:pPr>
            <w:r>
              <w:t>Angelo PAGLIARA (Grupo de Trabajadores – IT)</w:t>
            </w:r>
          </w:p>
        </w:tc>
      </w:tr>
      <w:tr w:rsidR="0005334D" w:rsidRPr="0005334D" w14:paraId="53E511CA" w14:textId="77777777" w:rsidTr="0036489A">
        <w:tc>
          <w:tcPr>
            <w:tcW w:w="7088" w:type="dxa"/>
            <w:gridSpan w:val="2"/>
          </w:tcPr>
          <w:p w14:paraId="32CF405E" w14:textId="77777777" w:rsidR="0005334D" w:rsidRPr="0005334D" w:rsidRDefault="0005334D" w:rsidP="0005334D">
            <w:pPr>
              <w:tabs>
                <w:tab w:val="center" w:pos="284"/>
              </w:tabs>
              <w:overflowPunct w:val="0"/>
              <w:autoSpaceDE w:val="0"/>
              <w:autoSpaceDN w:val="0"/>
              <w:adjustRightInd w:val="0"/>
              <w:spacing w:line="160" w:lineRule="exact"/>
              <w:ind w:left="266" w:hanging="266"/>
              <w:textAlignment w:val="baseline"/>
            </w:pPr>
          </w:p>
        </w:tc>
      </w:tr>
      <w:tr w:rsidR="0005334D" w:rsidRPr="0005334D" w14:paraId="3F8991D4" w14:textId="77777777" w:rsidTr="0036489A">
        <w:tc>
          <w:tcPr>
            <w:tcW w:w="1701" w:type="dxa"/>
            <w:vMerge w:val="restart"/>
          </w:tcPr>
          <w:p w14:paraId="15E862B4"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r>
              <w:rPr>
                <w:b/>
              </w:rPr>
              <w:t xml:space="preserve">Referencias </w:t>
            </w:r>
          </w:p>
        </w:tc>
        <w:tc>
          <w:tcPr>
            <w:tcW w:w="5387" w:type="dxa"/>
          </w:tcPr>
          <w:p w14:paraId="0F1F5196" w14:textId="4657F08E" w:rsidR="0005334D" w:rsidRPr="0005334D" w:rsidRDefault="0005334D" w:rsidP="0005334D">
            <w:pPr>
              <w:tabs>
                <w:tab w:val="center" w:pos="284"/>
              </w:tabs>
              <w:overflowPunct w:val="0"/>
              <w:autoSpaceDE w:val="0"/>
              <w:autoSpaceDN w:val="0"/>
              <w:adjustRightInd w:val="0"/>
              <w:ind w:left="266" w:hanging="266"/>
              <w:textAlignment w:val="baseline"/>
            </w:pPr>
            <w:r>
              <w:t xml:space="preserve">COM(2025) 335 final </w:t>
            </w:r>
          </w:p>
        </w:tc>
      </w:tr>
      <w:tr w:rsidR="0005334D" w:rsidRPr="0005334D" w14:paraId="5CF8C9B4" w14:textId="77777777" w:rsidTr="0036489A">
        <w:tc>
          <w:tcPr>
            <w:tcW w:w="1701" w:type="dxa"/>
            <w:vMerge/>
          </w:tcPr>
          <w:p w14:paraId="1BAC3D8C" w14:textId="77777777" w:rsidR="0005334D" w:rsidRPr="0005334D" w:rsidRDefault="0005334D" w:rsidP="0005334D">
            <w:pPr>
              <w:tabs>
                <w:tab w:val="center" w:pos="284"/>
              </w:tabs>
              <w:overflowPunct w:val="0"/>
              <w:autoSpaceDE w:val="0"/>
              <w:autoSpaceDN w:val="0"/>
              <w:adjustRightInd w:val="0"/>
              <w:ind w:left="266" w:hanging="266"/>
              <w:textAlignment w:val="baseline"/>
              <w:rPr>
                <w:b/>
              </w:rPr>
            </w:pPr>
          </w:p>
        </w:tc>
        <w:tc>
          <w:tcPr>
            <w:tcW w:w="5387" w:type="dxa"/>
          </w:tcPr>
          <w:p w14:paraId="39C1DAEF" w14:textId="77777777" w:rsidR="0005334D" w:rsidRPr="0005334D" w:rsidRDefault="0005334D" w:rsidP="0005334D">
            <w:pPr>
              <w:tabs>
                <w:tab w:val="center" w:pos="284"/>
              </w:tabs>
              <w:overflowPunct w:val="0"/>
              <w:autoSpaceDE w:val="0"/>
              <w:autoSpaceDN w:val="0"/>
              <w:adjustRightInd w:val="0"/>
              <w:ind w:left="266" w:hanging="266"/>
              <w:textAlignment w:val="baseline"/>
            </w:pPr>
            <w:r>
              <w:t>EESC-2024-00225-00-00-AC</w:t>
            </w:r>
          </w:p>
        </w:tc>
      </w:tr>
    </w:tbl>
    <w:p w14:paraId="4F5EF826" w14:textId="77777777" w:rsidR="0005334D" w:rsidRPr="00934A52" w:rsidRDefault="0005334D" w:rsidP="0005334D">
      <w:pPr>
        <w:tabs>
          <w:tab w:val="center" w:pos="284"/>
        </w:tabs>
        <w:overflowPunct w:val="0"/>
        <w:autoSpaceDE w:val="0"/>
        <w:autoSpaceDN w:val="0"/>
        <w:adjustRightInd w:val="0"/>
        <w:ind w:left="266" w:hanging="266"/>
        <w:textAlignment w:val="baseline"/>
        <w:rPr>
          <w:lang w:val="en-GB"/>
        </w:rPr>
      </w:pPr>
    </w:p>
    <w:p w14:paraId="0962AA04"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rPr>
      </w:pPr>
      <w:r>
        <w:rPr>
          <w:b/>
        </w:rPr>
        <w:t>Puntos clave</w:t>
      </w:r>
    </w:p>
    <w:p w14:paraId="2921179F" w14:textId="77777777" w:rsidR="0005334D" w:rsidRPr="0005334D" w:rsidRDefault="0005334D" w:rsidP="0005334D">
      <w:pPr>
        <w:keepNext/>
        <w:keepLines/>
        <w:tabs>
          <w:tab w:val="center" w:pos="284"/>
        </w:tabs>
        <w:overflowPunct w:val="0"/>
        <w:autoSpaceDE w:val="0"/>
        <w:autoSpaceDN w:val="0"/>
        <w:adjustRightInd w:val="0"/>
        <w:ind w:left="266" w:hanging="266"/>
        <w:textAlignment w:val="baseline"/>
        <w:rPr>
          <w:b/>
          <w:lang w:val="en-GB"/>
        </w:rPr>
      </w:pPr>
    </w:p>
    <w:p w14:paraId="75940321" w14:textId="77777777" w:rsidR="0005334D" w:rsidRPr="0005334D" w:rsidRDefault="0005334D" w:rsidP="0005334D">
      <w:pPr>
        <w:overflowPunct w:val="0"/>
        <w:autoSpaceDE w:val="0"/>
        <w:autoSpaceDN w:val="0"/>
        <w:adjustRightInd w:val="0"/>
        <w:textAlignment w:val="baseline"/>
        <w:rPr>
          <w:bCs/>
          <w:iCs/>
        </w:rPr>
      </w:pPr>
      <w:r>
        <w:t>El CESE:</w:t>
      </w:r>
    </w:p>
    <w:p w14:paraId="4A48F70F" w14:textId="77777777" w:rsidR="0005334D" w:rsidRPr="0005334D" w:rsidRDefault="0005334D" w:rsidP="0005334D">
      <w:pPr>
        <w:overflowPunct w:val="0"/>
        <w:autoSpaceDE w:val="0"/>
        <w:autoSpaceDN w:val="0"/>
        <w:adjustRightInd w:val="0"/>
        <w:textAlignment w:val="baseline"/>
        <w:rPr>
          <w:bCs/>
          <w:iCs/>
          <w:lang w:val="en-GB"/>
        </w:rPr>
      </w:pPr>
    </w:p>
    <w:p w14:paraId="6C3ACDD8"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que </w:t>
      </w:r>
      <w:r>
        <w:rPr>
          <w:b/>
        </w:rPr>
        <w:t>la inversión pública europea en el ámbito espacial se refuerce</w:t>
      </w:r>
      <w:r>
        <w:t xml:space="preserve"> de manera estructural e inmediata y que la inversión espacial se incremente </w:t>
      </w:r>
      <w:r>
        <w:rPr>
          <w:b/>
        </w:rPr>
        <w:t>hasta al menos el 0,2 % del PIB de aquí a 2030</w:t>
      </w:r>
      <w:r>
        <w:t>;</w:t>
      </w:r>
    </w:p>
    <w:p w14:paraId="26F7B7AE"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w:t>
      </w:r>
      <w:r>
        <w:rPr>
          <w:b/>
        </w:rPr>
        <w:t>que se aclare de qué modo el artículo 114 del Tratado puede servir de base jurídica para el mercado interior de productos, servicios y datos relacionados con el espacio</w:t>
      </w:r>
      <w:r>
        <w:t xml:space="preserve">, y propone que se establezca que las disposiciones de la Ley Espacial deben interpretarse a la luz de las </w:t>
      </w:r>
      <w:r>
        <w:rPr>
          <w:b/>
        </w:rPr>
        <w:t>obligaciones internacionales ya contraídas por los Estados miembros</w:t>
      </w:r>
      <w:r>
        <w:t>;</w:t>
      </w:r>
    </w:p>
    <w:p w14:paraId="084E4A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que se aclare </w:t>
      </w:r>
      <w:r>
        <w:rPr>
          <w:b/>
        </w:rPr>
        <w:t>por qué el título I se refiere exclusivamente al criterio del Estado miembro de establecimiento del operador</w:t>
      </w:r>
      <w:r>
        <w:t xml:space="preserve"> —incluidos los que provienen de terceros países— sin hacer mención alguna de su país de nacionalidad, y preconiza </w:t>
      </w:r>
      <w:r>
        <w:rPr>
          <w:b/>
        </w:rPr>
        <w:t>aclarar lo dispuesto en el artículo 6, apartado 3, para garantizar una mejor coordinación con las legislaciones nacionales en el ámbito del espacio</w:t>
      </w:r>
      <w:r>
        <w:t xml:space="preserve"> que determinan qué operadores deben obtener autorización para las actividades espaciales sobre la base de la nacionalidad o del territorio desde el que se lleva a cabo la actividad espacial;</w:t>
      </w:r>
    </w:p>
    <w:p w14:paraId="3E883F9C"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w:t>
      </w:r>
      <w:r>
        <w:rPr>
          <w:b/>
        </w:rPr>
        <w:t>aclarar, en el título II, el funcionamiento de las excepciones y los márgenes de flexibilidad en el proceso de autorización</w:t>
      </w:r>
      <w:r>
        <w:t>, especificando los plazos de procedimiento, la aplicabilidad a las misiones no comerciales, las competencias de inspección de la Comisión y el papel operativo de la Agencia Espacial Europea (ESA) y la Agencia de la Unión Europea para el Programa Espacial (EUSPA);</w:t>
      </w:r>
    </w:p>
    <w:p w14:paraId="0BFD0B62"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que se definan con precisión los </w:t>
      </w:r>
      <w:r>
        <w:rPr>
          <w:b/>
        </w:rPr>
        <w:t>límites dentro de los cuales los Estados miembros pueden imponer requisitos más estrictos</w:t>
      </w:r>
      <w:r>
        <w:t xml:space="preserve"> en lo que respecta tanto a la libre circulación de datos como a los servicios espaciales en la Unión;</w:t>
      </w:r>
    </w:p>
    <w:p w14:paraId="05AA5B9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destaca la necesidad de </w:t>
      </w:r>
      <w:r>
        <w:rPr>
          <w:b/>
        </w:rPr>
        <w:t>reforzar el principio de reconocimiento mutuo y las normas comunes para evitar la fragmentación</w:t>
      </w:r>
      <w:r>
        <w:t xml:space="preserve"> y las trabas burocráticas;</w:t>
      </w:r>
    </w:p>
    <w:p w14:paraId="7387563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w:t>
      </w:r>
      <w:r>
        <w:rPr>
          <w:b/>
        </w:rPr>
        <w:t>vincular la estrategia espacial europea a la autonomía estratégica del continente</w:t>
      </w:r>
      <w:r>
        <w:t xml:space="preserve"> y fomentar </w:t>
      </w:r>
      <w:r>
        <w:rPr>
          <w:b/>
        </w:rPr>
        <w:t>ecosistemas complementarios y el efecto multiplicador de la economía espacial</w:t>
      </w:r>
      <w:r>
        <w:t xml:space="preserve"> como formas de apoyo a determinados sectores;</w:t>
      </w:r>
    </w:p>
    <w:p w14:paraId="2A025617"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recomienda el desarrollo de una </w:t>
      </w:r>
      <w:r>
        <w:rPr>
          <w:b/>
        </w:rPr>
        <w:t>estrategia integrada para las capacidades y los empleos en el ámbito espacial</w:t>
      </w:r>
      <w:r>
        <w:t xml:space="preserve"> y la adopción de una </w:t>
      </w:r>
      <w:r>
        <w:rPr>
          <w:b/>
        </w:rPr>
        <w:t>Agenda Europea de Capacidades Espaciales</w:t>
      </w:r>
      <w:r>
        <w:t>;</w:t>
      </w:r>
    </w:p>
    <w:p w14:paraId="36AD8480" w14:textId="77777777" w:rsidR="0005334D" w:rsidRPr="0005334D" w:rsidRDefault="0005334D" w:rsidP="00054C58">
      <w:pPr>
        <w:numPr>
          <w:ilvl w:val="0"/>
          <w:numId w:val="22"/>
        </w:numPr>
        <w:overflowPunct w:val="0"/>
        <w:autoSpaceDE w:val="0"/>
        <w:autoSpaceDN w:val="0"/>
        <w:adjustRightInd w:val="0"/>
        <w:ind w:left="284" w:hanging="284"/>
        <w:textAlignment w:val="baseline"/>
        <w:rPr>
          <w:szCs w:val="20"/>
        </w:rPr>
      </w:pPr>
      <w:r>
        <w:t xml:space="preserve">pide que se provean los recursos adecuados para el </w:t>
      </w:r>
      <w:r>
        <w:rPr>
          <w:b/>
        </w:rPr>
        <w:t>refuerzo operativo de la EUSPA</w:t>
      </w:r>
      <w:r>
        <w:t xml:space="preserve"> en el próximo marco financiero plurianual 2028-2034.</w:t>
      </w:r>
    </w:p>
    <w:p w14:paraId="39C0FBAA" w14:textId="77777777" w:rsidR="0005334D" w:rsidRPr="00934A52" w:rsidRDefault="0005334D" w:rsidP="0005334D">
      <w:pPr>
        <w:widowControl w:val="0"/>
        <w:overflowPunct w:val="0"/>
        <w:autoSpaceDE w:val="0"/>
        <w:autoSpaceDN w:val="0"/>
        <w:adjustRightInd w:val="0"/>
        <w:ind w:left="709"/>
        <w:textAlignment w:val="baseline"/>
        <w:rPr>
          <w:lang w:val="en-GB"/>
        </w:rPr>
      </w:pPr>
    </w:p>
    <w:tbl>
      <w:tblPr>
        <w:tblStyle w:val="TableGrid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05334D" w:rsidRPr="0005334D" w14:paraId="2E1C4F7A" w14:textId="77777777" w:rsidTr="00934A52">
        <w:tc>
          <w:tcPr>
            <w:tcW w:w="2235" w:type="dxa"/>
          </w:tcPr>
          <w:p w14:paraId="3B838871" w14:textId="77777777" w:rsidR="0005334D" w:rsidRPr="0005334D" w:rsidRDefault="0005334D" w:rsidP="0005334D">
            <w:pPr>
              <w:overflowPunct w:val="0"/>
              <w:autoSpaceDE w:val="0"/>
              <w:autoSpaceDN w:val="0"/>
              <w:adjustRightInd w:val="0"/>
              <w:textAlignment w:val="baseline"/>
              <w:rPr>
                <w:i/>
              </w:rPr>
            </w:pPr>
            <w:r>
              <w:rPr>
                <w:b/>
                <w:i/>
              </w:rPr>
              <w:t>Contacto:</w:t>
            </w:r>
          </w:p>
        </w:tc>
        <w:tc>
          <w:tcPr>
            <w:tcW w:w="4853" w:type="dxa"/>
          </w:tcPr>
          <w:p w14:paraId="40162F2B" w14:textId="77777777" w:rsidR="0005334D" w:rsidRPr="0005334D" w:rsidRDefault="0005334D" w:rsidP="0005334D">
            <w:pPr>
              <w:overflowPunct w:val="0"/>
              <w:autoSpaceDE w:val="0"/>
              <w:autoSpaceDN w:val="0"/>
              <w:adjustRightInd w:val="0"/>
              <w:textAlignment w:val="baseline"/>
              <w:rPr>
                <w:i/>
              </w:rPr>
            </w:pPr>
            <w:r>
              <w:rPr>
                <w:i/>
              </w:rPr>
              <w:t>Giorgia Bordignon</w:t>
            </w:r>
          </w:p>
        </w:tc>
      </w:tr>
      <w:tr w:rsidR="0005334D" w:rsidRPr="0005334D" w14:paraId="362A9B5A" w14:textId="77777777" w:rsidTr="00934A52">
        <w:tc>
          <w:tcPr>
            <w:tcW w:w="2235" w:type="dxa"/>
          </w:tcPr>
          <w:p w14:paraId="0F21C068" w14:textId="77777777" w:rsidR="0005334D" w:rsidRPr="0005334D" w:rsidRDefault="0005334D" w:rsidP="0005334D">
            <w:pPr>
              <w:overflowPunct w:val="0"/>
              <w:autoSpaceDE w:val="0"/>
              <w:autoSpaceDN w:val="0"/>
              <w:adjustRightInd w:val="0"/>
              <w:textAlignment w:val="baseline"/>
              <w:rPr>
                <w:i/>
              </w:rPr>
            </w:pPr>
            <w:r>
              <w:rPr>
                <w:i/>
              </w:rPr>
              <w:t>Teléfono:</w:t>
            </w:r>
          </w:p>
        </w:tc>
        <w:tc>
          <w:tcPr>
            <w:tcW w:w="4853" w:type="dxa"/>
          </w:tcPr>
          <w:p w14:paraId="1CDF1B64" w14:textId="77777777" w:rsidR="0005334D" w:rsidRPr="0005334D" w:rsidRDefault="0005334D" w:rsidP="0005334D">
            <w:pPr>
              <w:overflowPunct w:val="0"/>
              <w:autoSpaceDE w:val="0"/>
              <w:autoSpaceDN w:val="0"/>
              <w:adjustRightInd w:val="0"/>
              <w:textAlignment w:val="baseline"/>
              <w:rPr>
                <w:i/>
              </w:rPr>
            </w:pPr>
            <w:r>
              <w:rPr>
                <w:i/>
              </w:rPr>
              <w:t>+32 25468</w:t>
            </w:r>
            <w:r>
              <w:t>535</w:t>
            </w:r>
          </w:p>
        </w:tc>
      </w:tr>
      <w:tr w:rsidR="0005334D" w:rsidRPr="0005334D" w14:paraId="2C7002E1" w14:textId="77777777" w:rsidTr="00934A52">
        <w:tc>
          <w:tcPr>
            <w:tcW w:w="2235" w:type="dxa"/>
          </w:tcPr>
          <w:p w14:paraId="1B96A53D" w14:textId="36B45CE4" w:rsidR="0005334D" w:rsidRPr="0005334D" w:rsidRDefault="008C414B" w:rsidP="0005334D">
            <w:pPr>
              <w:overflowPunct w:val="0"/>
              <w:autoSpaceDE w:val="0"/>
              <w:autoSpaceDN w:val="0"/>
              <w:adjustRightInd w:val="0"/>
              <w:textAlignment w:val="baseline"/>
              <w:rPr>
                <w:i/>
              </w:rPr>
            </w:pPr>
            <w:r>
              <w:rPr>
                <w:i/>
              </w:rPr>
              <w:t>Correo electrónico:</w:t>
            </w:r>
          </w:p>
        </w:tc>
        <w:tc>
          <w:tcPr>
            <w:tcW w:w="4853" w:type="dxa"/>
          </w:tcPr>
          <w:p w14:paraId="7D4DCAF5" w14:textId="77777777" w:rsidR="0005334D" w:rsidRPr="0005334D" w:rsidRDefault="00236A60" w:rsidP="0005334D">
            <w:pPr>
              <w:overflowPunct w:val="0"/>
              <w:autoSpaceDE w:val="0"/>
              <w:autoSpaceDN w:val="0"/>
              <w:adjustRightInd w:val="0"/>
              <w:textAlignment w:val="baseline"/>
              <w:rPr>
                <w:i/>
              </w:rPr>
            </w:pPr>
            <w:hyperlink r:id="rId31" w:history="1">
              <w:r w:rsidR="00E167DC">
                <w:rPr>
                  <w:i/>
                  <w:color w:val="0000FF"/>
                  <w:u w:val="single"/>
                </w:rPr>
                <w:t>GiorgiaAndrea.Bordignon@eesc.europa.eu</w:t>
              </w:r>
            </w:hyperlink>
            <w:r w:rsidR="00E167DC">
              <w:rPr>
                <w:i/>
              </w:rPr>
              <w:t xml:space="preserve"> </w:t>
            </w:r>
          </w:p>
        </w:tc>
      </w:tr>
    </w:tbl>
    <w:p w14:paraId="77FAB844" w14:textId="405C607C" w:rsidR="00B8543B" w:rsidRPr="00B8543B" w:rsidRDefault="00236A60" w:rsidP="00B8543B">
      <w:pPr>
        <w:widowControl w:val="0"/>
        <w:numPr>
          <w:ilvl w:val="0"/>
          <w:numId w:val="4"/>
        </w:numPr>
        <w:overflowPunct w:val="0"/>
        <w:autoSpaceDE w:val="0"/>
        <w:autoSpaceDN w:val="0"/>
        <w:adjustRightInd w:val="0"/>
        <w:ind w:hanging="567"/>
        <w:textAlignment w:val="baseline"/>
        <w:rPr>
          <w:sz w:val="20"/>
          <w:szCs w:val="20"/>
        </w:rPr>
      </w:pPr>
      <w:hyperlink r:id="rId32" w:history="1">
        <w:r w:rsidR="00E167DC">
          <w:rPr>
            <w:b/>
            <w:i/>
            <w:color w:val="0000FF"/>
            <w:sz w:val="28"/>
            <w:u w:val="single"/>
          </w:rPr>
          <w:t>Programa Indicativo Nuclear</w:t>
        </w:r>
      </w:hyperlink>
    </w:p>
    <w:p w14:paraId="687BF486" w14:textId="77777777" w:rsidR="00B8543B" w:rsidRPr="00B8543B" w:rsidRDefault="00B8543B" w:rsidP="00B8543B">
      <w:pPr>
        <w:tabs>
          <w:tab w:val="center" w:pos="284"/>
        </w:tabs>
        <w:overflowPunct w:val="0"/>
        <w:autoSpaceDE w:val="0"/>
        <w:autoSpaceDN w:val="0"/>
        <w:adjustRightInd w:val="0"/>
        <w:ind w:left="266" w:hanging="266"/>
        <w:textAlignment w:val="baseline"/>
        <w:rPr>
          <w:b/>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7229"/>
      </w:tblGrid>
      <w:tr w:rsidR="00B8543B" w:rsidRPr="00B8543B" w14:paraId="6BF7DB04" w14:textId="77777777" w:rsidTr="0036489A">
        <w:tc>
          <w:tcPr>
            <w:tcW w:w="1951" w:type="dxa"/>
          </w:tcPr>
          <w:p w14:paraId="7660A134"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Ponente</w:t>
            </w:r>
          </w:p>
        </w:tc>
        <w:tc>
          <w:tcPr>
            <w:tcW w:w="7229" w:type="dxa"/>
          </w:tcPr>
          <w:p w14:paraId="741530A3" w14:textId="32EE3DBA" w:rsidR="00B8543B" w:rsidRPr="00B8543B" w:rsidRDefault="00B8543B" w:rsidP="00B8543B">
            <w:pPr>
              <w:tabs>
                <w:tab w:val="center" w:pos="284"/>
              </w:tabs>
              <w:overflowPunct w:val="0"/>
              <w:autoSpaceDE w:val="0"/>
              <w:autoSpaceDN w:val="0"/>
              <w:adjustRightInd w:val="0"/>
              <w:ind w:left="266" w:hanging="266"/>
              <w:textAlignment w:val="baseline"/>
            </w:pPr>
            <w:r>
              <w:t>Dumitru FORNEA (Grupo de Trabajadores – RO)</w:t>
            </w:r>
          </w:p>
        </w:tc>
      </w:tr>
      <w:tr w:rsidR="00B8543B" w:rsidRPr="00B8543B" w14:paraId="1EF069F7" w14:textId="77777777" w:rsidTr="0036489A">
        <w:tc>
          <w:tcPr>
            <w:tcW w:w="1951" w:type="dxa"/>
          </w:tcPr>
          <w:p w14:paraId="1E9A27C2"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Coponente</w:t>
            </w:r>
          </w:p>
        </w:tc>
        <w:tc>
          <w:tcPr>
            <w:tcW w:w="7229" w:type="dxa"/>
          </w:tcPr>
          <w:p w14:paraId="6C41DC74" w14:textId="78C2E9C0" w:rsidR="00B8543B" w:rsidRDefault="00B8543B" w:rsidP="00B8543B">
            <w:pPr>
              <w:tabs>
                <w:tab w:val="center" w:pos="284"/>
              </w:tabs>
              <w:overflowPunct w:val="0"/>
              <w:autoSpaceDE w:val="0"/>
              <w:autoSpaceDN w:val="0"/>
              <w:adjustRightInd w:val="0"/>
              <w:ind w:left="266" w:hanging="266"/>
              <w:textAlignment w:val="baseline"/>
            </w:pPr>
            <w:r>
              <w:t>Alena MASTANTUONO (Grupo de Empresarios – CZ)</w:t>
            </w:r>
          </w:p>
          <w:p w14:paraId="1AF40855" w14:textId="47D44167" w:rsidR="00F104CA" w:rsidRPr="00B8543B" w:rsidRDefault="00F104CA" w:rsidP="00B8543B">
            <w:pPr>
              <w:tabs>
                <w:tab w:val="center" w:pos="284"/>
              </w:tabs>
              <w:overflowPunct w:val="0"/>
              <w:autoSpaceDE w:val="0"/>
              <w:autoSpaceDN w:val="0"/>
              <w:adjustRightInd w:val="0"/>
              <w:ind w:left="266" w:hanging="266"/>
              <w:textAlignment w:val="baseline"/>
            </w:pPr>
          </w:p>
        </w:tc>
      </w:tr>
      <w:tr w:rsidR="00B8543B" w:rsidRPr="00B8543B" w14:paraId="6C9EC1C7" w14:textId="77777777" w:rsidTr="0036489A">
        <w:tc>
          <w:tcPr>
            <w:tcW w:w="1951" w:type="dxa"/>
          </w:tcPr>
          <w:p w14:paraId="081DEE58" w14:textId="77777777" w:rsidR="00B8543B" w:rsidRPr="00B8543B" w:rsidRDefault="00B8543B" w:rsidP="00B8543B">
            <w:pPr>
              <w:tabs>
                <w:tab w:val="center" w:pos="284"/>
              </w:tabs>
              <w:overflowPunct w:val="0"/>
              <w:autoSpaceDE w:val="0"/>
              <w:autoSpaceDN w:val="0"/>
              <w:adjustRightInd w:val="0"/>
              <w:ind w:left="266" w:hanging="266"/>
              <w:textAlignment w:val="baseline"/>
              <w:rPr>
                <w:b/>
              </w:rPr>
            </w:pPr>
            <w:r>
              <w:rPr>
                <w:b/>
              </w:rPr>
              <w:t>Referencias</w:t>
            </w:r>
          </w:p>
        </w:tc>
        <w:tc>
          <w:tcPr>
            <w:tcW w:w="7229" w:type="dxa"/>
          </w:tcPr>
          <w:p w14:paraId="7F4D4FA0" w14:textId="77777777" w:rsidR="00B8543B" w:rsidRPr="00B8543B" w:rsidRDefault="00B8543B" w:rsidP="00B8543B">
            <w:pPr>
              <w:tabs>
                <w:tab w:val="center" w:pos="284"/>
              </w:tabs>
              <w:overflowPunct w:val="0"/>
              <w:autoSpaceDE w:val="0"/>
              <w:autoSpaceDN w:val="0"/>
              <w:adjustRightInd w:val="0"/>
              <w:ind w:left="266" w:hanging="266"/>
              <w:textAlignment w:val="baseline"/>
            </w:pPr>
            <w:r>
              <w:t>COM(2025) 315 final</w:t>
            </w:r>
          </w:p>
          <w:p w14:paraId="53F4AD07" w14:textId="77777777" w:rsidR="00B8543B" w:rsidRPr="00B8543B" w:rsidRDefault="00B8543B" w:rsidP="00B8543B">
            <w:pPr>
              <w:tabs>
                <w:tab w:val="center" w:pos="284"/>
              </w:tabs>
              <w:overflowPunct w:val="0"/>
              <w:autoSpaceDE w:val="0"/>
              <w:autoSpaceDN w:val="0"/>
              <w:adjustRightInd w:val="0"/>
              <w:ind w:left="266" w:hanging="266"/>
              <w:textAlignment w:val="baseline"/>
            </w:pPr>
            <w:r>
              <w:t>EESC-2025-02173-00-00-AC</w:t>
            </w:r>
          </w:p>
        </w:tc>
      </w:tr>
    </w:tbl>
    <w:p w14:paraId="217CE023" w14:textId="77777777" w:rsidR="00B8543B" w:rsidRPr="00B8543B" w:rsidRDefault="00B8543B" w:rsidP="00B8543B">
      <w:pPr>
        <w:tabs>
          <w:tab w:val="center" w:pos="284"/>
        </w:tabs>
        <w:overflowPunct w:val="0"/>
        <w:autoSpaceDE w:val="0"/>
        <w:autoSpaceDN w:val="0"/>
        <w:adjustRightInd w:val="0"/>
        <w:ind w:left="266" w:hanging="266"/>
        <w:textAlignment w:val="baseline"/>
        <w:rPr>
          <w:lang w:val="pt-PT"/>
        </w:rPr>
      </w:pPr>
    </w:p>
    <w:p w14:paraId="4EAF6778"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rPr>
      </w:pPr>
      <w:r>
        <w:rPr>
          <w:b/>
        </w:rPr>
        <w:t>Puntos clave</w:t>
      </w:r>
    </w:p>
    <w:p w14:paraId="3A214EBF" w14:textId="77777777" w:rsidR="00B8543B" w:rsidRPr="00B8543B" w:rsidRDefault="00B8543B" w:rsidP="00B8543B">
      <w:pPr>
        <w:keepNext/>
        <w:keepLines/>
        <w:tabs>
          <w:tab w:val="center" w:pos="284"/>
        </w:tabs>
        <w:overflowPunct w:val="0"/>
        <w:autoSpaceDE w:val="0"/>
        <w:autoSpaceDN w:val="0"/>
        <w:adjustRightInd w:val="0"/>
        <w:ind w:left="266" w:hanging="266"/>
        <w:textAlignment w:val="baseline"/>
        <w:rPr>
          <w:b/>
          <w:lang w:val="en-GB"/>
        </w:rPr>
      </w:pPr>
    </w:p>
    <w:p w14:paraId="2AD6BB4C" w14:textId="77777777" w:rsidR="00B8543B" w:rsidRDefault="00B8543B" w:rsidP="00B8543B">
      <w:pPr>
        <w:overflowPunct w:val="0"/>
        <w:autoSpaceDE w:val="0"/>
        <w:autoSpaceDN w:val="0"/>
        <w:adjustRightInd w:val="0"/>
        <w:textAlignment w:val="baseline"/>
        <w:rPr>
          <w:bCs/>
          <w:iCs/>
        </w:rPr>
      </w:pPr>
      <w:r>
        <w:t>El CESE:</w:t>
      </w:r>
    </w:p>
    <w:p w14:paraId="00EA794C" w14:textId="77777777" w:rsidR="00F104CA" w:rsidRPr="00B8543B" w:rsidRDefault="00F104CA" w:rsidP="00B8543B">
      <w:pPr>
        <w:overflowPunct w:val="0"/>
        <w:autoSpaceDE w:val="0"/>
        <w:autoSpaceDN w:val="0"/>
        <w:adjustRightInd w:val="0"/>
        <w:textAlignment w:val="baseline"/>
        <w:rPr>
          <w:bCs/>
          <w:iCs/>
          <w:lang w:val="en-GB"/>
        </w:rPr>
      </w:pPr>
    </w:p>
    <w:p w14:paraId="0ADC1825"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considera que la energía nuclear desempeña y seguirá desempeñando un papel crucial en la descarbonización del continente europeo y en la consolidación de su autonomía estratégica en los ámbitos de la energía y la tecnología;</w:t>
      </w:r>
    </w:p>
    <w:p w14:paraId="38970C7F"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recomienda que se apliquen las mismas condiciones a las inversiones en el sector de la energía nuclear que en el de las energías renovables;</w:t>
      </w:r>
    </w:p>
    <w:p w14:paraId="15C741CD"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recomienda acelerar la inversión a través de medidas financieras y reglamentarias específicas, como un proceso simplificado de ayudas estatales, acceso a los fondos de cohesión de la UE, una financiación sostenible, procesos de concesión de licencias y una toma de decisiones más rápida a escala nacional y de la UE;</w:t>
      </w:r>
    </w:p>
    <w:p w14:paraId="18340AE6"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considera que el diálogo con la sociedad civil es fundamental para generar confianza, apropiación y aceptación social;</w:t>
      </w:r>
    </w:p>
    <w:p w14:paraId="1F92E097"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rPr>
          <w:bCs/>
          <w:iCs/>
        </w:rPr>
      </w:pPr>
      <w:r>
        <w:t>pide reforzar la cooperación reglamentaria entre los Estados miembros;</w:t>
      </w:r>
    </w:p>
    <w:p w14:paraId="60BEBBD3" w14:textId="77777777" w:rsidR="00B8543B" w:rsidRPr="00B8543B" w:rsidRDefault="00B8543B" w:rsidP="00054C58">
      <w:pPr>
        <w:widowControl w:val="0"/>
        <w:numPr>
          <w:ilvl w:val="0"/>
          <w:numId w:val="23"/>
        </w:numPr>
        <w:overflowPunct w:val="0"/>
        <w:autoSpaceDE w:val="0"/>
        <w:autoSpaceDN w:val="0"/>
        <w:adjustRightInd w:val="0"/>
        <w:ind w:left="284" w:hanging="284"/>
        <w:textAlignment w:val="baseline"/>
      </w:pPr>
      <w:r>
        <w:t>recomienda que se tenga en cuenta el papel desempeñado por la energía nuclear en la estabilización de la red y pide que se añada al PINC un cálculo de los costes sistémicos evitados gracias a la energía nuclear.</w:t>
      </w:r>
    </w:p>
    <w:p w14:paraId="1038659F" w14:textId="77777777" w:rsidR="00B8543B" w:rsidRPr="00B8543B" w:rsidRDefault="00B8543B" w:rsidP="00F104CA">
      <w:pPr>
        <w:widowControl w:val="0"/>
        <w:overflowPunct w:val="0"/>
        <w:autoSpaceDE w:val="0"/>
        <w:autoSpaceDN w:val="0"/>
        <w:adjustRightInd w:val="0"/>
        <w:ind w:left="284" w:hanging="284"/>
        <w:textAlignment w:val="baseline"/>
        <w:rPr>
          <w:szCs w:val="20"/>
          <w:lang w:val="en-GB"/>
        </w:rPr>
      </w:pPr>
    </w:p>
    <w:tbl>
      <w:tblPr>
        <w:tblStyle w:val="TableGrid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945"/>
      </w:tblGrid>
      <w:tr w:rsidR="00B8543B" w:rsidRPr="00B8543B" w14:paraId="1A87DBFF" w14:textId="77777777" w:rsidTr="00934A52">
        <w:tc>
          <w:tcPr>
            <w:tcW w:w="2235" w:type="dxa"/>
          </w:tcPr>
          <w:p w14:paraId="5E9F41AD" w14:textId="77777777" w:rsidR="00B8543B" w:rsidRPr="00B8543B" w:rsidRDefault="00B8543B" w:rsidP="00B8543B">
            <w:pPr>
              <w:overflowPunct w:val="0"/>
              <w:autoSpaceDE w:val="0"/>
              <w:autoSpaceDN w:val="0"/>
              <w:adjustRightInd w:val="0"/>
              <w:textAlignment w:val="baseline"/>
              <w:rPr>
                <w:i/>
              </w:rPr>
            </w:pPr>
            <w:r>
              <w:rPr>
                <w:b/>
                <w:i/>
              </w:rPr>
              <w:t>Contacto:</w:t>
            </w:r>
          </w:p>
        </w:tc>
        <w:tc>
          <w:tcPr>
            <w:tcW w:w="6945" w:type="dxa"/>
          </w:tcPr>
          <w:p w14:paraId="1EA77D8A" w14:textId="6DF16979" w:rsidR="00B8543B" w:rsidRPr="00B8543B" w:rsidRDefault="00B8543B" w:rsidP="00B8543B">
            <w:pPr>
              <w:overflowPunct w:val="0"/>
              <w:autoSpaceDE w:val="0"/>
              <w:autoSpaceDN w:val="0"/>
              <w:adjustRightInd w:val="0"/>
              <w:textAlignment w:val="baseline"/>
              <w:rPr>
                <w:i/>
              </w:rPr>
            </w:pPr>
            <w:r>
              <w:rPr>
                <w:i/>
              </w:rPr>
              <w:t>Albert Precup</w:t>
            </w:r>
          </w:p>
        </w:tc>
      </w:tr>
      <w:tr w:rsidR="00B8543B" w:rsidRPr="00B8543B" w14:paraId="3CDABFB0" w14:textId="77777777" w:rsidTr="00934A52">
        <w:tc>
          <w:tcPr>
            <w:tcW w:w="2235" w:type="dxa"/>
          </w:tcPr>
          <w:p w14:paraId="690F7657" w14:textId="77777777" w:rsidR="00B8543B" w:rsidRPr="00B8543B" w:rsidRDefault="00B8543B" w:rsidP="00B8543B">
            <w:pPr>
              <w:overflowPunct w:val="0"/>
              <w:autoSpaceDE w:val="0"/>
              <w:autoSpaceDN w:val="0"/>
              <w:adjustRightInd w:val="0"/>
              <w:textAlignment w:val="baseline"/>
              <w:rPr>
                <w:i/>
              </w:rPr>
            </w:pPr>
            <w:r>
              <w:rPr>
                <w:i/>
              </w:rPr>
              <w:t>Teléfono:</w:t>
            </w:r>
          </w:p>
        </w:tc>
        <w:tc>
          <w:tcPr>
            <w:tcW w:w="6945" w:type="dxa"/>
          </w:tcPr>
          <w:p w14:paraId="113BC3FF" w14:textId="77777777" w:rsidR="00B8543B" w:rsidRPr="00B8543B" w:rsidRDefault="00B8543B" w:rsidP="00B8543B">
            <w:pPr>
              <w:overflowPunct w:val="0"/>
              <w:autoSpaceDE w:val="0"/>
              <w:autoSpaceDN w:val="0"/>
              <w:adjustRightInd w:val="0"/>
              <w:textAlignment w:val="baseline"/>
              <w:rPr>
                <w:i/>
              </w:rPr>
            </w:pPr>
            <w:r>
              <w:rPr>
                <w:i/>
              </w:rPr>
              <w:t>+32 25469326</w:t>
            </w:r>
          </w:p>
        </w:tc>
      </w:tr>
      <w:tr w:rsidR="00B8543B" w:rsidRPr="00B8543B" w14:paraId="358EB551" w14:textId="77777777" w:rsidTr="00934A52">
        <w:tc>
          <w:tcPr>
            <w:tcW w:w="2235" w:type="dxa"/>
          </w:tcPr>
          <w:p w14:paraId="2EF8A9AA" w14:textId="77777777" w:rsidR="00B8543B" w:rsidRPr="00B8543B" w:rsidRDefault="00B8543B" w:rsidP="00B8543B">
            <w:pPr>
              <w:overflowPunct w:val="0"/>
              <w:autoSpaceDE w:val="0"/>
              <w:autoSpaceDN w:val="0"/>
              <w:adjustRightInd w:val="0"/>
              <w:textAlignment w:val="baseline"/>
              <w:rPr>
                <w:i/>
              </w:rPr>
            </w:pPr>
            <w:r>
              <w:rPr>
                <w:i/>
              </w:rPr>
              <w:t>Correo electrónico:</w:t>
            </w:r>
          </w:p>
        </w:tc>
        <w:tc>
          <w:tcPr>
            <w:tcW w:w="6945" w:type="dxa"/>
          </w:tcPr>
          <w:p w14:paraId="1491B9B9" w14:textId="77777777" w:rsidR="00B8543B" w:rsidRPr="00B8543B" w:rsidRDefault="00236A60" w:rsidP="00B8543B">
            <w:pPr>
              <w:overflowPunct w:val="0"/>
              <w:autoSpaceDE w:val="0"/>
              <w:autoSpaceDN w:val="0"/>
              <w:adjustRightInd w:val="0"/>
              <w:textAlignment w:val="baseline"/>
              <w:rPr>
                <w:i/>
              </w:rPr>
            </w:pPr>
            <w:hyperlink r:id="rId33" w:history="1">
              <w:r w:rsidR="00E167DC">
                <w:rPr>
                  <w:i/>
                  <w:color w:val="0000FF"/>
                  <w:u w:val="single"/>
                </w:rPr>
                <w:t>Albert.Precup@eesc.europa.eu</w:t>
              </w:r>
            </w:hyperlink>
          </w:p>
        </w:tc>
      </w:tr>
    </w:tbl>
    <w:p w14:paraId="4C06F621" w14:textId="77777777" w:rsidR="004D7AC0" w:rsidRDefault="004D7AC0" w:rsidP="004D7AC0">
      <w:pPr>
        <w:pStyle w:val="ListParagraph"/>
        <w:ind w:left="0"/>
      </w:pPr>
    </w:p>
    <w:p w14:paraId="4982DDF2" w14:textId="0D337987" w:rsidR="00BC676C" w:rsidRDefault="004D7AC0">
      <w:pPr>
        <w:spacing w:after="160" w:line="259" w:lineRule="auto"/>
        <w:jc w:val="left"/>
      </w:pPr>
      <w:r>
        <w:br w:type="page"/>
      </w:r>
    </w:p>
    <w:p w14:paraId="4982DDF3" w14:textId="77777777" w:rsidR="004D7AC0" w:rsidRDefault="004D7AC0" w:rsidP="004D7AC0">
      <w:pPr>
        <w:pStyle w:val="Heading1"/>
        <w:rPr>
          <w:b/>
        </w:rPr>
      </w:pPr>
      <w:bookmarkStart w:id="6" w:name="_Toc75527083"/>
      <w:bookmarkStart w:id="7" w:name="_Toc216951824"/>
      <w:r>
        <w:rPr>
          <w:b/>
        </w:rPr>
        <w:t>MERCADO ÚNICO, PRODUCCIÓN Y CONSUMO</w:t>
      </w:r>
      <w:bookmarkEnd w:id="6"/>
      <w:bookmarkEnd w:id="7"/>
    </w:p>
    <w:p w14:paraId="4982DDF4" w14:textId="77777777" w:rsidR="004D7AC0" w:rsidRDefault="004D7AC0" w:rsidP="004D7AC0"/>
    <w:p w14:paraId="5D547137" w14:textId="688E5B24" w:rsidR="00465162" w:rsidRPr="00465162" w:rsidRDefault="00236A60" w:rsidP="00465162">
      <w:pPr>
        <w:widowControl w:val="0"/>
        <w:numPr>
          <w:ilvl w:val="0"/>
          <w:numId w:val="4"/>
        </w:numPr>
        <w:overflowPunct w:val="0"/>
        <w:autoSpaceDE w:val="0"/>
        <w:autoSpaceDN w:val="0"/>
        <w:adjustRightInd w:val="0"/>
        <w:ind w:hanging="567"/>
        <w:textAlignment w:val="baseline"/>
        <w:rPr>
          <w:sz w:val="20"/>
          <w:szCs w:val="20"/>
        </w:rPr>
      </w:pPr>
      <w:hyperlink r:id="rId34" w:history="1">
        <w:r w:rsidR="00E167DC">
          <w:rPr>
            <w:b/>
            <w:i/>
            <w:color w:val="0000FF"/>
            <w:sz w:val="28"/>
            <w:u w:val="single"/>
          </w:rPr>
          <w:t>Estrategia para el Mercado Único</w:t>
        </w:r>
      </w:hyperlink>
    </w:p>
    <w:p w14:paraId="0B883575" w14:textId="77777777" w:rsidR="00465162" w:rsidRPr="00465162" w:rsidRDefault="00465162" w:rsidP="00465162">
      <w:pPr>
        <w:tabs>
          <w:tab w:val="center" w:pos="284"/>
        </w:tabs>
        <w:overflowPunct w:val="0"/>
        <w:autoSpaceDE w:val="0"/>
        <w:autoSpaceDN w:val="0"/>
        <w:adjustRightInd w:val="0"/>
        <w:ind w:left="266" w:hanging="266"/>
        <w:textAlignment w:val="baseline"/>
        <w:rPr>
          <w:b/>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21"/>
      </w:tblGrid>
      <w:tr w:rsidR="00465162" w:rsidRPr="00465162" w14:paraId="79DD90B6" w14:textId="77777777" w:rsidTr="0036489A">
        <w:tc>
          <w:tcPr>
            <w:tcW w:w="1701" w:type="dxa"/>
          </w:tcPr>
          <w:p w14:paraId="0377814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Ponentes</w:t>
            </w:r>
          </w:p>
        </w:tc>
        <w:tc>
          <w:tcPr>
            <w:tcW w:w="6521" w:type="dxa"/>
          </w:tcPr>
          <w:p w14:paraId="1AA6537D" w14:textId="384B5F9A" w:rsidR="00465162" w:rsidRPr="00465162" w:rsidRDefault="00465162" w:rsidP="00465162">
            <w:pPr>
              <w:tabs>
                <w:tab w:val="center" w:pos="284"/>
              </w:tabs>
              <w:overflowPunct w:val="0"/>
              <w:autoSpaceDE w:val="0"/>
              <w:autoSpaceDN w:val="0"/>
              <w:adjustRightInd w:val="0"/>
              <w:ind w:left="266" w:hanging="266"/>
              <w:textAlignment w:val="baseline"/>
            </w:pPr>
            <w:r>
              <w:t>Emilie PROUZET (Grupo de Empresarios – FR)</w:t>
            </w:r>
          </w:p>
        </w:tc>
      </w:tr>
      <w:tr w:rsidR="00465162" w:rsidRPr="00465162" w14:paraId="60565F73" w14:textId="77777777" w:rsidTr="0036489A">
        <w:tc>
          <w:tcPr>
            <w:tcW w:w="1701" w:type="dxa"/>
          </w:tcPr>
          <w:p w14:paraId="4405A00F"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6DA48BA" w14:textId="3E9F6386" w:rsidR="00465162" w:rsidRPr="00465162" w:rsidRDefault="00465162" w:rsidP="00465162">
            <w:pPr>
              <w:tabs>
                <w:tab w:val="center" w:pos="284"/>
              </w:tabs>
              <w:overflowPunct w:val="0"/>
              <w:autoSpaceDE w:val="0"/>
              <w:autoSpaceDN w:val="0"/>
              <w:adjustRightInd w:val="0"/>
              <w:ind w:left="266" w:hanging="266"/>
              <w:textAlignment w:val="baseline"/>
            </w:pPr>
            <w:r>
              <w:t>Angelo PAGLIARA (Grupo de Trabajadores – IT)</w:t>
            </w:r>
          </w:p>
          <w:p w14:paraId="1F24C2EA" w14:textId="03B9D796" w:rsidR="00465162" w:rsidRPr="00465162" w:rsidRDefault="00465162" w:rsidP="00465162">
            <w:pPr>
              <w:tabs>
                <w:tab w:val="center" w:pos="284"/>
              </w:tabs>
              <w:overflowPunct w:val="0"/>
              <w:autoSpaceDE w:val="0"/>
              <w:autoSpaceDN w:val="0"/>
              <w:adjustRightInd w:val="0"/>
              <w:ind w:left="266" w:hanging="266"/>
              <w:textAlignment w:val="baseline"/>
            </w:pPr>
            <w:r>
              <w:t>Giuseppe GUERINI (Grupo de Organizaciones de la Sociedad Civil – IT)</w:t>
            </w:r>
          </w:p>
        </w:tc>
      </w:tr>
      <w:tr w:rsidR="00465162" w:rsidRPr="00465162" w14:paraId="39372820" w14:textId="77777777" w:rsidTr="0036489A">
        <w:tc>
          <w:tcPr>
            <w:tcW w:w="8222" w:type="dxa"/>
            <w:gridSpan w:val="2"/>
          </w:tcPr>
          <w:p w14:paraId="6C98B3D0" w14:textId="77777777" w:rsidR="00465162" w:rsidRPr="00465162" w:rsidRDefault="00465162" w:rsidP="00465162">
            <w:pPr>
              <w:tabs>
                <w:tab w:val="center" w:pos="284"/>
              </w:tabs>
              <w:overflowPunct w:val="0"/>
              <w:autoSpaceDE w:val="0"/>
              <w:autoSpaceDN w:val="0"/>
              <w:adjustRightInd w:val="0"/>
              <w:spacing w:line="160" w:lineRule="exact"/>
              <w:ind w:left="266" w:hanging="266"/>
              <w:textAlignment w:val="baseline"/>
            </w:pPr>
          </w:p>
        </w:tc>
      </w:tr>
      <w:tr w:rsidR="00465162" w:rsidRPr="00465162" w14:paraId="7C667684" w14:textId="77777777" w:rsidTr="0036489A">
        <w:tc>
          <w:tcPr>
            <w:tcW w:w="1701" w:type="dxa"/>
            <w:vMerge w:val="restart"/>
          </w:tcPr>
          <w:p w14:paraId="140B2D51"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r>
              <w:rPr>
                <w:b/>
              </w:rPr>
              <w:t>Referencias</w:t>
            </w:r>
          </w:p>
        </w:tc>
        <w:tc>
          <w:tcPr>
            <w:tcW w:w="6521" w:type="dxa"/>
          </w:tcPr>
          <w:p w14:paraId="0BD6402A" w14:textId="77777777" w:rsidR="00465162" w:rsidRPr="00465162" w:rsidRDefault="00465162" w:rsidP="00465162">
            <w:pPr>
              <w:tabs>
                <w:tab w:val="center" w:pos="284"/>
              </w:tabs>
              <w:overflowPunct w:val="0"/>
              <w:autoSpaceDE w:val="0"/>
              <w:autoSpaceDN w:val="0"/>
              <w:adjustRightInd w:val="0"/>
              <w:ind w:left="266" w:hanging="266"/>
              <w:textAlignment w:val="baseline"/>
            </w:pPr>
            <w:r>
              <w:t>COM(2025) 500 final</w:t>
            </w:r>
          </w:p>
          <w:p w14:paraId="35684687" w14:textId="77777777" w:rsidR="00465162" w:rsidRPr="00465162" w:rsidRDefault="00465162" w:rsidP="00465162">
            <w:pPr>
              <w:tabs>
                <w:tab w:val="center" w:pos="284"/>
              </w:tabs>
              <w:overflowPunct w:val="0"/>
              <w:autoSpaceDE w:val="0"/>
              <w:autoSpaceDN w:val="0"/>
              <w:adjustRightInd w:val="0"/>
              <w:ind w:left="266" w:hanging="266"/>
              <w:textAlignment w:val="baseline"/>
            </w:pPr>
            <w:r>
              <w:t>EESC-2025-01859-00-00-AC</w:t>
            </w:r>
          </w:p>
        </w:tc>
      </w:tr>
      <w:tr w:rsidR="00465162" w:rsidRPr="00465162" w14:paraId="3287886F" w14:textId="77777777" w:rsidTr="0036489A">
        <w:tc>
          <w:tcPr>
            <w:tcW w:w="1701" w:type="dxa"/>
            <w:vMerge/>
          </w:tcPr>
          <w:p w14:paraId="01DD9F1E" w14:textId="77777777" w:rsidR="00465162" w:rsidRPr="00465162" w:rsidRDefault="00465162" w:rsidP="00465162">
            <w:pPr>
              <w:tabs>
                <w:tab w:val="center" w:pos="284"/>
              </w:tabs>
              <w:overflowPunct w:val="0"/>
              <w:autoSpaceDE w:val="0"/>
              <w:autoSpaceDN w:val="0"/>
              <w:adjustRightInd w:val="0"/>
              <w:ind w:left="266" w:hanging="266"/>
              <w:textAlignment w:val="baseline"/>
              <w:rPr>
                <w:b/>
              </w:rPr>
            </w:pPr>
          </w:p>
        </w:tc>
        <w:tc>
          <w:tcPr>
            <w:tcW w:w="6521" w:type="dxa"/>
          </w:tcPr>
          <w:p w14:paraId="2E2DEA70" w14:textId="77777777" w:rsidR="00465162" w:rsidRPr="00465162" w:rsidRDefault="00465162" w:rsidP="00465162">
            <w:pPr>
              <w:tabs>
                <w:tab w:val="center" w:pos="284"/>
              </w:tabs>
              <w:overflowPunct w:val="0"/>
              <w:autoSpaceDE w:val="0"/>
              <w:autoSpaceDN w:val="0"/>
              <w:adjustRightInd w:val="0"/>
              <w:ind w:left="266" w:hanging="266"/>
              <w:textAlignment w:val="baseline"/>
            </w:pPr>
          </w:p>
        </w:tc>
      </w:tr>
    </w:tbl>
    <w:p w14:paraId="1489C838"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rPr>
      </w:pPr>
      <w:r>
        <w:rPr>
          <w:b/>
        </w:rPr>
        <w:t>Puntos clave</w:t>
      </w:r>
    </w:p>
    <w:p w14:paraId="04D2C12C" w14:textId="77777777" w:rsidR="00465162" w:rsidRPr="00465162" w:rsidRDefault="00465162" w:rsidP="00465162">
      <w:pPr>
        <w:keepNext/>
        <w:keepLines/>
        <w:tabs>
          <w:tab w:val="center" w:pos="284"/>
        </w:tabs>
        <w:overflowPunct w:val="0"/>
        <w:autoSpaceDE w:val="0"/>
        <w:autoSpaceDN w:val="0"/>
        <w:adjustRightInd w:val="0"/>
        <w:ind w:left="266" w:hanging="266"/>
        <w:textAlignment w:val="baseline"/>
        <w:rPr>
          <w:b/>
          <w:lang w:val="en-GB"/>
        </w:rPr>
      </w:pPr>
    </w:p>
    <w:p w14:paraId="24496AA3" w14:textId="77777777" w:rsidR="00465162" w:rsidRPr="00465162" w:rsidRDefault="00465162" w:rsidP="00465162">
      <w:pPr>
        <w:overflowPunct w:val="0"/>
        <w:autoSpaceDE w:val="0"/>
        <w:autoSpaceDN w:val="0"/>
        <w:adjustRightInd w:val="0"/>
        <w:textAlignment w:val="baseline"/>
        <w:rPr>
          <w:bCs/>
          <w:iCs/>
        </w:rPr>
      </w:pPr>
      <w:r>
        <w:t>El CESE:</w:t>
      </w:r>
    </w:p>
    <w:p w14:paraId="2F8CA4CA" w14:textId="77777777" w:rsidR="00465162" w:rsidRPr="00465162" w:rsidRDefault="00465162" w:rsidP="00465162">
      <w:pPr>
        <w:overflowPunct w:val="0"/>
        <w:autoSpaceDE w:val="0"/>
        <w:autoSpaceDN w:val="0"/>
        <w:adjustRightInd w:val="0"/>
        <w:textAlignment w:val="baseline"/>
        <w:rPr>
          <w:bCs/>
          <w:iCs/>
          <w:lang w:val="en-GB"/>
        </w:rPr>
      </w:pPr>
    </w:p>
    <w:p w14:paraId="419AAE5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apoya totalmente las prioridades definidas por la Comisión, que responden a los retos puestos de relieve por las partes interesadas;</w:t>
      </w:r>
    </w:p>
    <w:p w14:paraId="634276BC"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reitera que la simplificación normativa debe llevarse a cabo respetando plenamente los derechos sociales y laborales. Por lo tanto, es esencial que el Parlamento Europeo y los parlamentos nacionales, por un lado, y los interlocutores sociales, por el otro, gocen de una participación estructural desde las fases iniciales del proceso legislativo;</w:t>
      </w:r>
    </w:p>
    <w:p w14:paraId="1A85E040"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tiene la intención de contribuir más activamente a la gobernanza del mercado único, en particular asumiendo un papel reforzado en el proceso del Grupo de Trabajo para el Cumplimiento de la Legislación sobre el Mercado Único;</w:t>
      </w:r>
    </w:p>
    <w:p w14:paraId="0DE50EC7"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pide a la Comisión que presente propuestas legislativas para abordar las restricciones territoriales de suministro y armonizar el etiquetado de los productos;</w:t>
      </w:r>
    </w:p>
    <w:p w14:paraId="3DC83A6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acoge favorablemente la propuesta anunciada por la Comisión de un «28.º régimen» opcional para las empresas, pero subraya la necesidad de salvaguardias eficaces contra posibles abusos;</w:t>
      </w:r>
    </w:p>
    <w:p w14:paraId="52044ED1"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reconoce el papel clave de la normalización como motor de la integración y la innovación, pero destaca los principios de transparencia, inclusividad y participación estructurada;</w:t>
      </w:r>
    </w:p>
    <w:p w14:paraId="4D4A10FA" w14:textId="77777777" w:rsidR="00465162" w:rsidRPr="00465162" w:rsidRDefault="00465162" w:rsidP="00054C58">
      <w:pPr>
        <w:widowControl w:val="0"/>
        <w:numPr>
          <w:ilvl w:val="0"/>
          <w:numId w:val="24"/>
        </w:numPr>
        <w:overflowPunct w:val="0"/>
        <w:autoSpaceDE w:val="0"/>
        <w:autoSpaceDN w:val="0"/>
        <w:adjustRightInd w:val="0"/>
        <w:ind w:left="284" w:hanging="284"/>
        <w:textAlignment w:val="baseline"/>
        <w:rPr>
          <w:bCs/>
          <w:iCs/>
        </w:rPr>
      </w:pPr>
      <w:r>
        <w:t>se muestra a favor de que se simplifique el reconocimiento de las cualificaciones profesionales, también para los nacionales de terceros países, si bien es preciso definir claramente las cualificaciones, poder verificarlas y probar su calidad;</w:t>
      </w:r>
    </w:p>
    <w:p w14:paraId="44855F90"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apoya el refuerzo de la Autoridad Laboral Europea (ALE);</w:t>
      </w:r>
    </w:p>
    <w:p w14:paraId="36D1C1B4" w14:textId="77777777" w:rsidR="00465162" w:rsidRPr="00465162" w:rsidRDefault="00465162" w:rsidP="00054C58">
      <w:pPr>
        <w:widowControl w:val="0"/>
        <w:numPr>
          <w:ilvl w:val="0"/>
          <w:numId w:val="25"/>
        </w:numPr>
        <w:overflowPunct w:val="0"/>
        <w:autoSpaceDE w:val="0"/>
        <w:autoSpaceDN w:val="0"/>
        <w:adjustRightInd w:val="0"/>
        <w:ind w:left="360"/>
        <w:textAlignment w:val="baseline"/>
        <w:rPr>
          <w:bCs/>
          <w:iCs/>
        </w:rPr>
      </w:pPr>
      <w:r>
        <w:t xml:space="preserve">pide que se amplíe el alcance del mercado único a sectores estratégicos, como el de la energía o las finanzas; subraya la necesidad de una gobernanza inclusiva, y pide la revisión de la legislación en materia de contratación pública. Por otro lado, es necesario hallar vías adecuadas para tener en cuenta los objetivos sociales, medioambientales y de innovación. </w:t>
      </w:r>
    </w:p>
    <w:p w14:paraId="471E1854" w14:textId="77777777" w:rsidR="00465162" w:rsidRPr="00465162" w:rsidRDefault="00465162" w:rsidP="00465162">
      <w:pPr>
        <w:widowControl w:val="0"/>
        <w:overflowPunct w:val="0"/>
        <w:autoSpaceDE w:val="0"/>
        <w:autoSpaceDN w:val="0"/>
        <w:adjustRightInd w:val="0"/>
        <w:ind w:left="709"/>
        <w:textAlignment w:val="baseline"/>
        <w:rPr>
          <w:szCs w:val="20"/>
          <w:lang w:val="en-GB"/>
        </w:rPr>
      </w:pPr>
    </w:p>
    <w:tbl>
      <w:tblPr>
        <w:tblStyle w:val="TableGrid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465162" w:rsidRPr="00465162" w14:paraId="7E653814" w14:textId="77777777" w:rsidTr="00934A52">
        <w:tc>
          <w:tcPr>
            <w:tcW w:w="2235" w:type="dxa"/>
          </w:tcPr>
          <w:p w14:paraId="6898358A" w14:textId="77777777" w:rsidR="00465162" w:rsidRPr="00465162" w:rsidRDefault="00465162" w:rsidP="00465162">
            <w:pPr>
              <w:overflowPunct w:val="0"/>
              <w:autoSpaceDE w:val="0"/>
              <w:autoSpaceDN w:val="0"/>
              <w:adjustRightInd w:val="0"/>
              <w:spacing w:line="240" w:lineRule="auto"/>
              <w:textAlignment w:val="baseline"/>
              <w:rPr>
                <w:i/>
              </w:rPr>
            </w:pPr>
            <w:r>
              <w:rPr>
                <w:b/>
                <w:i/>
              </w:rPr>
              <w:t>Contacto:</w:t>
            </w:r>
          </w:p>
        </w:tc>
        <w:tc>
          <w:tcPr>
            <w:tcW w:w="4853" w:type="dxa"/>
          </w:tcPr>
          <w:p w14:paraId="324AE5F8" w14:textId="77777777" w:rsidR="00465162" w:rsidRPr="00465162" w:rsidRDefault="00465162" w:rsidP="00465162">
            <w:pPr>
              <w:overflowPunct w:val="0"/>
              <w:autoSpaceDE w:val="0"/>
              <w:autoSpaceDN w:val="0"/>
              <w:adjustRightInd w:val="0"/>
              <w:spacing w:line="240" w:lineRule="auto"/>
              <w:textAlignment w:val="baseline"/>
              <w:rPr>
                <w:i/>
              </w:rPr>
            </w:pPr>
            <w:r>
              <w:rPr>
                <w:i/>
              </w:rPr>
              <w:t>Annalisa Tessarolo</w:t>
            </w:r>
          </w:p>
        </w:tc>
      </w:tr>
      <w:tr w:rsidR="00465162" w:rsidRPr="00465162" w14:paraId="3F0424C9" w14:textId="77777777" w:rsidTr="00934A52">
        <w:tc>
          <w:tcPr>
            <w:tcW w:w="2235" w:type="dxa"/>
          </w:tcPr>
          <w:p w14:paraId="0C254111" w14:textId="77777777" w:rsidR="00465162" w:rsidRPr="00465162" w:rsidRDefault="00465162" w:rsidP="00465162">
            <w:pPr>
              <w:overflowPunct w:val="0"/>
              <w:autoSpaceDE w:val="0"/>
              <w:autoSpaceDN w:val="0"/>
              <w:adjustRightInd w:val="0"/>
              <w:spacing w:line="240" w:lineRule="auto"/>
              <w:textAlignment w:val="baseline"/>
              <w:rPr>
                <w:i/>
              </w:rPr>
            </w:pPr>
            <w:r>
              <w:rPr>
                <w:i/>
              </w:rPr>
              <w:t>Teléfono:</w:t>
            </w:r>
          </w:p>
        </w:tc>
        <w:tc>
          <w:tcPr>
            <w:tcW w:w="4853" w:type="dxa"/>
          </w:tcPr>
          <w:p w14:paraId="0C3DEEF0" w14:textId="77777777" w:rsidR="00465162" w:rsidRPr="00465162" w:rsidRDefault="00465162" w:rsidP="00465162">
            <w:pPr>
              <w:overflowPunct w:val="0"/>
              <w:autoSpaceDE w:val="0"/>
              <w:autoSpaceDN w:val="0"/>
              <w:adjustRightInd w:val="0"/>
              <w:spacing w:line="240" w:lineRule="auto"/>
              <w:textAlignment w:val="baseline"/>
              <w:rPr>
                <w:i/>
              </w:rPr>
            </w:pPr>
            <w:r>
              <w:rPr>
                <w:i/>
              </w:rPr>
              <w:t>+ 32 25469732</w:t>
            </w:r>
          </w:p>
        </w:tc>
      </w:tr>
      <w:tr w:rsidR="00465162" w:rsidRPr="00465162" w14:paraId="6449EA12" w14:textId="77777777" w:rsidTr="00934A52">
        <w:tc>
          <w:tcPr>
            <w:tcW w:w="2235" w:type="dxa"/>
          </w:tcPr>
          <w:p w14:paraId="1D040452" w14:textId="0B90490C" w:rsidR="00465162" w:rsidRPr="00465162" w:rsidRDefault="00034990" w:rsidP="00465162">
            <w:pPr>
              <w:overflowPunct w:val="0"/>
              <w:autoSpaceDE w:val="0"/>
              <w:autoSpaceDN w:val="0"/>
              <w:adjustRightInd w:val="0"/>
              <w:spacing w:line="240" w:lineRule="auto"/>
              <w:textAlignment w:val="baseline"/>
              <w:rPr>
                <w:i/>
              </w:rPr>
            </w:pPr>
            <w:r>
              <w:rPr>
                <w:i/>
              </w:rPr>
              <w:t>Correo electrónico:</w:t>
            </w:r>
          </w:p>
        </w:tc>
        <w:tc>
          <w:tcPr>
            <w:tcW w:w="4853" w:type="dxa"/>
          </w:tcPr>
          <w:p w14:paraId="3E267456" w14:textId="77777777" w:rsidR="00465162" w:rsidRPr="00465162" w:rsidRDefault="00236A60" w:rsidP="00465162">
            <w:pPr>
              <w:overflowPunct w:val="0"/>
              <w:autoSpaceDE w:val="0"/>
              <w:autoSpaceDN w:val="0"/>
              <w:adjustRightInd w:val="0"/>
              <w:spacing w:line="240" w:lineRule="auto"/>
              <w:textAlignment w:val="baseline"/>
              <w:rPr>
                <w:i/>
              </w:rPr>
            </w:pPr>
            <w:hyperlink r:id="rId35" w:history="1">
              <w:r w:rsidR="00E167DC">
                <w:rPr>
                  <w:i/>
                  <w:color w:val="0000FF"/>
                  <w:u w:val="single"/>
                </w:rPr>
                <w:t>Annalisa.Tessarolo@eesc.europa.eu</w:t>
              </w:r>
            </w:hyperlink>
          </w:p>
        </w:tc>
      </w:tr>
    </w:tbl>
    <w:p w14:paraId="4982DE1C" w14:textId="2C7D6502" w:rsidR="00465162" w:rsidRDefault="00465162" w:rsidP="004D7AC0">
      <w:pPr>
        <w:pStyle w:val="ListParagraph"/>
        <w:ind w:left="0"/>
      </w:pPr>
    </w:p>
    <w:p w14:paraId="7BF91C3B" w14:textId="274B597C" w:rsidR="008A6059" w:rsidRPr="008A6059" w:rsidRDefault="00465162" w:rsidP="008A6059">
      <w:pPr>
        <w:widowControl w:val="0"/>
        <w:numPr>
          <w:ilvl w:val="0"/>
          <w:numId w:val="4"/>
        </w:numPr>
        <w:overflowPunct w:val="0"/>
        <w:autoSpaceDE w:val="0"/>
        <w:autoSpaceDN w:val="0"/>
        <w:adjustRightInd w:val="0"/>
        <w:ind w:hanging="567"/>
        <w:textAlignment w:val="baseline"/>
        <w:rPr>
          <w:sz w:val="20"/>
          <w:szCs w:val="20"/>
        </w:rPr>
      </w:pPr>
      <w:r>
        <w:br w:type="page"/>
      </w:r>
      <w:hyperlink r:id="rId36" w:tgtFrame="_blank" w:history="1">
        <w:r>
          <w:rPr>
            <w:b/>
            <w:i/>
            <w:color w:val="0000FF"/>
            <w:sz w:val="28"/>
            <w:u w:val="single"/>
          </w:rPr>
          <w:t>Informe sobre la política de competencia 2024</w:t>
        </w:r>
      </w:hyperlink>
    </w:p>
    <w:p w14:paraId="1EBCF21B" w14:textId="77777777" w:rsidR="008A6059" w:rsidRPr="008A6059" w:rsidRDefault="008A6059" w:rsidP="008A6059">
      <w:pPr>
        <w:tabs>
          <w:tab w:val="center" w:pos="284"/>
        </w:tabs>
        <w:overflowPunct w:val="0"/>
        <w:autoSpaceDE w:val="0"/>
        <w:autoSpaceDN w:val="0"/>
        <w:adjustRightInd w:val="0"/>
        <w:ind w:left="266" w:hanging="266"/>
        <w:textAlignment w:val="baseline"/>
        <w:rPr>
          <w:b/>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5387"/>
      </w:tblGrid>
      <w:tr w:rsidR="008A6059" w:rsidRPr="008A6059" w14:paraId="2893C03B" w14:textId="77777777" w:rsidTr="0036489A">
        <w:tc>
          <w:tcPr>
            <w:tcW w:w="1701" w:type="dxa"/>
          </w:tcPr>
          <w:p w14:paraId="51A0B439"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Ponente</w:t>
            </w:r>
          </w:p>
        </w:tc>
        <w:tc>
          <w:tcPr>
            <w:tcW w:w="5387" w:type="dxa"/>
          </w:tcPr>
          <w:p w14:paraId="1D2ED450" w14:textId="10B4B8A6" w:rsidR="008A6059" w:rsidRPr="008A6059" w:rsidRDefault="008A6059" w:rsidP="008A6059">
            <w:pPr>
              <w:tabs>
                <w:tab w:val="center" w:pos="284"/>
              </w:tabs>
              <w:overflowPunct w:val="0"/>
              <w:autoSpaceDE w:val="0"/>
              <w:autoSpaceDN w:val="0"/>
              <w:adjustRightInd w:val="0"/>
              <w:ind w:left="266" w:hanging="266"/>
              <w:textAlignment w:val="baseline"/>
            </w:pPr>
            <w:r>
              <w:t>Andrea MONE (Grupo de Trabajadores – IT)</w:t>
            </w:r>
          </w:p>
        </w:tc>
      </w:tr>
      <w:tr w:rsidR="008A6059" w:rsidRPr="008A6059" w14:paraId="55F5B62B" w14:textId="77777777" w:rsidTr="0036489A">
        <w:tc>
          <w:tcPr>
            <w:tcW w:w="7088" w:type="dxa"/>
            <w:gridSpan w:val="2"/>
          </w:tcPr>
          <w:p w14:paraId="47424FA1" w14:textId="77777777" w:rsidR="008A6059" w:rsidRPr="008A6059" w:rsidRDefault="008A6059" w:rsidP="008A6059">
            <w:pPr>
              <w:tabs>
                <w:tab w:val="center" w:pos="284"/>
              </w:tabs>
              <w:overflowPunct w:val="0"/>
              <w:autoSpaceDE w:val="0"/>
              <w:autoSpaceDN w:val="0"/>
              <w:adjustRightInd w:val="0"/>
              <w:spacing w:line="160" w:lineRule="exact"/>
              <w:ind w:left="266" w:hanging="266"/>
              <w:textAlignment w:val="baseline"/>
            </w:pPr>
          </w:p>
        </w:tc>
      </w:tr>
      <w:tr w:rsidR="008A6059" w:rsidRPr="008A6059" w14:paraId="6946E1F7" w14:textId="77777777" w:rsidTr="0036489A">
        <w:tc>
          <w:tcPr>
            <w:tcW w:w="1701" w:type="dxa"/>
            <w:vMerge w:val="restart"/>
          </w:tcPr>
          <w:p w14:paraId="4E5A71ED"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r>
              <w:rPr>
                <w:b/>
              </w:rPr>
              <w:t>Referencias</w:t>
            </w:r>
          </w:p>
        </w:tc>
        <w:tc>
          <w:tcPr>
            <w:tcW w:w="5387" w:type="dxa"/>
          </w:tcPr>
          <w:p w14:paraId="7ED176EC" w14:textId="77777777" w:rsidR="008A6059" w:rsidRPr="008A6059" w:rsidRDefault="008A6059" w:rsidP="008A6059">
            <w:pPr>
              <w:tabs>
                <w:tab w:val="center" w:pos="284"/>
              </w:tabs>
              <w:overflowPunct w:val="0"/>
              <w:autoSpaceDE w:val="0"/>
              <w:autoSpaceDN w:val="0"/>
              <w:adjustRightInd w:val="0"/>
              <w:ind w:left="266" w:hanging="266"/>
              <w:textAlignment w:val="baseline"/>
            </w:pPr>
            <w:r>
              <w:t>COM(2025) 181 final</w:t>
            </w:r>
          </w:p>
          <w:p w14:paraId="44CC362B" w14:textId="77777777" w:rsidR="008A6059" w:rsidRPr="008A6059" w:rsidRDefault="008A6059" w:rsidP="008A6059">
            <w:pPr>
              <w:tabs>
                <w:tab w:val="center" w:pos="284"/>
              </w:tabs>
              <w:overflowPunct w:val="0"/>
              <w:autoSpaceDE w:val="0"/>
              <w:autoSpaceDN w:val="0"/>
              <w:adjustRightInd w:val="0"/>
              <w:ind w:left="266" w:hanging="266"/>
              <w:textAlignment w:val="baseline"/>
            </w:pPr>
            <w:r>
              <w:t>EESC-2025-02299-00-00-AC</w:t>
            </w:r>
          </w:p>
        </w:tc>
      </w:tr>
      <w:tr w:rsidR="008A6059" w:rsidRPr="008A6059" w14:paraId="7566A6A0" w14:textId="77777777" w:rsidTr="0036489A">
        <w:tc>
          <w:tcPr>
            <w:tcW w:w="1701" w:type="dxa"/>
            <w:vMerge/>
          </w:tcPr>
          <w:p w14:paraId="5F57B278" w14:textId="77777777" w:rsidR="008A6059" w:rsidRPr="008A6059" w:rsidRDefault="008A6059" w:rsidP="008A6059">
            <w:pPr>
              <w:tabs>
                <w:tab w:val="center" w:pos="284"/>
              </w:tabs>
              <w:overflowPunct w:val="0"/>
              <w:autoSpaceDE w:val="0"/>
              <w:autoSpaceDN w:val="0"/>
              <w:adjustRightInd w:val="0"/>
              <w:ind w:left="266" w:hanging="266"/>
              <w:textAlignment w:val="baseline"/>
              <w:rPr>
                <w:b/>
              </w:rPr>
            </w:pPr>
          </w:p>
        </w:tc>
        <w:tc>
          <w:tcPr>
            <w:tcW w:w="5387" w:type="dxa"/>
          </w:tcPr>
          <w:p w14:paraId="42669B75" w14:textId="77777777" w:rsidR="008A6059" w:rsidRPr="008A6059" w:rsidRDefault="008A6059" w:rsidP="008A6059">
            <w:pPr>
              <w:tabs>
                <w:tab w:val="center" w:pos="284"/>
              </w:tabs>
              <w:overflowPunct w:val="0"/>
              <w:autoSpaceDE w:val="0"/>
              <w:autoSpaceDN w:val="0"/>
              <w:adjustRightInd w:val="0"/>
              <w:ind w:left="266" w:hanging="266"/>
              <w:textAlignment w:val="baseline"/>
            </w:pPr>
          </w:p>
        </w:tc>
      </w:tr>
    </w:tbl>
    <w:p w14:paraId="7E134121" w14:textId="77777777" w:rsidR="008A6059" w:rsidRPr="008A6059" w:rsidRDefault="008A6059" w:rsidP="008A6059">
      <w:pPr>
        <w:tabs>
          <w:tab w:val="center" w:pos="284"/>
        </w:tabs>
        <w:overflowPunct w:val="0"/>
        <w:autoSpaceDE w:val="0"/>
        <w:autoSpaceDN w:val="0"/>
        <w:adjustRightInd w:val="0"/>
        <w:ind w:left="266" w:hanging="266"/>
        <w:textAlignment w:val="baseline"/>
        <w:rPr>
          <w:lang w:val="en-GB"/>
        </w:rPr>
      </w:pPr>
    </w:p>
    <w:p w14:paraId="43B69CAE"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rPr>
      </w:pPr>
      <w:r>
        <w:rPr>
          <w:b/>
        </w:rPr>
        <w:t>Puntos clave</w:t>
      </w:r>
    </w:p>
    <w:p w14:paraId="4FA58545" w14:textId="77777777" w:rsidR="008A6059" w:rsidRPr="008A6059" w:rsidRDefault="008A6059" w:rsidP="008A6059">
      <w:pPr>
        <w:keepNext/>
        <w:keepLines/>
        <w:tabs>
          <w:tab w:val="center" w:pos="284"/>
        </w:tabs>
        <w:overflowPunct w:val="0"/>
        <w:autoSpaceDE w:val="0"/>
        <w:autoSpaceDN w:val="0"/>
        <w:adjustRightInd w:val="0"/>
        <w:ind w:left="266" w:hanging="266"/>
        <w:textAlignment w:val="baseline"/>
        <w:rPr>
          <w:b/>
          <w:lang w:val="en-GB"/>
        </w:rPr>
      </w:pPr>
    </w:p>
    <w:p w14:paraId="1BF67B8A" w14:textId="77777777" w:rsidR="008A6059" w:rsidRPr="008A6059" w:rsidRDefault="008A6059" w:rsidP="008A6059">
      <w:pPr>
        <w:overflowPunct w:val="0"/>
        <w:autoSpaceDE w:val="0"/>
        <w:autoSpaceDN w:val="0"/>
        <w:adjustRightInd w:val="0"/>
        <w:textAlignment w:val="baseline"/>
        <w:rPr>
          <w:bCs/>
          <w:iCs/>
        </w:rPr>
      </w:pPr>
      <w:r>
        <w:t>El CESE:</w:t>
      </w:r>
    </w:p>
    <w:p w14:paraId="59EE1DF2" w14:textId="77777777" w:rsidR="008A6059" w:rsidRPr="008A6059" w:rsidRDefault="008A6059" w:rsidP="008A6059">
      <w:pPr>
        <w:overflowPunct w:val="0"/>
        <w:autoSpaceDE w:val="0"/>
        <w:autoSpaceDN w:val="0"/>
        <w:adjustRightInd w:val="0"/>
        <w:textAlignment w:val="baseline"/>
        <w:rPr>
          <w:bCs/>
          <w:iCs/>
          <w:lang w:val="en-GB"/>
        </w:rPr>
      </w:pPr>
    </w:p>
    <w:p w14:paraId="1EFFAB53"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acoge con satisfacción el </w:t>
      </w:r>
      <w:r>
        <w:rPr>
          <w:b/>
        </w:rPr>
        <w:t>enfoque relativo al cumplimiento adoptado por la Comisión durante 2024</w:t>
      </w:r>
      <w:r>
        <w:t>, que integra la política de competencia con los objetivos de crear una UE más digital, ecológica y resiliente, manteniendo al mismo tiempo un mercado interior que funcione correctamente y sea competitivo;</w:t>
      </w:r>
    </w:p>
    <w:p w14:paraId="607132BD"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valora positivamente el intento de la Comisión por mejorar la </w:t>
      </w:r>
      <w:r>
        <w:rPr>
          <w:b/>
        </w:rPr>
        <w:t>eficacia y previsibilidad de las normas de competencia</w:t>
      </w:r>
      <w:r>
        <w:t>, en particular la elaboración de nuevas directrices sobre la explotación abusiva de posición dominante mediante prácticas excluyentes, la actualización de la Comunicación relativa a la definición del mercado de referencia y la mejora de las herramientas de evaluación del impacto en el bienestar de los consumidores;</w:t>
      </w:r>
    </w:p>
    <w:p w14:paraId="30166AC6"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destaca la importancia de hacer frente a los retos en materia de competencia en los </w:t>
      </w:r>
      <w:r>
        <w:rPr>
          <w:b/>
        </w:rPr>
        <w:t>mercados digitales</w:t>
      </w:r>
      <w:r>
        <w:t xml:space="preserve"> y anima a la Comisión a que siga reforzando la aplicación tanto de las normas de competencia tradicionales como del Reglamento de Mercados Digitales, habida cuenta de la posición dominante estructural y los obstáculos a la entrada en los modelos de negocio basados en plataformas;</w:t>
      </w:r>
    </w:p>
    <w:p w14:paraId="2C7DEA84"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pide un </w:t>
      </w:r>
      <w:r>
        <w:rPr>
          <w:b/>
        </w:rPr>
        <w:t>mayor control de las concentraciones</w:t>
      </w:r>
      <w:r>
        <w:t xml:space="preserve"> y un marco que permita examinar las adquisiciones por debajo del umbral que puedan perjudicar a la competencia (por ejemplo, las denominadas «adquisiciones asesinas»), e insta a que </w:t>
      </w:r>
      <w:r>
        <w:rPr>
          <w:b/>
        </w:rPr>
        <w:t>se tengan más en cuenta las repercusiones en el mercado laboral y la dinámica de innovación</w:t>
      </w:r>
      <w:r>
        <w:t xml:space="preserve"> en las evaluaciones de las concentraciones;</w:t>
      </w:r>
    </w:p>
    <w:p w14:paraId="47C13D78" w14:textId="77777777" w:rsidR="008A6059" w:rsidRPr="008A6059" w:rsidRDefault="008A6059" w:rsidP="00054C58">
      <w:pPr>
        <w:numPr>
          <w:ilvl w:val="0"/>
          <w:numId w:val="26"/>
        </w:numPr>
        <w:tabs>
          <w:tab w:val="clear" w:pos="720"/>
          <w:tab w:val="num" w:pos="284"/>
        </w:tabs>
        <w:overflowPunct w:val="0"/>
        <w:autoSpaceDE w:val="0"/>
        <w:autoSpaceDN w:val="0"/>
        <w:adjustRightInd w:val="0"/>
        <w:ind w:left="284" w:hanging="284"/>
        <w:textAlignment w:val="baseline"/>
      </w:pPr>
      <w:r>
        <w:t xml:space="preserve">insiste en la necesidad de establecer </w:t>
      </w:r>
      <w:r>
        <w:rPr>
          <w:b/>
        </w:rPr>
        <w:t>normas sobre ayudas estatales</w:t>
      </w:r>
      <w:r>
        <w:t xml:space="preserve">, en particular el nuevo régimen del marco de ayudas estatales del Pacto por una Industria Limpia y los procesos de los PIICE, para </w:t>
      </w:r>
      <w:r>
        <w:rPr>
          <w:b/>
        </w:rPr>
        <w:t>promover la participación transfronteriza, reducir la fragmentación y apoyar las inversiones estratégicas</w:t>
      </w:r>
      <w:r>
        <w:t xml:space="preserve"> esenciales para el Pacto por una Industria Limpia, garantizando al mismo tiempo la cohesión y unas condiciones de competencia equitativas en todos los Estados miembros.</w:t>
      </w:r>
    </w:p>
    <w:p w14:paraId="5B6011EA" w14:textId="77777777" w:rsidR="008A6059" w:rsidRPr="008A6059" w:rsidRDefault="008A6059" w:rsidP="008A6059">
      <w:pPr>
        <w:widowControl w:val="0"/>
        <w:overflowPunct w:val="0"/>
        <w:autoSpaceDE w:val="0"/>
        <w:autoSpaceDN w:val="0"/>
        <w:adjustRightInd w:val="0"/>
        <w:ind w:left="709"/>
        <w:textAlignment w:val="baseline"/>
        <w:rPr>
          <w:szCs w:val="20"/>
          <w:lang w:val="en-GB"/>
        </w:rPr>
      </w:pPr>
    </w:p>
    <w:tbl>
      <w:tblPr>
        <w:tblStyle w:val="TableGrid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4853"/>
      </w:tblGrid>
      <w:tr w:rsidR="008A6059" w:rsidRPr="008A6059" w14:paraId="60D2607C" w14:textId="77777777" w:rsidTr="00934A52">
        <w:tc>
          <w:tcPr>
            <w:tcW w:w="2235" w:type="dxa"/>
          </w:tcPr>
          <w:p w14:paraId="0F9C1860" w14:textId="77777777" w:rsidR="008A6059" w:rsidRPr="008A6059" w:rsidRDefault="008A6059" w:rsidP="008A6059">
            <w:pPr>
              <w:overflowPunct w:val="0"/>
              <w:autoSpaceDE w:val="0"/>
              <w:autoSpaceDN w:val="0"/>
              <w:adjustRightInd w:val="0"/>
              <w:spacing w:line="240" w:lineRule="auto"/>
              <w:textAlignment w:val="baseline"/>
              <w:rPr>
                <w:i/>
              </w:rPr>
            </w:pPr>
            <w:r>
              <w:rPr>
                <w:b/>
                <w:i/>
              </w:rPr>
              <w:t>Contacto:</w:t>
            </w:r>
          </w:p>
        </w:tc>
        <w:tc>
          <w:tcPr>
            <w:tcW w:w="4853" w:type="dxa"/>
          </w:tcPr>
          <w:p w14:paraId="725FD099" w14:textId="77777777" w:rsidR="008A6059" w:rsidRPr="008A6059" w:rsidRDefault="008A6059" w:rsidP="008A6059">
            <w:pPr>
              <w:overflowPunct w:val="0"/>
              <w:autoSpaceDE w:val="0"/>
              <w:autoSpaceDN w:val="0"/>
              <w:adjustRightInd w:val="0"/>
              <w:spacing w:line="240" w:lineRule="auto"/>
              <w:textAlignment w:val="baseline"/>
              <w:rPr>
                <w:i/>
              </w:rPr>
            </w:pPr>
            <w:r>
              <w:rPr>
                <w:i/>
              </w:rPr>
              <w:t>Silvia Staffa</w:t>
            </w:r>
          </w:p>
        </w:tc>
      </w:tr>
      <w:tr w:rsidR="008A6059" w:rsidRPr="008A6059" w14:paraId="3BAB393F" w14:textId="77777777" w:rsidTr="00934A52">
        <w:tc>
          <w:tcPr>
            <w:tcW w:w="2235" w:type="dxa"/>
          </w:tcPr>
          <w:p w14:paraId="01CC6C43" w14:textId="77777777" w:rsidR="008A6059" w:rsidRPr="008A6059" w:rsidRDefault="008A6059" w:rsidP="008A6059">
            <w:pPr>
              <w:overflowPunct w:val="0"/>
              <w:autoSpaceDE w:val="0"/>
              <w:autoSpaceDN w:val="0"/>
              <w:adjustRightInd w:val="0"/>
              <w:spacing w:line="240" w:lineRule="auto"/>
              <w:textAlignment w:val="baseline"/>
              <w:rPr>
                <w:i/>
              </w:rPr>
            </w:pPr>
            <w:r>
              <w:rPr>
                <w:i/>
              </w:rPr>
              <w:t>Teléfono:</w:t>
            </w:r>
          </w:p>
        </w:tc>
        <w:tc>
          <w:tcPr>
            <w:tcW w:w="4853" w:type="dxa"/>
          </w:tcPr>
          <w:p w14:paraId="1A61F972" w14:textId="77777777" w:rsidR="008A6059" w:rsidRPr="008A6059" w:rsidRDefault="008A6059" w:rsidP="008A6059">
            <w:pPr>
              <w:overflowPunct w:val="0"/>
              <w:autoSpaceDE w:val="0"/>
              <w:autoSpaceDN w:val="0"/>
              <w:adjustRightInd w:val="0"/>
              <w:spacing w:line="240" w:lineRule="auto"/>
              <w:textAlignment w:val="baseline"/>
              <w:rPr>
                <w:i/>
              </w:rPr>
            </w:pPr>
            <w:r>
              <w:rPr>
                <w:i/>
              </w:rPr>
              <w:t>+ 32 25468378</w:t>
            </w:r>
          </w:p>
        </w:tc>
      </w:tr>
      <w:tr w:rsidR="008A6059" w:rsidRPr="008A6059" w14:paraId="6DC120EA" w14:textId="77777777" w:rsidTr="00934A52">
        <w:tc>
          <w:tcPr>
            <w:tcW w:w="2235" w:type="dxa"/>
          </w:tcPr>
          <w:p w14:paraId="32C00486" w14:textId="001C808A" w:rsidR="008A6059" w:rsidRPr="008A6059" w:rsidRDefault="006E6F14" w:rsidP="008A6059">
            <w:pPr>
              <w:overflowPunct w:val="0"/>
              <w:autoSpaceDE w:val="0"/>
              <w:autoSpaceDN w:val="0"/>
              <w:adjustRightInd w:val="0"/>
              <w:spacing w:line="240" w:lineRule="auto"/>
              <w:textAlignment w:val="baseline"/>
              <w:rPr>
                <w:i/>
              </w:rPr>
            </w:pPr>
            <w:r>
              <w:rPr>
                <w:i/>
              </w:rPr>
              <w:t>Correo electrónico:</w:t>
            </w:r>
          </w:p>
        </w:tc>
        <w:tc>
          <w:tcPr>
            <w:tcW w:w="4853" w:type="dxa"/>
          </w:tcPr>
          <w:p w14:paraId="0B7A4BF8" w14:textId="77777777" w:rsidR="008A6059" w:rsidRPr="008A6059" w:rsidRDefault="00236A60" w:rsidP="008A6059">
            <w:pPr>
              <w:overflowPunct w:val="0"/>
              <w:autoSpaceDE w:val="0"/>
              <w:autoSpaceDN w:val="0"/>
              <w:adjustRightInd w:val="0"/>
              <w:spacing w:line="240" w:lineRule="auto"/>
              <w:textAlignment w:val="baseline"/>
              <w:rPr>
                <w:i/>
              </w:rPr>
            </w:pPr>
            <w:hyperlink r:id="rId37" w:history="1">
              <w:r w:rsidR="00E167DC">
                <w:rPr>
                  <w:i/>
                  <w:color w:val="0000FF"/>
                  <w:u w:val="single"/>
                </w:rPr>
                <w:t>Silvia.Staffa@eesc.europa.eu</w:t>
              </w:r>
            </w:hyperlink>
          </w:p>
        </w:tc>
      </w:tr>
    </w:tbl>
    <w:p w14:paraId="4982DE1D" w14:textId="77777777" w:rsidR="004D7AC0" w:rsidRDefault="004D7AC0" w:rsidP="004D7AC0">
      <w:pPr>
        <w:pStyle w:val="ListParagraph"/>
        <w:ind w:left="0"/>
      </w:pPr>
    </w:p>
    <w:p w14:paraId="4E659D6D" w14:textId="0C2068A0" w:rsidR="00685A3A" w:rsidRPr="00685A3A" w:rsidRDefault="004D7AC0" w:rsidP="00685A3A">
      <w:pPr>
        <w:widowControl w:val="0"/>
        <w:numPr>
          <w:ilvl w:val="0"/>
          <w:numId w:val="4"/>
        </w:numPr>
        <w:overflowPunct w:val="0"/>
        <w:autoSpaceDE w:val="0"/>
        <w:autoSpaceDN w:val="0"/>
        <w:adjustRightInd w:val="0"/>
        <w:ind w:hanging="567"/>
        <w:textAlignment w:val="baseline"/>
        <w:rPr>
          <w:i/>
          <w:iCs/>
          <w:sz w:val="28"/>
          <w:szCs w:val="28"/>
        </w:rPr>
      </w:pPr>
      <w:r>
        <w:br w:type="page"/>
      </w:r>
      <w:hyperlink r:id="rId38" w:history="1">
        <w:r>
          <w:rPr>
            <w:b/>
            <w:i/>
            <w:color w:val="0000FF"/>
            <w:sz w:val="28"/>
            <w:u w:val="single"/>
          </w:rPr>
          <w:t>Fondo de Competitividad</w:t>
        </w:r>
      </w:hyperlink>
    </w:p>
    <w:p w14:paraId="2B552AA7"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0"/>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5D349B8F" w14:textId="77777777" w:rsidTr="0036489A">
        <w:trPr>
          <w:trHeight w:val="406"/>
        </w:trPr>
        <w:tc>
          <w:tcPr>
            <w:tcW w:w="1108" w:type="pct"/>
          </w:tcPr>
          <w:p w14:paraId="7D52188A"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Ponente</w:t>
            </w:r>
          </w:p>
        </w:tc>
        <w:tc>
          <w:tcPr>
            <w:tcW w:w="3892" w:type="pct"/>
          </w:tcPr>
          <w:p w14:paraId="51845819" w14:textId="525A6D0F" w:rsidR="00685A3A" w:rsidRPr="00685A3A" w:rsidRDefault="00685A3A" w:rsidP="00685A3A">
            <w:pPr>
              <w:tabs>
                <w:tab w:val="center" w:pos="0"/>
              </w:tabs>
              <w:overflowPunct w:val="0"/>
              <w:autoSpaceDE w:val="0"/>
              <w:autoSpaceDN w:val="0"/>
              <w:adjustRightInd w:val="0"/>
              <w:ind w:left="266" w:hanging="266"/>
              <w:textAlignment w:val="baseline"/>
            </w:pPr>
            <w:r>
              <w:t>Milena ANGELOVA (Grupo de Empresarios – BG)</w:t>
            </w:r>
          </w:p>
        </w:tc>
      </w:tr>
      <w:tr w:rsidR="00685A3A" w:rsidRPr="00685A3A" w14:paraId="3F4509C4" w14:textId="77777777" w:rsidTr="0036489A">
        <w:tc>
          <w:tcPr>
            <w:tcW w:w="1108" w:type="pct"/>
          </w:tcPr>
          <w:p w14:paraId="4640AD0B"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Referencias</w:t>
            </w:r>
          </w:p>
        </w:tc>
        <w:tc>
          <w:tcPr>
            <w:tcW w:w="3892" w:type="pct"/>
          </w:tcPr>
          <w:p w14:paraId="3A3B4EA5" w14:textId="6C386D40" w:rsidR="00685A3A" w:rsidRPr="00685A3A" w:rsidRDefault="00685A3A" w:rsidP="00685A3A">
            <w:pPr>
              <w:tabs>
                <w:tab w:val="center" w:pos="284"/>
              </w:tabs>
              <w:overflowPunct w:val="0"/>
              <w:autoSpaceDE w:val="0"/>
              <w:autoSpaceDN w:val="0"/>
              <w:adjustRightInd w:val="0"/>
              <w:ind w:left="266" w:hanging="266"/>
              <w:textAlignment w:val="baseline"/>
            </w:pPr>
            <w:r>
              <w:t>COM(2025) 555 final</w:t>
            </w:r>
          </w:p>
          <w:p w14:paraId="1044ED01"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EESC-2025-02576-00-00-AC</w:t>
            </w:r>
          </w:p>
        </w:tc>
      </w:tr>
    </w:tbl>
    <w:p w14:paraId="56948C34"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pt-PT"/>
        </w:rPr>
      </w:pPr>
    </w:p>
    <w:p w14:paraId="1BD3853A"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Puntos clave</w:t>
      </w:r>
    </w:p>
    <w:p w14:paraId="1CAACFD9"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5FF48023" w14:textId="77777777" w:rsidR="00685A3A" w:rsidRDefault="00685A3A" w:rsidP="00685A3A">
      <w:pPr>
        <w:overflowPunct w:val="0"/>
        <w:autoSpaceDE w:val="0"/>
        <w:autoSpaceDN w:val="0"/>
        <w:adjustRightInd w:val="0"/>
        <w:textAlignment w:val="baseline"/>
        <w:rPr>
          <w:bCs/>
          <w:iCs/>
        </w:rPr>
      </w:pPr>
      <w:r>
        <w:t>El CESE:</w:t>
      </w:r>
    </w:p>
    <w:p w14:paraId="2BFD330A" w14:textId="77777777" w:rsidR="0068013D" w:rsidRPr="00685A3A" w:rsidRDefault="0068013D" w:rsidP="00685A3A">
      <w:pPr>
        <w:overflowPunct w:val="0"/>
        <w:autoSpaceDE w:val="0"/>
        <w:autoSpaceDN w:val="0"/>
        <w:adjustRightInd w:val="0"/>
        <w:textAlignment w:val="baseline"/>
        <w:rPr>
          <w:bCs/>
          <w:iCs/>
          <w:lang w:val="en-GB"/>
        </w:rPr>
      </w:pPr>
    </w:p>
    <w:p w14:paraId="41E4A36B"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apoya la creación del Fondo Europeo de Competitividad (FEC) como piedra angular del próximo presupuesto de la Unión y motor de la innovación, la resiliencia y la seguridad, y subraya que </w:t>
      </w:r>
      <w:r>
        <w:rPr>
          <w:b/>
        </w:rPr>
        <w:t>la financiación debe seguir ateniéndose firmemente a la sostenibilidad y la economía social de mercado de la UE</w:t>
      </w:r>
      <w:r>
        <w:t>;</w:t>
      </w:r>
    </w:p>
    <w:p w14:paraId="7B5E1E81"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pide una selección de proyectos a escala de la Unión basada en méritos</w:t>
      </w:r>
      <w:r>
        <w:t xml:space="preserve"> que se apoye en criterios claros como la excelencia, la orientación futura y el potencial económico. Para </w:t>
      </w:r>
      <w:r>
        <w:rPr>
          <w:b/>
        </w:rPr>
        <w:t>evitar la intervención de las autoridades nacionales</w:t>
      </w:r>
      <w:r>
        <w:t>, insta a que se apliquen procedimientos transparentes, se garantice la igualdad de acceso para los solicitantes en todos los Estados miembros y se implique activamente a los interlocutores sociales y a la sociedad civil en la gobernanza;</w:t>
      </w:r>
    </w:p>
    <w:p w14:paraId="64C52483"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recomienda la introducción de una «consulta de mercado»</w:t>
      </w:r>
      <w:r>
        <w:t xml:space="preserve"> que exija a los proyectos que soliciten una financiación adicional sustanciosa de la UE, como los proyectos importantes de interés común europeo u otras inversiones a gran escala, movilizar en primer lugar una parte del capital privado. Este mecanismo de análisis de la situación del mercado contribuiría a validar la calidad de los proyectos, reducir las decisiones de financiación politizadas y reforzar el vínculo entre el apoyo público y la competitividad real;</w:t>
      </w:r>
    </w:p>
    <w:p w14:paraId="7A1693EC" w14:textId="77777777" w:rsidR="00685A3A" w:rsidRPr="00685A3A" w:rsidRDefault="00685A3A" w:rsidP="00054C58">
      <w:pPr>
        <w:numPr>
          <w:ilvl w:val="0"/>
          <w:numId w:val="27"/>
        </w:numPr>
        <w:overflowPunct w:val="0"/>
        <w:autoSpaceDE w:val="0"/>
        <w:autoSpaceDN w:val="0"/>
        <w:adjustRightInd w:val="0"/>
        <w:ind w:left="284" w:hanging="284"/>
        <w:textAlignment w:val="baseline"/>
      </w:pPr>
      <w:r>
        <w:rPr>
          <w:b/>
        </w:rPr>
        <w:t>subraya la necesidad de contar con herramientas sólidas de evaluación y prevención de riesgos</w:t>
      </w:r>
      <w:r>
        <w:t xml:space="preserve"> que garanticen que los recursos del FEC se destinen únicamente a proyectos que realmente mejoren la competitividad de Europa y eviten repetir errores del pasado en los programas de financiación de la Unión;</w:t>
      </w:r>
    </w:p>
    <w:p w14:paraId="4F35B8DF" w14:textId="77777777" w:rsidR="00685A3A" w:rsidRPr="00685A3A" w:rsidRDefault="00685A3A" w:rsidP="00054C58">
      <w:pPr>
        <w:numPr>
          <w:ilvl w:val="0"/>
          <w:numId w:val="27"/>
        </w:numPr>
        <w:overflowPunct w:val="0"/>
        <w:autoSpaceDE w:val="0"/>
        <w:autoSpaceDN w:val="0"/>
        <w:adjustRightInd w:val="0"/>
        <w:ind w:left="284" w:hanging="284"/>
        <w:textAlignment w:val="baseline"/>
      </w:pPr>
      <w:r>
        <w:t xml:space="preserve">destaca la importancia de </w:t>
      </w:r>
      <w:r>
        <w:rPr>
          <w:b/>
        </w:rPr>
        <w:t>apoyar a las pymes, los ecosistemas regionales y transfronterizos de innovación y la inversión en competencias y trabajo digno</w:t>
      </w:r>
      <w:r>
        <w:t xml:space="preserve"> y de simplificar los procedimientos y garantizar una gobernanza transparente, previsible e inclusiva.</w:t>
      </w:r>
    </w:p>
    <w:tbl>
      <w:tblPr>
        <w:tblStyle w:val="TableGrid1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5"/>
        <w:gridCol w:w="4374"/>
      </w:tblGrid>
      <w:tr w:rsidR="00685A3A" w:rsidRPr="00685A3A" w14:paraId="5EE7D4B5" w14:textId="77777777" w:rsidTr="0036489A">
        <w:tc>
          <w:tcPr>
            <w:tcW w:w="742" w:type="pct"/>
          </w:tcPr>
          <w:p w14:paraId="7E3E84A7" w14:textId="6B50AAD3" w:rsidR="00685A3A" w:rsidRPr="00685A3A" w:rsidRDefault="00685A3A" w:rsidP="00685A3A">
            <w:pPr>
              <w:overflowPunct w:val="0"/>
              <w:autoSpaceDE w:val="0"/>
              <w:autoSpaceDN w:val="0"/>
              <w:adjustRightInd w:val="0"/>
              <w:textAlignment w:val="baseline"/>
              <w:rPr>
                <w:i/>
              </w:rPr>
            </w:pPr>
          </w:p>
        </w:tc>
        <w:tc>
          <w:tcPr>
            <w:tcW w:w="4258" w:type="pct"/>
          </w:tcPr>
          <w:p w14:paraId="3F73F76D" w14:textId="15EE200F" w:rsidR="00685A3A" w:rsidRPr="00685A3A" w:rsidRDefault="00685A3A" w:rsidP="00685A3A">
            <w:pPr>
              <w:overflowPunct w:val="0"/>
              <w:autoSpaceDE w:val="0"/>
              <w:autoSpaceDN w:val="0"/>
              <w:adjustRightInd w:val="0"/>
              <w:textAlignment w:val="baseline"/>
              <w:rPr>
                <w:i/>
              </w:rPr>
            </w:pPr>
          </w:p>
        </w:tc>
      </w:tr>
      <w:tr w:rsidR="00685A3A" w:rsidRPr="00685A3A" w14:paraId="1DB97510" w14:textId="77777777" w:rsidTr="0036489A">
        <w:tc>
          <w:tcPr>
            <w:tcW w:w="742" w:type="pct"/>
          </w:tcPr>
          <w:tbl>
            <w:tblPr>
              <w:tblStyle w:val="TableGrid"/>
              <w:tblW w:w="46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572"/>
            </w:tblGrid>
            <w:tr w:rsidR="00E13363" w:rsidRPr="00A6689B" w14:paraId="014CFA79" w14:textId="77777777" w:rsidTr="00934A52">
              <w:tc>
                <w:tcPr>
                  <w:tcW w:w="2263" w:type="pct"/>
                </w:tcPr>
                <w:p w14:paraId="7EB958FC" w14:textId="77777777" w:rsidR="00E13363" w:rsidRPr="00A6689B" w:rsidRDefault="00E13363" w:rsidP="00E13363">
                  <w:pPr>
                    <w:rPr>
                      <w:i/>
                    </w:rPr>
                  </w:pPr>
                  <w:r>
                    <w:rPr>
                      <w:b/>
                      <w:i/>
                    </w:rPr>
                    <w:t>Contacto:</w:t>
                  </w:r>
                </w:p>
              </w:tc>
              <w:tc>
                <w:tcPr>
                  <w:tcW w:w="2737" w:type="pct"/>
                </w:tcPr>
                <w:p w14:paraId="2797B023" w14:textId="00679360" w:rsidR="00E13363" w:rsidRPr="00A6689B" w:rsidRDefault="00E13363" w:rsidP="00E13363">
                  <w:pPr>
                    <w:rPr>
                      <w:i/>
                    </w:rPr>
                  </w:pPr>
                  <w:r>
                    <w:rPr>
                      <w:i/>
                    </w:rPr>
                    <w:t>Silvia Staffa</w:t>
                  </w:r>
                </w:p>
              </w:tc>
            </w:tr>
            <w:tr w:rsidR="00E13363" w:rsidRPr="00A6689B" w14:paraId="545C7BC0" w14:textId="77777777" w:rsidTr="00934A52">
              <w:tc>
                <w:tcPr>
                  <w:tcW w:w="2263" w:type="pct"/>
                </w:tcPr>
                <w:p w14:paraId="01319993" w14:textId="77777777" w:rsidR="00E13363" w:rsidRPr="00A6689B" w:rsidRDefault="00E13363" w:rsidP="00E13363">
                  <w:pPr>
                    <w:rPr>
                      <w:i/>
                    </w:rPr>
                  </w:pPr>
                  <w:r>
                    <w:rPr>
                      <w:i/>
                    </w:rPr>
                    <w:t>Teléfono:</w:t>
                  </w:r>
                </w:p>
              </w:tc>
              <w:tc>
                <w:tcPr>
                  <w:tcW w:w="2737" w:type="pct"/>
                </w:tcPr>
                <w:p w14:paraId="66DD56EC" w14:textId="77777777" w:rsidR="00E13363" w:rsidRPr="00A6689B" w:rsidRDefault="00E13363" w:rsidP="00E13363">
                  <w:pPr>
                    <w:rPr>
                      <w:i/>
                    </w:rPr>
                  </w:pPr>
                  <w:r>
                    <w:rPr>
                      <w:i/>
                    </w:rPr>
                    <w:t>+32 254 68378</w:t>
                  </w:r>
                </w:p>
              </w:tc>
            </w:tr>
            <w:tr w:rsidR="00E13363" w:rsidRPr="00CB5569" w14:paraId="4CC970C9" w14:textId="77777777" w:rsidTr="00934A52">
              <w:tc>
                <w:tcPr>
                  <w:tcW w:w="2263" w:type="pct"/>
                </w:tcPr>
                <w:p w14:paraId="7B046870" w14:textId="77777777" w:rsidR="00E13363" w:rsidRPr="00A6689B" w:rsidRDefault="00E13363" w:rsidP="00E13363">
                  <w:pPr>
                    <w:rPr>
                      <w:i/>
                    </w:rPr>
                  </w:pPr>
                  <w:r>
                    <w:rPr>
                      <w:i/>
                    </w:rPr>
                    <w:t>Correo electrónico:</w:t>
                  </w:r>
                </w:p>
              </w:tc>
              <w:tc>
                <w:tcPr>
                  <w:tcW w:w="2737" w:type="pct"/>
                </w:tcPr>
                <w:p w14:paraId="73277BE8" w14:textId="77777777" w:rsidR="00E13363" w:rsidRPr="00CB5569" w:rsidRDefault="00236A60" w:rsidP="00E13363">
                  <w:pPr>
                    <w:rPr>
                      <w:i/>
                      <w:iCs/>
                      <w:sz w:val="20"/>
                    </w:rPr>
                  </w:pPr>
                  <w:hyperlink r:id="rId39" w:history="1">
                    <w:r w:rsidR="00E167DC">
                      <w:rPr>
                        <w:rStyle w:val="Hyperlink"/>
                        <w:i/>
                        <w:sz w:val="20"/>
                      </w:rPr>
                      <w:t>Silvia.Staffa@eesc.europa.eu</w:t>
                    </w:r>
                  </w:hyperlink>
                </w:p>
              </w:tc>
            </w:tr>
          </w:tbl>
          <w:p w14:paraId="7ED801DC" w14:textId="10B65685" w:rsidR="00685A3A" w:rsidRPr="00685A3A" w:rsidRDefault="00685A3A" w:rsidP="00685A3A">
            <w:pPr>
              <w:overflowPunct w:val="0"/>
              <w:autoSpaceDE w:val="0"/>
              <w:autoSpaceDN w:val="0"/>
              <w:adjustRightInd w:val="0"/>
              <w:textAlignment w:val="baseline"/>
              <w:rPr>
                <w:i/>
              </w:rPr>
            </w:pPr>
          </w:p>
        </w:tc>
        <w:tc>
          <w:tcPr>
            <w:tcW w:w="4258" w:type="pct"/>
          </w:tcPr>
          <w:p w14:paraId="3FCC5A85" w14:textId="77777777" w:rsidR="00685A3A" w:rsidRPr="00685A3A" w:rsidRDefault="00685A3A" w:rsidP="00685A3A">
            <w:pPr>
              <w:overflowPunct w:val="0"/>
              <w:autoSpaceDE w:val="0"/>
              <w:autoSpaceDN w:val="0"/>
              <w:adjustRightInd w:val="0"/>
              <w:textAlignment w:val="baseline"/>
              <w:rPr>
                <w:i/>
              </w:rPr>
            </w:pPr>
          </w:p>
        </w:tc>
      </w:tr>
    </w:tbl>
    <w:p w14:paraId="488199D1" w14:textId="4BC42091" w:rsidR="00685A3A" w:rsidRPr="00685A3A" w:rsidRDefault="00685A3A" w:rsidP="00685A3A">
      <w:pPr>
        <w:widowControl w:val="0"/>
        <w:numPr>
          <w:ilvl w:val="0"/>
          <w:numId w:val="4"/>
        </w:numPr>
        <w:overflowPunct w:val="0"/>
        <w:autoSpaceDE w:val="0"/>
        <w:autoSpaceDN w:val="0"/>
        <w:adjustRightInd w:val="0"/>
        <w:ind w:hanging="567"/>
        <w:textAlignment w:val="baseline"/>
        <w:rPr>
          <w:sz w:val="20"/>
          <w:szCs w:val="20"/>
        </w:rPr>
      </w:pPr>
      <w:r>
        <w:br w:type="page"/>
      </w:r>
      <w:hyperlink r:id="rId40" w:history="1">
        <w:r>
          <w:rPr>
            <w:b/>
            <w:i/>
            <w:color w:val="0000FF"/>
            <w:sz w:val="28"/>
            <w:u w:val="single"/>
          </w:rPr>
          <w:t>Revisión del marco jurídico europeo en materia de contratación pública</w:t>
        </w:r>
      </w:hyperlink>
    </w:p>
    <w:p w14:paraId="2EF6D0F3"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p>
    <w:tbl>
      <w:tblPr>
        <w:tblStyle w:val="TableGrid11"/>
        <w:tblW w:w="494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4"/>
        <w:gridCol w:w="7145"/>
      </w:tblGrid>
      <w:tr w:rsidR="00685A3A" w:rsidRPr="00685A3A" w14:paraId="6187CB39" w14:textId="77777777" w:rsidTr="0036489A">
        <w:trPr>
          <w:trHeight w:val="406"/>
        </w:trPr>
        <w:tc>
          <w:tcPr>
            <w:tcW w:w="1108" w:type="pct"/>
          </w:tcPr>
          <w:p w14:paraId="4DBAD4F1" w14:textId="77777777"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Ponente</w:t>
            </w:r>
          </w:p>
        </w:tc>
        <w:tc>
          <w:tcPr>
            <w:tcW w:w="3892" w:type="pct"/>
          </w:tcPr>
          <w:p w14:paraId="1387F327" w14:textId="3E223F4E" w:rsidR="00685A3A" w:rsidRPr="00685A3A" w:rsidRDefault="00685A3A" w:rsidP="00685A3A">
            <w:pPr>
              <w:tabs>
                <w:tab w:val="center" w:pos="0"/>
              </w:tabs>
              <w:overflowPunct w:val="0"/>
              <w:autoSpaceDE w:val="0"/>
              <w:autoSpaceDN w:val="0"/>
              <w:adjustRightInd w:val="0"/>
              <w:ind w:left="266" w:hanging="266"/>
              <w:textAlignment w:val="baseline"/>
            </w:pPr>
            <w:r>
              <w:t>Philip VON BROCKDORFF (Grupo de Trabajadores – MT)</w:t>
            </w:r>
          </w:p>
        </w:tc>
      </w:tr>
      <w:tr w:rsidR="00685A3A" w:rsidRPr="00685A3A" w14:paraId="74E460F2" w14:textId="77777777" w:rsidTr="0036489A">
        <w:tc>
          <w:tcPr>
            <w:tcW w:w="1108" w:type="pct"/>
          </w:tcPr>
          <w:p w14:paraId="318C426B" w14:textId="5B230E32" w:rsidR="00685A3A" w:rsidRPr="00685A3A" w:rsidRDefault="00685A3A" w:rsidP="00685A3A">
            <w:pPr>
              <w:tabs>
                <w:tab w:val="center" w:pos="284"/>
              </w:tabs>
              <w:overflowPunct w:val="0"/>
              <w:autoSpaceDE w:val="0"/>
              <w:autoSpaceDN w:val="0"/>
              <w:adjustRightInd w:val="0"/>
              <w:ind w:left="266" w:hanging="266"/>
              <w:textAlignment w:val="baseline"/>
              <w:rPr>
                <w:b/>
              </w:rPr>
            </w:pPr>
            <w:r>
              <w:rPr>
                <w:b/>
              </w:rPr>
              <w:t>Referencia</w:t>
            </w:r>
          </w:p>
        </w:tc>
        <w:tc>
          <w:tcPr>
            <w:tcW w:w="3892" w:type="pct"/>
          </w:tcPr>
          <w:p w14:paraId="6CDCCE3F" w14:textId="74C336A8" w:rsidR="00685A3A" w:rsidRPr="00685A3A" w:rsidRDefault="00685A3A" w:rsidP="00685A3A">
            <w:pPr>
              <w:tabs>
                <w:tab w:val="center" w:pos="284"/>
              </w:tabs>
              <w:overflowPunct w:val="0"/>
              <w:autoSpaceDE w:val="0"/>
              <w:autoSpaceDN w:val="0"/>
              <w:adjustRightInd w:val="0"/>
              <w:ind w:left="266" w:hanging="266"/>
              <w:textAlignment w:val="baseline"/>
            </w:pPr>
            <w:r>
              <w:t>Dictamen exploratorio solicitado por la Comisión Europea</w:t>
            </w:r>
          </w:p>
          <w:p w14:paraId="6DE13CBF" w14:textId="77777777" w:rsidR="00685A3A" w:rsidRPr="00685A3A" w:rsidRDefault="00685A3A" w:rsidP="00685A3A">
            <w:pPr>
              <w:tabs>
                <w:tab w:val="center" w:pos="284"/>
              </w:tabs>
              <w:overflowPunct w:val="0"/>
              <w:autoSpaceDE w:val="0"/>
              <w:autoSpaceDN w:val="0"/>
              <w:adjustRightInd w:val="0"/>
              <w:ind w:left="266" w:hanging="266"/>
              <w:textAlignment w:val="baseline"/>
            </w:pPr>
            <w:r>
              <w:t>EESC-2025-01402-00-00-AC</w:t>
            </w:r>
          </w:p>
        </w:tc>
      </w:tr>
    </w:tbl>
    <w:p w14:paraId="786823F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lang w:val="en-GB"/>
        </w:rPr>
      </w:pPr>
    </w:p>
    <w:p w14:paraId="4E38A4E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
        </w:rPr>
      </w:pPr>
      <w:r>
        <w:rPr>
          <w:b/>
        </w:rPr>
        <w:t>Puntos clave</w:t>
      </w:r>
    </w:p>
    <w:p w14:paraId="6E1B1A97" w14:textId="77777777" w:rsidR="00685A3A" w:rsidRPr="00685A3A" w:rsidRDefault="00685A3A" w:rsidP="00685A3A">
      <w:pPr>
        <w:keepNext/>
        <w:keepLines/>
        <w:tabs>
          <w:tab w:val="center" w:pos="284"/>
        </w:tabs>
        <w:overflowPunct w:val="0"/>
        <w:autoSpaceDE w:val="0"/>
        <w:autoSpaceDN w:val="0"/>
        <w:adjustRightInd w:val="0"/>
        <w:ind w:left="266" w:hanging="266"/>
        <w:textAlignment w:val="baseline"/>
        <w:rPr>
          <w:bCs/>
          <w:lang w:val="en-GB"/>
        </w:rPr>
      </w:pPr>
    </w:p>
    <w:p w14:paraId="20D8098B" w14:textId="77777777" w:rsidR="00685A3A" w:rsidRDefault="00685A3A" w:rsidP="00685A3A">
      <w:pPr>
        <w:overflowPunct w:val="0"/>
        <w:autoSpaceDE w:val="0"/>
        <w:autoSpaceDN w:val="0"/>
        <w:adjustRightInd w:val="0"/>
        <w:textAlignment w:val="baseline"/>
        <w:rPr>
          <w:bCs/>
          <w:iCs/>
        </w:rPr>
      </w:pPr>
      <w:r>
        <w:t>El CESE:</w:t>
      </w:r>
    </w:p>
    <w:p w14:paraId="70A20C64" w14:textId="77777777" w:rsidR="00665929" w:rsidRPr="00685A3A" w:rsidRDefault="00665929" w:rsidP="00685A3A">
      <w:pPr>
        <w:overflowPunct w:val="0"/>
        <w:autoSpaceDE w:val="0"/>
        <w:autoSpaceDN w:val="0"/>
        <w:adjustRightInd w:val="0"/>
        <w:textAlignment w:val="baseline"/>
        <w:rPr>
          <w:lang w:val="en-GB"/>
        </w:rPr>
      </w:pPr>
    </w:p>
    <w:p w14:paraId="1AF2E88C"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está de acuerdo en que es necesaria una revisión de la legislación vigente de la UE para lograr una mayor simplificación, reducir los costes administrativos y apoyar una mayor armonización en el mercado único;</w:t>
      </w:r>
    </w:p>
    <w:p w14:paraId="73D00E89"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una política de contratación pública sostenible de la UE puede ir más allá de un estrecho paradigma centrado en los fallos de mercado, permitiendo una contratación estratégica orientada al bienestar público, de consagrar los criterios sociales, medioambientales y de innovación como objetivos de igual rango, y de garantizar un acceso equitativo a la contratación pública por parte de los operadores privados;</w:t>
      </w:r>
    </w:p>
    <w:p w14:paraId="0FCA892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los contratos públicos deben adjudicarse atendiendo al criterio de la oferta económicamente más ventajosa, haciendo hincapié al mismo tiempo en la importancia de criterios distintos del precio, como la calidad, la innovación, el medio ambiente, la sostenibilidad y las consideraciones sociales, especialmente los derechos de los trabajadores y los convenios colectivos;</w:t>
      </w:r>
    </w:p>
    <w:p w14:paraId="67FC0F2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pide adoptar un enfoque integral para las políticas en materia de servicios de interés general (SIG);</w:t>
      </w:r>
    </w:p>
    <w:p w14:paraId="4BDE4CA5"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el CESE considera que los contratos públicos no deberían adjudicarse a empresas que vulneren sistemáticamente los derechos de los trabajadores o los convenios colectivos a los que están vinculadas;</w:t>
      </w:r>
    </w:p>
    <w:p w14:paraId="2A2F2AFD"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considera que, con sujeción a criterios jurídicos adecuados y garantizando al mismo tiempo un falseamiento mínimo de la competencia, la posibilidad de recurrir a la contratación interna en el caso de personas jurídicas controladas mayoritariamente y a la adjudicación directa debe mantenerse cuando se lleve a cabo la revisión de las Directivas de la UE sobre contratación pública;</w:t>
      </w:r>
    </w:p>
    <w:p w14:paraId="6E90E5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recomienda introducir la obligación legal de evaluar los efectos de los umbrales en vigor aplicables a los contratos públicos de servicios;</w:t>
      </w:r>
    </w:p>
    <w:p w14:paraId="47C53FE7"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pPr>
      <w:r>
        <w:t>piensa que la contratación pública puede apoyar una Europa socialmente justa, ecológicamente sostenible y económicamente resiliente, en beneficio del bien común;</w:t>
      </w:r>
    </w:p>
    <w:p w14:paraId="75315D9A" w14:textId="77777777" w:rsidR="00685A3A" w:rsidRPr="00685A3A" w:rsidRDefault="00685A3A" w:rsidP="00054C58">
      <w:pPr>
        <w:numPr>
          <w:ilvl w:val="0"/>
          <w:numId w:val="28"/>
        </w:numPr>
        <w:overflowPunct w:val="0"/>
        <w:autoSpaceDE w:val="0"/>
        <w:autoSpaceDN w:val="0"/>
        <w:adjustRightInd w:val="0"/>
        <w:spacing w:line="276" w:lineRule="auto"/>
        <w:ind w:left="284" w:hanging="284"/>
        <w:contextualSpacing/>
        <w:textAlignment w:val="baseline"/>
        <w:rPr>
          <w:rFonts w:ascii="Calibri" w:hAnsi="Calibri"/>
        </w:rPr>
      </w:pPr>
      <w:r>
        <w:t>pide que se introduzcan cláusulas de revisión obligatoria de los precios para tener en cuenta los cambios en materia salarial derivados de los convenios colectivos, la legislación laboral, los ajustes por la inflación y otros factores pertinentes que afecten a la ejecución de los contratos como, por ejemplo, los costes de la energía.</w:t>
      </w:r>
    </w:p>
    <w:p w14:paraId="01E0D13D" w14:textId="77777777" w:rsidR="00685A3A" w:rsidRPr="00685A3A" w:rsidRDefault="00685A3A" w:rsidP="00685A3A">
      <w:pPr>
        <w:spacing w:line="276" w:lineRule="auto"/>
        <w:ind w:left="567"/>
        <w:contextualSpacing/>
        <w:rPr>
          <w:rFonts w:ascii="Calibri" w:hAnsi="Calibri"/>
          <w:bCs/>
          <w:iCs/>
          <w:lang w:val="en-GB" w:eastAsia="zh-CN"/>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685A3A" w:rsidRPr="00685A3A" w14:paraId="0E43841C" w14:textId="77777777" w:rsidTr="00934A52">
        <w:tc>
          <w:tcPr>
            <w:tcW w:w="1203" w:type="pct"/>
          </w:tcPr>
          <w:p w14:paraId="28C7C10B" w14:textId="77777777" w:rsidR="00685A3A" w:rsidRPr="00685A3A" w:rsidRDefault="00685A3A" w:rsidP="00685A3A">
            <w:pPr>
              <w:overflowPunct w:val="0"/>
              <w:autoSpaceDE w:val="0"/>
              <w:autoSpaceDN w:val="0"/>
              <w:adjustRightInd w:val="0"/>
              <w:spacing w:line="240" w:lineRule="auto"/>
              <w:textAlignment w:val="baseline"/>
              <w:rPr>
                <w:i/>
              </w:rPr>
            </w:pPr>
            <w:r>
              <w:rPr>
                <w:b/>
                <w:i/>
              </w:rPr>
              <w:t>Contacto:</w:t>
            </w:r>
          </w:p>
        </w:tc>
        <w:tc>
          <w:tcPr>
            <w:tcW w:w="3797" w:type="pct"/>
          </w:tcPr>
          <w:p w14:paraId="1245791A" w14:textId="77777777" w:rsidR="00685A3A" w:rsidRPr="00685A3A" w:rsidRDefault="00685A3A" w:rsidP="00685A3A">
            <w:pPr>
              <w:overflowPunct w:val="0"/>
              <w:autoSpaceDE w:val="0"/>
              <w:autoSpaceDN w:val="0"/>
              <w:adjustRightInd w:val="0"/>
              <w:spacing w:line="240" w:lineRule="auto"/>
              <w:textAlignment w:val="baseline"/>
              <w:rPr>
                <w:i/>
              </w:rPr>
            </w:pPr>
            <w:r>
              <w:rPr>
                <w:i/>
              </w:rPr>
              <w:t>Annalisa Tessarolo</w:t>
            </w:r>
          </w:p>
        </w:tc>
      </w:tr>
      <w:tr w:rsidR="00685A3A" w:rsidRPr="00685A3A" w14:paraId="3DD656A6" w14:textId="77777777" w:rsidTr="00934A52">
        <w:tc>
          <w:tcPr>
            <w:tcW w:w="1203" w:type="pct"/>
          </w:tcPr>
          <w:p w14:paraId="4F2FD959" w14:textId="77777777" w:rsidR="00685A3A" w:rsidRPr="00685A3A" w:rsidRDefault="00685A3A" w:rsidP="00685A3A">
            <w:pPr>
              <w:overflowPunct w:val="0"/>
              <w:autoSpaceDE w:val="0"/>
              <w:autoSpaceDN w:val="0"/>
              <w:adjustRightInd w:val="0"/>
              <w:spacing w:line="240" w:lineRule="auto"/>
              <w:textAlignment w:val="baseline"/>
              <w:rPr>
                <w:i/>
              </w:rPr>
            </w:pPr>
            <w:r>
              <w:rPr>
                <w:i/>
              </w:rPr>
              <w:t>Teléfono:</w:t>
            </w:r>
          </w:p>
        </w:tc>
        <w:tc>
          <w:tcPr>
            <w:tcW w:w="3797" w:type="pct"/>
          </w:tcPr>
          <w:p w14:paraId="79B2077E" w14:textId="77777777" w:rsidR="00685A3A" w:rsidRPr="00685A3A" w:rsidRDefault="00685A3A" w:rsidP="00685A3A">
            <w:pPr>
              <w:overflowPunct w:val="0"/>
              <w:autoSpaceDE w:val="0"/>
              <w:autoSpaceDN w:val="0"/>
              <w:adjustRightInd w:val="0"/>
              <w:spacing w:line="240" w:lineRule="auto"/>
              <w:textAlignment w:val="baseline"/>
              <w:rPr>
                <w:i/>
              </w:rPr>
            </w:pPr>
            <w:r>
              <w:rPr>
                <w:i/>
              </w:rPr>
              <w:t>+ 32 25469732</w:t>
            </w:r>
          </w:p>
        </w:tc>
      </w:tr>
      <w:tr w:rsidR="00685A3A" w:rsidRPr="00685A3A" w14:paraId="31FFB9F3" w14:textId="77777777" w:rsidTr="00934A52">
        <w:tc>
          <w:tcPr>
            <w:tcW w:w="1203" w:type="pct"/>
          </w:tcPr>
          <w:p w14:paraId="62C6EB1B" w14:textId="77777777" w:rsidR="00685A3A" w:rsidRPr="00685A3A" w:rsidRDefault="00685A3A" w:rsidP="00685A3A">
            <w:pPr>
              <w:overflowPunct w:val="0"/>
              <w:autoSpaceDE w:val="0"/>
              <w:autoSpaceDN w:val="0"/>
              <w:adjustRightInd w:val="0"/>
              <w:spacing w:line="240" w:lineRule="auto"/>
              <w:textAlignment w:val="baseline"/>
              <w:rPr>
                <w:i/>
              </w:rPr>
            </w:pPr>
            <w:r>
              <w:rPr>
                <w:i/>
              </w:rPr>
              <w:t>Correo electrónico:</w:t>
            </w:r>
          </w:p>
        </w:tc>
        <w:tc>
          <w:tcPr>
            <w:tcW w:w="3797" w:type="pct"/>
          </w:tcPr>
          <w:p w14:paraId="04364B9F" w14:textId="77777777" w:rsidR="00685A3A" w:rsidRPr="00685A3A" w:rsidRDefault="00236A60" w:rsidP="00685A3A">
            <w:pPr>
              <w:overflowPunct w:val="0"/>
              <w:autoSpaceDE w:val="0"/>
              <w:autoSpaceDN w:val="0"/>
              <w:adjustRightInd w:val="0"/>
              <w:spacing w:line="240" w:lineRule="auto"/>
              <w:textAlignment w:val="baseline"/>
              <w:rPr>
                <w:i/>
                <w:iCs/>
              </w:rPr>
            </w:pPr>
            <w:hyperlink r:id="rId41" w:history="1">
              <w:r w:rsidR="00E167DC">
                <w:rPr>
                  <w:i/>
                  <w:color w:val="0000FF"/>
                  <w:u w:val="single"/>
                </w:rPr>
                <w:t>Annalisa.Tessarolo@eesc.europa.eu</w:t>
              </w:r>
            </w:hyperlink>
          </w:p>
        </w:tc>
      </w:tr>
    </w:tbl>
    <w:p w14:paraId="1E327181" w14:textId="02353345" w:rsidR="00685A3A" w:rsidRDefault="00685A3A"/>
    <w:p w14:paraId="4982DE1F" w14:textId="77777777" w:rsidR="004D7AC0" w:rsidRDefault="004D7AC0" w:rsidP="004D7AC0">
      <w:pPr>
        <w:pStyle w:val="Heading1"/>
        <w:rPr>
          <w:b/>
        </w:rPr>
      </w:pPr>
      <w:bookmarkStart w:id="8" w:name="_Toc70322234"/>
      <w:bookmarkStart w:id="9" w:name="_Toc75527084"/>
      <w:bookmarkStart w:id="10" w:name="_Toc216951825"/>
      <w:r>
        <w:rPr>
          <w:b/>
        </w:rPr>
        <w:t>AGRICULTURA, DESARROLLO RURAL Y MEDIO AMBIENTE</w:t>
      </w:r>
      <w:bookmarkEnd w:id="8"/>
      <w:bookmarkEnd w:id="9"/>
      <w:bookmarkEnd w:id="10"/>
    </w:p>
    <w:p w14:paraId="4982DE20" w14:textId="77777777" w:rsidR="004D7AC0" w:rsidRDefault="004D7AC0" w:rsidP="004D7AC0"/>
    <w:p w14:paraId="280704BE" w14:textId="42E36B01" w:rsidR="00836765" w:rsidRPr="00836765" w:rsidRDefault="00236A60" w:rsidP="00836765">
      <w:pPr>
        <w:widowControl w:val="0"/>
        <w:numPr>
          <w:ilvl w:val="0"/>
          <w:numId w:val="4"/>
        </w:numPr>
        <w:overflowPunct w:val="0"/>
        <w:autoSpaceDE w:val="0"/>
        <w:autoSpaceDN w:val="0"/>
        <w:adjustRightInd w:val="0"/>
        <w:ind w:hanging="567"/>
        <w:textAlignment w:val="baseline"/>
        <w:rPr>
          <w:b/>
        </w:rPr>
      </w:pPr>
      <w:hyperlink r:id="rId42" w:history="1">
        <w:r w:rsidR="00E167DC">
          <w:rPr>
            <w:b/>
            <w:i/>
            <w:color w:val="0000FF"/>
            <w:sz w:val="28"/>
            <w:u w:val="single"/>
          </w:rPr>
          <w:t>Modificación del Reglamento (UE) 2023/1115 contra la deforestación</w:t>
        </w:r>
      </w:hyperlink>
      <w:r w:rsidR="00E167DC">
        <w:rPr>
          <w:b/>
          <w:i/>
          <w:sz w:val="28"/>
        </w:rPr>
        <w:t xml:space="preserve"> </w:t>
      </w:r>
    </w:p>
    <w:p w14:paraId="32C19EBC" w14:textId="77777777" w:rsidR="00836765" w:rsidRPr="00836765" w:rsidRDefault="00836765" w:rsidP="00836765">
      <w:pPr>
        <w:widowControl w:val="0"/>
        <w:overflowPunct w:val="0"/>
        <w:autoSpaceDE w:val="0"/>
        <w:autoSpaceDN w:val="0"/>
        <w:adjustRightInd w:val="0"/>
        <w:ind w:left="266"/>
        <w:textAlignment w:val="baseline"/>
        <w:rPr>
          <w:b/>
          <w:lang w:val="en-GB"/>
        </w:rPr>
      </w:pPr>
    </w:p>
    <w:tbl>
      <w:tblPr>
        <w:tblStyle w:val="TableGrid1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836765" w:rsidRPr="00836765" w14:paraId="353187E9" w14:textId="77777777" w:rsidTr="0036489A">
        <w:tc>
          <w:tcPr>
            <w:tcW w:w="1077" w:type="pct"/>
            <w:vMerge w:val="restart"/>
          </w:tcPr>
          <w:p w14:paraId="48F35E0D"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445830D4" w14:textId="19171181" w:rsidR="00B730AD" w:rsidRDefault="00B730AD" w:rsidP="00836765">
            <w:pPr>
              <w:tabs>
                <w:tab w:val="center" w:pos="284"/>
              </w:tabs>
              <w:overflowPunct w:val="0"/>
              <w:autoSpaceDE w:val="0"/>
              <w:autoSpaceDN w:val="0"/>
              <w:adjustRightInd w:val="0"/>
              <w:ind w:left="266" w:right="-3091" w:hanging="266"/>
              <w:textAlignment w:val="baseline"/>
            </w:pPr>
            <w:r>
              <w:t>Dictamen de categoría C</w:t>
            </w:r>
          </w:p>
          <w:p w14:paraId="3B6BE4B3" w14:textId="6F87B5D9" w:rsidR="00836765" w:rsidRPr="00836765" w:rsidRDefault="00836765" w:rsidP="00836765">
            <w:pPr>
              <w:tabs>
                <w:tab w:val="center" w:pos="284"/>
              </w:tabs>
              <w:overflowPunct w:val="0"/>
              <w:autoSpaceDE w:val="0"/>
              <w:autoSpaceDN w:val="0"/>
              <w:adjustRightInd w:val="0"/>
              <w:ind w:left="266" w:right="-3091" w:hanging="266"/>
              <w:textAlignment w:val="baseline"/>
            </w:pPr>
            <w:r>
              <w:t>COM(2025) 652 final</w:t>
            </w:r>
          </w:p>
        </w:tc>
      </w:tr>
      <w:tr w:rsidR="00836765" w:rsidRPr="00836765" w14:paraId="61D1A2FF" w14:textId="77777777" w:rsidTr="0036489A">
        <w:tc>
          <w:tcPr>
            <w:tcW w:w="1077" w:type="pct"/>
            <w:vMerge/>
          </w:tcPr>
          <w:p w14:paraId="4837CA2A" w14:textId="77777777" w:rsidR="00836765" w:rsidRPr="00836765" w:rsidRDefault="00836765" w:rsidP="00836765">
            <w:pPr>
              <w:tabs>
                <w:tab w:val="center" w:pos="284"/>
              </w:tabs>
              <w:overflowPunct w:val="0"/>
              <w:autoSpaceDE w:val="0"/>
              <w:autoSpaceDN w:val="0"/>
              <w:adjustRightInd w:val="0"/>
              <w:ind w:left="266" w:hanging="266"/>
              <w:textAlignment w:val="baseline"/>
              <w:rPr>
                <w:b/>
              </w:rPr>
            </w:pPr>
          </w:p>
        </w:tc>
        <w:tc>
          <w:tcPr>
            <w:tcW w:w="3923" w:type="pct"/>
          </w:tcPr>
          <w:p w14:paraId="1F5382E7" w14:textId="77777777" w:rsidR="00836765" w:rsidRPr="00836765" w:rsidRDefault="00836765" w:rsidP="00836765">
            <w:pPr>
              <w:tabs>
                <w:tab w:val="center" w:pos="284"/>
              </w:tabs>
              <w:overflowPunct w:val="0"/>
              <w:autoSpaceDE w:val="0"/>
              <w:autoSpaceDN w:val="0"/>
              <w:adjustRightInd w:val="0"/>
              <w:ind w:left="266" w:right="-3091" w:hanging="266"/>
              <w:textAlignment w:val="baseline"/>
            </w:pPr>
            <w:r>
              <w:t>EESC-2025-03869-00-00-AC-TRA</w:t>
            </w:r>
          </w:p>
        </w:tc>
      </w:tr>
    </w:tbl>
    <w:p w14:paraId="4266EAA0" w14:textId="77777777" w:rsidR="00836765" w:rsidRPr="00836765" w:rsidRDefault="00836765" w:rsidP="00836765">
      <w:pPr>
        <w:tabs>
          <w:tab w:val="center" w:pos="284"/>
        </w:tabs>
        <w:overflowPunct w:val="0"/>
        <w:autoSpaceDE w:val="0"/>
        <w:autoSpaceDN w:val="0"/>
        <w:adjustRightInd w:val="0"/>
        <w:ind w:left="266" w:hanging="266"/>
        <w:textAlignment w:val="baseline"/>
        <w:rPr>
          <w:b/>
          <w:lang w:val="en-GB"/>
        </w:rPr>
      </w:pPr>
    </w:p>
    <w:p w14:paraId="0143DBBD"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rPr>
      </w:pPr>
      <w:r>
        <w:rPr>
          <w:b/>
        </w:rPr>
        <w:t>Puntos clave</w:t>
      </w:r>
    </w:p>
    <w:p w14:paraId="23518C72" w14:textId="77777777" w:rsidR="00836765" w:rsidRPr="00836765" w:rsidRDefault="00836765" w:rsidP="00836765">
      <w:pPr>
        <w:keepNext/>
        <w:keepLines/>
        <w:tabs>
          <w:tab w:val="center" w:pos="284"/>
        </w:tabs>
        <w:overflowPunct w:val="0"/>
        <w:autoSpaceDE w:val="0"/>
        <w:autoSpaceDN w:val="0"/>
        <w:adjustRightInd w:val="0"/>
        <w:ind w:left="266" w:hanging="266"/>
        <w:textAlignment w:val="baseline"/>
        <w:rPr>
          <w:b/>
          <w:lang w:val="en-GB"/>
        </w:rPr>
      </w:pPr>
    </w:p>
    <w:p w14:paraId="0A85C065" w14:textId="77777777" w:rsidR="00836765" w:rsidRPr="00836765" w:rsidRDefault="00836765" w:rsidP="00836765">
      <w:pPr>
        <w:overflowPunct w:val="0"/>
        <w:autoSpaceDE w:val="0"/>
        <w:autoSpaceDN w:val="0"/>
        <w:adjustRightInd w:val="0"/>
        <w:textAlignment w:val="baseline"/>
        <w:rPr>
          <w:bCs/>
          <w:iCs/>
        </w:rPr>
      </w:pPr>
      <w:r>
        <w:t>El CESE:</w:t>
      </w:r>
    </w:p>
    <w:p w14:paraId="48328C8A" w14:textId="77777777" w:rsidR="00836765" w:rsidRPr="00836765" w:rsidRDefault="00836765" w:rsidP="00836765">
      <w:pPr>
        <w:overflowPunct w:val="0"/>
        <w:autoSpaceDE w:val="0"/>
        <w:autoSpaceDN w:val="0"/>
        <w:adjustRightInd w:val="0"/>
        <w:textAlignment w:val="baseline"/>
        <w:rPr>
          <w:bCs/>
          <w:iCs/>
          <w:lang w:val="en-GB"/>
        </w:rPr>
      </w:pPr>
    </w:p>
    <w:p w14:paraId="564661E9" w14:textId="77777777" w:rsidR="00836765" w:rsidRPr="00836765" w:rsidRDefault="00836765" w:rsidP="00054C58">
      <w:pPr>
        <w:widowControl w:val="0"/>
        <w:numPr>
          <w:ilvl w:val="0"/>
          <w:numId w:val="29"/>
        </w:numPr>
        <w:overflowPunct w:val="0"/>
        <w:autoSpaceDE w:val="0"/>
        <w:autoSpaceDN w:val="0"/>
        <w:adjustRightInd w:val="0"/>
        <w:ind w:left="284" w:hanging="284"/>
        <w:textAlignment w:val="baseline"/>
        <w:rPr>
          <w:bCs/>
          <w:iCs/>
        </w:rPr>
      </w:pPr>
      <w:r>
        <w:t>ya se pronunció sobre el contenido de la propuesta objeto de examen en sus Dictámenes EESC-2024-01183-00-00-AC-TRA</w:t>
      </w:r>
      <w:r w:rsidRPr="00836765">
        <w:rPr>
          <w:sz w:val="18"/>
          <w:szCs w:val="14"/>
          <w:vertAlign w:val="superscript"/>
          <w:lang w:val="en-GB"/>
        </w:rPr>
        <w:footnoteReference w:id="5"/>
      </w:r>
      <w:r>
        <w:t xml:space="preserve"> y EESC-2021-05690-00-00-AC-TRA</w:t>
      </w:r>
      <w:r w:rsidRPr="00836765">
        <w:rPr>
          <w:sz w:val="18"/>
          <w:szCs w:val="14"/>
          <w:vertAlign w:val="superscript"/>
          <w:lang w:val="en-GB"/>
        </w:rPr>
        <w:footnoteReference w:id="6"/>
      </w:r>
      <w:r>
        <w:t>, aprobados respectivamente el 19 de septiembre de 2024 y el 23 de febrero de 2022, por lo que decidió no elaborar un nuevo dictamen sobre el asunto y remitirse a la posición expresada en dichos documentos.</w:t>
      </w:r>
    </w:p>
    <w:p w14:paraId="261D1073" w14:textId="77777777" w:rsidR="00836765" w:rsidRPr="00836765" w:rsidRDefault="00836765" w:rsidP="00836765">
      <w:pPr>
        <w:widowControl w:val="0"/>
        <w:overflowPunct w:val="0"/>
        <w:autoSpaceDE w:val="0"/>
        <w:autoSpaceDN w:val="0"/>
        <w:adjustRightInd w:val="0"/>
        <w:ind w:left="709"/>
        <w:textAlignment w:val="baseline"/>
        <w:rPr>
          <w:szCs w:val="20"/>
          <w:lang w:val="en-GB"/>
        </w:rPr>
      </w:pPr>
    </w:p>
    <w:tbl>
      <w:tblPr>
        <w:tblStyle w:val="TableGrid12"/>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6"/>
      </w:tblGrid>
      <w:tr w:rsidR="00836765" w:rsidRPr="00836765" w14:paraId="4FE2C2E9" w14:textId="77777777" w:rsidTr="00934A52">
        <w:tc>
          <w:tcPr>
            <w:tcW w:w="1203" w:type="pct"/>
          </w:tcPr>
          <w:p w14:paraId="440CE4F1" w14:textId="77777777" w:rsidR="00836765" w:rsidRPr="00836765" w:rsidRDefault="00836765" w:rsidP="00836765">
            <w:pPr>
              <w:overflowPunct w:val="0"/>
              <w:autoSpaceDE w:val="0"/>
              <w:autoSpaceDN w:val="0"/>
              <w:adjustRightInd w:val="0"/>
              <w:textAlignment w:val="baseline"/>
              <w:rPr>
                <w:i/>
              </w:rPr>
            </w:pPr>
            <w:r>
              <w:rPr>
                <w:b/>
                <w:i/>
              </w:rPr>
              <w:t>Contacto:</w:t>
            </w:r>
          </w:p>
        </w:tc>
        <w:tc>
          <w:tcPr>
            <w:tcW w:w="3797" w:type="pct"/>
          </w:tcPr>
          <w:p w14:paraId="3DB7D13C" w14:textId="2A0D3DD3" w:rsidR="00836765" w:rsidRPr="00836765" w:rsidRDefault="00836765" w:rsidP="00836765">
            <w:pPr>
              <w:overflowPunct w:val="0"/>
              <w:autoSpaceDE w:val="0"/>
              <w:autoSpaceDN w:val="0"/>
              <w:adjustRightInd w:val="0"/>
              <w:textAlignment w:val="baseline"/>
              <w:rPr>
                <w:i/>
              </w:rPr>
            </w:pPr>
            <w:r>
              <w:rPr>
                <w:i/>
              </w:rPr>
              <w:t>Martine Delanoy</w:t>
            </w:r>
          </w:p>
        </w:tc>
      </w:tr>
      <w:tr w:rsidR="00836765" w:rsidRPr="00836765" w14:paraId="79B8361E" w14:textId="77777777" w:rsidTr="00934A52">
        <w:tc>
          <w:tcPr>
            <w:tcW w:w="1203" w:type="pct"/>
          </w:tcPr>
          <w:p w14:paraId="495C55DC" w14:textId="77777777" w:rsidR="00836765" w:rsidRPr="00836765" w:rsidRDefault="00836765" w:rsidP="00836765">
            <w:pPr>
              <w:overflowPunct w:val="0"/>
              <w:autoSpaceDE w:val="0"/>
              <w:autoSpaceDN w:val="0"/>
              <w:adjustRightInd w:val="0"/>
              <w:textAlignment w:val="baseline"/>
              <w:rPr>
                <w:i/>
              </w:rPr>
            </w:pPr>
            <w:r>
              <w:rPr>
                <w:i/>
              </w:rPr>
              <w:t>Teléfono:</w:t>
            </w:r>
          </w:p>
        </w:tc>
        <w:tc>
          <w:tcPr>
            <w:tcW w:w="3797" w:type="pct"/>
          </w:tcPr>
          <w:p w14:paraId="7656C45E" w14:textId="77777777" w:rsidR="00836765" w:rsidRPr="00836765" w:rsidRDefault="00836765" w:rsidP="00836765">
            <w:pPr>
              <w:overflowPunct w:val="0"/>
              <w:autoSpaceDE w:val="0"/>
              <w:autoSpaceDN w:val="0"/>
              <w:adjustRightInd w:val="0"/>
              <w:textAlignment w:val="baseline"/>
              <w:rPr>
                <w:i/>
              </w:rPr>
            </w:pPr>
            <w:r>
              <w:rPr>
                <w:i/>
              </w:rPr>
              <w:t>+32 25469</w:t>
            </w:r>
            <w:r>
              <w:t>802</w:t>
            </w:r>
          </w:p>
        </w:tc>
      </w:tr>
      <w:tr w:rsidR="00836765" w:rsidRPr="00836765" w14:paraId="24D7B260" w14:textId="77777777" w:rsidTr="00934A52">
        <w:tc>
          <w:tcPr>
            <w:tcW w:w="1203" w:type="pct"/>
          </w:tcPr>
          <w:p w14:paraId="2B01135D" w14:textId="77777777" w:rsidR="00836765" w:rsidRPr="00836765" w:rsidRDefault="00836765" w:rsidP="00836765">
            <w:pPr>
              <w:overflowPunct w:val="0"/>
              <w:autoSpaceDE w:val="0"/>
              <w:autoSpaceDN w:val="0"/>
              <w:adjustRightInd w:val="0"/>
              <w:textAlignment w:val="baseline"/>
              <w:rPr>
                <w:i/>
              </w:rPr>
            </w:pPr>
            <w:r>
              <w:rPr>
                <w:i/>
              </w:rPr>
              <w:t>Correo electrónico:</w:t>
            </w:r>
          </w:p>
        </w:tc>
        <w:tc>
          <w:tcPr>
            <w:tcW w:w="3797" w:type="pct"/>
          </w:tcPr>
          <w:p w14:paraId="63509101" w14:textId="77777777" w:rsidR="00836765" w:rsidRPr="00836765" w:rsidRDefault="00236A60" w:rsidP="00836765">
            <w:pPr>
              <w:overflowPunct w:val="0"/>
              <w:autoSpaceDE w:val="0"/>
              <w:autoSpaceDN w:val="0"/>
              <w:adjustRightInd w:val="0"/>
              <w:textAlignment w:val="baseline"/>
              <w:rPr>
                <w:i/>
              </w:rPr>
            </w:pPr>
            <w:hyperlink r:id="rId43" w:history="1">
              <w:r w:rsidR="00E167DC">
                <w:rPr>
                  <w:i/>
                  <w:color w:val="0000FF"/>
                  <w:u w:val="single"/>
                </w:rPr>
                <w:t>Martine.Delanoy@eesc.europa.eu</w:t>
              </w:r>
            </w:hyperlink>
          </w:p>
        </w:tc>
      </w:tr>
    </w:tbl>
    <w:p w14:paraId="5314991A" w14:textId="298CCCC6" w:rsidR="000122F3" w:rsidRPr="000122F3" w:rsidRDefault="007F5784" w:rsidP="000122F3">
      <w:pPr>
        <w:widowControl w:val="0"/>
        <w:numPr>
          <w:ilvl w:val="0"/>
          <w:numId w:val="12"/>
        </w:numPr>
        <w:overflowPunct w:val="0"/>
        <w:autoSpaceDE w:val="0"/>
        <w:autoSpaceDN w:val="0"/>
        <w:adjustRightInd w:val="0"/>
        <w:ind w:left="567" w:hanging="567"/>
        <w:rPr>
          <w:sz w:val="20"/>
          <w:szCs w:val="20"/>
        </w:rPr>
      </w:pPr>
      <w:r>
        <w:br w:type="page"/>
      </w:r>
      <w:hyperlink r:id="rId44" w:history="1">
        <w:r>
          <w:rPr>
            <w:b/>
            <w:i/>
            <w:color w:val="0000FF"/>
            <w:sz w:val="28"/>
            <w:u w:val="single"/>
          </w:rPr>
          <w:t>Revisión del Mecanismo de Protección Civil de la Unión</w:t>
        </w:r>
      </w:hyperlink>
    </w:p>
    <w:p w14:paraId="5842569B" w14:textId="77777777" w:rsidR="000122F3" w:rsidRPr="000122F3" w:rsidRDefault="000122F3" w:rsidP="000122F3">
      <w:pPr>
        <w:tabs>
          <w:tab w:val="center" w:pos="284"/>
        </w:tabs>
        <w:overflowPunct w:val="0"/>
        <w:autoSpaceDE w:val="0"/>
        <w:autoSpaceDN w:val="0"/>
        <w:adjustRightInd w:val="0"/>
        <w:ind w:left="266" w:hanging="266"/>
        <w:rPr>
          <w:b/>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0122F3" w:rsidRPr="000122F3" w14:paraId="2BBA9F50" w14:textId="77777777">
        <w:tc>
          <w:tcPr>
            <w:tcW w:w="1077" w:type="pct"/>
            <w:hideMark/>
          </w:tcPr>
          <w:p w14:paraId="04016230" w14:textId="77777777" w:rsidR="000122F3" w:rsidRPr="000122F3" w:rsidRDefault="000122F3" w:rsidP="000122F3">
            <w:pPr>
              <w:tabs>
                <w:tab w:val="center" w:pos="284"/>
              </w:tabs>
              <w:overflowPunct w:val="0"/>
              <w:autoSpaceDE w:val="0"/>
              <w:autoSpaceDN w:val="0"/>
              <w:adjustRightInd w:val="0"/>
              <w:ind w:left="266" w:hanging="266"/>
              <w:rPr>
                <w:b/>
              </w:rPr>
            </w:pPr>
            <w:r>
              <w:rPr>
                <w:b/>
              </w:rPr>
              <w:t>Ponente</w:t>
            </w:r>
          </w:p>
        </w:tc>
        <w:tc>
          <w:tcPr>
            <w:tcW w:w="3923" w:type="pct"/>
            <w:hideMark/>
          </w:tcPr>
          <w:p w14:paraId="198FB4FA" w14:textId="073E7805" w:rsidR="000122F3" w:rsidRDefault="000122F3" w:rsidP="000122F3">
            <w:pPr>
              <w:tabs>
                <w:tab w:val="center" w:pos="284"/>
              </w:tabs>
              <w:overflowPunct w:val="0"/>
              <w:autoSpaceDE w:val="0"/>
              <w:autoSpaceDN w:val="0"/>
              <w:adjustRightInd w:val="0"/>
              <w:ind w:left="266" w:right="-3091" w:hanging="266"/>
            </w:pPr>
            <w:r>
              <w:t>Florian MARIN (Grupo de Trabajadores – RO)</w:t>
            </w:r>
          </w:p>
          <w:p w14:paraId="442071CD" w14:textId="77777777" w:rsidR="00973F68" w:rsidRPr="000122F3" w:rsidRDefault="00973F68" w:rsidP="000122F3">
            <w:pPr>
              <w:tabs>
                <w:tab w:val="center" w:pos="284"/>
              </w:tabs>
              <w:overflowPunct w:val="0"/>
              <w:autoSpaceDE w:val="0"/>
              <w:autoSpaceDN w:val="0"/>
              <w:adjustRightInd w:val="0"/>
              <w:ind w:left="266" w:right="-3091" w:hanging="266"/>
            </w:pPr>
          </w:p>
        </w:tc>
      </w:tr>
      <w:tr w:rsidR="000122F3" w:rsidRPr="000122F3" w14:paraId="0C38D82B" w14:textId="77777777">
        <w:tc>
          <w:tcPr>
            <w:tcW w:w="1077" w:type="pct"/>
            <w:hideMark/>
          </w:tcPr>
          <w:p w14:paraId="317E91BC" w14:textId="77777777" w:rsidR="000122F3" w:rsidRPr="000122F3" w:rsidRDefault="000122F3" w:rsidP="000122F3">
            <w:pPr>
              <w:tabs>
                <w:tab w:val="center" w:pos="284"/>
              </w:tabs>
              <w:overflowPunct w:val="0"/>
              <w:autoSpaceDE w:val="0"/>
              <w:autoSpaceDN w:val="0"/>
              <w:adjustRightInd w:val="0"/>
              <w:ind w:left="266" w:hanging="266"/>
              <w:rPr>
                <w:b/>
              </w:rPr>
            </w:pPr>
            <w:r>
              <w:rPr>
                <w:b/>
              </w:rPr>
              <w:t>Referencias</w:t>
            </w:r>
          </w:p>
        </w:tc>
        <w:tc>
          <w:tcPr>
            <w:tcW w:w="3923" w:type="pct"/>
            <w:hideMark/>
          </w:tcPr>
          <w:p w14:paraId="19D10923" w14:textId="14D39408" w:rsidR="00973F68" w:rsidRDefault="00973F68" w:rsidP="000122F3">
            <w:pPr>
              <w:tabs>
                <w:tab w:val="center" w:pos="284"/>
              </w:tabs>
              <w:overflowPunct w:val="0"/>
              <w:autoSpaceDE w:val="0"/>
              <w:autoSpaceDN w:val="0"/>
              <w:adjustRightInd w:val="0"/>
              <w:ind w:left="266" w:right="-3091" w:hanging="266"/>
            </w:pPr>
            <w:r>
              <w:t>COM(2025) 548 final</w:t>
            </w:r>
          </w:p>
          <w:p w14:paraId="5FA9B2AF" w14:textId="75780E7F" w:rsidR="000122F3" w:rsidRPr="000122F3" w:rsidRDefault="000122F3" w:rsidP="000122F3">
            <w:pPr>
              <w:tabs>
                <w:tab w:val="center" w:pos="284"/>
              </w:tabs>
              <w:overflowPunct w:val="0"/>
              <w:autoSpaceDE w:val="0"/>
              <w:autoSpaceDN w:val="0"/>
              <w:adjustRightInd w:val="0"/>
              <w:ind w:left="266" w:right="-3091" w:hanging="266"/>
            </w:pPr>
            <w:r>
              <w:t>EESC-2025-03573-00-00-AC</w:t>
            </w:r>
          </w:p>
        </w:tc>
      </w:tr>
    </w:tbl>
    <w:p w14:paraId="7BC98F02" w14:textId="77777777" w:rsidR="000122F3" w:rsidRPr="000122F3" w:rsidRDefault="000122F3" w:rsidP="000122F3">
      <w:pPr>
        <w:tabs>
          <w:tab w:val="center" w:pos="284"/>
        </w:tabs>
        <w:overflowPunct w:val="0"/>
        <w:autoSpaceDE w:val="0"/>
        <w:autoSpaceDN w:val="0"/>
        <w:adjustRightInd w:val="0"/>
        <w:ind w:left="266" w:hanging="266"/>
        <w:rPr>
          <w:b/>
          <w:lang w:val="en-GB"/>
        </w:rPr>
      </w:pPr>
    </w:p>
    <w:p w14:paraId="7E803210" w14:textId="77777777" w:rsidR="000122F3" w:rsidRPr="000122F3" w:rsidRDefault="000122F3" w:rsidP="000122F3">
      <w:pPr>
        <w:keepNext/>
        <w:keepLines/>
        <w:tabs>
          <w:tab w:val="center" w:pos="284"/>
        </w:tabs>
        <w:overflowPunct w:val="0"/>
        <w:autoSpaceDE w:val="0"/>
        <w:autoSpaceDN w:val="0"/>
        <w:adjustRightInd w:val="0"/>
        <w:ind w:left="266" w:hanging="266"/>
        <w:rPr>
          <w:b/>
        </w:rPr>
      </w:pPr>
      <w:r>
        <w:rPr>
          <w:b/>
        </w:rPr>
        <w:t>Puntos clave</w:t>
      </w:r>
    </w:p>
    <w:p w14:paraId="170D9736" w14:textId="77777777" w:rsidR="000122F3" w:rsidRPr="000122F3" w:rsidRDefault="000122F3" w:rsidP="000122F3">
      <w:pPr>
        <w:keepNext/>
        <w:keepLines/>
        <w:tabs>
          <w:tab w:val="center" w:pos="284"/>
        </w:tabs>
        <w:overflowPunct w:val="0"/>
        <w:autoSpaceDE w:val="0"/>
        <w:autoSpaceDN w:val="0"/>
        <w:adjustRightInd w:val="0"/>
        <w:ind w:left="266" w:hanging="266"/>
        <w:rPr>
          <w:b/>
          <w:lang w:val="en-GB"/>
        </w:rPr>
      </w:pPr>
    </w:p>
    <w:p w14:paraId="7F6EAEC8" w14:textId="77777777" w:rsidR="000122F3" w:rsidRDefault="000122F3" w:rsidP="000122F3">
      <w:pPr>
        <w:overflowPunct w:val="0"/>
        <w:autoSpaceDE w:val="0"/>
        <w:autoSpaceDN w:val="0"/>
        <w:adjustRightInd w:val="0"/>
      </w:pPr>
      <w:r>
        <w:t>El CESE recomienda:</w:t>
      </w:r>
    </w:p>
    <w:p w14:paraId="00652B16" w14:textId="77777777" w:rsidR="00D40BB6" w:rsidRPr="000122F3" w:rsidRDefault="00D40BB6" w:rsidP="000122F3">
      <w:pPr>
        <w:overflowPunct w:val="0"/>
        <w:autoSpaceDE w:val="0"/>
        <w:autoSpaceDN w:val="0"/>
        <w:adjustRightInd w:val="0"/>
        <w:rPr>
          <w:lang w:val="en-GB"/>
        </w:rPr>
      </w:pPr>
    </w:p>
    <w:p w14:paraId="54342963"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abordar las medidas para reducir y prevenir los riesgos de catástrofes con </w:t>
      </w:r>
      <w:r>
        <w:rPr>
          <w:b/>
        </w:rPr>
        <w:t>más ambición</w:t>
      </w:r>
      <w:r>
        <w:t xml:space="preserve">, en lugar de prestar atención con carácter preferente a las capacidades de respuesta. El establecimiento de un Mecanismo de Protección Civil de la Unión (MPCU) eficiente e integrado debe comprender un </w:t>
      </w:r>
      <w:r>
        <w:rPr>
          <w:b/>
        </w:rPr>
        <w:t>marco global que abarque todas las políticas de reducción de riesgos</w:t>
      </w:r>
      <w:r>
        <w:t xml:space="preserve"> de la UE y prestar una mayor atención a </w:t>
      </w:r>
      <w:r>
        <w:rPr>
          <w:b/>
        </w:rPr>
        <w:t>la prevención de catástrofes intersectoriales y transfronterizas</w:t>
      </w:r>
      <w:r>
        <w:t>, todo ello mediante la aplicación de un sistema integral de gestión de riesgos;</w:t>
      </w:r>
    </w:p>
    <w:p w14:paraId="7024A92F"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reducir las cargas administrativas</w:t>
      </w:r>
      <w:r>
        <w:t xml:space="preserve">, eliminar solapamientos, mejorar sistemas de datos y de apoyo obsoletos, aumentar los recursos humanos cualificados, invertir en capacidades interoperables que se basen en normas e itinerarios de formación comunes y garantizar unas </w:t>
      </w:r>
      <w:r>
        <w:rPr>
          <w:b/>
        </w:rPr>
        <w:t>condiciones laborales de calidad</w:t>
      </w:r>
      <w:r>
        <w:t>, como requisitos imprescindibles para reforzar la resiliencia social en un enfoque de crisis que implique a la sociedad en su conjunto;</w:t>
      </w:r>
    </w:p>
    <w:p w14:paraId="497B5155" w14:textId="77777777" w:rsidR="000122F3" w:rsidRPr="000122F3" w:rsidRDefault="000122F3" w:rsidP="00054C58">
      <w:pPr>
        <w:widowControl w:val="0"/>
        <w:numPr>
          <w:ilvl w:val="0"/>
          <w:numId w:val="30"/>
        </w:numPr>
        <w:overflowPunct w:val="0"/>
        <w:autoSpaceDE w:val="0"/>
        <w:autoSpaceDN w:val="0"/>
        <w:adjustRightInd w:val="0"/>
        <w:ind w:left="284" w:hanging="284"/>
      </w:pPr>
      <w:r>
        <w:rPr>
          <w:b/>
        </w:rPr>
        <w:t>anticipar y comprender mejor</w:t>
      </w:r>
      <w:r>
        <w:t xml:space="preserve"> las catástrofes y crisis y tener presente el papel de la propaganda y la desinformación, que son fuente de estrés social;</w:t>
      </w:r>
    </w:p>
    <w:p w14:paraId="1AEBFB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reforzar el MPCU dotándolo de una </w:t>
      </w:r>
      <w:r>
        <w:rPr>
          <w:b/>
        </w:rPr>
        <w:t>financiación adicional</w:t>
      </w:r>
      <w:r>
        <w:t xml:space="preserve"> que se dirija principalmente a los grupos y regiones vulnerables, en particular a las regiones ultraperiféricas y próximas a la guerra;</w:t>
      </w:r>
    </w:p>
    <w:p w14:paraId="6A0A0A84"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garantizar la </w:t>
      </w:r>
      <w:r>
        <w:rPr>
          <w:b/>
        </w:rPr>
        <w:t>coherencia con los planes de colaboración nacional y regional</w:t>
      </w:r>
      <w:r>
        <w:t xml:space="preserve"> (planes de CNR) propuestos para el período de programación 2028-2034;</w:t>
      </w:r>
    </w:p>
    <w:p w14:paraId="1E425507"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fomentar una </w:t>
      </w:r>
      <w:r>
        <w:rPr>
          <w:b/>
        </w:rPr>
        <w:t>mayor complementariedad</w:t>
      </w:r>
      <w:r>
        <w:t xml:space="preserve"> entre los instrumentos existentes (como la Acción por la Seguridad de Europa, el Cuerpo Europeo de Solidaridad y el MPCU);</w:t>
      </w:r>
    </w:p>
    <w:p w14:paraId="71C4B6AC"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garantizar una </w:t>
      </w:r>
      <w:r>
        <w:rPr>
          <w:b/>
        </w:rPr>
        <w:t>financiación suficiente y estable para los profesionales pertenecientes a los cuerpos de bomberos y al personal sanitario</w:t>
      </w:r>
      <w:r>
        <w:t>, a fin de mantener la eficiencia y la celeridad de las respuestas en el marco del MPCU, y reforzar el papel de los voluntarios;</w:t>
      </w:r>
    </w:p>
    <w:p w14:paraId="22A0C91D"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establecer </w:t>
      </w:r>
      <w:r>
        <w:rPr>
          <w:b/>
        </w:rPr>
        <w:t>un MPCU que se base en la flexibilidad</w:t>
      </w:r>
      <w:r>
        <w:t xml:space="preserve">, de modo que respete la diversidad de los sistemas nacionales de gestión de catástrofes y </w:t>
      </w:r>
      <w:r>
        <w:rPr>
          <w:b/>
        </w:rPr>
        <w:t>garantice una cooperación y coordinación transfronterizas</w:t>
      </w:r>
      <w:r>
        <w:t xml:space="preserve"> para dar una respuesta rápida y eficaz a unas catástrofes que no conocen fronteras, con la plena participación de la sociedad civil organizada;</w:t>
      </w:r>
    </w:p>
    <w:p w14:paraId="0D503548"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adaptar las normas de contratación pública para </w:t>
      </w:r>
      <w:r>
        <w:rPr>
          <w:b/>
        </w:rPr>
        <w:t>asegurar un suministro diligente y eficaz de bienes y servicios esenciales</w:t>
      </w:r>
      <w:r>
        <w:t xml:space="preserve"> en tiempos de crisis;</w:t>
      </w:r>
    </w:p>
    <w:p w14:paraId="5918B32B" w14:textId="77777777" w:rsidR="000122F3" w:rsidRPr="000122F3" w:rsidRDefault="000122F3" w:rsidP="00054C58">
      <w:pPr>
        <w:widowControl w:val="0"/>
        <w:numPr>
          <w:ilvl w:val="0"/>
          <w:numId w:val="30"/>
        </w:numPr>
        <w:overflowPunct w:val="0"/>
        <w:autoSpaceDE w:val="0"/>
        <w:autoSpaceDN w:val="0"/>
        <w:adjustRightInd w:val="0"/>
        <w:ind w:left="284" w:hanging="284"/>
      </w:pPr>
      <w:r>
        <w:t xml:space="preserve">establecer un </w:t>
      </w:r>
      <w:r>
        <w:rPr>
          <w:b/>
        </w:rPr>
        <w:t>formulario normalizado de notificación de catástrofes</w:t>
      </w:r>
      <w:r>
        <w:t xml:space="preserve"> que deban utilizar todos los Estados miembros.</w:t>
      </w:r>
    </w:p>
    <w:p w14:paraId="239E5250" w14:textId="77777777" w:rsidR="000122F3" w:rsidRPr="000122F3" w:rsidRDefault="000122F3" w:rsidP="000122F3">
      <w:pPr>
        <w:widowControl w:val="0"/>
        <w:overflowPunct w:val="0"/>
        <w:autoSpaceDE w:val="0"/>
        <w:autoSpaceDN w:val="0"/>
        <w:adjustRightInd w:val="0"/>
        <w:ind w:left="709"/>
        <w:rPr>
          <w:lang w:val="en-GB"/>
        </w:rPr>
      </w:pPr>
    </w:p>
    <w:tbl>
      <w:tblPr>
        <w:tblStyle w:val="TableGrid1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0122F3" w:rsidRPr="000122F3" w14:paraId="315A6780" w14:textId="77777777" w:rsidTr="00934A52">
        <w:tc>
          <w:tcPr>
            <w:tcW w:w="1203" w:type="pct"/>
            <w:hideMark/>
          </w:tcPr>
          <w:p w14:paraId="0BC88ACD" w14:textId="77777777" w:rsidR="000122F3" w:rsidRPr="000122F3" w:rsidRDefault="000122F3" w:rsidP="000122F3">
            <w:pPr>
              <w:overflowPunct w:val="0"/>
              <w:autoSpaceDE w:val="0"/>
              <w:autoSpaceDN w:val="0"/>
              <w:adjustRightInd w:val="0"/>
              <w:rPr>
                <w:i/>
                <w:iCs/>
              </w:rPr>
            </w:pPr>
            <w:r>
              <w:rPr>
                <w:b/>
                <w:i/>
              </w:rPr>
              <w:t>Contacto:</w:t>
            </w:r>
          </w:p>
        </w:tc>
        <w:tc>
          <w:tcPr>
            <w:tcW w:w="3797" w:type="pct"/>
            <w:hideMark/>
          </w:tcPr>
          <w:p w14:paraId="278195BE" w14:textId="77777777" w:rsidR="000122F3" w:rsidRPr="000122F3" w:rsidRDefault="000122F3" w:rsidP="000122F3">
            <w:pPr>
              <w:overflowPunct w:val="0"/>
              <w:autoSpaceDE w:val="0"/>
              <w:autoSpaceDN w:val="0"/>
              <w:adjustRightInd w:val="0"/>
              <w:rPr>
                <w:i/>
                <w:iCs/>
              </w:rPr>
            </w:pPr>
            <w:r>
              <w:rPr>
                <w:i/>
              </w:rPr>
              <w:t>Arturo Íñiguez Yuste</w:t>
            </w:r>
          </w:p>
        </w:tc>
      </w:tr>
      <w:tr w:rsidR="000122F3" w:rsidRPr="000122F3" w14:paraId="326D7576" w14:textId="77777777" w:rsidTr="00934A52">
        <w:tc>
          <w:tcPr>
            <w:tcW w:w="1203" w:type="pct"/>
            <w:hideMark/>
          </w:tcPr>
          <w:p w14:paraId="74416C4B" w14:textId="77777777" w:rsidR="000122F3" w:rsidRPr="000122F3" w:rsidRDefault="000122F3" w:rsidP="000122F3">
            <w:pPr>
              <w:overflowPunct w:val="0"/>
              <w:autoSpaceDE w:val="0"/>
              <w:autoSpaceDN w:val="0"/>
              <w:adjustRightInd w:val="0"/>
              <w:rPr>
                <w:i/>
              </w:rPr>
            </w:pPr>
            <w:r>
              <w:rPr>
                <w:i/>
              </w:rPr>
              <w:t>Teléfono:</w:t>
            </w:r>
          </w:p>
        </w:tc>
        <w:tc>
          <w:tcPr>
            <w:tcW w:w="3797" w:type="pct"/>
            <w:hideMark/>
          </w:tcPr>
          <w:p w14:paraId="0CE46E70" w14:textId="77777777" w:rsidR="000122F3" w:rsidRPr="000122F3" w:rsidRDefault="000122F3" w:rsidP="000122F3">
            <w:pPr>
              <w:overflowPunct w:val="0"/>
              <w:autoSpaceDE w:val="0"/>
              <w:autoSpaceDN w:val="0"/>
              <w:adjustRightInd w:val="0"/>
              <w:rPr>
                <w:i/>
              </w:rPr>
            </w:pPr>
            <w:r>
              <w:rPr>
                <w:i/>
              </w:rPr>
              <w:t>+32 25468768</w:t>
            </w:r>
          </w:p>
        </w:tc>
      </w:tr>
      <w:tr w:rsidR="000122F3" w:rsidRPr="000122F3" w14:paraId="753D0F57" w14:textId="77777777" w:rsidTr="00934A52">
        <w:tc>
          <w:tcPr>
            <w:tcW w:w="1203" w:type="pct"/>
            <w:hideMark/>
          </w:tcPr>
          <w:p w14:paraId="2C40013E" w14:textId="77777777" w:rsidR="000122F3" w:rsidRPr="000122F3" w:rsidRDefault="000122F3" w:rsidP="000122F3">
            <w:pPr>
              <w:overflowPunct w:val="0"/>
              <w:autoSpaceDE w:val="0"/>
              <w:autoSpaceDN w:val="0"/>
              <w:adjustRightInd w:val="0"/>
              <w:rPr>
                <w:i/>
              </w:rPr>
            </w:pPr>
            <w:r>
              <w:rPr>
                <w:i/>
              </w:rPr>
              <w:t>Correo electrónico:</w:t>
            </w:r>
          </w:p>
        </w:tc>
        <w:tc>
          <w:tcPr>
            <w:tcW w:w="3797" w:type="pct"/>
            <w:hideMark/>
          </w:tcPr>
          <w:p w14:paraId="2E7C650A" w14:textId="77777777" w:rsidR="000122F3" w:rsidRPr="000122F3" w:rsidRDefault="00236A60" w:rsidP="000122F3">
            <w:pPr>
              <w:overflowPunct w:val="0"/>
              <w:autoSpaceDE w:val="0"/>
              <w:autoSpaceDN w:val="0"/>
              <w:adjustRightInd w:val="0"/>
              <w:rPr>
                <w:i/>
              </w:rPr>
            </w:pPr>
            <w:hyperlink r:id="rId45" w:history="1">
              <w:r w:rsidR="00E167DC">
                <w:rPr>
                  <w:i/>
                  <w:color w:val="0000FF"/>
                  <w:u w:val="single"/>
                </w:rPr>
                <w:t>Arturo.Iniguez@eesc.europa.eu</w:t>
              </w:r>
            </w:hyperlink>
          </w:p>
        </w:tc>
      </w:tr>
    </w:tbl>
    <w:p w14:paraId="0B0F00AD" w14:textId="52980ED5" w:rsidR="007F5784" w:rsidRDefault="007F5784">
      <w:pPr>
        <w:spacing w:after="160" w:line="259" w:lineRule="auto"/>
        <w:jc w:val="left"/>
      </w:pPr>
    </w:p>
    <w:p w14:paraId="14026A78" w14:textId="4FAE1588" w:rsidR="007F5784" w:rsidRDefault="007F5784" w:rsidP="007F5784">
      <w:pPr>
        <w:pStyle w:val="Heading1"/>
        <w:rPr>
          <w:b/>
        </w:rPr>
      </w:pPr>
      <w:bookmarkStart w:id="11" w:name="_Toc216951826"/>
      <w:r>
        <w:rPr>
          <w:b/>
        </w:rPr>
        <w:t>RELACIONES EXTERIORES</w:t>
      </w:r>
      <w:bookmarkEnd w:id="11"/>
    </w:p>
    <w:p w14:paraId="3BBB3E68" w14:textId="77777777" w:rsidR="007F5784" w:rsidRDefault="007F5784" w:rsidP="007F5784"/>
    <w:p w14:paraId="15F03B8E" w14:textId="19987F61" w:rsidR="00237C67" w:rsidRPr="00C62A6C" w:rsidRDefault="00237C67" w:rsidP="00237C67">
      <w:pPr>
        <w:widowControl w:val="0"/>
        <w:numPr>
          <w:ilvl w:val="0"/>
          <w:numId w:val="15"/>
        </w:numPr>
        <w:overflowPunct w:val="0"/>
        <w:autoSpaceDE w:val="0"/>
        <w:autoSpaceDN w:val="0"/>
        <w:adjustRightInd w:val="0"/>
        <w:spacing w:line="276" w:lineRule="auto"/>
        <w:ind w:left="567" w:hanging="567"/>
        <w:contextualSpacing/>
        <w:jc w:val="left"/>
        <w:textAlignment w:val="baseline"/>
        <w:rPr>
          <w:sz w:val="28"/>
          <w:szCs w:val="28"/>
        </w:rPr>
      </w:pPr>
      <w:r w:rsidRPr="00C62A6C">
        <w:rPr>
          <w:b/>
          <w:i/>
          <w:sz w:val="28"/>
        </w:rPr>
        <w:fldChar w:fldCharType="begin"/>
      </w:r>
      <w:r w:rsidRPr="00C62A6C">
        <w:rPr>
          <w:b/>
          <w:i/>
          <w:sz w:val="28"/>
        </w:rPr>
        <w:instrText>HYPERLINK "https://www.eesc.europa.eu/es/our-work/opinions-information-reports/opinions/european-unions-strategic-approach-black-sea-region"</w:instrText>
      </w:r>
      <w:r w:rsidRPr="00C62A6C">
        <w:rPr>
          <w:b/>
          <w:i/>
          <w:sz w:val="28"/>
        </w:rPr>
        <w:fldChar w:fldCharType="separate"/>
      </w:r>
      <w:r>
        <w:rPr>
          <w:b/>
          <w:i/>
          <w:color w:val="0000FF"/>
          <w:sz w:val="28"/>
          <w:u w:val="single"/>
        </w:rPr>
        <w:t>El enfoque estratégico de la Unión Europea para la región del mar Negro</w:t>
      </w:r>
    </w:p>
    <w:p w14:paraId="3C2969D6"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sidRPr="00C62A6C">
        <w:rPr>
          <w:b/>
          <w:i/>
          <w:sz w:val="28"/>
        </w:rPr>
        <w:fldChar w:fldCharType="end"/>
      </w:r>
    </w:p>
    <w:tbl>
      <w:tblPr>
        <w:tblStyle w:val="TableGrid14"/>
        <w:tblW w:w="492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7112"/>
      </w:tblGrid>
      <w:tr w:rsidR="00237C67" w:rsidRPr="00237C67" w14:paraId="7F23DD4D" w14:textId="77777777" w:rsidTr="00C201AB">
        <w:trPr>
          <w:trHeight w:val="445"/>
        </w:trPr>
        <w:tc>
          <w:tcPr>
            <w:tcW w:w="1111" w:type="pct"/>
          </w:tcPr>
          <w:p w14:paraId="1BCE19E0"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Ponente</w:t>
            </w:r>
          </w:p>
        </w:tc>
        <w:tc>
          <w:tcPr>
            <w:tcW w:w="3889" w:type="pct"/>
          </w:tcPr>
          <w:p w14:paraId="4CC365C4" w14:textId="0A5B6F9A" w:rsidR="00237C67" w:rsidRPr="00237C67" w:rsidRDefault="00237C67" w:rsidP="00237C67">
            <w:pPr>
              <w:tabs>
                <w:tab w:val="center" w:pos="284"/>
              </w:tabs>
              <w:overflowPunct w:val="0"/>
              <w:autoSpaceDE w:val="0"/>
              <w:autoSpaceDN w:val="0"/>
              <w:adjustRightInd w:val="0"/>
              <w:ind w:left="266" w:hanging="266"/>
              <w:textAlignment w:val="baseline"/>
            </w:pPr>
            <w:r>
              <w:t>Milena ANGELOVA (Grupo de Empresarios – BG)</w:t>
            </w:r>
          </w:p>
        </w:tc>
      </w:tr>
      <w:tr w:rsidR="00237C67" w:rsidRPr="00237C67" w14:paraId="1B1D2359" w14:textId="77777777" w:rsidTr="00C201AB">
        <w:tc>
          <w:tcPr>
            <w:tcW w:w="1111" w:type="pct"/>
          </w:tcPr>
          <w:p w14:paraId="1DEDCFA8" w14:textId="77777777" w:rsidR="00237C67" w:rsidRPr="00237C67" w:rsidRDefault="00237C67" w:rsidP="00237C67">
            <w:pPr>
              <w:tabs>
                <w:tab w:val="center" w:pos="284"/>
              </w:tabs>
              <w:overflowPunct w:val="0"/>
              <w:autoSpaceDE w:val="0"/>
              <w:autoSpaceDN w:val="0"/>
              <w:adjustRightInd w:val="0"/>
              <w:ind w:left="266" w:hanging="266"/>
              <w:textAlignment w:val="baseline"/>
              <w:rPr>
                <w:b/>
              </w:rPr>
            </w:pPr>
            <w:r>
              <w:rPr>
                <w:b/>
              </w:rPr>
              <w:t>Referencias</w:t>
            </w:r>
          </w:p>
        </w:tc>
        <w:tc>
          <w:tcPr>
            <w:tcW w:w="3889" w:type="pct"/>
          </w:tcPr>
          <w:p w14:paraId="25C8A6CE" w14:textId="16BE3594" w:rsidR="001A7442" w:rsidRDefault="001A7442" w:rsidP="00237C67">
            <w:pPr>
              <w:tabs>
                <w:tab w:val="center" w:pos="284"/>
              </w:tabs>
              <w:overflowPunct w:val="0"/>
              <w:autoSpaceDE w:val="0"/>
              <w:autoSpaceDN w:val="0"/>
              <w:adjustRightInd w:val="0"/>
              <w:ind w:left="266" w:hanging="266"/>
              <w:textAlignment w:val="baseline"/>
            </w:pPr>
            <w:r>
              <w:t>JOIN(2025) 135 final</w:t>
            </w:r>
          </w:p>
          <w:p w14:paraId="47441D19" w14:textId="338F915F" w:rsidR="00237C67" w:rsidRPr="00237C67" w:rsidRDefault="00237C67" w:rsidP="00237C67">
            <w:pPr>
              <w:tabs>
                <w:tab w:val="center" w:pos="284"/>
              </w:tabs>
              <w:overflowPunct w:val="0"/>
              <w:autoSpaceDE w:val="0"/>
              <w:autoSpaceDN w:val="0"/>
              <w:adjustRightInd w:val="0"/>
              <w:ind w:left="266" w:hanging="266"/>
              <w:textAlignment w:val="baseline"/>
            </w:pPr>
            <w:r>
              <w:t>EESC-2025-02608-00-00-AC</w:t>
            </w:r>
          </w:p>
        </w:tc>
      </w:tr>
    </w:tbl>
    <w:p w14:paraId="47E1C9F3"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3C0D4718"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rPr>
      </w:pPr>
      <w:r>
        <w:rPr>
          <w:b/>
        </w:rPr>
        <w:t>Puntos clave</w:t>
      </w:r>
    </w:p>
    <w:p w14:paraId="646D390F" w14:textId="77777777" w:rsidR="00237C67" w:rsidRPr="00237C67" w:rsidRDefault="00237C67" w:rsidP="00237C67">
      <w:pPr>
        <w:keepNext/>
        <w:keepLines/>
        <w:tabs>
          <w:tab w:val="center" w:pos="284"/>
        </w:tabs>
        <w:overflowPunct w:val="0"/>
        <w:autoSpaceDE w:val="0"/>
        <w:autoSpaceDN w:val="0"/>
        <w:adjustRightInd w:val="0"/>
        <w:ind w:left="266" w:hanging="266"/>
        <w:textAlignment w:val="baseline"/>
        <w:rPr>
          <w:b/>
          <w:lang w:val="en-GB"/>
        </w:rPr>
      </w:pPr>
    </w:p>
    <w:p w14:paraId="4D32F061" w14:textId="77777777" w:rsidR="00237C67" w:rsidRDefault="00237C67" w:rsidP="00237C67">
      <w:pPr>
        <w:overflowPunct w:val="0"/>
        <w:autoSpaceDE w:val="0"/>
        <w:autoSpaceDN w:val="0"/>
        <w:adjustRightInd w:val="0"/>
        <w:textAlignment w:val="baseline"/>
        <w:rPr>
          <w:bCs/>
          <w:iCs/>
        </w:rPr>
      </w:pPr>
      <w:r>
        <w:t>El CESE:</w:t>
      </w:r>
    </w:p>
    <w:p w14:paraId="0A01AEAC" w14:textId="77777777" w:rsidR="001A7442" w:rsidRPr="00237C67" w:rsidRDefault="001A7442" w:rsidP="00237C67">
      <w:pPr>
        <w:overflowPunct w:val="0"/>
        <w:autoSpaceDE w:val="0"/>
        <w:autoSpaceDN w:val="0"/>
        <w:adjustRightInd w:val="0"/>
        <w:textAlignment w:val="baseline"/>
        <w:rPr>
          <w:bCs/>
          <w:iCs/>
          <w:lang w:val="en-GB"/>
        </w:rPr>
      </w:pPr>
    </w:p>
    <w:p w14:paraId="363CA3B6"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acoge con satisfacción la </w:t>
      </w:r>
      <w:r>
        <w:rPr>
          <w:b/>
        </w:rPr>
        <w:t>largamente esperada iniciativa</w:t>
      </w:r>
      <w:r>
        <w:t xml:space="preserve"> que presta </w:t>
      </w:r>
      <w:r>
        <w:rPr>
          <w:b/>
        </w:rPr>
        <w:t>especial atención a la región del Mar Negro</w:t>
      </w:r>
      <w:r>
        <w:t xml:space="preserve"> y propone para ella un enfoque estratégico de la Unión Europea, pero señala que llega con </w:t>
      </w:r>
      <w:r>
        <w:rPr>
          <w:b/>
        </w:rPr>
        <w:t>un cierto retraso</w:t>
      </w:r>
      <w:r>
        <w:t xml:space="preserve"> y, por lo tanto, pide </w:t>
      </w:r>
      <w:r>
        <w:rPr>
          <w:b/>
        </w:rPr>
        <w:t>acciones rápidas y resueltas para ejecutarla</w:t>
      </w:r>
      <w:r>
        <w:t xml:space="preserve"> y que </w:t>
      </w:r>
      <w:r>
        <w:rPr>
          <w:b/>
        </w:rPr>
        <w:t>se le dote de recursos suficientes</w:t>
      </w:r>
      <w:r>
        <w:t>;</w:t>
      </w:r>
    </w:p>
    <w:p w14:paraId="4F615B3A"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subraya que, aunque </w:t>
      </w:r>
      <w:r>
        <w:rPr>
          <w:b/>
        </w:rPr>
        <w:t>todos los países de la región</w:t>
      </w:r>
      <w:r>
        <w:t xml:space="preserve"> están sufriendo las </w:t>
      </w:r>
      <w:r>
        <w:rPr>
          <w:b/>
        </w:rPr>
        <w:t>consecuencias negativas de las hostilidades militares</w:t>
      </w:r>
      <w:r>
        <w:t xml:space="preserve">, </w:t>
      </w:r>
      <w:r>
        <w:rPr>
          <w:b/>
        </w:rPr>
        <w:t>no se ha prestado apoyo social y económico específico a todos ellos en proporción a sus esfuerzos y sacrificios</w:t>
      </w:r>
      <w:r>
        <w:t>;</w:t>
      </w:r>
    </w:p>
    <w:p w14:paraId="64F59F4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insta a la Comisión a que, en consulta con los Estados miembros de la UE, los países de la región del mar Negro y todas las partes interesadas, </w:t>
      </w:r>
      <w:r>
        <w:rPr>
          <w:b/>
        </w:rPr>
        <w:t>proceda rápidamente</w:t>
      </w:r>
      <w:r>
        <w:t xml:space="preserve">, a ser posible antes de que acabe 2025, a </w:t>
      </w:r>
      <w:r>
        <w:rPr>
          <w:b/>
        </w:rPr>
        <w:t>preparar una estrategia pragmática y adecuadamente financiada para el desarrollo de la región</w:t>
      </w:r>
      <w:r>
        <w:t>;</w:t>
      </w:r>
    </w:p>
    <w:p w14:paraId="3DED480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lamenta que el </w:t>
      </w:r>
      <w:r>
        <w:rPr>
          <w:b/>
        </w:rPr>
        <w:t>anterior marco político de la UE</w:t>
      </w:r>
      <w:r>
        <w:t xml:space="preserve"> para la región (la Sinergia del Mar Negro de 2007) no cubriera la </w:t>
      </w:r>
      <w:r>
        <w:rPr>
          <w:b/>
        </w:rPr>
        <w:t>dimensión de seguridad</w:t>
      </w:r>
      <w:r>
        <w:t xml:space="preserve"> y subraya la </w:t>
      </w:r>
      <w:r>
        <w:rPr>
          <w:b/>
        </w:rPr>
        <w:t>necesidad de que las iniciativas de seguridad de la UE en la región del mar Negro produzcan resultados perceptibles</w:t>
      </w:r>
      <w:r>
        <w:t>;</w:t>
      </w:r>
    </w:p>
    <w:p w14:paraId="52F031F1"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subraya que </w:t>
      </w:r>
      <w:r>
        <w:rPr>
          <w:b/>
        </w:rPr>
        <w:t>lograr una paz duradera</w:t>
      </w:r>
      <w:r>
        <w:t xml:space="preserve"> es una </w:t>
      </w:r>
      <w:r>
        <w:rPr>
          <w:b/>
        </w:rPr>
        <w:t>condición previa necesaria y esencial para un desarrollo económico sostenible</w:t>
      </w:r>
      <w:r>
        <w:t xml:space="preserve"> y lamenta que no se incluya como objetivo en el documento;</w:t>
      </w:r>
    </w:p>
    <w:p w14:paraId="63B8D3C0"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considera que el </w:t>
      </w:r>
      <w:r>
        <w:rPr>
          <w:b/>
        </w:rPr>
        <w:t>mayor problema del enfoque estratégico</w:t>
      </w:r>
      <w:r>
        <w:t xml:space="preserve"> reside en que se basa totalmente en los </w:t>
      </w:r>
      <w:r>
        <w:rPr>
          <w:b/>
        </w:rPr>
        <w:t>instrumentos financieros</w:t>
      </w:r>
      <w:r>
        <w:t xml:space="preserve"> y los </w:t>
      </w:r>
      <w:r>
        <w:rPr>
          <w:b/>
        </w:rPr>
        <w:t>recursos presupuestarios existentes que forman parte del marco financiero plurianual 2021-2027</w:t>
      </w:r>
      <w:r>
        <w:t xml:space="preserve">; exige que los </w:t>
      </w:r>
      <w:r>
        <w:rPr>
          <w:b/>
        </w:rPr>
        <w:t>instrumentos se simplifiquen, combinen y prioricen</w:t>
      </w:r>
      <w:r>
        <w:t xml:space="preserve"> para producir un efecto inmediato y visible;</w:t>
      </w:r>
    </w:p>
    <w:p w14:paraId="44A0477D" w14:textId="77777777" w:rsidR="00237C67" w:rsidRPr="00237C67" w:rsidRDefault="00237C67" w:rsidP="00054C58">
      <w:pPr>
        <w:numPr>
          <w:ilvl w:val="0"/>
          <w:numId w:val="31"/>
        </w:numPr>
        <w:overflowPunct w:val="0"/>
        <w:autoSpaceDE w:val="0"/>
        <w:autoSpaceDN w:val="0"/>
        <w:adjustRightInd w:val="0"/>
        <w:ind w:left="284" w:hanging="284"/>
        <w:contextualSpacing/>
        <w:textAlignment w:val="baseline"/>
        <w:rPr>
          <w:bCs/>
          <w:iCs/>
        </w:rPr>
      </w:pPr>
      <w:r>
        <w:t xml:space="preserve">recomienda </w:t>
      </w:r>
      <w:r>
        <w:rPr>
          <w:b/>
        </w:rPr>
        <w:t>que se lleve a cabo un análisis de impacto en profundidad de todos los instrumentos actualmente vigentes</w:t>
      </w:r>
      <w:r>
        <w:t xml:space="preserve"> y que, sobre esta base, se formulen </w:t>
      </w:r>
      <w:r>
        <w:rPr>
          <w:b/>
        </w:rPr>
        <w:t>compromisos más específicos y claros</w:t>
      </w:r>
      <w:r>
        <w:t xml:space="preserve"> en relación con su uso en el futuro;</w:t>
      </w:r>
    </w:p>
    <w:p w14:paraId="53E35EF9" w14:textId="77777777" w:rsidR="00237C67" w:rsidRPr="00237C67" w:rsidRDefault="00237C67" w:rsidP="00054C58">
      <w:pPr>
        <w:widowControl w:val="0"/>
        <w:numPr>
          <w:ilvl w:val="0"/>
          <w:numId w:val="31"/>
        </w:numPr>
        <w:overflowPunct w:val="0"/>
        <w:autoSpaceDE w:val="0"/>
        <w:autoSpaceDN w:val="0"/>
        <w:adjustRightInd w:val="0"/>
        <w:ind w:left="284" w:hanging="284"/>
        <w:contextualSpacing/>
        <w:textAlignment w:val="baseline"/>
      </w:pPr>
      <w:r>
        <w:t xml:space="preserve">considera que debe prestarse más atención a la </w:t>
      </w:r>
      <w:r>
        <w:rPr>
          <w:b/>
        </w:rPr>
        <w:t>lucha contra las amenazas híbridas</w:t>
      </w:r>
      <w:r>
        <w:t xml:space="preserve"> y las </w:t>
      </w:r>
      <w:r>
        <w:rPr>
          <w:b/>
        </w:rPr>
        <w:t>anomalías en la gobernanza</w:t>
      </w:r>
      <w:r>
        <w:t>, que pueden socavar la estabilidad regional.</w:t>
      </w:r>
    </w:p>
    <w:p w14:paraId="54BF6B1F" w14:textId="77777777" w:rsidR="00237C67" w:rsidRPr="00237C67" w:rsidRDefault="00237C67" w:rsidP="00237C67">
      <w:pPr>
        <w:widowControl w:val="0"/>
        <w:overflowPunct w:val="0"/>
        <w:autoSpaceDE w:val="0"/>
        <w:autoSpaceDN w:val="0"/>
        <w:adjustRightInd w:val="0"/>
        <w:ind w:left="709"/>
        <w:textAlignment w:val="baseline"/>
        <w:rPr>
          <w:szCs w:val="20"/>
          <w:lang w:val="en-GB"/>
        </w:rPr>
      </w:pPr>
    </w:p>
    <w:tbl>
      <w:tblPr>
        <w:tblStyle w:val="TableGrid1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237C67" w:rsidRPr="00237C67" w14:paraId="500155AD" w14:textId="77777777" w:rsidTr="00934A52">
        <w:tc>
          <w:tcPr>
            <w:tcW w:w="1203" w:type="pct"/>
          </w:tcPr>
          <w:p w14:paraId="4E7D56FB" w14:textId="77777777" w:rsidR="00237C67" w:rsidRPr="00237C67" w:rsidRDefault="00237C67" w:rsidP="00237C67">
            <w:pPr>
              <w:overflowPunct w:val="0"/>
              <w:autoSpaceDE w:val="0"/>
              <w:autoSpaceDN w:val="0"/>
              <w:adjustRightInd w:val="0"/>
              <w:textAlignment w:val="baseline"/>
              <w:rPr>
                <w:i/>
              </w:rPr>
            </w:pPr>
            <w:r>
              <w:rPr>
                <w:b/>
                <w:i/>
              </w:rPr>
              <w:t>Contacto:</w:t>
            </w:r>
          </w:p>
        </w:tc>
        <w:tc>
          <w:tcPr>
            <w:tcW w:w="3797" w:type="pct"/>
          </w:tcPr>
          <w:p w14:paraId="397EC967" w14:textId="77777777" w:rsidR="00237C67" w:rsidRPr="00237C67" w:rsidRDefault="00237C67" w:rsidP="00237C67">
            <w:pPr>
              <w:overflowPunct w:val="0"/>
              <w:autoSpaceDE w:val="0"/>
              <w:autoSpaceDN w:val="0"/>
              <w:adjustRightInd w:val="0"/>
              <w:textAlignment w:val="baseline"/>
              <w:rPr>
                <w:i/>
                <w:iCs/>
              </w:rPr>
            </w:pPr>
            <w:r>
              <w:t>Marie-Laurence Drillon</w:t>
            </w:r>
          </w:p>
        </w:tc>
      </w:tr>
      <w:tr w:rsidR="00237C67" w:rsidRPr="00237C67" w14:paraId="4A4056F6" w14:textId="77777777" w:rsidTr="00934A52">
        <w:tc>
          <w:tcPr>
            <w:tcW w:w="1203" w:type="pct"/>
          </w:tcPr>
          <w:p w14:paraId="5E409ED8" w14:textId="77777777" w:rsidR="00237C67" w:rsidRPr="00237C67" w:rsidRDefault="00237C67" w:rsidP="00237C67">
            <w:pPr>
              <w:overflowPunct w:val="0"/>
              <w:autoSpaceDE w:val="0"/>
              <w:autoSpaceDN w:val="0"/>
              <w:adjustRightInd w:val="0"/>
              <w:textAlignment w:val="baseline"/>
              <w:rPr>
                <w:i/>
              </w:rPr>
            </w:pPr>
            <w:r>
              <w:rPr>
                <w:i/>
              </w:rPr>
              <w:t>Teléfono:</w:t>
            </w:r>
          </w:p>
        </w:tc>
        <w:tc>
          <w:tcPr>
            <w:tcW w:w="3797" w:type="pct"/>
          </w:tcPr>
          <w:p w14:paraId="701AABDE" w14:textId="70D525BC" w:rsidR="00237C67" w:rsidRPr="00237C67" w:rsidRDefault="00237C67" w:rsidP="00237C67">
            <w:pPr>
              <w:overflowPunct w:val="0"/>
              <w:autoSpaceDE w:val="0"/>
              <w:autoSpaceDN w:val="0"/>
              <w:adjustRightInd w:val="0"/>
              <w:textAlignment w:val="baseline"/>
              <w:rPr>
                <w:i/>
              </w:rPr>
            </w:pPr>
            <w:r>
              <w:rPr>
                <w:i/>
              </w:rPr>
              <w:t>+32 2546 8320</w:t>
            </w:r>
          </w:p>
        </w:tc>
      </w:tr>
      <w:tr w:rsidR="00237C67" w:rsidRPr="00237C67" w14:paraId="532005DF" w14:textId="77777777" w:rsidTr="00934A52">
        <w:tc>
          <w:tcPr>
            <w:tcW w:w="1203" w:type="pct"/>
          </w:tcPr>
          <w:p w14:paraId="21550A30" w14:textId="77777777" w:rsidR="00237C67" w:rsidRPr="00237C67" w:rsidRDefault="00237C67" w:rsidP="00237C67">
            <w:pPr>
              <w:overflowPunct w:val="0"/>
              <w:autoSpaceDE w:val="0"/>
              <w:autoSpaceDN w:val="0"/>
              <w:adjustRightInd w:val="0"/>
              <w:textAlignment w:val="baseline"/>
              <w:rPr>
                <w:i/>
              </w:rPr>
            </w:pPr>
            <w:r>
              <w:rPr>
                <w:i/>
              </w:rPr>
              <w:t>Correo electrónico:</w:t>
            </w:r>
          </w:p>
        </w:tc>
        <w:tc>
          <w:tcPr>
            <w:tcW w:w="3797" w:type="pct"/>
          </w:tcPr>
          <w:p w14:paraId="56749FB7" w14:textId="77777777" w:rsidR="00237C67" w:rsidRPr="00237C67" w:rsidRDefault="00236A60" w:rsidP="00237C67">
            <w:pPr>
              <w:overflowPunct w:val="0"/>
              <w:autoSpaceDE w:val="0"/>
              <w:autoSpaceDN w:val="0"/>
              <w:adjustRightInd w:val="0"/>
              <w:textAlignment w:val="baseline"/>
              <w:rPr>
                <w:i/>
              </w:rPr>
            </w:pPr>
            <w:hyperlink r:id="rId46" w:history="1">
              <w:r w:rsidR="00E167DC">
                <w:rPr>
                  <w:i/>
                  <w:color w:val="0000FF"/>
                  <w:u w:val="single"/>
                </w:rPr>
                <w:t>Marie-Laurence.Drillon@eesc.europa.eu</w:t>
              </w:r>
            </w:hyperlink>
          </w:p>
        </w:tc>
      </w:tr>
    </w:tbl>
    <w:p w14:paraId="74D4B137" w14:textId="77777777" w:rsidR="007F5784" w:rsidRDefault="007F5784" w:rsidP="007F5784">
      <w:pPr>
        <w:spacing w:after="160" w:line="259" w:lineRule="auto"/>
        <w:jc w:val="left"/>
      </w:pPr>
    </w:p>
    <w:p w14:paraId="210E1333" w14:textId="1FC47D3D" w:rsidR="00C913CA" w:rsidRPr="00C913CA" w:rsidRDefault="006D2C8A" w:rsidP="00C913CA">
      <w:pPr>
        <w:widowControl w:val="0"/>
        <w:numPr>
          <w:ilvl w:val="0"/>
          <w:numId w:val="4"/>
        </w:numPr>
        <w:overflowPunct w:val="0"/>
        <w:autoSpaceDE w:val="0"/>
        <w:autoSpaceDN w:val="0"/>
        <w:adjustRightInd w:val="0"/>
        <w:ind w:hanging="567"/>
        <w:textAlignment w:val="baseline"/>
        <w:rPr>
          <w:sz w:val="20"/>
          <w:szCs w:val="20"/>
        </w:rPr>
      </w:pPr>
      <w:r>
        <w:br w:type="page"/>
      </w:r>
      <w:hyperlink r:id="rId47" w:history="1">
        <w:r>
          <w:rPr>
            <w:b/>
            <w:i/>
            <w:color w:val="0000FF"/>
            <w:sz w:val="28"/>
            <w:u w:val="single"/>
          </w:rPr>
          <w:t>Europa Global (propuesta del marco financiero plurianual)</w:t>
        </w:r>
      </w:hyperlink>
    </w:p>
    <w:p w14:paraId="340361FF"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617F8D50" w14:textId="77777777" w:rsidTr="00C201AB">
        <w:tc>
          <w:tcPr>
            <w:tcW w:w="1077" w:type="pct"/>
          </w:tcPr>
          <w:p w14:paraId="00D33EA5"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4316EC99" w14:textId="50054E32" w:rsidR="00C913CA" w:rsidRPr="00C913CA" w:rsidRDefault="00C913CA" w:rsidP="00C913CA">
            <w:pPr>
              <w:tabs>
                <w:tab w:val="center" w:pos="284"/>
              </w:tabs>
              <w:overflowPunct w:val="0"/>
              <w:autoSpaceDE w:val="0"/>
              <w:autoSpaceDN w:val="0"/>
              <w:adjustRightInd w:val="0"/>
              <w:ind w:left="266" w:right="-3091" w:hanging="266"/>
              <w:textAlignment w:val="baseline"/>
            </w:pPr>
            <w:r>
              <w:t>Mateusz SZYMAŃSKI (Grupo de Trabajadores – PL)</w:t>
            </w:r>
          </w:p>
        </w:tc>
      </w:tr>
      <w:tr w:rsidR="00C913CA" w:rsidRPr="00C913CA" w14:paraId="59C9D0E5" w14:textId="77777777" w:rsidTr="00C201AB">
        <w:tc>
          <w:tcPr>
            <w:tcW w:w="1077" w:type="pct"/>
          </w:tcPr>
          <w:p w14:paraId="755D124C"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7376BE83" w14:textId="7695C77A" w:rsidR="00C913CA" w:rsidRDefault="00C913CA" w:rsidP="00C913CA">
            <w:pPr>
              <w:tabs>
                <w:tab w:val="center" w:pos="284"/>
              </w:tabs>
              <w:overflowPunct w:val="0"/>
              <w:autoSpaceDE w:val="0"/>
              <w:autoSpaceDN w:val="0"/>
              <w:adjustRightInd w:val="0"/>
              <w:ind w:left="266" w:right="-3091" w:hanging="266"/>
              <w:textAlignment w:val="baseline"/>
            </w:pPr>
            <w:r>
              <w:t>Luca JAHIER (Grupo de Organizaciones de la Sociedad Civil – IT)</w:t>
            </w:r>
          </w:p>
          <w:p w14:paraId="0E93DE74" w14:textId="1F3DE290" w:rsidR="00515DDF" w:rsidRPr="00C913CA" w:rsidRDefault="00515DDF" w:rsidP="00C913CA">
            <w:pPr>
              <w:tabs>
                <w:tab w:val="center" w:pos="284"/>
              </w:tabs>
              <w:overflowPunct w:val="0"/>
              <w:autoSpaceDE w:val="0"/>
              <w:autoSpaceDN w:val="0"/>
              <w:adjustRightInd w:val="0"/>
              <w:ind w:left="266" w:right="-3091" w:hanging="266"/>
              <w:textAlignment w:val="baseline"/>
            </w:pPr>
          </w:p>
        </w:tc>
      </w:tr>
      <w:tr w:rsidR="00C913CA" w:rsidRPr="00C913CA" w14:paraId="65944F45" w14:textId="77777777" w:rsidTr="00C201AB">
        <w:tc>
          <w:tcPr>
            <w:tcW w:w="1077" w:type="pct"/>
          </w:tcPr>
          <w:p w14:paraId="2E5FC958" w14:textId="77777777" w:rsidR="00C913CA" w:rsidRPr="00C913CA" w:rsidRDefault="00C913CA" w:rsidP="00C913CA">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6347258A" w14:textId="51379C47" w:rsidR="00515DDF" w:rsidRDefault="00515DDF" w:rsidP="00C913CA">
            <w:pPr>
              <w:tabs>
                <w:tab w:val="center" w:pos="284"/>
              </w:tabs>
              <w:overflowPunct w:val="0"/>
              <w:autoSpaceDE w:val="0"/>
              <w:autoSpaceDN w:val="0"/>
              <w:adjustRightInd w:val="0"/>
              <w:ind w:left="266" w:right="-3091" w:hanging="266"/>
              <w:textAlignment w:val="baseline"/>
            </w:pPr>
            <w:r>
              <w:t>COM(2025) 551 final</w:t>
            </w:r>
          </w:p>
          <w:p w14:paraId="2BBBFAE1" w14:textId="6B128210" w:rsidR="00C913CA" w:rsidRPr="00C913CA" w:rsidRDefault="00C913CA" w:rsidP="00C913CA">
            <w:pPr>
              <w:tabs>
                <w:tab w:val="center" w:pos="284"/>
              </w:tabs>
              <w:overflowPunct w:val="0"/>
              <w:autoSpaceDE w:val="0"/>
              <w:autoSpaceDN w:val="0"/>
              <w:adjustRightInd w:val="0"/>
              <w:ind w:left="266" w:right="-3091" w:hanging="266"/>
              <w:textAlignment w:val="baseline"/>
            </w:pPr>
            <w:r>
              <w:t>EESC-2025-02605-00-00-AC</w:t>
            </w:r>
          </w:p>
        </w:tc>
      </w:tr>
    </w:tbl>
    <w:p w14:paraId="05B1F97D" w14:textId="77777777" w:rsidR="00C913CA" w:rsidRPr="00C913CA" w:rsidRDefault="00C913CA" w:rsidP="00C913CA">
      <w:pPr>
        <w:tabs>
          <w:tab w:val="center" w:pos="284"/>
        </w:tabs>
        <w:overflowPunct w:val="0"/>
        <w:autoSpaceDE w:val="0"/>
        <w:autoSpaceDN w:val="0"/>
        <w:adjustRightInd w:val="0"/>
        <w:ind w:left="266" w:hanging="266"/>
        <w:textAlignment w:val="baseline"/>
        <w:rPr>
          <w:b/>
          <w:lang w:val="en-GB"/>
        </w:rPr>
      </w:pPr>
    </w:p>
    <w:p w14:paraId="17BCE7B6"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rPr>
      </w:pPr>
      <w:r>
        <w:rPr>
          <w:b/>
        </w:rPr>
        <w:t>Puntos clave</w:t>
      </w:r>
    </w:p>
    <w:p w14:paraId="4511E68B" w14:textId="77777777" w:rsidR="00C913CA" w:rsidRPr="00C913CA" w:rsidRDefault="00C913CA" w:rsidP="00C913CA">
      <w:pPr>
        <w:keepNext/>
        <w:keepLines/>
        <w:tabs>
          <w:tab w:val="center" w:pos="284"/>
        </w:tabs>
        <w:overflowPunct w:val="0"/>
        <w:autoSpaceDE w:val="0"/>
        <w:autoSpaceDN w:val="0"/>
        <w:adjustRightInd w:val="0"/>
        <w:ind w:left="266" w:hanging="266"/>
        <w:textAlignment w:val="baseline"/>
        <w:rPr>
          <w:b/>
          <w:lang w:val="en-GB"/>
        </w:rPr>
      </w:pPr>
    </w:p>
    <w:p w14:paraId="5AC62987" w14:textId="266ED79A" w:rsidR="00C913CA" w:rsidRDefault="00C913CA" w:rsidP="00C913CA">
      <w:pPr>
        <w:overflowPunct w:val="0"/>
        <w:autoSpaceDE w:val="0"/>
        <w:autoSpaceDN w:val="0"/>
        <w:adjustRightInd w:val="0"/>
        <w:textAlignment w:val="baseline"/>
      </w:pPr>
      <w:r>
        <w:t>El CESE:</w:t>
      </w:r>
    </w:p>
    <w:p w14:paraId="0551E845" w14:textId="77777777" w:rsidR="00934A52" w:rsidRDefault="00934A52" w:rsidP="00C913CA">
      <w:pPr>
        <w:overflowPunct w:val="0"/>
        <w:autoSpaceDE w:val="0"/>
        <w:autoSpaceDN w:val="0"/>
        <w:adjustRightInd w:val="0"/>
        <w:textAlignment w:val="baseline"/>
        <w:rPr>
          <w:bCs/>
          <w:iCs/>
        </w:rPr>
      </w:pPr>
    </w:p>
    <w:p w14:paraId="7F34015F"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acoge con satisfacción la propuesta de la Comisión de aumentar el gasto en las políticas exteriores de la Unión en el próximo marco financiero plurianual (MFP), con un instrumento de Europa Global que incluye una reserva para Ucrania, y considera que este aumento es esencial para que la Unión consolide su papel como actor mundial, defienda sus valores y desarrolle la autonomía estratégica;</w:t>
      </w:r>
    </w:p>
    <w:p w14:paraId="092597D8" w14:textId="40148BA2"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considera que la Unión debe desempeñar un papel de liderazgo en los esfuerzos de desarrollo y ayuda humanitaria y en la revitalización del sistema de las Naciones Unidas, y que Global Gateway debe convertirse en su principal instrumento; </w:t>
      </w:r>
    </w:p>
    <w:p w14:paraId="023EF68A"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señala que la Plataforma de Diálogo de la Sociedad Civil y los Entes Locales sobre Global Gateway ha sido ajena a la toma de decisiones, lo que ha generado un diálogo fragmentado. El CESE pide que se garantice una participación significativa, también del CESE y del CDR;</w:t>
      </w:r>
    </w:p>
    <w:p w14:paraId="4484C10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hace hincapié en la necesidad de reforzar la coherencia entre la política exterior, el desarrollo, el comercio y el Fondo Europeo de Competitividad para lograr un desarrollo sostenible y la resiliencia económica;</w:t>
      </w:r>
    </w:p>
    <w:p w14:paraId="33EE32E4"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 pesar de la evaluación positiva de la flexibilidad propuesta en la acción exterior, espera plena transparencia y rendición de cuentas en el gasto de los fondos;</w:t>
      </w:r>
    </w:p>
    <w:p w14:paraId="54231D48"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pide que se amplíe el indicador de desigualdad de la Comisión a los proyectos de Global Gateway; </w:t>
      </w:r>
    </w:p>
    <w:p w14:paraId="622745CB"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 xml:space="preserve">espera que los organismos existentes, como las plataformas de la sociedad civil, participen en mayor medida para mantener relaciones con las organizaciones de los países socios; </w:t>
      </w:r>
    </w:p>
    <w:p w14:paraId="17AD7981"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apoya todos los esfuerzos por reforzar la prosperidad y la seguridad en nuestra vecindad y, por tanto, en la UE, así como una nueva ampliación de la Unión;</w:t>
      </w:r>
    </w:p>
    <w:p w14:paraId="751B0DE5"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destaca la necesidad de una financiación predecible y estable para las organizaciones de la sociedad civil, en particular para reforzar la democracia, el espacio cívico y la igualdad de género;</w:t>
      </w:r>
    </w:p>
    <w:p w14:paraId="29F107B3"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espera que los objetivos de la cooperación económica y el espíritu empresarial vayan acompañados de salvaguardias ambiciosas en los ámbitos medioambiental, social y de derechos humanos;</w:t>
      </w:r>
    </w:p>
    <w:p w14:paraId="1EC11B19" w14:textId="77777777" w:rsidR="00C913CA" w:rsidRPr="00C913CA" w:rsidRDefault="00C913CA" w:rsidP="00054C58">
      <w:pPr>
        <w:widowControl w:val="0"/>
        <w:numPr>
          <w:ilvl w:val="0"/>
          <w:numId w:val="32"/>
        </w:numPr>
        <w:overflowPunct w:val="0"/>
        <w:autoSpaceDE w:val="0"/>
        <w:autoSpaceDN w:val="0"/>
        <w:adjustRightInd w:val="0"/>
        <w:ind w:left="284" w:hanging="284"/>
        <w:textAlignment w:val="baseline"/>
        <w:rPr>
          <w:bCs/>
          <w:iCs/>
        </w:rPr>
      </w:pPr>
      <w:r>
        <w:t>se opone al enfoque de suspender los pagos en el contexto de la política migratoria, haciendo hincapié en la necesidad de incentivos positivos para alcanzar los objetivos declarados.</w:t>
      </w:r>
    </w:p>
    <w:p w14:paraId="713942FB" w14:textId="77777777" w:rsidR="00C913CA" w:rsidRPr="00C913CA" w:rsidRDefault="00C913CA" w:rsidP="00C913CA">
      <w:pPr>
        <w:widowControl w:val="0"/>
        <w:overflowPunct w:val="0"/>
        <w:autoSpaceDE w:val="0"/>
        <w:autoSpaceDN w:val="0"/>
        <w:adjustRightInd w:val="0"/>
        <w:ind w:left="709"/>
        <w:textAlignment w:val="baseline"/>
        <w:rPr>
          <w:szCs w:val="20"/>
          <w:lang w:val="en-GB"/>
        </w:rPr>
      </w:pPr>
    </w:p>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3"/>
        <w:gridCol w:w="4296"/>
      </w:tblGrid>
      <w:tr w:rsidR="00C913CA" w:rsidRPr="00C913CA" w14:paraId="430D0F1E" w14:textId="77777777" w:rsidTr="00C201AB">
        <w:tc>
          <w:tcPr>
            <w:tcW w:w="1077" w:type="pct"/>
          </w:tcPr>
          <w:tbl>
            <w:tblPr>
              <w:tblStyle w:val="TableGrid"/>
              <w:tblW w:w="47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2650"/>
            </w:tblGrid>
            <w:tr w:rsidR="006559C7" w:rsidRPr="00A6689B" w14:paraId="566687C9" w14:textId="77777777" w:rsidTr="00934A52">
              <w:tc>
                <w:tcPr>
                  <w:tcW w:w="2226" w:type="pct"/>
                </w:tcPr>
                <w:p w14:paraId="5EE88CD7" w14:textId="77777777" w:rsidR="006559C7" w:rsidRPr="006559C7" w:rsidRDefault="006559C7" w:rsidP="006559C7">
                  <w:pPr>
                    <w:ind w:hanging="78"/>
                    <w:rPr>
                      <w:i/>
                      <w:sz w:val="20"/>
                      <w:szCs w:val="20"/>
                    </w:rPr>
                  </w:pPr>
                  <w:r>
                    <w:rPr>
                      <w:b/>
                      <w:i/>
                      <w:sz w:val="20"/>
                    </w:rPr>
                    <w:t>Contacto:</w:t>
                  </w:r>
                </w:p>
              </w:tc>
              <w:tc>
                <w:tcPr>
                  <w:tcW w:w="2774" w:type="pct"/>
                </w:tcPr>
                <w:p w14:paraId="1A70046D" w14:textId="77777777" w:rsidR="006559C7" w:rsidRPr="006559C7" w:rsidRDefault="006559C7" w:rsidP="006559C7">
                  <w:pPr>
                    <w:ind w:hanging="78"/>
                    <w:rPr>
                      <w:i/>
                      <w:sz w:val="20"/>
                      <w:szCs w:val="20"/>
                    </w:rPr>
                  </w:pPr>
                  <w:r>
                    <w:rPr>
                      <w:i/>
                      <w:sz w:val="20"/>
                    </w:rPr>
                    <w:t xml:space="preserve">Daniele Vitali </w:t>
                  </w:r>
                </w:p>
              </w:tc>
            </w:tr>
            <w:tr w:rsidR="006559C7" w:rsidRPr="00A6689B" w14:paraId="6A2E51F7" w14:textId="77777777" w:rsidTr="00934A52">
              <w:tc>
                <w:tcPr>
                  <w:tcW w:w="2226" w:type="pct"/>
                </w:tcPr>
                <w:p w14:paraId="36742115" w14:textId="77777777" w:rsidR="006559C7" w:rsidRPr="006559C7" w:rsidRDefault="006559C7" w:rsidP="006559C7">
                  <w:pPr>
                    <w:ind w:hanging="78"/>
                    <w:rPr>
                      <w:i/>
                      <w:sz w:val="20"/>
                      <w:szCs w:val="20"/>
                    </w:rPr>
                  </w:pPr>
                  <w:r>
                    <w:rPr>
                      <w:i/>
                      <w:sz w:val="20"/>
                    </w:rPr>
                    <w:t>Teléfono:</w:t>
                  </w:r>
                </w:p>
              </w:tc>
              <w:tc>
                <w:tcPr>
                  <w:tcW w:w="2774" w:type="pct"/>
                </w:tcPr>
                <w:p w14:paraId="2025EE29" w14:textId="2C5781A0" w:rsidR="006559C7" w:rsidRPr="006559C7" w:rsidRDefault="006559C7" w:rsidP="006559C7">
                  <w:pPr>
                    <w:ind w:hanging="78"/>
                    <w:rPr>
                      <w:i/>
                      <w:sz w:val="20"/>
                      <w:szCs w:val="20"/>
                    </w:rPr>
                  </w:pPr>
                  <w:r>
                    <w:rPr>
                      <w:i/>
                      <w:sz w:val="20"/>
                    </w:rPr>
                    <w:t>+32 25468817</w:t>
                  </w:r>
                </w:p>
              </w:tc>
            </w:tr>
            <w:tr w:rsidR="006559C7" w:rsidRPr="00A6689B" w14:paraId="40EB0530" w14:textId="77777777" w:rsidTr="00934A52">
              <w:tc>
                <w:tcPr>
                  <w:tcW w:w="2226" w:type="pct"/>
                </w:tcPr>
                <w:p w14:paraId="0E0B5DFB" w14:textId="77777777" w:rsidR="006559C7" w:rsidRPr="006559C7" w:rsidRDefault="006559C7" w:rsidP="006559C7">
                  <w:pPr>
                    <w:ind w:hanging="78"/>
                    <w:rPr>
                      <w:i/>
                      <w:sz w:val="20"/>
                      <w:szCs w:val="20"/>
                    </w:rPr>
                  </w:pPr>
                  <w:r>
                    <w:rPr>
                      <w:i/>
                      <w:sz w:val="20"/>
                    </w:rPr>
                    <w:t>Correo electrónico:</w:t>
                  </w:r>
                </w:p>
              </w:tc>
              <w:tc>
                <w:tcPr>
                  <w:tcW w:w="2774" w:type="pct"/>
                </w:tcPr>
                <w:p w14:paraId="65211337" w14:textId="77777777" w:rsidR="006559C7" w:rsidRPr="006559C7" w:rsidRDefault="00236A60" w:rsidP="006559C7">
                  <w:pPr>
                    <w:ind w:hanging="78"/>
                    <w:rPr>
                      <w:i/>
                      <w:sz w:val="20"/>
                      <w:szCs w:val="20"/>
                    </w:rPr>
                  </w:pPr>
                  <w:hyperlink r:id="rId48" w:history="1">
                    <w:r w:rsidR="00E167DC">
                      <w:rPr>
                        <w:rStyle w:val="Hyperlink"/>
                        <w:i/>
                        <w:sz w:val="20"/>
                      </w:rPr>
                      <w:t>Daniele.Vitali@eesc.europa.eu</w:t>
                    </w:r>
                  </w:hyperlink>
                </w:p>
              </w:tc>
            </w:tr>
          </w:tbl>
          <w:p w14:paraId="3CCB7A2A" w14:textId="391432AF" w:rsidR="00C913CA" w:rsidRPr="00C913CA" w:rsidRDefault="00C913CA" w:rsidP="00C913CA">
            <w:pPr>
              <w:overflowPunct w:val="0"/>
              <w:autoSpaceDE w:val="0"/>
              <w:autoSpaceDN w:val="0"/>
              <w:adjustRightInd w:val="0"/>
              <w:textAlignment w:val="baseline"/>
              <w:rPr>
                <w:i/>
              </w:rPr>
            </w:pPr>
          </w:p>
        </w:tc>
        <w:tc>
          <w:tcPr>
            <w:tcW w:w="3923" w:type="pct"/>
          </w:tcPr>
          <w:p w14:paraId="651A7526" w14:textId="52EF1562" w:rsidR="00C913CA" w:rsidRPr="00C913CA" w:rsidRDefault="00C913CA" w:rsidP="00C913CA">
            <w:pPr>
              <w:overflowPunct w:val="0"/>
              <w:autoSpaceDE w:val="0"/>
              <w:autoSpaceDN w:val="0"/>
              <w:adjustRightInd w:val="0"/>
              <w:textAlignment w:val="baseline"/>
              <w:rPr>
                <w:i/>
              </w:rPr>
            </w:pPr>
          </w:p>
        </w:tc>
      </w:tr>
      <w:tr w:rsidR="00C913CA" w:rsidRPr="00C913CA" w14:paraId="6C24B983" w14:textId="77777777" w:rsidTr="00C201AB">
        <w:tc>
          <w:tcPr>
            <w:tcW w:w="1077" w:type="pct"/>
          </w:tcPr>
          <w:p w14:paraId="6709C358" w14:textId="56E9347F" w:rsidR="00C913CA" w:rsidRPr="00C913CA" w:rsidRDefault="00C913CA" w:rsidP="00C913CA">
            <w:pPr>
              <w:overflowPunct w:val="0"/>
              <w:autoSpaceDE w:val="0"/>
              <w:autoSpaceDN w:val="0"/>
              <w:adjustRightInd w:val="0"/>
              <w:textAlignment w:val="baseline"/>
              <w:rPr>
                <w:i/>
              </w:rPr>
            </w:pPr>
          </w:p>
        </w:tc>
        <w:tc>
          <w:tcPr>
            <w:tcW w:w="3923" w:type="pct"/>
          </w:tcPr>
          <w:p w14:paraId="7C97F1D0" w14:textId="77777777" w:rsidR="009041AE" w:rsidRPr="00C913CA" w:rsidRDefault="009041AE" w:rsidP="00C913CA">
            <w:pPr>
              <w:overflowPunct w:val="0"/>
              <w:autoSpaceDE w:val="0"/>
              <w:autoSpaceDN w:val="0"/>
              <w:adjustRightInd w:val="0"/>
              <w:textAlignment w:val="baseline"/>
              <w:rPr>
                <w:i/>
              </w:rPr>
            </w:pPr>
          </w:p>
        </w:tc>
      </w:tr>
    </w:tbl>
    <w:p w14:paraId="0D67EAE9" w14:textId="1879C98B" w:rsidR="004503DC" w:rsidRPr="004503DC" w:rsidRDefault="00C913CA" w:rsidP="004503DC">
      <w:pPr>
        <w:widowControl w:val="0"/>
        <w:numPr>
          <w:ilvl w:val="0"/>
          <w:numId w:val="4"/>
        </w:numPr>
        <w:overflowPunct w:val="0"/>
        <w:autoSpaceDE w:val="0"/>
        <w:autoSpaceDN w:val="0"/>
        <w:adjustRightInd w:val="0"/>
        <w:ind w:hanging="567"/>
        <w:textAlignment w:val="baseline"/>
        <w:rPr>
          <w:sz w:val="20"/>
          <w:szCs w:val="20"/>
        </w:rPr>
      </w:pPr>
      <w:r>
        <w:br w:type="page"/>
      </w:r>
      <w:hyperlink r:id="rId49" w:history="1">
        <w:r>
          <w:rPr>
            <w:b/>
            <w:i/>
            <w:color w:val="0000FF"/>
            <w:sz w:val="28"/>
            <w:u w:val="single"/>
          </w:rPr>
          <w:t>Una senda predecible y común europea para los ucranianos en la UE</w:t>
        </w:r>
      </w:hyperlink>
    </w:p>
    <w:p w14:paraId="66ABB207"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4503DC" w:rsidRPr="004503DC" w14:paraId="6E6B74AA" w14:textId="77777777" w:rsidTr="00C201AB">
        <w:tc>
          <w:tcPr>
            <w:tcW w:w="1077" w:type="pct"/>
          </w:tcPr>
          <w:p w14:paraId="63D99806"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 xml:space="preserve">Ponente </w:t>
            </w:r>
          </w:p>
        </w:tc>
        <w:tc>
          <w:tcPr>
            <w:tcW w:w="3923" w:type="pct"/>
          </w:tcPr>
          <w:p w14:paraId="2DAA0415" w14:textId="1B2B62CA" w:rsidR="006559C7" w:rsidRPr="004503DC" w:rsidRDefault="004503DC" w:rsidP="00F733BE">
            <w:pPr>
              <w:tabs>
                <w:tab w:val="center" w:pos="284"/>
              </w:tabs>
              <w:overflowPunct w:val="0"/>
              <w:autoSpaceDE w:val="0"/>
              <w:autoSpaceDN w:val="0"/>
              <w:adjustRightInd w:val="0"/>
              <w:ind w:left="266" w:right="-3091" w:hanging="266"/>
              <w:textAlignment w:val="baseline"/>
            </w:pPr>
            <w:r>
              <w:t>Mateusz SZYMAŃSKI (Grupo de Trabajadores – PL)</w:t>
            </w:r>
          </w:p>
        </w:tc>
      </w:tr>
      <w:tr w:rsidR="004503DC" w:rsidRPr="004503DC" w14:paraId="712EFFED" w14:textId="77777777" w:rsidTr="00C201AB">
        <w:tc>
          <w:tcPr>
            <w:tcW w:w="1077" w:type="pct"/>
          </w:tcPr>
          <w:p w14:paraId="2B679233"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38932FB0" w14:textId="77777777" w:rsidR="004503DC" w:rsidRDefault="004503DC" w:rsidP="004503DC">
            <w:pPr>
              <w:tabs>
                <w:tab w:val="center" w:pos="284"/>
              </w:tabs>
              <w:overflowPunct w:val="0"/>
              <w:autoSpaceDE w:val="0"/>
              <w:autoSpaceDN w:val="0"/>
              <w:adjustRightInd w:val="0"/>
              <w:ind w:left="266" w:right="-3091" w:hanging="266"/>
              <w:textAlignment w:val="baseline"/>
            </w:pPr>
            <w:r>
              <w:t>Krzysztof BALON (Grupo de Organizaciones de la Sociedad Civil – PL)</w:t>
            </w:r>
          </w:p>
          <w:p w14:paraId="3F606C7E" w14:textId="77777777" w:rsidR="00F733BE" w:rsidRPr="004503DC" w:rsidRDefault="00F733BE" w:rsidP="004503DC">
            <w:pPr>
              <w:tabs>
                <w:tab w:val="center" w:pos="284"/>
              </w:tabs>
              <w:overflowPunct w:val="0"/>
              <w:autoSpaceDE w:val="0"/>
              <w:autoSpaceDN w:val="0"/>
              <w:adjustRightInd w:val="0"/>
              <w:ind w:left="266" w:right="-3091" w:hanging="266"/>
              <w:textAlignment w:val="baseline"/>
            </w:pPr>
          </w:p>
        </w:tc>
      </w:tr>
      <w:tr w:rsidR="004503DC" w:rsidRPr="004503DC" w14:paraId="1E0B600C" w14:textId="77777777" w:rsidTr="00C201AB">
        <w:tc>
          <w:tcPr>
            <w:tcW w:w="1077" w:type="pct"/>
          </w:tcPr>
          <w:p w14:paraId="331D255A" w14:textId="77777777" w:rsidR="004503DC" w:rsidRPr="004503DC" w:rsidRDefault="004503DC" w:rsidP="004503DC">
            <w:pPr>
              <w:tabs>
                <w:tab w:val="center" w:pos="284"/>
              </w:tabs>
              <w:overflowPunct w:val="0"/>
              <w:autoSpaceDE w:val="0"/>
              <w:autoSpaceDN w:val="0"/>
              <w:adjustRightInd w:val="0"/>
              <w:ind w:left="266" w:hanging="266"/>
              <w:textAlignment w:val="baseline"/>
              <w:rPr>
                <w:b/>
              </w:rPr>
            </w:pPr>
            <w:r>
              <w:rPr>
                <w:b/>
              </w:rPr>
              <w:t>Referencias</w:t>
            </w:r>
          </w:p>
        </w:tc>
        <w:tc>
          <w:tcPr>
            <w:tcW w:w="3923" w:type="pct"/>
          </w:tcPr>
          <w:p w14:paraId="2C22F4DD" w14:textId="16761502" w:rsidR="00F733BE" w:rsidRDefault="00F733BE" w:rsidP="004503DC">
            <w:pPr>
              <w:tabs>
                <w:tab w:val="center" w:pos="284"/>
              </w:tabs>
              <w:overflowPunct w:val="0"/>
              <w:autoSpaceDE w:val="0"/>
              <w:autoSpaceDN w:val="0"/>
              <w:adjustRightInd w:val="0"/>
              <w:ind w:left="266" w:right="-3091" w:hanging="266"/>
              <w:textAlignment w:val="baseline"/>
            </w:pPr>
            <w:r>
              <w:t>COM(2025) 649 final</w:t>
            </w:r>
          </w:p>
          <w:p w14:paraId="002ECA16" w14:textId="7A871AFA" w:rsidR="004503DC" w:rsidRPr="004503DC" w:rsidRDefault="004503DC" w:rsidP="004503DC">
            <w:pPr>
              <w:tabs>
                <w:tab w:val="center" w:pos="284"/>
              </w:tabs>
              <w:overflowPunct w:val="0"/>
              <w:autoSpaceDE w:val="0"/>
              <w:autoSpaceDN w:val="0"/>
              <w:adjustRightInd w:val="0"/>
              <w:ind w:left="266" w:right="-3091" w:hanging="266"/>
              <w:textAlignment w:val="baseline"/>
            </w:pPr>
            <w:r>
              <w:t>EESC-2025-02613-00-00-AC</w:t>
            </w:r>
          </w:p>
        </w:tc>
      </w:tr>
    </w:tbl>
    <w:p w14:paraId="35706CBA" w14:textId="77777777" w:rsidR="004503DC" w:rsidRPr="004503DC" w:rsidRDefault="004503DC" w:rsidP="004503DC">
      <w:pPr>
        <w:tabs>
          <w:tab w:val="center" w:pos="284"/>
        </w:tabs>
        <w:overflowPunct w:val="0"/>
        <w:autoSpaceDE w:val="0"/>
        <w:autoSpaceDN w:val="0"/>
        <w:adjustRightInd w:val="0"/>
        <w:ind w:left="266" w:hanging="266"/>
        <w:textAlignment w:val="baseline"/>
        <w:rPr>
          <w:b/>
          <w:lang w:val="en-GB"/>
        </w:rPr>
      </w:pPr>
    </w:p>
    <w:p w14:paraId="3507DE8F"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rPr>
      </w:pPr>
      <w:r>
        <w:rPr>
          <w:b/>
        </w:rPr>
        <w:t>Puntos clave</w:t>
      </w:r>
    </w:p>
    <w:p w14:paraId="09F1D644" w14:textId="77777777" w:rsidR="004503DC" w:rsidRPr="004503DC" w:rsidRDefault="004503DC" w:rsidP="004503DC">
      <w:pPr>
        <w:keepNext/>
        <w:keepLines/>
        <w:tabs>
          <w:tab w:val="center" w:pos="284"/>
        </w:tabs>
        <w:overflowPunct w:val="0"/>
        <w:autoSpaceDE w:val="0"/>
        <w:autoSpaceDN w:val="0"/>
        <w:adjustRightInd w:val="0"/>
        <w:ind w:left="266" w:hanging="266"/>
        <w:textAlignment w:val="baseline"/>
        <w:rPr>
          <w:b/>
          <w:lang w:val="en-GB"/>
        </w:rPr>
      </w:pPr>
    </w:p>
    <w:p w14:paraId="1DB598AA" w14:textId="77777777" w:rsidR="004503DC" w:rsidRDefault="004503DC" w:rsidP="004503DC">
      <w:pPr>
        <w:overflowPunct w:val="0"/>
        <w:autoSpaceDE w:val="0"/>
        <w:autoSpaceDN w:val="0"/>
        <w:adjustRightInd w:val="0"/>
        <w:textAlignment w:val="baseline"/>
        <w:rPr>
          <w:bCs/>
          <w:iCs/>
        </w:rPr>
      </w:pPr>
      <w:r>
        <w:t>El CESE:</w:t>
      </w:r>
    </w:p>
    <w:p w14:paraId="446A35DC" w14:textId="77777777" w:rsidR="00F733BE" w:rsidRPr="004503DC" w:rsidRDefault="00F733BE" w:rsidP="004503DC">
      <w:pPr>
        <w:overflowPunct w:val="0"/>
        <w:autoSpaceDE w:val="0"/>
        <w:autoSpaceDN w:val="0"/>
        <w:adjustRightInd w:val="0"/>
        <w:textAlignment w:val="baseline"/>
        <w:rPr>
          <w:bCs/>
          <w:iCs/>
          <w:lang w:val="en-GB"/>
        </w:rPr>
      </w:pPr>
    </w:p>
    <w:p w14:paraId="5AAE80CE"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reitera su solidaridad con el pueblo ucraniano y recuerda que la agresión de Rusia contra Ucrania ha provocado que millones de ucranianos huyan del peligro, y destaca el papel que desempeñaron las organizaciones de la sociedad civil cuando se produjo la mayor afluencia de personas desplazadas procedentes de Ucrania;</w:t>
      </w:r>
    </w:p>
    <w:p w14:paraId="739050E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observa que la protección temporal ha demostrado ser una solución beneficiosa para esas personas cuando siguen sin existir condiciones para su retorno a Ucrania, debido a la persistencia de la agresión, y acoge con satisfacción la decisión de prorrogar la protección temporal durante un período adicional;</w:t>
      </w:r>
    </w:p>
    <w:p w14:paraId="027B8CC0"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subraya la necesidad de una perspectiva a largo plazo para las personas que disfrutan de protección temporal y pide a la Comisión Europea y a los Estados miembros que adopten medidas para facilitar una transición fluida hacia estatutos de residencia más duraderos y para poner término de manera gradual al régimen de protección temporal;</w:t>
      </w:r>
    </w:p>
    <w:p w14:paraId="58D36077"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bCs/>
          <w:iCs/>
        </w:rPr>
      </w:pPr>
      <w:r>
        <w:t>señala que la situación creada por la llegada de ucranianos a la Unión ha aumentado la presión sobre los sistemas de servicios públicos de los Estados miembros y subraya la necesidad de aumentar la inversión en servicios de interés general de alta calidad, entre ellos la vivienda, a los que puedan acceder en igualdad de condiciones todas las personas que residan legalmente en la Unión;</w:t>
      </w:r>
    </w:p>
    <w:p w14:paraId="40289059"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pPr>
      <w:r>
        <w:t>señala que deben realizarse esfuerzos para asegurar el éxito de la integración de los ucranianos en la Unión a través de cursos de idiomas, el apoyo a las iniciativas de las comunidades locales, la educación de los niños ucranianos en los Estados miembros y la lucha contra la desinformación y las actividades de los servicios rusos de inteligencia, así como integrándolos en las organizaciones que operan en sus comunidades locales;</w:t>
      </w:r>
    </w:p>
    <w:p w14:paraId="6F366C03" w14:textId="77777777" w:rsidR="004503DC" w:rsidRPr="004503DC" w:rsidRDefault="004503DC" w:rsidP="00054C58">
      <w:pPr>
        <w:widowControl w:val="0"/>
        <w:numPr>
          <w:ilvl w:val="0"/>
          <w:numId w:val="33"/>
        </w:numPr>
        <w:overflowPunct w:val="0"/>
        <w:autoSpaceDE w:val="0"/>
        <w:autoSpaceDN w:val="0"/>
        <w:adjustRightInd w:val="0"/>
        <w:ind w:left="284" w:hanging="284"/>
        <w:textAlignment w:val="baseline"/>
        <w:rPr>
          <w:szCs w:val="20"/>
        </w:rPr>
      </w:pPr>
      <w:r>
        <w:t>destaca la importancia de establecer unas condiciones laborales justas para los ucranianos, tanto en la UE como en Ucrania; se espera que los Estados miembros luchen contra la explotación y el trato desigual de los ucranianos en el empleo y que el Gobierno de Ucrania vuelva a instaurar soluciones favorables para los trabajadores y las actividades sindicales, a través del diálogo social.</w:t>
      </w:r>
    </w:p>
    <w:p w14:paraId="15DAAC73" w14:textId="77777777" w:rsidR="004503DC" w:rsidRPr="004503DC" w:rsidRDefault="004503DC" w:rsidP="004503DC">
      <w:pPr>
        <w:widowControl w:val="0"/>
        <w:overflowPunct w:val="0"/>
        <w:autoSpaceDE w:val="0"/>
        <w:autoSpaceDN w:val="0"/>
        <w:adjustRightInd w:val="0"/>
        <w:ind w:left="709"/>
        <w:textAlignment w:val="baseline"/>
        <w:rPr>
          <w:szCs w:val="20"/>
          <w:lang w:val="en-GB"/>
        </w:rPr>
      </w:pPr>
    </w:p>
    <w:tbl>
      <w:tblPr>
        <w:tblStyle w:val="TableGrid1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4503DC" w:rsidRPr="004503DC" w14:paraId="0C28C241" w14:textId="77777777" w:rsidTr="00934A52">
        <w:tc>
          <w:tcPr>
            <w:tcW w:w="1203" w:type="pct"/>
          </w:tcPr>
          <w:p w14:paraId="011666E9" w14:textId="77777777" w:rsidR="004503DC" w:rsidRPr="004503DC" w:rsidRDefault="004503DC" w:rsidP="004503DC">
            <w:pPr>
              <w:overflowPunct w:val="0"/>
              <w:autoSpaceDE w:val="0"/>
              <w:autoSpaceDN w:val="0"/>
              <w:adjustRightInd w:val="0"/>
              <w:textAlignment w:val="baseline"/>
              <w:rPr>
                <w:i/>
              </w:rPr>
            </w:pPr>
            <w:r>
              <w:rPr>
                <w:b/>
                <w:i/>
              </w:rPr>
              <w:t>Contacto:</w:t>
            </w:r>
          </w:p>
        </w:tc>
        <w:tc>
          <w:tcPr>
            <w:tcW w:w="3797" w:type="pct"/>
          </w:tcPr>
          <w:p w14:paraId="5376B5C9" w14:textId="1E39C147" w:rsidR="004503DC" w:rsidRPr="004503DC" w:rsidRDefault="004503DC" w:rsidP="004503DC">
            <w:pPr>
              <w:overflowPunct w:val="0"/>
              <w:autoSpaceDE w:val="0"/>
              <w:autoSpaceDN w:val="0"/>
              <w:adjustRightInd w:val="0"/>
              <w:textAlignment w:val="baseline"/>
              <w:rPr>
                <w:i/>
              </w:rPr>
            </w:pPr>
            <w:r>
              <w:rPr>
                <w:i/>
              </w:rPr>
              <w:t>Katarína Grzeszczyk Albrechtová</w:t>
            </w:r>
          </w:p>
        </w:tc>
      </w:tr>
      <w:tr w:rsidR="004503DC" w:rsidRPr="004503DC" w14:paraId="3DF91CE1" w14:textId="77777777" w:rsidTr="00934A52">
        <w:tc>
          <w:tcPr>
            <w:tcW w:w="1203" w:type="pct"/>
          </w:tcPr>
          <w:p w14:paraId="12B0FB94" w14:textId="77777777" w:rsidR="004503DC" w:rsidRPr="004503DC" w:rsidRDefault="004503DC" w:rsidP="004503DC">
            <w:pPr>
              <w:overflowPunct w:val="0"/>
              <w:autoSpaceDE w:val="0"/>
              <w:autoSpaceDN w:val="0"/>
              <w:adjustRightInd w:val="0"/>
              <w:textAlignment w:val="baseline"/>
              <w:rPr>
                <w:i/>
              </w:rPr>
            </w:pPr>
            <w:r>
              <w:rPr>
                <w:i/>
              </w:rPr>
              <w:t>Teléfono:</w:t>
            </w:r>
          </w:p>
        </w:tc>
        <w:tc>
          <w:tcPr>
            <w:tcW w:w="3797" w:type="pct"/>
          </w:tcPr>
          <w:p w14:paraId="2AB00694" w14:textId="77777777" w:rsidR="004503DC" w:rsidRPr="004503DC" w:rsidRDefault="004503DC" w:rsidP="004503DC">
            <w:pPr>
              <w:overflowPunct w:val="0"/>
              <w:autoSpaceDE w:val="0"/>
              <w:autoSpaceDN w:val="0"/>
              <w:adjustRightInd w:val="0"/>
              <w:textAlignment w:val="baseline"/>
              <w:rPr>
                <w:i/>
              </w:rPr>
            </w:pPr>
            <w:r>
              <w:rPr>
                <w:i/>
              </w:rPr>
              <w:t>+32 25469460</w:t>
            </w:r>
          </w:p>
        </w:tc>
      </w:tr>
      <w:tr w:rsidR="004503DC" w:rsidRPr="004503DC" w14:paraId="704DFCB6" w14:textId="77777777" w:rsidTr="00934A52">
        <w:tc>
          <w:tcPr>
            <w:tcW w:w="1203" w:type="pct"/>
          </w:tcPr>
          <w:p w14:paraId="18D5B7A9" w14:textId="77777777" w:rsidR="004503DC" w:rsidRPr="004503DC" w:rsidRDefault="004503DC" w:rsidP="004503DC">
            <w:pPr>
              <w:overflowPunct w:val="0"/>
              <w:autoSpaceDE w:val="0"/>
              <w:autoSpaceDN w:val="0"/>
              <w:adjustRightInd w:val="0"/>
              <w:textAlignment w:val="baseline"/>
              <w:rPr>
                <w:i/>
              </w:rPr>
            </w:pPr>
            <w:r>
              <w:rPr>
                <w:i/>
              </w:rPr>
              <w:t>Correo electrónico:</w:t>
            </w:r>
          </w:p>
        </w:tc>
        <w:tc>
          <w:tcPr>
            <w:tcW w:w="3797" w:type="pct"/>
          </w:tcPr>
          <w:p w14:paraId="59F392A7" w14:textId="77777777" w:rsidR="004503DC" w:rsidRPr="004503DC" w:rsidRDefault="00236A60" w:rsidP="004503DC">
            <w:pPr>
              <w:overflowPunct w:val="0"/>
              <w:autoSpaceDE w:val="0"/>
              <w:autoSpaceDN w:val="0"/>
              <w:adjustRightInd w:val="0"/>
              <w:textAlignment w:val="baseline"/>
              <w:rPr>
                <w:i/>
              </w:rPr>
            </w:pPr>
            <w:hyperlink r:id="rId50" w:history="1">
              <w:r w:rsidR="00E167DC">
                <w:rPr>
                  <w:i/>
                  <w:color w:val="0000FF"/>
                  <w:u w:val="single"/>
                </w:rPr>
                <w:t>Katarina.Albrechtova@eesc.europa.eu</w:t>
              </w:r>
            </w:hyperlink>
            <w:r w:rsidR="00E167DC">
              <w:rPr>
                <w:i/>
              </w:rPr>
              <w:t xml:space="preserve"> </w:t>
            </w:r>
          </w:p>
        </w:tc>
      </w:tr>
    </w:tbl>
    <w:tbl>
      <w:tblPr>
        <w:tblStyle w:val="TableGrid1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C913CA" w:rsidRPr="00C913CA" w14:paraId="2C0E6338" w14:textId="77777777" w:rsidTr="00C201AB">
        <w:tc>
          <w:tcPr>
            <w:tcW w:w="1077" w:type="pct"/>
          </w:tcPr>
          <w:p w14:paraId="57EDC7A8" w14:textId="6955C181" w:rsidR="00C913CA" w:rsidRPr="00C913CA" w:rsidRDefault="00C913CA" w:rsidP="00C913CA">
            <w:pPr>
              <w:overflowPunct w:val="0"/>
              <w:autoSpaceDE w:val="0"/>
              <w:autoSpaceDN w:val="0"/>
              <w:adjustRightInd w:val="0"/>
              <w:textAlignment w:val="baseline"/>
              <w:rPr>
                <w:i/>
              </w:rPr>
            </w:pPr>
          </w:p>
        </w:tc>
        <w:tc>
          <w:tcPr>
            <w:tcW w:w="3923" w:type="pct"/>
          </w:tcPr>
          <w:p w14:paraId="5811559E" w14:textId="50EE8449" w:rsidR="00C913CA" w:rsidRPr="00C913CA" w:rsidRDefault="00C913CA" w:rsidP="00C913CA">
            <w:pPr>
              <w:overflowPunct w:val="0"/>
              <w:autoSpaceDE w:val="0"/>
              <w:autoSpaceDN w:val="0"/>
              <w:adjustRightInd w:val="0"/>
              <w:textAlignment w:val="baseline"/>
              <w:rPr>
                <w:i/>
              </w:rPr>
            </w:pPr>
          </w:p>
        </w:tc>
      </w:tr>
    </w:tbl>
    <w:p w14:paraId="54681B02" w14:textId="0F1C32A0" w:rsidR="006D2C8A" w:rsidRDefault="006D2C8A">
      <w:pPr>
        <w:spacing w:after="160" w:line="259" w:lineRule="auto"/>
        <w:jc w:val="left"/>
      </w:pPr>
    </w:p>
    <w:p w14:paraId="528C73AA" w14:textId="46DE726B" w:rsidR="006D2C8A" w:rsidRPr="006D2C8A" w:rsidRDefault="006D2C8A" w:rsidP="006D2C8A">
      <w:pPr>
        <w:pStyle w:val="Heading1"/>
        <w:rPr>
          <w:b/>
        </w:rPr>
      </w:pPr>
      <w:bookmarkStart w:id="12" w:name="_Toc216951827"/>
      <w:r>
        <w:rPr>
          <w:b/>
          <w:color w:val="222A35" w:themeColor="text2" w:themeShade="80"/>
        </w:rPr>
        <w:t>COMISIÓN CONSULTIVA DE LAS TRANSFORMACIONES INDUSTRIALES</w:t>
      </w:r>
      <w:bookmarkEnd w:id="12"/>
    </w:p>
    <w:p w14:paraId="713E272F" w14:textId="77777777" w:rsidR="006D2C8A" w:rsidRDefault="006D2C8A" w:rsidP="006D2C8A"/>
    <w:p w14:paraId="7383D97E" w14:textId="13359D4F" w:rsidR="00ED76AC" w:rsidRPr="00ED76AC" w:rsidRDefault="00236A60" w:rsidP="00ED76AC">
      <w:pPr>
        <w:widowControl w:val="0"/>
        <w:numPr>
          <w:ilvl w:val="0"/>
          <w:numId w:val="16"/>
        </w:numPr>
        <w:overflowPunct w:val="0"/>
        <w:autoSpaceDE w:val="0"/>
        <w:autoSpaceDN w:val="0"/>
        <w:adjustRightInd w:val="0"/>
        <w:ind w:hanging="567"/>
        <w:rPr>
          <w:sz w:val="20"/>
          <w:szCs w:val="20"/>
        </w:rPr>
      </w:pPr>
      <w:hyperlink r:id="rId51" w:history="1">
        <w:r w:rsidR="00E167DC">
          <w:rPr>
            <w:b/>
            <w:i/>
            <w:color w:val="0000FF"/>
            <w:sz w:val="28"/>
            <w:u w:val="single"/>
          </w:rPr>
          <w:t>Desarrollar el potencial de los materiales permanentes en la economía circular de la UE</w:t>
        </w:r>
      </w:hyperlink>
    </w:p>
    <w:p w14:paraId="243BA033" w14:textId="77777777" w:rsidR="00ED76AC" w:rsidRPr="00ED76AC" w:rsidRDefault="00ED76AC" w:rsidP="00ED76AC">
      <w:pPr>
        <w:widowControl w:val="0"/>
        <w:overflowPunct w:val="0"/>
        <w:autoSpaceDE w:val="0"/>
        <w:autoSpaceDN w:val="0"/>
        <w:adjustRightInd w:val="0"/>
        <w:ind w:left="567"/>
        <w:rPr>
          <w:sz w:val="20"/>
          <w:szCs w:val="20"/>
          <w:lang w:val="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3E004ABC" w14:textId="77777777">
        <w:tc>
          <w:tcPr>
            <w:tcW w:w="1077" w:type="pct"/>
            <w:hideMark/>
          </w:tcPr>
          <w:p w14:paraId="1E7D8DE2" w14:textId="77777777" w:rsidR="00ED76AC" w:rsidRPr="00ED76AC" w:rsidRDefault="00ED76AC" w:rsidP="00ED76AC">
            <w:pPr>
              <w:tabs>
                <w:tab w:val="center" w:pos="284"/>
              </w:tabs>
              <w:overflowPunct w:val="0"/>
              <w:autoSpaceDE w:val="0"/>
              <w:autoSpaceDN w:val="0"/>
              <w:adjustRightInd w:val="0"/>
              <w:ind w:left="266" w:hanging="266"/>
              <w:rPr>
                <w:b/>
              </w:rPr>
            </w:pPr>
            <w:r>
              <w:rPr>
                <w:b/>
              </w:rPr>
              <w:t>Ponente</w:t>
            </w:r>
          </w:p>
        </w:tc>
        <w:tc>
          <w:tcPr>
            <w:tcW w:w="3923" w:type="pct"/>
            <w:hideMark/>
          </w:tcPr>
          <w:p w14:paraId="51B8EA45" w14:textId="77777777" w:rsidR="00ED76AC" w:rsidRPr="00ED76AC" w:rsidRDefault="00ED76AC" w:rsidP="00ED76AC">
            <w:pPr>
              <w:tabs>
                <w:tab w:val="center" w:pos="284"/>
              </w:tabs>
              <w:overflowPunct w:val="0"/>
              <w:autoSpaceDE w:val="0"/>
              <w:autoSpaceDN w:val="0"/>
              <w:adjustRightInd w:val="0"/>
              <w:ind w:left="266" w:right="-3091" w:hanging="266"/>
            </w:pPr>
            <w:r>
              <w:t>Andrea MONE (Grupo de Trabajadores – IT)</w:t>
            </w:r>
          </w:p>
        </w:tc>
      </w:tr>
      <w:tr w:rsidR="00ED76AC" w:rsidRPr="00ED76AC" w14:paraId="21F71A9D" w14:textId="77777777">
        <w:tc>
          <w:tcPr>
            <w:tcW w:w="1077" w:type="pct"/>
            <w:hideMark/>
          </w:tcPr>
          <w:p w14:paraId="2C3FD6D4" w14:textId="77777777" w:rsidR="00ED76AC" w:rsidRPr="00ED76AC" w:rsidRDefault="00ED76AC" w:rsidP="00ED76AC">
            <w:pPr>
              <w:tabs>
                <w:tab w:val="center" w:pos="284"/>
              </w:tabs>
              <w:overflowPunct w:val="0"/>
              <w:autoSpaceDE w:val="0"/>
              <w:autoSpaceDN w:val="0"/>
              <w:adjustRightInd w:val="0"/>
              <w:ind w:left="266" w:hanging="266"/>
              <w:rPr>
                <w:b/>
              </w:rPr>
            </w:pPr>
            <w:r>
              <w:rPr>
                <w:b/>
              </w:rPr>
              <w:t>Coponente</w:t>
            </w:r>
          </w:p>
        </w:tc>
        <w:tc>
          <w:tcPr>
            <w:tcW w:w="3923" w:type="pct"/>
            <w:hideMark/>
          </w:tcPr>
          <w:p w14:paraId="1CE8569E" w14:textId="77777777" w:rsidR="00ED76AC" w:rsidRDefault="00ED76AC" w:rsidP="00ED76AC">
            <w:pPr>
              <w:tabs>
                <w:tab w:val="center" w:pos="284"/>
              </w:tabs>
              <w:overflowPunct w:val="0"/>
              <w:autoSpaceDE w:val="0"/>
              <w:autoSpaceDN w:val="0"/>
              <w:adjustRightInd w:val="0"/>
              <w:ind w:left="266" w:right="-3091" w:hanging="266"/>
            </w:pPr>
            <w:r>
              <w:t>Michal PINTÉR (Grupo de Empresarios – SK)</w:t>
            </w:r>
          </w:p>
          <w:p w14:paraId="28215643" w14:textId="77777777" w:rsidR="00707689" w:rsidRPr="00ED76AC" w:rsidRDefault="00707689" w:rsidP="00ED76AC">
            <w:pPr>
              <w:tabs>
                <w:tab w:val="center" w:pos="284"/>
              </w:tabs>
              <w:overflowPunct w:val="0"/>
              <w:autoSpaceDE w:val="0"/>
              <w:autoSpaceDN w:val="0"/>
              <w:adjustRightInd w:val="0"/>
              <w:ind w:left="266" w:right="-3091" w:hanging="266"/>
            </w:pPr>
          </w:p>
        </w:tc>
      </w:tr>
      <w:tr w:rsidR="00ED76AC" w:rsidRPr="00ED76AC" w14:paraId="19833206" w14:textId="77777777">
        <w:tc>
          <w:tcPr>
            <w:tcW w:w="1077" w:type="pct"/>
            <w:hideMark/>
          </w:tcPr>
          <w:p w14:paraId="1FC4BD72" w14:textId="34080C46" w:rsidR="00ED76AC" w:rsidRPr="00ED76AC" w:rsidRDefault="00ED76AC" w:rsidP="00ED76AC">
            <w:pPr>
              <w:tabs>
                <w:tab w:val="center" w:pos="284"/>
              </w:tabs>
              <w:overflowPunct w:val="0"/>
              <w:autoSpaceDE w:val="0"/>
              <w:autoSpaceDN w:val="0"/>
              <w:adjustRightInd w:val="0"/>
              <w:ind w:left="266" w:hanging="266"/>
              <w:rPr>
                <w:b/>
              </w:rPr>
            </w:pPr>
            <w:r>
              <w:rPr>
                <w:b/>
              </w:rPr>
              <w:t>Referencia</w:t>
            </w:r>
          </w:p>
        </w:tc>
        <w:tc>
          <w:tcPr>
            <w:tcW w:w="3923" w:type="pct"/>
            <w:hideMark/>
          </w:tcPr>
          <w:p w14:paraId="340633E9" w14:textId="2162F333" w:rsidR="00707689" w:rsidRDefault="00707689" w:rsidP="00ED76AC">
            <w:pPr>
              <w:tabs>
                <w:tab w:val="center" w:pos="284"/>
              </w:tabs>
              <w:overflowPunct w:val="0"/>
              <w:autoSpaceDE w:val="0"/>
              <w:autoSpaceDN w:val="0"/>
              <w:adjustRightInd w:val="0"/>
              <w:ind w:left="266" w:right="-3091" w:hanging="266"/>
            </w:pPr>
            <w:r>
              <w:t>Dictamen de iniciativa</w:t>
            </w:r>
          </w:p>
          <w:p w14:paraId="59A49208" w14:textId="5D1970B8" w:rsidR="00ED76AC" w:rsidRPr="00ED76AC" w:rsidRDefault="00ED76AC" w:rsidP="00ED76AC">
            <w:pPr>
              <w:tabs>
                <w:tab w:val="center" w:pos="284"/>
              </w:tabs>
              <w:overflowPunct w:val="0"/>
              <w:autoSpaceDE w:val="0"/>
              <w:autoSpaceDN w:val="0"/>
              <w:adjustRightInd w:val="0"/>
              <w:ind w:left="266" w:right="-3091" w:hanging="266"/>
            </w:pPr>
            <w:r>
              <w:t>EESC-2025-02364-00-00-AC</w:t>
            </w:r>
          </w:p>
        </w:tc>
      </w:tr>
    </w:tbl>
    <w:p w14:paraId="5922BFFC" w14:textId="77777777" w:rsidR="00ED76AC" w:rsidRPr="00ED76AC" w:rsidRDefault="00ED76AC" w:rsidP="00ED76AC">
      <w:pPr>
        <w:tabs>
          <w:tab w:val="center" w:pos="284"/>
        </w:tabs>
        <w:overflowPunct w:val="0"/>
        <w:autoSpaceDE w:val="0"/>
        <w:autoSpaceDN w:val="0"/>
        <w:adjustRightInd w:val="0"/>
        <w:ind w:left="266" w:hanging="266"/>
        <w:rPr>
          <w:b/>
          <w:lang w:val="en-GB"/>
        </w:rPr>
      </w:pPr>
    </w:p>
    <w:p w14:paraId="252BFC0B" w14:textId="77777777" w:rsidR="00ED76AC" w:rsidRPr="00ED76AC" w:rsidRDefault="00ED76AC" w:rsidP="00ED76AC">
      <w:pPr>
        <w:keepNext/>
        <w:keepLines/>
        <w:tabs>
          <w:tab w:val="center" w:pos="284"/>
        </w:tabs>
        <w:overflowPunct w:val="0"/>
        <w:autoSpaceDE w:val="0"/>
        <w:autoSpaceDN w:val="0"/>
        <w:adjustRightInd w:val="0"/>
        <w:ind w:left="266" w:hanging="266"/>
        <w:rPr>
          <w:b/>
        </w:rPr>
      </w:pPr>
      <w:r>
        <w:rPr>
          <w:b/>
        </w:rPr>
        <w:t>Puntos clave</w:t>
      </w:r>
    </w:p>
    <w:p w14:paraId="2370EF24" w14:textId="77777777" w:rsidR="00ED76AC" w:rsidRPr="00ED76AC" w:rsidRDefault="00ED76AC" w:rsidP="00ED76AC">
      <w:pPr>
        <w:keepNext/>
        <w:keepLines/>
        <w:tabs>
          <w:tab w:val="center" w:pos="284"/>
        </w:tabs>
        <w:overflowPunct w:val="0"/>
        <w:autoSpaceDE w:val="0"/>
        <w:autoSpaceDN w:val="0"/>
        <w:adjustRightInd w:val="0"/>
        <w:ind w:left="266" w:hanging="266"/>
        <w:rPr>
          <w:b/>
          <w:lang w:val="en-GB"/>
        </w:rPr>
      </w:pPr>
    </w:p>
    <w:p w14:paraId="3E92F3F2" w14:textId="00FB71D0" w:rsidR="00ED76AC" w:rsidRDefault="00ED76AC" w:rsidP="00ED76AC">
      <w:pPr>
        <w:overflowPunct w:val="0"/>
        <w:autoSpaceDE w:val="0"/>
        <w:autoSpaceDN w:val="0"/>
        <w:adjustRightInd w:val="0"/>
      </w:pPr>
      <w:r>
        <w:t>El CESE:</w:t>
      </w:r>
    </w:p>
    <w:p w14:paraId="4949ECA3" w14:textId="77777777" w:rsidR="00934A52" w:rsidRPr="00ED76AC" w:rsidRDefault="00934A52" w:rsidP="00ED76AC">
      <w:pPr>
        <w:overflowPunct w:val="0"/>
        <w:autoSpaceDE w:val="0"/>
        <w:autoSpaceDN w:val="0"/>
        <w:adjustRightInd w:val="0"/>
        <w:rPr>
          <w:bCs/>
          <w:iCs/>
        </w:rPr>
      </w:pPr>
    </w:p>
    <w:p w14:paraId="26A569C6" w14:textId="77777777" w:rsidR="00ED76AC" w:rsidRPr="00ED76AC" w:rsidRDefault="00ED76AC" w:rsidP="00054C58">
      <w:pPr>
        <w:numPr>
          <w:ilvl w:val="0"/>
          <w:numId w:val="34"/>
        </w:numPr>
        <w:overflowPunct w:val="0"/>
        <w:autoSpaceDE w:val="0"/>
        <w:autoSpaceDN w:val="0"/>
        <w:adjustRightInd w:val="0"/>
        <w:ind w:left="284" w:hanging="284"/>
      </w:pPr>
      <w:r>
        <w:rPr>
          <w:b/>
        </w:rPr>
        <w:t>reconoce el papel fundamental que desempeñan los materiales permanentes</w:t>
      </w:r>
      <w:r>
        <w:t xml:space="preserve"> a la hora de propiciar una auténtica economía circular, en particular en lo que respecta a su uso en los envases, y pide</w:t>
      </w:r>
      <w:r>
        <w:rPr>
          <w:b/>
        </w:rPr>
        <w:t xml:space="preserve"> su reconocimiento explícito en la legislación de la UE</w:t>
      </w:r>
      <w:r>
        <w:t>;</w:t>
      </w:r>
    </w:p>
    <w:p w14:paraId="32D7A91F" w14:textId="77777777" w:rsidR="00ED76AC" w:rsidRPr="00ED76AC" w:rsidRDefault="00ED76AC" w:rsidP="00054C58">
      <w:pPr>
        <w:numPr>
          <w:ilvl w:val="0"/>
          <w:numId w:val="34"/>
        </w:numPr>
        <w:overflowPunct w:val="0"/>
        <w:autoSpaceDE w:val="0"/>
        <w:autoSpaceDN w:val="0"/>
        <w:adjustRightInd w:val="0"/>
        <w:ind w:left="284" w:hanging="284"/>
      </w:pPr>
      <w:r>
        <w:rPr>
          <w:b/>
        </w:rPr>
        <w:t>apoya la ambición de la Unión de alcanzar una tasa del 90 % en la recogida separada de residuos de envases de aquí a 2030</w:t>
      </w:r>
      <w:r>
        <w:t>, y resalta que unos sistemas de recogida, clasificación y reciclado de alta calidad avanzados y bien financiados resultan esenciales para maximizar la retención y permitir el reciclado en circuito cerrado de los materiales permanentes;</w:t>
      </w:r>
    </w:p>
    <w:p w14:paraId="167FDC16" w14:textId="77777777" w:rsidR="00ED76AC" w:rsidRPr="00ED76AC" w:rsidRDefault="00ED76AC" w:rsidP="00054C58">
      <w:pPr>
        <w:numPr>
          <w:ilvl w:val="0"/>
          <w:numId w:val="34"/>
        </w:numPr>
        <w:overflowPunct w:val="0"/>
        <w:autoSpaceDE w:val="0"/>
        <w:autoSpaceDN w:val="0"/>
        <w:adjustRightInd w:val="0"/>
        <w:ind w:left="284" w:hanging="284"/>
      </w:pPr>
      <w:r>
        <w:rPr>
          <w:b/>
        </w:rPr>
        <w:t>propone reforzar y armonizar los regímenes de responsabilidad ampliada del productor</w:t>
      </w:r>
      <w:r>
        <w:t xml:space="preserve"> en todos los Estados miembros de la UE. Para ello, también es necesario garantizar la aplicación de </w:t>
      </w:r>
      <w:r>
        <w:rPr>
          <w:b/>
        </w:rPr>
        <w:t>tasas ecomoduladas en función de criterios transparentes y coherentes</w:t>
      </w:r>
      <w:r>
        <w:t xml:space="preserve"> y estructuradas de manera proporcionada, así como </w:t>
      </w:r>
      <w:r>
        <w:rPr>
          <w:b/>
        </w:rPr>
        <w:t>acotar los ingresos de los regímenes de responsabilidad ampliada del productor</w:t>
      </w:r>
      <w:r>
        <w:t xml:space="preserve"> para su reinversión en el mismo flujo de materiales;</w:t>
      </w:r>
    </w:p>
    <w:p w14:paraId="422AF8F5" w14:textId="77777777" w:rsidR="00ED76AC" w:rsidRPr="00ED76AC" w:rsidRDefault="00ED76AC" w:rsidP="00054C58">
      <w:pPr>
        <w:numPr>
          <w:ilvl w:val="0"/>
          <w:numId w:val="34"/>
        </w:numPr>
        <w:overflowPunct w:val="0"/>
        <w:autoSpaceDE w:val="0"/>
        <w:autoSpaceDN w:val="0"/>
        <w:adjustRightInd w:val="0"/>
        <w:ind w:left="284" w:hanging="284"/>
      </w:pPr>
      <w:r>
        <w:rPr>
          <w:b/>
        </w:rPr>
        <w:t>señala la necesidad de dar prioridad a la inversión</w:t>
      </w:r>
      <w:r>
        <w:t xml:space="preserve"> en infraestructuras modernas de recogida separada, clasificación y reciclado de los residuos de envases. Destaca que el </w:t>
      </w:r>
      <w:r>
        <w:rPr>
          <w:b/>
        </w:rPr>
        <w:t>apoyo adicional debe prestar especial atención a las regiones con menor rendimiento o con una capacidad de inversión limitada</w:t>
      </w:r>
      <w:r>
        <w:t>, para garantizar que todos los Estados miembros puedan cumplir sus objetivos de economía circular;</w:t>
      </w:r>
    </w:p>
    <w:p w14:paraId="059D94FE" w14:textId="77777777" w:rsidR="00ED76AC" w:rsidRPr="00ED76AC" w:rsidRDefault="00ED76AC" w:rsidP="00054C58">
      <w:pPr>
        <w:numPr>
          <w:ilvl w:val="0"/>
          <w:numId w:val="34"/>
        </w:numPr>
        <w:overflowPunct w:val="0"/>
        <w:autoSpaceDE w:val="0"/>
        <w:autoSpaceDN w:val="0"/>
        <w:adjustRightInd w:val="0"/>
        <w:ind w:left="284" w:hanging="284"/>
      </w:pPr>
      <w:r>
        <w:rPr>
          <w:b/>
        </w:rPr>
        <w:t>recomienda una evaluación exhaustiva a escala de la UE de los comportamientos de los ciudadanos en materia de reciclado</w:t>
      </w:r>
      <w:r>
        <w:t>, con el fin de detectar deficiencias y obstáculos y determinar las mejores prácticas. Sobre la base de esta evaluación, pide medidas para reforzar la participación de los consumidores en la recogida separada de los residuos de envases, al reconocer que la recogida doméstica constituye el primer paso esencial de un reciclado eficaz;</w:t>
      </w:r>
    </w:p>
    <w:p w14:paraId="09697A6A" w14:textId="77777777" w:rsidR="00ED76AC" w:rsidRPr="00ED76AC" w:rsidRDefault="00ED76AC" w:rsidP="00054C58">
      <w:pPr>
        <w:numPr>
          <w:ilvl w:val="0"/>
          <w:numId w:val="34"/>
        </w:numPr>
        <w:overflowPunct w:val="0"/>
        <w:autoSpaceDE w:val="0"/>
        <w:autoSpaceDN w:val="0"/>
        <w:adjustRightInd w:val="0"/>
        <w:ind w:left="284" w:hanging="284"/>
      </w:pPr>
      <w:r>
        <w:rPr>
          <w:b/>
        </w:rPr>
        <w:t>hace hincapié en la importancia de una transición socialmente sostenible</w:t>
      </w:r>
      <w:r>
        <w:t xml:space="preserve"> hacia una economía circular e insta a anticipar el impacto en el mercado laboral en una fase temprana. Pide que se asegure el acceso a </w:t>
      </w:r>
      <w:r>
        <w:rPr>
          <w:b/>
        </w:rPr>
        <w:t>oportunidades de reciclaje y perfeccionamiento profesionales</w:t>
      </w:r>
      <w:r>
        <w:t xml:space="preserve"> para apoyar unas transiciones fluidas entre puestos de trabajo, de modo que los trabajadores puedan contribuir plenamente a la economía circular emergente y beneficiarse de ella;</w:t>
      </w:r>
    </w:p>
    <w:p w14:paraId="2E89F971" w14:textId="77777777" w:rsidR="00ED76AC" w:rsidRPr="00ED76AC" w:rsidRDefault="00ED76AC" w:rsidP="00054C58">
      <w:pPr>
        <w:numPr>
          <w:ilvl w:val="0"/>
          <w:numId w:val="34"/>
        </w:numPr>
        <w:overflowPunct w:val="0"/>
        <w:autoSpaceDE w:val="0"/>
        <w:autoSpaceDN w:val="0"/>
        <w:adjustRightInd w:val="0"/>
        <w:ind w:left="284" w:hanging="284"/>
      </w:pPr>
      <w:r>
        <w:rPr>
          <w:b/>
        </w:rPr>
        <w:t>aboga por un refuerzo del diálogo social y la negociación colectiva a todos los niveles</w:t>
      </w:r>
      <w:r>
        <w:t>, para garantizar la información, la consulta y la participación de los trabajadores en la transición hacia modelos de negocio circulares.</w:t>
      </w:r>
    </w:p>
    <w:p w14:paraId="7E334215" w14:textId="77777777" w:rsidR="00ED76AC" w:rsidRPr="00ED76AC" w:rsidRDefault="00ED76AC" w:rsidP="001307DF">
      <w:pPr>
        <w:ind w:left="284" w:hanging="284"/>
        <w:rPr>
          <w:lang w:val="en-GB" w:eastAsia="en-GB"/>
        </w:rPr>
      </w:pPr>
    </w:p>
    <w:tbl>
      <w:tblPr>
        <w:tblStyle w:val="TableGrid17"/>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ED76AC" w:rsidRPr="00ED76AC" w14:paraId="412ADC26" w14:textId="77777777">
        <w:tc>
          <w:tcPr>
            <w:tcW w:w="1077" w:type="pct"/>
            <w:hideMark/>
          </w:tcPr>
          <w:p w14:paraId="0F7B1E43" w14:textId="77777777" w:rsidR="00ED76AC" w:rsidRPr="00ED76AC" w:rsidRDefault="00ED76AC" w:rsidP="00ED76AC">
            <w:pPr>
              <w:overflowPunct w:val="0"/>
              <w:autoSpaceDE w:val="0"/>
              <w:autoSpaceDN w:val="0"/>
              <w:adjustRightInd w:val="0"/>
              <w:rPr>
                <w:i/>
              </w:rPr>
            </w:pPr>
            <w:r>
              <w:rPr>
                <w:b/>
                <w:i/>
              </w:rPr>
              <w:t>Contacto:</w:t>
            </w:r>
          </w:p>
        </w:tc>
        <w:tc>
          <w:tcPr>
            <w:tcW w:w="3923" w:type="pct"/>
            <w:hideMark/>
          </w:tcPr>
          <w:p w14:paraId="0144A2EC" w14:textId="10811451" w:rsidR="00ED76AC" w:rsidRPr="00ED76AC" w:rsidRDefault="00ED76AC" w:rsidP="00ED76AC">
            <w:pPr>
              <w:overflowPunct w:val="0"/>
              <w:autoSpaceDE w:val="0"/>
              <w:autoSpaceDN w:val="0"/>
              <w:adjustRightInd w:val="0"/>
              <w:rPr>
                <w:i/>
              </w:rPr>
            </w:pPr>
            <w:r>
              <w:rPr>
                <w:i/>
              </w:rPr>
              <w:t>Adam Dorywalski</w:t>
            </w:r>
          </w:p>
        </w:tc>
      </w:tr>
      <w:tr w:rsidR="00ED76AC" w:rsidRPr="00ED76AC" w14:paraId="7414D71C" w14:textId="77777777">
        <w:tc>
          <w:tcPr>
            <w:tcW w:w="1077" w:type="pct"/>
            <w:hideMark/>
          </w:tcPr>
          <w:p w14:paraId="244C8249" w14:textId="77777777" w:rsidR="00ED76AC" w:rsidRPr="00ED76AC" w:rsidRDefault="00ED76AC" w:rsidP="00ED76AC">
            <w:pPr>
              <w:overflowPunct w:val="0"/>
              <w:autoSpaceDE w:val="0"/>
              <w:autoSpaceDN w:val="0"/>
              <w:adjustRightInd w:val="0"/>
              <w:rPr>
                <w:i/>
              </w:rPr>
            </w:pPr>
            <w:r>
              <w:rPr>
                <w:i/>
              </w:rPr>
              <w:t>Teléfono:</w:t>
            </w:r>
          </w:p>
        </w:tc>
        <w:tc>
          <w:tcPr>
            <w:tcW w:w="3923" w:type="pct"/>
            <w:hideMark/>
          </w:tcPr>
          <w:p w14:paraId="262EFFB7" w14:textId="66B13D8A" w:rsidR="00ED76AC" w:rsidRPr="00ED76AC" w:rsidRDefault="00ED76AC" w:rsidP="00ED76AC">
            <w:pPr>
              <w:overflowPunct w:val="0"/>
              <w:autoSpaceDE w:val="0"/>
              <w:autoSpaceDN w:val="0"/>
              <w:adjustRightInd w:val="0"/>
              <w:rPr>
                <w:i/>
              </w:rPr>
            </w:pPr>
            <w:r>
              <w:rPr>
                <w:i/>
              </w:rPr>
              <w:t>+32 25469397</w:t>
            </w:r>
          </w:p>
        </w:tc>
      </w:tr>
      <w:tr w:rsidR="00ED76AC" w:rsidRPr="00ED76AC" w14:paraId="760698CC" w14:textId="77777777">
        <w:tc>
          <w:tcPr>
            <w:tcW w:w="1077" w:type="pct"/>
            <w:hideMark/>
          </w:tcPr>
          <w:p w14:paraId="5E8D3FE3" w14:textId="77777777" w:rsidR="00ED76AC" w:rsidRPr="00ED76AC" w:rsidRDefault="00ED76AC" w:rsidP="00ED76AC">
            <w:pPr>
              <w:overflowPunct w:val="0"/>
              <w:autoSpaceDE w:val="0"/>
              <w:autoSpaceDN w:val="0"/>
              <w:adjustRightInd w:val="0"/>
              <w:rPr>
                <w:i/>
              </w:rPr>
            </w:pPr>
            <w:r>
              <w:rPr>
                <w:i/>
              </w:rPr>
              <w:t>Correo electrónico:</w:t>
            </w:r>
          </w:p>
        </w:tc>
        <w:tc>
          <w:tcPr>
            <w:tcW w:w="3923" w:type="pct"/>
            <w:hideMark/>
          </w:tcPr>
          <w:p w14:paraId="6BD8C4E6" w14:textId="77777777" w:rsidR="00ED76AC" w:rsidRPr="00ED76AC" w:rsidRDefault="00236A60" w:rsidP="00ED76AC">
            <w:pPr>
              <w:overflowPunct w:val="0"/>
              <w:autoSpaceDE w:val="0"/>
              <w:autoSpaceDN w:val="0"/>
              <w:adjustRightInd w:val="0"/>
              <w:rPr>
                <w:i/>
              </w:rPr>
            </w:pPr>
            <w:hyperlink r:id="rId52" w:history="1">
              <w:r w:rsidR="00E167DC">
                <w:rPr>
                  <w:i/>
                  <w:color w:val="0000FF"/>
                  <w:u w:val="single"/>
                </w:rPr>
                <w:t>Adam.Dorywalski@eesc.europa.eu</w:t>
              </w:r>
            </w:hyperlink>
          </w:p>
        </w:tc>
      </w:tr>
    </w:tbl>
    <w:p w14:paraId="1D4DBE8E" w14:textId="77777777" w:rsidR="00ED76AC" w:rsidRDefault="00ED76AC">
      <w:pPr>
        <w:spacing w:after="160" w:line="259" w:lineRule="auto"/>
        <w:jc w:val="left"/>
      </w:pPr>
      <w:r>
        <w:br w:type="page"/>
      </w:r>
    </w:p>
    <w:p w14:paraId="1EC58FCD" w14:textId="735BFB6C" w:rsidR="009F1AE3" w:rsidRPr="009F1AE3" w:rsidRDefault="00236A60" w:rsidP="009F1AE3">
      <w:pPr>
        <w:widowControl w:val="0"/>
        <w:numPr>
          <w:ilvl w:val="0"/>
          <w:numId w:val="4"/>
        </w:numPr>
        <w:overflowPunct w:val="0"/>
        <w:autoSpaceDE w:val="0"/>
        <w:autoSpaceDN w:val="0"/>
        <w:adjustRightInd w:val="0"/>
        <w:ind w:hanging="567"/>
        <w:textAlignment w:val="baseline"/>
        <w:rPr>
          <w:sz w:val="20"/>
          <w:szCs w:val="20"/>
        </w:rPr>
      </w:pPr>
      <w:hyperlink r:id="rId53" w:history="1">
        <w:r w:rsidR="009F1AE3">
          <w:rPr>
            <w:b/>
            <w:i/>
            <w:color w:val="0000FF"/>
            <w:sz w:val="28"/>
            <w:u w:val="single"/>
          </w:rPr>
          <w:t>Cooperativas industriales: una herramienta para afrontar el reto de una competitividad inclusiva y sostenible</w:t>
        </w:r>
      </w:hyperlink>
      <w:r w:rsidR="009F1AE3">
        <w:rPr>
          <w:b/>
          <w:i/>
          <w:sz w:val="28"/>
        </w:rPr>
        <w:t xml:space="preserve"> </w:t>
      </w:r>
    </w:p>
    <w:p w14:paraId="1C2A6159"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1"/>
        <w:gridCol w:w="7288"/>
      </w:tblGrid>
      <w:tr w:rsidR="009F1AE3" w:rsidRPr="009F1AE3" w14:paraId="0D01F4D7" w14:textId="77777777" w:rsidTr="007C5DD5">
        <w:tc>
          <w:tcPr>
            <w:tcW w:w="1077" w:type="pct"/>
          </w:tcPr>
          <w:p w14:paraId="20E55DD0"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Ponente</w:t>
            </w:r>
          </w:p>
        </w:tc>
        <w:tc>
          <w:tcPr>
            <w:tcW w:w="3923" w:type="pct"/>
          </w:tcPr>
          <w:p w14:paraId="1A4CBD2C" w14:textId="77777777" w:rsidR="009F1AE3" w:rsidRPr="009F1AE3" w:rsidRDefault="009F1AE3" w:rsidP="009F1AE3">
            <w:pPr>
              <w:tabs>
                <w:tab w:val="center" w:pos="284"/>
              </w:tabs>
              <w:overflowPunct w:val="0"/>
              <w:autoSpaceDE w:val="0"/>
              <w:autoSpaceDN w:val="0"/>
              <w:adjustRightInd w:val="0"/>
              <w:ind w:left="266" w:right="-3091" w:hanging="266"/>
              <w:textAlignment w:val="baseline"/>
            </w:pPr>
            <w:r>
              <w:t>Giuseppe GUERINI (Grupo de Organizaciones de la Sociedad Civil – IT)</w:t>
            </w:r>
          </w:p>
        </w:tc>
      </w:tr>
      <w:tr w:rsidR="009F1AE3" w:rsidRPr="009F1AE3" w14:paraId="33F2C2EB" w14:textId="77777777" w:rsidTr="007C5DD5">
        <w:tc>
          <w:tcPr>
            <w:tcW w:w="1077" w:type="pct"/>
          </w:tcPr>
          <w:p w14:paraId="1F1A83E5" w14:textId="77777777"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Coponente</w:t>
            </w:r>
          </w:p>
        </w:tc>
        <w:tc>
          <w:tcPr>
            <w:tcW w:w="3923" w:type="pct"/>
          </w:tcPr>
          <w:p w14:paraId="33B4BB5B" w14:textId="77777777" w:rsidR="009F1AE3" w:rsidRDefault="009F1AE3" w:rsidP="009F1AE3">
            <w:pPr>
              <w:tabs>
                <w:tab w:val="center" w:pos="284"/>
              </w:tabs>
              <w:overflowPunct w:val="0"/>
              <w:autoSpaceDE w:val="0"/>
              <w:autoSpaceDN w:val="0"/>
              <w:adjustRightInd w:val="0"/>
              <w:ind w:left="266" w:right="-3091" w:hanging="266"/>
              <w:textAlignment w:val="baseline"/>
            </w:pPr>
            <w:r>
              <w:t>Michal PINTÉR (Grupo de Empresarios – SK)</w:t>
            </w:r>
          </w:p>
          <w:p w14:paraId="5742ACF9" w14:textId="77777777" w:rsidR="005A2512" w:rsidRPr="009F1AE3" w:rsidRDefault="005A2512" w:rsidP="009F1AE3">
            <w:pPr>
              <w:tabs>
                <w:tab w:val="center" w:pos="284"/>
              </w:tabs>
              <w:overflowPunct w:val="0"/>
              <w:autoSpaceDE w:val="0"/>
              <w:autoSpaceDN w:val="0"/>
              <w:adjustRightInd w:val="0"/>
              <w:ind w:left="266" w:right="-3091" w:hanging="266"/>
              <w:textAlignment w:val="baseline"/>
            </w:pPr>
          </w:p>
        </w:tc>
      </w:tr>
      <w:tr w:rsidR="009F1AE3" w:rsidRPr="009F1AE3" w14:paraId="7859888A" w14:textId="77777777" w:rsidTr="007C5DD5">
        <w:tc>
          <w:tcPr>
            <w:tcW w:w="1077" w:type="pct"/>
          </w:tcPr>
          <w:p w14:paraId="032C91E2" w14:textId="4BCBEDEA" w:rsidR="009F1AE3" w:rsidRPr="009F1AE3" w:rsidRDefault="009F1AE3" w:rsidP="009F1AE3">
            <w:pPr>
              <w:tabs>
                <w:tab w:val="center" w:pos="284"/>
              </w:tabs>
              <w:overflowPunct w:val="0"/>
              <w:autoSpaceDE w:val="0"/>
              <w:autoSpaceDN w:val="0"/>
              <w:adjustRightInd w:val="0"/>
              <w:ind w:left="266" w:hanging="266"/>
              <w:textAlignment w:val="baseline"/>
              <w:rPr>
                <w:b/>
              </w:rPr>
            </w:pPr>
            <w:r>
              <w:rPr>
                <w:b/>
              </w:rPr>
              <w:t>Referencia</w:t>
            </w:r>
          </w:p>
        </w:tc>
        <w:tc>
          <w:tcPr>
            <w:tcW w:w="3923" w:type="pct"/>
          </w:tcPr>
          <w:p w14:paraId="0B0CF888" w14:textId="0BC5D656" w:rsidR="005A2512" w:rsidRDefault="005A2512" w:rsidP="009F1AE3">
            <w:pPr>
              <w:tabs>
                <w:tab w:val="center" w:pos="284"/>
              </w:tabs>
              <w:overflowPunct w:val="0"/>
              <w:autoSpaceDE w:val="0"/>
              <w:autoSpaceDN w:val="0"/>
              <w:adjustRightInd w:val="0"/>
              <w:ind w:left="266" w:right="-3091" w:hanging="266"/>
              <w:textAlignment w:val="baseline"/>
            </w:pPr>
            <w:r>
              <w:t>Dictamen de iniciativa</w:t>
            </w:r>
          </w:p>
          <w:p w14:paraId="5FE53CC7" w14:textId="075CB809" w:rsidR="009F1AE3" w:rsidRPr="009F1AE3" w:rsidRDefault="009F1AE3" w:rsidP="009F1AE3">
            <w:pPr>
              <w:tabs>
                <w:tab w:val="center" w:pos="284"/>
              </w:tabs>
              <w:overflowPunct w:val="0"/>
              <w:autoSpaceDE w:val="0"/>
              <w:autoSpaceDN w:val="0"/>
              <w:adjustRightInd w:val="0"/>
              <w:ind w:left="266" w:right="-3091" w:hanging="266"/>
              <w:textAlignment w:val="baseline"/>
            </w:pPr>
            <w:r>
              <w:t>EESC-2025-01083-00-00-AC</w:t>
            </w:r>
          </w:p>
        </w:tc>
      </w:tr>
    </w:tbl>
    <w:p w14:paraId="1DD81CB5" w14:textId="77777777" w:rsidR="009F1AE3" w:rsidRPr="009F1AE3" w:rsidRDefault="009F1AE3" w:rsidP="009F1AE3">
      <w:pPr>
        <w:tabs>
          <w:tab w:val="center" w:pos="284"/>
        </w:tabs>
        <w:overflowPunct w:val="0"/>
        <w:autoSpaceDE w:val="0"/>
        <w:autoSpaceDN w:val="0"/>
        <w:adjustRightInd w:val="0"/>
        <w:ind w:left="266" w:hanging="266"/>
        <w:textAlignment w:val="baseline"/>
        <w:rPr>
          <w:b/>
          <w:lang w:val="en-GB"/>
        </w:rPr>
      </w:pPr>
    </w:p>
    <w:p w14:paraId="06D207ED"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rPr>
      </w:pPr>
      <w:r>
        <w:rPr>
          <w:b/>
        </w:rPr>
        <w:t>Puntos clave</w:t>
      </w:r>
    </w:p>
    <w:p w14:paraId="4286BD1B" w14:textId="77777777" w:rsidR="009F1AE3" w:rsidRPr="009F1AE3" w:rsidRDefault="009F1AE3" w:rsidP="009F1AE3">
      <w:pPr>
        <w:keepNext/>
        <w:keepLines/>
        <w:tabs>
          <w:tab w:val="center" w:pos="284"/>
        </w:tabs>
        <w:overflowPunct w:val="0"/>
        <w:autoSpaceDE w:val="0"/>
        <w:autoSpaceDN w:val="0"/>
        <w:adjustRightInd w:val="0"/>
        <w:ind w:left="266" w:hanging="266"/>
        <w:textAlignment w:val="baseline"/>
        <w:rPr>
          <w:b/>
          <w:lang w:val="en-GB"/>
        </w:rPr>
      </w:pPr>
    </w:p>
    <w:p w14:paraId="46117C84" w14:textId="77777777" w:rsidR="009F1AE3" w:rsidRDefault="009F1AE3" w:rsidP="009F1AE3">
      <w:pPr>
        <w:overflowPunct w:val="0"/>
        <w:autoSpaceDE w:val="0"/>
        <w:autoSpaceDN w:val="0"/>
        <w:adjustRightInd w:val="0"/>
        <w:textAlignment w:val="baseline"/>
        <w:rPr>
          <w:bCs/>
          <w:iCs/>
        </w:rPr>
      </w:pPr>
      <w:r>
        <w:t>El CESE:</w:t>
      </w:r>
    </w:p>
    <w:p w14:paraId="6845B3DF" w14:textId="77777777" w:rsidR="007B326F" w:rsidRPr="009F1AE3" w:rsidRDefault="007B326F" w:rsidP="009F1AE3">
      <w:pPr>
        <w:overflowPunct w:val="0"/>
        <w:autoSpaceDE w:val="0"/>
        <w:autoSpaceDN w:val="0"/>
        <w:adjustRightInd w:val="0"/>
        <w:textAlignment w:val="baseline"/>
        <w:rPr>
          <w:bCs/>
          <w:iCs/>
          <w:lang w:val="en-GB"/>
        </w:rPr>
      </w:pPr>
    </w:p>
    <w:p w14:paraId="27E2A74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observa que las Naciones Unidas han proclamado 2025 como Año Internacional de las Cooperativas bajo el lema «Las cooperativas construyen un mundo mejor», lo que refleja el creciente reconocimiento internacional del modelo cooperativo en todos los sectores;</w:t>
      </w:r>
    </w:p>
    <w:p w14:paraId="3D3801AB"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recomienda incorporar la educación empresarial en materia de cooperativas en los programas educativos generales de emprendimiento y formación profesional, incluidas las actividades de sensibilización de las entidades financieras y las oportunidades en el marco de Erasmus+;</w:t>
      </w:r>
    </w:p>
    <w:p w14:paraId="28A4E3C6"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considera que las cooperativas deben promoverse activamente entre las empresas emergentes y los jóvenes emprendedores;</w:t>
      </w:r>
    </w:p>
    <w:p w14:paraId="58C2F6EC"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pide que se reconozca a las cooperativas industriales como actores económicos clave y que se ofrezcan incentivos financieros específicos a escala europea, nacional y regional (desgravaciones fiscales, subvenciones, financiación a bajo interés) para apoyar la simbiosis industrial y la circularidad;</w:t>
      </w:r>
    </w:p>
    <w:p w14:paraId="4A87AD53"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alienta la inversión en parques industriales compartidos, zonas ecoindustriales y plataformas cooperativas de intercambio de conocimientos para impulsar el establecimiento de cooperativas y la producción sostenible;</w:t>
      </w:r>
    </w:p>
    <w:p w14:paraId="52113114"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insta a que se incluyan medidas políticas específicas orientadas a las cooperativas en los programas de cohesión y las estrategias de desarrollo regional de la Unión, priorizando las iniciativas lideradas por cooperativas a fin de impulsar la resiliencia y la sostenibilidad regionales;</w:t>
      </w:r>
    </w:p>
    <w:p w14:paraId="7894A3A1" w14:textId="77777777"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destaca la creciente importancia estratégica de las cooperativas basadas en datos y pide a la Unión y a las autoridades nacionales que apoyen las iniciativas colectivas para gestionar y compartir datos industriales;</w:t>
      </w:r>
    </w:p>
    <w:p w14:paraId="79564FBF" w14:textId="2AC94D21" w:rsidR="009F1AE3" w:rsidRPr="009F1AE3" w:rsidRDefault="009F1AE3" w:rsidP="00054C58">
      <w:pPr>
        <w:widowControl w:val="0"/>
        <w:numPr>
          <w:ilvl w:val="0"/>
          <w:numId w:val="35"/>
        </w:numPr>
        <w:overflowPunct w:val="0"/>
        <w:autoSpaceDE w:val="0"/>
        <w:autoSpaceDN w:val="0"/>
        <w:adjustRightInd w:val="0"/>
        <w:ind w:left="284" w:hanging="284"/>
        <w:textAlignment w:val="baseline"/>
        <w:rPr>
          <w:bCs/>
          <w:iCs/>
        </w:rPr>
      </w:pPr>
      <w:r>
        <w:t>destaca que el modelo cooperativo aporta un valor añadido único a través de la gobernanza democrática, la distribución equitativa de la riqueza, el compromiso de las comunidades y una gran adaptabilidad, lo que refuerza la autonomía estratégica de la Unión.</w:t>
      </w:r>
    </w:p>
    <w:p w14:paraId="12471B63" w14:textId="77777777" w:rsidR="009F1AE3" w:rsidRPr="009F1AE3" w:rsidRDefault="009F1AE3" w:rsidP="009F1AE3">
      <w:pPr>
        <w:widowControl w:val="0"/>
        <w:overflowPunct w:val="0"/>
        <w:autoSpaceDE w:val="0"/>
        <w:autoSpaceDN w:val="0"/>
        <w:adjustRightInd w:val="0"/>
        <w:ind w:left="709"/>
        <w:textAlignment w:val="baseline"/>
        <w:rPr>
          <w:szCs w:val="20"/>
          <w:lang w:val="en-GB"/>
        </w:rPr>
      </w:pPr>
    </w:p>
    <w:tbl>
      <w:tblPr>
        <w:tblStyle w:val="TableGrid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7054"/>
      </w:tblGrid>
      <w:tr w:rsidR="009F1AE3" w:rsidRPr="009F1AE3" w14:paraId="23DAFD40" w14:textId="77777777" w:rsidTr="00934A52">
        <w:tc>
          <w:tcPr>
            <w:tcW w:w="1203" w:type="pct"/>
          </w:tcPr>
          <w:p w14:paraId="4CF24E66" w14:textId="77777777" w:rsidR="009F1AE3" w:rsidRPr="009F1AE3" w:rsidRDefault="009F1AE3" w:rsidP="009F1AE3">
            <w:pPr>
              <w:overflowPunct w:val="0"/>
              <w:autoSpaceDE w:val="0"/>
              <w:autoSpaceDN w:val="0"/>
              <w:adjustRightInd w:val="0"/>
              <w:textAlignment w:val="baseline"/>
              <w:rPr>
                <w:i/>
              </w:rPr>
            </w:pPr>
            <w:r>
              <w:rPr>
                <w:b/>
                <w:i/>
              </w:rPr>
              <w:t>Contacto:</w:t>
            </w:r>
          </w:p>
        </w:tc>
        <w:tc>
          <w:tcPr>
            <w:tcW w:w="3797" w:type="pct"/>
          </w:tcPr>
          <w:p w14:paraId="06B68A0E" w14:textId="546486E8" w:rsidR="009F1AE3" w:rsidRPr="009F1AE3" w:rsidRDefault="009F1AE3" w:rsidP="009F1AE3">
            <w:pPr>
              <w:overflowPunct w:val="0"/>
              <w:autoSpaceDE w:val="0"/>
              <w:autoSpaceDN w:val="0"/>
              <w:adjustRightInd w:val="0"/>
              <w:textAlignment w:val="baseline"/>
              <w:rPr>
                <w:i/>
              </w:rPr>
            </w:pPr>
            <w:r>
              <w:rPr>
                <w:i/>
              </w:rPr>
              <w:t>Adam Dorywalski</w:t>
            </w:r>
          </w:p>
        </w:tc>
      </w:tr>
      <w:tr w:rsidR="009F1AE3" w:rsidRPr="009F1AE3" w14:paraId="7AF1CC27" w14:textId="77777777" w:rsidTr="00934A52">
        <w:tc>
          <w:tcPr>
            <w:tcW w:w="1203" w:type="pct"/>
          </w:tcPr>
          <w:p w14:paraId="233242A3" w14:textId="77777777" w:rsidR="009F1AE3" w:rsidRPr="009F1AE3" w:rsidRDefault="009F1AE3" w:rsidP="009F1AE3">
            <w:pPr>
              <w:overflowPunct w:val="0"/>
              <w:autoSpaceDE w:val="0"/>
              <w:autoSpaceDN w:val="0"/>
              <w:adjustRightInd w:val="0"/>
              <w:textAlignment w:val="baseline"/>
              <w:rPr>
                <w:i/>
              </w:rPr>
            </w:pPr>
            <w:r>
              <w:rPr>
                <w:i/>
              </w:rPr>
              <w:t>Teléfono:</w:t>
            </w:r>
          </w:p>
        </w:tc>
        <w:tc>
          <w:tcPr>
            <w:tcW w:w="3797" w:type="pct"/>
          </w:tcPr>
          <w:p w14:paraId="5A333E81" w14:textId="77777777" w:rsidR="009F1AE3" w:rsidRPr="009F1AE3" w:rsidRDefault="009F1AE3" w:rsidP="009F1AE3">
            <w:pPr>
              <w:overflowPunct w:val="0"/>
              <w:autoSpaceDE w:val="0"/>
              <w:autoSpaceDN w:val="0"/>
              <w:adjustRightInd w:val="0"/>
              <w:textAlignment w:val="baseline"/>
              <w:rPr>
                <w:i/>
              </w:rPr>
            </w:pPr>
            <w:r>
              <w:rPr>
                <w:i/>
              </w:rPr>
              <w:t>+32 25469397</w:t>
            </w:r>
          </w:p>
        </w:tc>
      </w:tr>
      <w:tr w:rsidR="009F1AE3" w:rsidRPr="009F1AE3" w14:paraId="7ABF5273" w14:textId="77777777" w:rsidTr="00934A52">
        <w:tc>
          <w:tcPr>
            <w:tcW w:w="1203" w:type="pct"/>
          </w:tcPr>
          <w:p w14:paraId="2931E696" w14:textId="77777777" w:rsidR="009F1AE3" w:rsidRPr="009F1AE3" w:rsidRDefault="009F1AE3" w:rsidP="009F1AE3">
            <w:pPr>
              <w:overflowPunct w:val="0"/>
              <w:autoSpaceDE w:val="0"/>
              <w:autoSpaceDN w:val="0"/>
              <w:adjustRightInd w:val="0"/>
              <w:textAlignment w:val="baseline"/>
              <w:rPr>
                <w:i/>
              </w:rPr>
            </w:pPr>
            <w:r>
              <w:rPr>
                <w:i/>
              </w:rPr>
              <w:t>Correo electrónico:</w:t>
            </w:r>
          </w:p>
        </w:tc>
        <w:tc>
          <w:tcPr>
            <w:tcW w:w="3797" w:type="pct"/>
          </w:tcPr>
          <w:p w14:paraId="7A67CA0D" w14:textId="77777777" w:rsidR="009F1AE3" w:rsidRPr="009F1AE3" w:rsidRDefault="00236A60" w:rsidP="009F1AE3">
            <w:pPr>
              <w:overflowPunct w:val="0"/>
              <w:autoSpaceDE w:val="0"/>
              <w:autoSpaceDN w:val="0"/>
              <w:adjustRightInd w:val="0"/>
              <w:textAlignment w:val="baseline"/>
              <w:rPr>
                <w:i/>
              </w:rPr>
            </w:pPr>
            <w:hyperlink r:id="rId54" w:history="1">
              <w:r w:rsidR="00E167DC">
                <w:rPr>
                  <w:i/>
                  <w:color w:val="0000FF"/>
                  <w:u w:val="single"/>
                </w:rPr>
                <w:t>Adam.Dorywalski@eesc.europa.eu</w:t>
              </w:r>
            </w:hyperlink>
          </w:p>
        </w:tc>
      </w:tr>
    </w:tbl>
    <w:p w14:paraId="09A596F7" w14:textId="77777777" w:rsidR="006D2C8A" w:rsidRDefault="006D2C8A" w:rsidP="006D2C8A">
      <w:pPr>
        <w:spacing w:after="160" w:line="259" w:lineRule="auto"/>
        <w:jc w:val="left"/>
      </w:pPr>
    </w:p>
    <w:p w14:paraId="2E28EF19" w14:textId="3B368787" w:rsidR="000D394D" w:rsidRDefault="00EB462E" w:rsidP="00054C58">
      <w:pPr>
        <w:spacing w:after="160" w:line="259" w:lineRule="auto"/>
        <w:jc w:val="center"/>
      </w:pPr>
      <w:r>
        <w:t>______________</w:t>
      </w:r>
    </w:p>
    <w:sectPr w:rsidR="000D394D" w:rsidSect="00EE6F0B">
      <w:headerReference w:type="even" r:id="rId55"/>
      <w:headerReference w:type="default" r:id="rId56"/>
      <w:footerReference w:type="even" r:id="rId57"/>
      <w:footerReference w:type="default" r:id="rId58"/>
      <w:headerReference w:type="first" r:id="rId59"/>
      <w:footerReference w:type="first" r:id="rId60"/>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83ED" w14:textId="77777777" w:rsidR="007068C8" w:rsidRDefault="007068C8" w:rsidP="00B518C9">
      <w:pPr>
        <w:spacing w:line="240" w:lineRule="auto"/>
      </w:pPr>
      <w:r>
        <w:separator/>
      </w:r>
    </w:p>
  </w:endnote>
  <w:endnote w:type="continuationSeparator" w:id="0">
    <w:p w14:paraId="2DEC234A" w14:textId="77777777" w:rsidR="007068C8" w:rsidRDefault="007068C8"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B6149" w14:textId="77777777" w:rsidR="00E167DC" w:rsidRDefault="00E167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9FCBE" w:rsidR="00B518C9"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w:t>
    </w:r>
    <w:r>
      <w:fldChar w:fldCharType="end"/>
    </w:r>
    <w:r>
      <w:t>/</w:t>
    </w:r>
    <w:r w:rsidR="00236A60">
      <w:fldChar w:fldCharType="begin"/>
    </w:r>
    <w:r w:rsidR="00236A60">
      <w:instrText xml:space="preserve"> NUMPAGES </w:instrText>
    </w:r>
    <w:r w:rsidR="00236A60">
      <w:fldChar w:fldCharType="separate"/>
    </w:r>
    <w:r w:rsidR="008541DE">
      <w:t>1</w:t>
    </w:r>
    <w:r w:rsidR="00236A6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A6740" w14:textId="77777777" w:rsidR="00E167DC" w:rsidRDefault="00E167D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A5BF5" w14:textId="77777777" w:rsidR="00EE6F0B" w:rsidRPr="00EE6F0B" w:rsidRDefault="00EE6F0B" w:rsidP="00EE6F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1AE1F" w14:textId="4BF61E79" w:rsidR="00EE6F0B" w:rsidRPr="00EE6F0B" w:rsidRDefault="00EE6F0B" w:rsidP="00EE6F0B">
    <w:pPr>
      <w:pStyle w:val="Footer"/>
    </w:pPr>
    <w:r>
      <w:t xml:space="preserve">EESC-2025-03552-00-00-TCD-TRA (EN) </w:t>
    </w:r>
    <w:r>
      <w:fldChar w:fldCharType="begin"/>
    </w:r>
    <w:r>
      <w:instrText xml:space="preserve"> PAGE  \* Arabic  \* MERGEFORMAT </w:instrText>
    </w:r>
    <w:r>
      <w:fldChar w:fldCharType="separate"/>
    </w:r>
    <w:r w:rsidR="008541DE">
      <w:t>16</w:t>
    </w:r>
    <w:r>
      <w:fldChar w:fldCharType="end"/>
    </w:r>
    <w:r>
      <w:t>/</w:t>
    </w:r>
    <w:r w:rsidR="00236A60">
      <w:fldChar w:fldCharType="begin"/>
    </w:r>
    <w:r w:rsidR="00236A60">
      <w:instrText xml:space="preserve"> NUMPAGES </w:instrText>
    </w:r>
    <w:r w:rsidR="00236A60">
      <w:fldChar w:fldCharType="separate"/>
    </w:r>
    <w:r w:rsidR="008541DE">
      <w:t>16</w:t>
    </w:r>
    <w:r w:rsidR="00236A60">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AA5D8" w14:textId="77777777" w:rsidR="00EE6F0B" w:rsidRPr="00EE6F0B" w:rsidRDefault="00EE6F0B" w:rsidP="00EE6F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FB7AD" w14:textId="77777777" w:rsidR="007068C8" w:rsidRDefault="007068C8" w:rsidP="00B518C9">
      <w:pPr>
        <w:spacing w:line="240" w:lineRule="auto"/>
      </w:pPr>
      <w:r>
        <w:separator/>
      </w:r>
    </w:p>
  </w:footnote>
  <w:footnote w:type="continuationSeparator" w:id="0">
    <w:p w14:paraId="1C004BEA" w14:textId="77777777" w:rsidR="007068C8" w:rsidRDefault="007068C8" w:rsidP="00B518C9">
      <w:pPr>
        <w:spacing w:line="240" w:lineRule="auto"/>
      </w:pPr>
      <w:r>
        <w:continuationSeparator/>
      </w:r>
    </w:p>
  </w:footnote>
  <w:footnote w:id="1">
    <w:p w14:paraId="64A91302" w14:textId="77777777" w:rsidR="00E972B2" w:rsidRDefault="00E972B2" w:rsidP="00E972B2">
      <w:pPr>
        <w:keepLines/>
        <w:spacing w:after="60" w:line="240" w:lineRule="auto"/>
        <w:ind w:left="567" w:hanging="567"/>
        <w:rPr>
          <w:sz w:val="16"/>
          <w:szCs w:val="16"/>
        </w:rPr>
      </w:pPr>
      <w:r>
        <w:rPr>
          <w:rStyle w:val="FootnoteReference"/>
        </w:rPr>
        <w:footnoteRef/>
      </w:r>
      <w:r>
        <w:rPr>
          <w:sz w:val="16"/>
        </w:rPr>
        <w:tab/>
      </w:r>
      <w:hyperlink r:id="rId1">
        <w:r>
          <w:rPr>
            <w:color w:val="0000FF"/>
            <w:sz w:val="16"/>
            <w:u w:val="single"/>
          </w:rPr>
          <w:t>https://eur-lex.europa.eu/legal-content/ES/TXT/?uri=legissum:4623532</w:t>
        </w:r>
      </w:hyperlink>
      <w:r>
        <w:t>.</w:t>
      </w:r>
    </w:p>
  </w:footnote>
  <w:footnote w:id="2">
    <w:p w14:paraId="454B3162" w14:textId="77777777" w:rsidR="00E972B2" w:rsidRPr="00ED3E39" w:rsidRDefault="00E972B2" w:rsidP="00E972B2">
      <w:pPr>
        <w:keepLines/>
        <w:spacing w:after="60" w:line="240" w:lineRule="auto"/>
        <w:ind w:left="567" w:hanging="567"/>
      </w:pPr>
      <w:r>
        <w:rPr>
          <w:rStyle w:val="FootnoteReference"/>
        </w:rPr>
        <w:footnoteRef/>
      </w:r>
      <w:r>
        <w:rPr>
          <w:sz w:val="16"/>
        </w:rPr>
        <w:tab/>
      </w:r>
      <w:hyperlink r:id="rId2">
        <w:r>
          <w:rPr>
            <w:color w:val="0000FF"/>
            <w:sz w:val="16"/>
            <w:u w:val="single"/>
          </w:rPr>
          <w:t>https://eur-lex.europa.eu/legal-content/ES/TXT/?uri=CELEX%3A52022XC0930%2802%29</w:t>
        </w:r>
      </w:hyperlink>
      <w:r>
        <w:t>.</w:t>
      </w:r>
    </w:p>
  </w:footnote>
  <w:footnote w:id="3">
    <w:p w14:paraId="70B24787" w14:textId="77777777" w:rsidR="00E972B2" w:rsidRPr="0023267D" w:rsidRDefault="00E972B2" w:rsidP="00E972B2">
      <w:pPr>
        <w:keepLines/>
        <w:spacing w:after="60" w:line="240" w:lineRule="auto"/>
        <w:ind w:left="567" w:hanging="567"/>
        <w:rPr>
          <w:color w:val="0000FF"/>
          <w:sz w:val="16"/>
          <w:szCs w:val="16"/>
        </w:rPr>
      </w:pPr>
      <w:r>
        <w:rPr>
          <w:rStyle w:val="FootnoteReference"/>
        </w:rPr>
        <w:footnoteRef/>
      </w:r>
      <w:r>
        <w:rPr>
          <w:sz w:val="16"/>
        </w:rPr>
        <w:tab/>
      </w:r>
      <w:hyperlink r:id="rId3">
        <w:r>
          <w:rPr>
            <w:color w:val="0000FF"/>
            <w:sz w:val="16"/>
            <w:u w:val="single"/>
          </w:rPr>
          <w:t>https://digital-strategy.ec.europa.eu/es/library/recommendation-protection-safety-and-empowerment-journalists</w:t>
        </w:r>
      </w:hyperlink>
      <w:r>
        <w:rPr>
          <w:sz w:val="16"/>
        </w:rPr>
        <w:t>.</w:t>
      </w:r>
    </w:p>
  </w:footnote>
  <w:footnote w:id="4">
    <w:p w14:paraId="026EF876" w14:textId="77777777" w:rsidR="00E972B2" w:rsidRPr="00C510E4" w:rsidRDefault="00E972B2" w:rsidP="00E972B2">
      <w:pPr>
        <w:keepLines/>
        <w:spacing w:after="60" w:line="240" w:lineRule="auto"/>
        <w:ind w:left="567" w:hanging="567"/>
      </w:pPr>
      <w:r>
        <w:rPr>
          <w:rStyle w:val="FootnoteReference"/>
        </w:rPr>
        <w:footnoteRef/>
      </w:r>
      <w:r>
        <w:tab/>
      </w:r>
      <w:r>
        <w:rPr>
          <w:sz w:val="16"/>
        </w:rPr>
        <w:t>DO C, C/2025/114 de 10.1.2025</w:t>
      </w:r>
      <w:r>
        <w:t xml:space="preserve">, </w:t>
      </w:r>
      <w:r w:rsidRPr="00934A52">
        <w:rPr>
          <w:sz w:val="16"/>
          <w:szCs w:val="16"/>
        </w:rPr>
        <w:t>ELI:</w:t>
      </w:r>
      <w:r>
        <w:t xml:space="preserve"> </w:t>
      </w:r>
      <w:hyperlink r:id="rId4" w:history="1">
        <w:r>
          <w:rPr>
            <w:rStyle w:val="Hyperlink"/>
            <w:sz w:val="16"/>
          </w:rPr>
          <w:t>http://data.europa.eu/eli/C/2025/114/oj</w:t>
        </w:r>
      </w:hyperlink>
      <w:r>
        <w:rPr>
          <w:sz w:val="16"/>
        </w:rPr>
        <w:t>.</w:t>
      </w:r>
    </w:p>
  </w:footnote>
  <w:footnote w:id="5">
    <w:p w14:paraId="01E2CCA5" w14:textId="77777777" w:rsidR="00836765" w:rsidRPr="00360DD3" w:rsidRDefault="00836765" w:rsidP="00836765">
      <w:pPr>
        <w:pStyle w:val="FootnoteText"/>
      </w:pPr>
      <w:r>
        <w:rPr>
          <w:rStyle w:val="FootnoteReference"/>
        </w:rPr>
        <w:footnoteRef/>
      </w:r>
      <w:r>
        <w:t xml:space="preserve"> </w:t>
      </w:r>
      <w:r>
        <w:tab/>
        <w:t xml:space="preserve">Dictamen de iniciativa del CESE </w:t>
      </w:r>
      <w:hyperlink r:id="rId5" w:anchor=" " w:history="1">
        <w:r>
          <w:rPr>
            <w:rStyle w:val="Hyperlink"/>
          </w:rPr>
          <w:t>«Deforestación de la selva amazónica: repercusiones para el cambio climático y el medio ambiente mundial y consecuencias para las empresas, los trabajadores y la sociedad»</w:t>
        </w:r>
      </w:hyperlink>
      <w:r>
        <w:t xml:space="preserve">, </w:t>
      </w:r>
      <w:hyperlink r:id="rId6" w:history="1">
        <w:r>
          <w:rPr>
            <w:rStyle w:val="Hyperlink"/>
          </w:rPr>
          <w:t>DO C, C/2024/6882, 28.11.2024</w:t>
        </w:r>
      </w:hyperlink>
      <w:r>
        <w:t>.</w:t>
      </w:r>
    </w:p>
  </w:footnote>
  <w:footnote w:id="6">
    <w:p w14:paraId="74D17928" w14:textId="77777777" w:rsidR="00836765" w:rsidRPr="00360DD3" w:rsidRDefault="00836765" w:rsidP="00836765">
      <w:pPr>
        <w:pStyle w:val="FootnoteText"/>
      </w:pPr>
      <w:r>
        <w:rPr>
          <w:rStyle w:val="FootnoteReference"/>
        </w:rPr>
        <w:footnoteRef/>
      </w:r>
      <w:r>
        <w:t xml:space="preserve"> </w:t>
      </w:r>
      <w:r>
        <w:tab/>
        <w:t xml:space="preserve">Dictamen del CESE </w:t>
      </w:r>
      <w:hyperlink r:id="rId7" w:history="1">
        <w:r>
          <w:rPr>
            <w:rStyle w:val="Hyperlink"/>
          </w:rPr>
          <w:t>«Minimizar el riesgo de deforestación y degradación forestal asociado a los productos comercializados en la UE»</w:t>
        </w:r>
      </w:hyperlink>
      <w:r>
        <w:t xml:space="preserve">, </w:t>
      </w:r>
      <w:hyperlink r:id="rId8" w:history="1">
        <w:r>
          <w:rPr>
            <w:rStyle w:val="Hyperlink"/>
          </w:rPr>
          <w:t>DO C 275 de 18.7.2022, p. 88</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95C6D" w14:textId="77777777" w:rsidR="00E167DC" w:rsidRDefault="00E167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8352F2" w14:textId="77777777" w:rsidR="00E167DC" w:rsidRDefault="00E167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2B621" w14:textId="77777777" w:rsidR="00E167DC" w:rsidRDefault="00E167D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C11B" w14:textId="77777777" w:rsidR="00EE6F0B" w:rsidRPr="00EE6F0B" w:rsidRDefault="00EE6F0B" w:rsidP="00EE6F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0CF56" w14:textId="041A1C85" w:rsidR="00EE6F0B" w:rsidRPr="00EE6F0B" w:rsidRDefault="00EE6F0B" w:rsidP="00EE6F0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285E" w14:textId="77777777" w:rsidR="00EE6F0B" w:rsidRPr="00EE6F0B" w:rsidRDefault="00EE6F0B" w:rsidP="00EE6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1AD6BFB"/>
    <w:multiLevelType w:val="hybridMultilevel"/>
    <w:tmpl w:val="8DE8923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 w15:restartNumberingAfterBreak="0">
    <w:nsid w:val="0C6E7E92"/>
    <w:multiLevelType w:val="hybridMultilevel"/>
    <w:tmpl w:val="D852615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12805E4A"/>
    <w:multiLevelType w:val="hybridMultilevel"/>
    <w:tmpl w:val="0E9A9FEC"/>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52A281C"/>
    <w:multiLevelType w:val="multilevel"/>
    <w:tmpl w:val="DC36A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596CA9"/>
    <w:multiLevelType w:val="hybridMultilevel"/>
    <w:tmpl w:val="A2A6572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 w15:restartNumberingAfterBreak="0">
    <w:nsid w:val="176B0C2D"/>
    <w:multiLevelType w:val="hybridMultilevel"/>
    <w:tmpl w:val="EA30BBB2"/>
    <w:lvl w:ilvl="0" w:tplc="8E864B0C">
      <w:start w:val="1"/>
      <w:numFmt w:val="bullet"/>
      <w:lvlText w:val=""/>
      <w:lvlJc w:val="left"/>
      <w:pPr>
        <w:ind w:left="360" w:hanging="360"/>
      </w:pPr>
      <w:rPr>
        <w:rFonts w:ascii="Symbol" w:hAnsi="Symbol" w:hint="default"/>
        <w:color w:val="auto"/>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20E64D01"/>
    <w:multiLevelType w:val="multilevel"/>
    <w:tmpl w:val="E362D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3E3335"/>
    <w:multiLevelType w:val="hybridMultilevel"/>
    <w:tmpl w:val="6742EDEA"/>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 w15:restartNumberingAfterBreak="0">
    <w:nsid w:val="24187467"/>
    <w:multiLevelType w:val="hybridMultilevel"/>
    <w:tmpl w:val="73644BDA"/>
    <w:lvl w:ilvl="0" w:tplc="8E864B0C">
      <w:start w:val="1"/>
      <w:numFmt w:val="bullet"/>
      <w:lvlText w:val=""/>
      <w:lvlJc w:val="left"/>
      <w:pPr>
        <w:ind w:left="720" w:hanging="360"/>
      </w:pPr>
      <w:rPr>
        <w:rFonts w:ascii="Symbol" w:hAnsi="Symbol" w:hint="default"/>
        <w:color w:val="auto"/>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50909E3"/>
    <w:multiLevelType w:val="hybridMultilevel"/>
    <w:tmpl w:val="FC481F60"/>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 w15:restartNumberingAfterBreak="0">
    <w:nsid w:val="26F77B86"/>
    <w:multiLevelType w:val="hybridMultilevel"/>
    <w:tmpl w:val="2D104712"/>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2AD155A9"/>
    <w:multiLevelType w:val="hybridMultilevel"/>
    <w:tmpl w:val="F09C53E4"/>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C0C48"/>
    <w:multiLevelType w:val="hybridMultilevel"/>
    <w:tmpl w:val="30EC54EA"/>
    <w:lvl w:ilvl="0" w:tplc="20000001">
      <w:start w:val="1"/>
      <w:numFmt w:val="bullet"/>
      <w:lvlText w:val=""/>
      <w:lvlJc w:val="left"/>
      <w:pPr>
        <w:ind w:left="720" w:hanging="360"/>
      </w:pPr>
      <w:rPr>
        <w:rFonts w:ascii="Symbol" w:hAnsi="Symbol" w:hint="default"/>
      </w:rPr>
    </w:lvl>
    <w:lvl w:ilvl="1" w:tplc="C7D4BED2">
      <w:start w:val="1"/>
      <w:numFmt w:val="lowerLetter"/>
      <w:lvlText w:val="%2."/>
      <w:lvlJc w:val="left"/>
      <w:pPr>
        <w:ind w:left="1440" w:hanging="360"/>
      </w:pPr>
    </w:lvl>
    <w:lvl w:ilvl="2" w:tplc="EDDA7C24">
      <w:start w:val="1"/>
      <w:numFmt w:val="lowerRoman"/>
      <w:lvlText w:val="%3."/>
      <w:lvlJc w:val="right"/>
      <w:pPr>
        <w:ind w:left="2160" w:hanging="180"/>
      </w:pPr>
    </w:lvl>
    <w:lvl w:ilvl="3" w:tplc="D6D8B25C">
      <w:start w:val="1"/>
      <w:numFmt w:val="decimal"/>
      <w:lvlText w:val="%4."/>
      <w:lvlJc w:val="left"/>
      <w:pPr>
        <w:ind w:left="2880" w:hanging="360"/>
      </w:pPr>
    </w:lvl>
    <w:lvl w:ilvl="4" w:tplc="15BC3358">
      <w:start w:val="1"/>
      <w:numFmt w:val="lowerLetter"/>
      <w:lvlText w:val="%5."/>
      <w:lvlJc w:val="left"/>
      <w:pPr>
        <w:ind w:left="3600" w:hanging="360"/>
      </w:pPr>
    </w:lvl>
    <w:lvl w:ilvl="5" w:tplc="286291C8">
      <w:start w:val="1"/>
      <w:numFmt w:val="lowerRoman"/>
      <w:lvlText w:val="%6."/>
      <w:lvlJc w:val="right"/>
      <w:pPr>
        <w:ind w:left="4320" w:hanging="180"/>
      </w:pPr>
    </w:lvl>
    <w:lvl w:ilvl="6" w:tplc="18BA1814">
      <w:start w:val="1"/>
      <w:numFmt w:val="decimal"/>
      <w:lvlText w:val="%7."/>
      <w:lvlJc w:val="left"/>
      <w:pPr>
        <w:ind w:left="5040" w:hanging="360"/>
      </w:pPr>
    </w:lvl>
    <w:lvl w:ilvl="7" w:tplc="288E5478">
      <w:start w:val="1"/>
      <w:numFmt w:val="lowerLetter"/>
      <w:lvlText w:val="%8."/>
      <w:lvlJc w:val="left"/>
      <w:pPr>
        <w:ind w:left="5760" w:hanging="360"/>
      </w:pPr>
    </w:lvl>
    <w:lvl w:ilvl="8" w:tplc="FE92EFCA">
      <w:start w:val="1"/>
      <w:numFmt w:val="lowerRoman"/>
      <w:lvlText w:val="%9."/>
      <w:lvlJc w:val="right"/>
      <w:pPr>
        <w:ind w:left="6480" w:hanging="180"/>
      </w:pPr>
    </w:lvl>
  </w:abstractNum>
  <w:abstractNum w:abstractNumId="15" w15:restartNumberingAfterBreak="0">
    <w:nsid w:val="3ACE296A"/>
    <w:multiLevelType w:val="hybridMultilevel"/>
    <w:tmpl w:val="474C91D2"/>
    <w:lvl w:ilvl="0" w:tplc="DDE088C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77714"/>
    <w:multiLevelType w:val="multilevel"/>
    <w:tmpl w:val="CEC6278C"/>
    <w:lvl w:ilvl="0">
      <w:start w:val="1"/>
      <w:numFmt w:val="decimal"/>
      <w:lvlText w:val="%1."/>
      <w:legacy w:legacy="1" w:legacySpace="0" w:legacyIndent="0"/>
      <w:lvlJc w:val="left"/>
    </w:lvl>
    <w:lvl w:ilvl="1">
      <w:start w:val="1"/>
      <w:numFmt w:val="bullet"/>
      <w:lvlText w:val=""/>
      <w:lvlJc w:val="left"/>
      <w:pPr>
        <w:ind w:left="360" w:hanging="360"/>
      </w:pPr>
      <w:rPr>
        <w:rFonts w:ascii="Symbol" w:hAnsi="Symbol" w:hint="default"/>
        <w:color w:val="auto"/>
      </w:rPr>
    </w:lvl>
    <w:lvl w:ilvl="2">
      <w:start w:val="1"/>
      <w:numFmt w:val="decimal"/>
      <w:lvlText w:val="%1.%2.%3"/>
      <w:legacy w:legacy="1" w:legacySpace="144" w:legacyIndent="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7" w15:restartNumberingAfterBreak="0">
    <w:nsid w:val="40BB0637"/>
    <w:multiLevelType w:val="multilevel"/>
    <w:tmpl w:val="D5C0BC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D54062"/>
    <w:multiLevelType w:val="hybridMultilevel"/>
    <w:tmpl w:val="4304434C"/>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52327BE6"/>
    <w:multiLevelType w:val="hybridMultilevel"/>
    <w:tmpl w:val="8EA829E0"/>
    <w:lvl w:ilvl="0" w:tplc="8E864B0C">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53221321"/>
    <w:multiLevelType w:val="hybridMultilevel"/>
    <w:tmpl w:val="401829F8"/>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57C72E15"/>
    <w:multiLevelType w:val="hybridMultilevel"/>
    <w:tmpl w:val="49D4986E"/>
    <w:lvl w:ilvl="0" w:tplc="04090001">
      <w:start w:val="1"/>
      <w:numFmt w:val="bullet"/>
      <w:lvlText w:val=""/>
      <w:lvlJc w:val="left"/>
      <w:pPr>
        <w:ind w:left="720" w:hanging="360"/>
      </w:pPr>
      <w:rPr>
        <w:rFonts w:ascii="Symbol" w:hAnsi="Symbol" w:hint="default"/>
      </w:rPr>
    </w:lvl>
    <w:lvl w:ilvl="1" w:tplc="4394E770">
      <w:start w:val="1"/>
      <w:numFmt w:val="lowerLetter"/>
      <w:lvlText w:val="%2."/>
      <w:lvlJc w:val="left"/>
      <w:pPr>
        <w:ind w:left="1440" w:hanging="360"/>
      </w:pPr>
    </w:lvl>
    <w:lvl w:ilvl="2" w:tplc="48F2FBB0">
      <w:start w:val="1"/>
      <w:numFmt w:val="lowerRoman"/>
      <w:lvlText w:val="%3."/>
      <w:lvlJc w:val="right"/>
      <w:pPr>
        <w:ind w:left="2160" w:hanging="180"/>
      </w:pPr>
    </w:lvl>
    <w:lvl w:ilvl="3" w:tplc="194A9B02">
      <w:start w:val="1"/>
      <w:numFmt w:val="decimal"/>
      <w:lvlText w:val="%4."/>
      <w:lvlJc w:val="left"/>
      <w:pPr>
        <w:ind w:left="2880" w:hanging="360"/>
      </w:pPr>
    </w:lvl>
    <w:lvl w:ilvl="4" w:tplc="10E6AFD6">
      <w:start w:val="1"/>
      <w:numFmt w:val="lowerLetter"/>
      <w:lvlText w:val="%5."/>
      <w:lvlJc w:val="left"/>
      <w:pPr>
        <w:ind w:left="3600" w:hanging="360"/>
      </w:pPr>
    </w:lvl>
    <w:lvl w:ilvl="5" w:tplc="59546A76">
      <w:start w:val="1"/>
      <w:numFmt w:val="lowerRoman"/>
      <w:lvlText w:val="%6."/>
      <w:lvlJc w:val="right"/>
      <w:pPr>
        <w:ind w:left="4320" w:hanging="180"/>
      </w:pPr>
    </w:lvl>
    <w:lvl w:ilvl="6" w:tplc="B28879B6">
      <w:start w:val="1"/>
      <w:numFmt w:val="decimal"/>
      <w:lvlText w:val="%7."/>
      <w:lvlJc w:val="left"/>
      <w:pPr>
        <w:ind w:left="5040" w:hanging="360"/>
      </w:pPr>
    </w:lvl>
    <w:lvl w:ilvl="7" w:tplc="C930E540">
      <w:start w:val="1"/>
      <w:numFmt w:val="lowerLetter"/>
      <w:lvlText w:val="%8."/>
      <w:lvlJc w:val="left"/>
      <w:pPr>
        <w:ind w:left="5760" w:hanging="360"/>
      </w:pPr>
    </w:lvl>
    <w:lvl w:ilvl="8" w:tplc="766A47CC">
      <w:start w:val="1"/>
      <w:numFmt w:val="lowerRoman"/>
      <w:lvlText w:val="%9."/>
      <w:lvlJc w:val="right"/>
      <w:pPr>
        <w:ind w:left="6480" w:hanging="180"/>
      </w:pPr>
    </w:lvl>
  </w:abstractNum>
  <w:abstractNum w:abstractNumId="22" w15:restartNumberingAfterBreak="0">
    <w:nsid w:val="5E0A6BF8"/>
    <w:multiLevelType w:val="hybridMultilevel"/>
    <w:tmpl w:val="9A2AC15E"/>
    <w:lvl w:ilvl="0" w:tplc="8E864B0C">
      <w:start w:val="1"/>
      <w:numFmt w:val="bullet"/>
      <w:lvlText w:val=""/>
      <w:lvlJc w:val="left"/>
      <w:pPr>
        <w:ind w:left="720" w:hanging="360"/>
      </w:pPr>
      <w:rPr>
        <w:rFonts w:ascii="Symbol" w:hAnsi="Symbol" w:hint="default"/>
        <w:color w:val="auto"/>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EB34897"/>
    <w:multiLevelType w:val="hybridMultilevel"/>
    <w:tmpl w:val="2DF20D56"/>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15:restartNumberingAfterBreak="0">
    <w:nsid w:val="646E239B"/>
    <w:multiLevelType w:val="hybridMultilevel"/>
    <w:tmpl w:val="4378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5F1DCB"/>
    <w:multiLevelType w:val="hybridMultilevel"/>
    <w:tmpl w:val="5F1059D2"/>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26"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27" w15:restartNumberingAfterBreak="0">
    <w:nsid w:val="6B3767B2"/>
    <w:multiLevelType w:val="hybridMultilevel"/>
    <w:tmpl w:val="CF9ADD54"/>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8" w15:restartNumberingAfterBreak="0">
    <w:nsid w:val="6D051B82"/>
    <w:multiLevelType w:val="hybridMultilevel"/>
    <w:tmpl w:val="06A2BD0C"/>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9" w15:restartNumberingAfterBreak="0">
    <w:nsid w:val="6D790D12"/>
    <w:multiLevelType w:val="hybridMultilevel"/>
    <w:tmpl w:val="A63CD1A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72BC55E4"/>
    <w:multiLevelType w:val="multilevel"/>
    <w:tmpl w:val="3FF64D9A"/>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105596"/>
    <w:multiLevelType w:val="hybridMultilevel"/>
    <w:tmpl w:val="3730B994"/>
    <w:lvl w:ilvl="0" w:tplc="8E864B0C">
      <w:start w:val="1"/>
      <w:numFmt w:val="bullet"/>
      <w:lvlText w:val=""/>
      <w:lvlJc w:val="left"/>
      <w:pPr>
        <w:ind w:left="644" w:hanging="360"/>
      </w:pPr>
      <w:rPr>
        <w:rFonts w:ascii="Symbol" w:hAnsi="Symbol" w:hint="default"/>
        <w:color w:val="auto"/>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0"/>
  </w:num>
  <w:num w:numId="2">
    <w:abstractNumId w:val="26"/>
  </w:num>
  <w:num w:numId="3">
    <w:abstractNumId w:val="31"/>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7"/>
  </w:num>
  <w:num w:numId="6">
    <w:abstractNumId w:val="1"/>
    <w:lvlOverride w:ilvl="0">
      <w:lvl w:ilvl="0">
        <w:start w:val="1"/>
        <w:numFmt w:val="bullet"/>
        <w:lvlText w:val=""/>
        <w:lvlJc w:val="left"/>
        <w:pPr>
          <w:ind w:left="720" w:hanging="360"/>
        </w:pPr>
        <w:rPr>
          <w:rFonts w:ascii="Symbol" w:hAnsi="Symbol" w:hint="default"/>
          <w:color w:val="auto"/>
        </w:rPr>
      </w:lvl>
    </w:lvlOverride>
  </w:num>
  <w:num w:numId="7">
    <w:abstractNumId w:val="8"/>
  </w:num>
  <w:num w:numId="8">
    <w:abstractNumId w:val="5"/>
  </w:num>
  <w:num w:numId="9">
    <w:abstractNumId w:val="29"/>
  </w:num>
  <w:num w:numId="10">
    <w:abstractNumId w:val="13"/>
  </w:num>
  <w:num w:numId="11">
    <w:abstractNumId w:val="15"/>
  </w:num>
  <w:num w:numId="1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24"/>
  </w:num>
  <w:num w:numId="15">
    <w:abstractNumId w:val="25"/>
  </w:num>
  <w:num w:numId="16">
    <w:abstractNumId w:val="1"/>
    <w:lvlOverride w:ilvl="0">
      <w:lvl w:ilvl="0">
        <w:numFmt w:val="bullet"/>
        <w:lvlText w:val=""/>
        <w:legacy w:legacy="1" w:legacySpace="0" w:legacyIndent="283"/>
        <w:lvlJc w:val="left"/>
        <w:pPr>
          <w:ind w:left="567" w:hanging="283"/>
        </w:pPr>
        <w:rPr>
          <w:rFonts w:ascii="Symbol" w:hAnsi="Symbol" w:hint="default"/>
          <w:color w:val="auto"/>
        </w:rPr>
      </w:lvl>
    </w:lvlOverride>
  </w:num>
  <w:num w:numId="17">
    <w:abstractNumId w:val="14"/>
  </w:num>
  <w:num w:numId="18">
    <w:abstractNumId w:val="7"/>
  </w:num>
  <w:num w:numId="19">
    <w:abstractNumId w:val="4"/>
  </w:num>
  <w:num w:numId="20">
    <w:abstractNumId w:val="16"/>
  </w:num>
  <w:num w:numId="21">
    <w:abstractNumId w:val="30"/>
  </w:num>
  <w:num w:numId="22">
    <w:abstractNumId w:val="12"/>
  </w:num>
  <w:num w:numId="23">
    <w:abstractNumId w:val="32"/>
  </w:num>
  <w:num w:numId="24">
    <w:abstractNumId w:val="28"/>
  </w:num>
  <w:num w:numId="25">
    <w:abstractNumId w:val="2"/>
  </w:num>
  <w:num w:numId="26">
    <w:abstractNumId w:val="17"/>
  </w:num>
  <w:num w:numId="27">
    <w:abstractNumId w:val="19"/>
  </w:num>
  <w:num w:numId="28">
    <w:abstractNumId w:val="20"/>
  </w:num>
  <w:num w:numId="29">
    <w:abstractNumId w:val="3"/>
  </w:num>
  <w:num w:numId="30">
    <w:abstractNumId w:val="10"/>
  </w:num>
  <w:num w:numId="31">
    <w:abstractNumId w:val="22"/>
  </w:num>
  <w:num w:numId="32">
    <w:abstractNumId w:val="9"/>
  </w:num>
  <w:num w:numId="33">
    <w:abstractNumId w:val="6"/>
  </w:num>
  <w:num w:numId="34">
    <w:abstractNumId w:val="23"/>
  </w:num>
  <w:num w:numId="35">
    <w:abstractNumId w:val="11"/>
  </w:num>
  <w:num w:numId="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10A4D"/>
    <w:rsid w:val="000122F3"/>
    <w:rsid w:val="00034990"/>
    <w:rsid w:val="0005334D"/>
    <w:rsid w:val="00054433"/>
    <w:rsid w:val="00054C58"/>
    <w:rsid w:val="00056F0F"/>
    <w:rsid w:val="00063DFF"/>
    <w:rsid w:val="00085AF6"/>
    <w:rsid w:val="000A1597"/>
    <w:rsid w:val="000C7C8B"/>
    <w:rsid w:val="000D394D"/>
    <w:rsid w:val="000E7346"/>
    <w:rsid w:val="001307DF"/>
    <w:rsid w:val="00145DF7"/>
    <w:rsid w:val="00194E7D"/>
    <w:rsid w:val="001A7442"/>
    <w:rsid w:val="001E391D"/>
    <w:rsid w:val="00236A60"/>
    <w:rsid w:val="00237C67"/>
    <w:rsid w:val="002A5636"/>
    <w:rsid w:val="002B0636"/>
    <w:rsid w:val="002B5AEF"/>
    <w:rsid w:val="002B7981"/>
    <w:rsid w:val="002D3663"/>
    <w:rsid w:val="003066BE"/>
    <w:rsid w:val="003227CC"/>
    <w:rsid w:val="00326313"/>
    <w:rsid w:val="00340927"/>
    <w:rsid w:val="00366C6A"/>
    <w:rsid w:val="00381A92"/>
    <w:rsid w:val="00384191"/>
    <w:rsid w:val="00395794"/>
    <w:rsid w:val="003C16C3"/>
    <w:rsid w:val="003D4EDF"/>
    <w:rsid w:val="003F190C"/>
    <w:rsid w:val="003F326D"/>
    <w:rsid w:val="003F79EF"/>
    <w:rsid w:val="0040402B"/>
    <w:rsid w:val="0043191A"/>
    <w:rsid w:val="00446882"/>
    <w:rsid w:val="004503DC"/>
    <w:rsid w:val="00463600"/>
    <w:rsid w:val="00465162"/>
    <w:rsid w:val="004A5CD7"/>
    <w:rsid w:val="004A6CE5"/>
    <w:rsid w:val="004D7AC0"/>
    <w:rsid w:val="004E64BE"/>
    <w:rsid w:val="00505C80"/>
    <w:rsid w:val="00515DDF"/>
    <w:rsid w:val="00532089"/>
    <w:rsid w:val="00537F29"/>
    <w:rsid w:val="005650A9"/>
    <w:rsid w:val="00586B4B"/>
    <w:rsid w:val="00591A62"/>
    <w:rsid w:val="00593110"/>
    <w:rsid w:val="005A0BDA"/>
    <w:rsid w:val="005A2512"/>
    <w:rsid w:val="005B225E"/>
    <w:rsid w:val="005B6DD4"/>
    <w:rsid w:val="005E7651"/>
    <w:rsid w:val="00601DF4"/>
    <w:rsid w:val="00612898"/>
    <w:rsid w:val="00625CA3"/>
    <w:rsid w:val="00635AF7"/>
    <w:rsid w:val="00641262"/>
    <w:rsid w:val="006559C7"/>
    <w:rsid w:val="00665929"/>
    <w:rsid w:val="00673B8C"/>
    <w:rsid w:val="0068013D"/>
    <w:rsid w:val="00685A3A"/>
    <w:rsid w:val="006D249E"/>
    <w:rsid w:val="006D2C8A"/>
    <w:rsid w:val="006D2D64"/>
    <w:rsid w:val="006E6F14"/>
    <w:rsid w:val="007068C8"/>
    <w:rsid w:val="00707689"/>
    <w:rsid w:val="0072769B"/>
    <w:rsid w:val="00740A23"/>
    <w:rsid w:val="007417EF"/>
    <w:rsid w:val="00754027"/>
    <w:rsid w:val="00766B1A"/>
    <w:rsid w:val="0076787A"/>
    <w:rsid w:val="007B245D"/>
    <w:rsid w:val="007B326F"/>
    <w:rsid w:val="007F5784"/>
    <w:rsid w:val="00802750"/>
    <w:rsid w:val="00803D75"/>
    <w:rsid w:val="0080647A"/>
    <w:rsid w:val="00811D4F"/>
    <w:rsid w:val="00836765"/>
    <w:rsid w:val="00845F24"/>
    <w:rsid w:val="008541DE"/>
    <w:rsid w:val="00871818"/>
    <w:rsid w:val="0088219D"/>
    <w:rsid w:val="00896BC8"/>
    <w:rsid w:val="008A27AD"/>
    <w:rsid w:val="008A6059"/>
    <w:rsid w:val="008C414B"/>
    <w:rsid w:val="008D0052"/>
    <w:rsid w:val="009041AE"/>
    <w:rsid w:val="00926A3C"/>
    <w:rsid w:val="00934A52"/>
    <w:rsid w:val="00946B15"/>
    <w:rsid w:val="009679E7"/>
    <w:rsid w:val="00973F68"/>
    <w:rsid w:val="009E1915"/>
    <w:rsid w:val="009E4148"/>
    <w:rsid w:val="009F1AE3"/>
    <w:rsid w:val="00A20E9D"/>
    <w:rsid w:val="00A23E40"/>
    <w:rsid w:val="00A272B2"/>
    <w:rsid w:val="00A44608"/>
    <w:rsid w:val="00A50553"/>
    <w:rsid w:val="00A51688"/>
    <w:rsid w:val="00A96C92"/>
    <w:rsid w:val="00AA61BE"/>
    <w:rsid w:val="00B203DA"/>
    <w:rsid w:val="00B3176C"/>
    <w:rsid w:val="00B518C9"/>
    <w:rsid w:val="00B730AD"/>
    <w:rsid w:val="00B8543B"/>
    <w:rsid w:val="00B94F6D"/>
    <w:rsid w:val="00BA2A2C"/>
    <w:rsid w:val="00BC676C"/>
    <w:rsid w:val="00BE54B3"/>
    <w:rsid w:val="00BF235F"/>
    <w:rsid w:val="00C008B4"/>
    <w:rsid w:val="00C1207D"/>
    <w:rsid w:val="00C17ABD"/>
    <w:rsid w:val="00C2078A"/>
    <w:rsid w:val="00C24C34"/>
    <w:rsid w:val="00C26C67"/>
    <w:rsid w:val="00C61F36"/>
    <w:rsid w:val="00C62A6C"/>
    <w:rsid w:val="00C7741D"/>
    <w:rsid w:val="00C821A5"/>
    <w:rsid w:val="00C82E34"/>
    <w:rsid w:val="00C913CA"/>
    <w:rsid w:val="00CC18D0"/>
    <w:rsid w:val="00D07777"/>
    <w:rsid w:val="00D40BB6"/>
    <w:rsid w:val="00D43613"/>
    <w:rsid w:val="00D6499D"/>
    <w:rsid w:val="00D7076A"/>
    <w:rsid w:val="00D81F5E"/>
    <w:rsid w:val="00D92269"/>
    <w:rsid w:val="00DB1B79"/>
    <w:rsid w:val="00DE176A"/>
    <w:rsid w:val="00DE6797"/>
    <w:rsid w:val="00DF03F8"/>
    <w:rsid w:val="00E00A6B"/>
    <w:rsid w:val="00E13363"/>
    <w:rsid w:val="00E167DC"/>
    <w:rsid w:val="00E22D43"/>
    <w:rsid w:val="00E77899"/>
    <w:rsid w:val="00E82D3E"/>
    <w:rsid w:val="00E95CBE"/>
    <w:rsid w:val="00E972B2"/>
    <w:rsid w:val="00EA023B"/>
    <w:rsid w:val="00EB462E"/>
    <w:rsid w:val="00ED76AC"/>
    <w:rsid w:val="00EE6F0B"/>
    <w:rsid w:val="00EF2BEB"/>
    <w:rsid w:val="00F104CA"/>
    <w:rsid w:val="00F2608E"/>
    <w:rsid w:val="00F26C84"/>
    <w:rsid w:val="00F41BE1"/>
    <w:rsid w:val="00F65006"/>
    <w:rsid w:val="00F733BE"/>
    <w:rsid w:val="00F73CD8"/>
    <w:rsid w:val="00F83C17"/>
    <w:rsid w:val="00F96D7F"/>
    <w:rsid w:val="00FC43EF"/>
    <w:rsid w:val="00FC456F"/>
    <w:rsid w:val="00FE5F71"/>
    <w:rsid w:val="00FF3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2DD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934A52"/>
    <w:pPr>
      <w:pageBreakBefore/>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4A52"/>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Footnote symbol"/>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basedOn w:val="Normal"/>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6128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82E3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972B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8D005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BC67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0533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B854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4651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8A60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685A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83676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0122F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rsid w:val="00237C6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rsid w:val="00C913C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rsid w:val="004503D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rsid w:val="00ED76AC"/>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F1A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A27AD"/>
    <w:pPr>
      <w:spacing w:after="0" w:line="240" w:lineRule="auto"/>
    </w:pPr>
    <w:rPr>
      <w:rFonts w:ascii="Times New Roman" w:eastAsia="Times New Roman" w:hAnsi="Times New Roman" w:cs="Times New Roman"/>
    </w:rPr>
  </w:style>
  <w:style w:type="character" w:customStyle="1" w:styleId="UnresolvedMention1">
    <w:name w:val="Unresolved Mention1"/>
    <w:basedOn w:val="DefaultParagraphFont"/>
    <w:uiPriority w:val="99"/>
    <w:semiHidden/>
    <w:unhideWhenUsed/>
    <w:rsid w:val="00056F0F"/>
    <w:rPr>
      <w:color w:val="605E5C"/>
      <w:shd w:val="clear" w:color="auto" w:fill="E1DFDD"/>
    </w:rPr>
  </w:style>
  <w:style w:type="table" w:customStyle="1" w:styleId="TableGrid19">
    <w:name w:val="Table Grid19"/>
    <w:basedOn w:val="TableNormal"/>
    <w:next w:val="TableGrid"/>
    <w:rsid w:val="00CC18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41DE"/>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1DE"/>
    <w:rPr>
      <w:rFonts w:ascii="Segoe UI" w:eastAsia="Times New Roman" w:hAnsi="Segoe UI" w:cs="Segoe UI"/>
      <w:sz w:val="18"/>
      <w:szCs w:val="18"/>
    </w:rPr>
  </w:style>
  <w:style w:type="paragraph" w:styleId="TOC2">
    <w:name w:val="toc 2"/>
    <w:basedOn w:val="Normal"/>
    <w:next w:val="Normal"/>
    <w:autoRedefine/>
    <w:uiPriority w:val="39"/>
    <w:unhideWhenUsed/>
    <w:rsid w:val="00934A5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eader" Target="header3.xml"/><Relationship Id="rId26" Type="http://schemas.openxmlformats.org/officeDocument/2006/relationships/hyperlink" Target="https://www.eesc.europa.eu/es/our-work/opinions-information-reports/opinions/agoraeu-and-justice-programmes" TargetMode="External"/><Relationship Id="rId39" Type="http://schemas.openxmlformats.org/officeDocument/2006/relationships/hyperlink" Target="mailto:Silvia.Staffa@eesc.europa.eu" TargetMode="External"/><Relationship Id="rId21" Type="http://schemas.openxmlformats.org/officeDocument/2006/relationships/hyperlink" Target="mailto:Georgios.Meleas@eesc.europa.eu" TargetMode="External"/><Relationship Id="rId34" Type="http://schemas.openxmlformats.org/officeDocument/2006/relationships/hyperlink" Target="https://www.eesc.europa.eu/es/our-work/opinions-information-reports/opinions/single-market-strategy" TargetMode="External"/><Relationship Id="rId42" Type="http://schemas.openxmlformats.org/officeDocument/2006/relationships/hyperlink" Target="https://www.eesc.europa.eu/es/our-work/opinions-information-reports/opinions/amendment-deforestation-regulation-eu-20231115" TargetMode="External"/><Relationship Id="rId47" Type="http://schemas.openxmlformats.org/officeDocument/2006/relationships/hyperlink" Target="https://www.eesc.europa.eu/es/our-work/opinions-information-reports/opinions/global-europe-multiannual-financial-framework-proposal" TargetMode="External"/><Relationship Id="rId50" Type="http://schemas.openxmlformats.org/officeDocument/2006/relationships/hyperlink" Target="mailto:Katarina.Albrechtova@eesc.europa.eu" TargetMode="External"/><Relationship Id="rId55" Type="http://schemas.openxmlformats.org/officeDocument/2006/relationships/header" Target="header4.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esc.europa.eu/es/our-work/opinions-information-reports/opinions/implementation-eu-macro-regional-strategies-5th-report" TargetMode="External"/><Relationship Id="rId29" Type="http://schemas.openxmlformats.org/officeDocument/2006/relationships/hyperlink" Target="https://eur-lex.europa.eu/eli/C/2023/874/oj" TargetMode="External"/><Relationship Id="rId41" Type="http://schemas.openxmlformats.org/officeDocument/2006/relationships/hyperlink" Target="mailto:Annalisa.Tessarolo@eesc.europa.eu" TargetMode="External"/><Relationship Id="rId54" Type="http://schemas.openxmlformats.org/officeDocument/2006/relationships/hyperlink" Target="mailto:Adam.Dorywalski@eesc.europa.eu"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eesc.europa.eu/es/our-work/opinions-information-reports/opinions/labour-rights-journalists-and-media-professionals-safeguard-independence-and-truthful-information" TargetMode="External"/><Relationship Id="rId32" Type="http://schemas.openxmlformats.org/officeDocument/2006/relationships/hyperlink" Target="https://www.eesc.europa.eu/es/our-work/opinions-information-reports/opinions/nuclear-illustrative-programme-1" TargetMode="External"/><Relationship Id="rId37" Type="http://schemas.openxmlformats.org/officeDocument/2006/relationships/hyperlink" Target="mailto:Silvia.Staffa@eesc.europa.eu" TargetMode="External"/><Relationship Id="rId40" Type="http://schemas.openxmlformats.org/officeDocument/2006/relationships/hyperlink" Target="https://www.eesc.europa.eu/es/our-work/opinions-information-reports/opinions/review-european-public-procurement-legal-framework" TargetMode="External"/><Relationship Id="rId45" Type="http://schemas.openxmlformats.org/officeDocument/2006/relationships/hyperlink" Target="mailto:Arturo.Iniguez@eesc.europa.eu" TargetMode="External"/><Relationship Id="rId53" Type="http://schemas.openxmlformats.org/officeDocument/2006/relationships/hyperlink" Target="https://www.eesc.europa.eu/es/our-work/opinions-information-reports/opinions/industrial-cooperatives-tool-challenge-inclusive-and-sustainable-competitiveness" TargetMode="External"/><Relationship Id="rId58"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mailto:Georgios.Meleas@eesc.europa.eu" TargetMode="External"/><Relationship Id="rId28" Type="http://schemas.openxmlformats.org/officeDocument/2006/relationships/hyperlink" Target="https://www.eesc.europa.eu/es/our-work/opinions-information-reports/opinions/co2-emission-class-heavy-duty-vehicles-trailers-0" TargetMode="External"/><Relationship Id="rId36" Type="http://schemas.openxmlformats.org/officeDocument/2006/relationships/hyperlink" Target="https://www.eesc.europa.eu/es/our-work/opinions-information-reports/opinions/report-competition-policy-2024" TargetMode="External"/><Relationship Id="rId49" Type="http://schemas.openxmlformats.org/officeDocument/2006/relationships/hyperlink" Target="https://www.eesc.europa.eu/es/our-work/opinions-information-reports/opinions/predictable-and-common-european-way-forward-ukrainians-eu" TargetMode="External"/><Relationship Id="rId57" Type="http://schemas.openxmlformats.org/officeDocument/2006/relationships/footer" Target="footer4.xm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mailto:GiorgiaAndrea.Bordignon@eesc.europa.eu" TargetMode="External"/><Relationship Id="rId44" Type="http://schemas.openxmlformats.org/officeDocument/2006/relationships/hyperlink" Target="https://www.eesc.europa.eu/es/our-work/opinions-information-reports/opinions/revision-union-civil-protection-mechanism" TargetMode="External"/><Relationship Id="rId52" Type="http://schemas.openxmlformats.org/officeDocument/2006/relationships/hyperlink" Target="mailto:Adam.Dorywalski@eesc.europa.eu" TargetMode="External"/><Relationship Id="rId60"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eesc.europa.eu/es/our-work/opinions-information-reports/opinions/establishing-european-fund-regional-development-including-european-territorial-cooperation-interreg-and-cohesion-fund" TargetMode="External"/><Relationship Id="rId27" Type="http://schemas.openxmlformats.org/officeDocument/2006/relationships/hyperlink" Target="mailto:Alessia.Cova@eesc.europa.eu" TargetMode="External"/><Relationship Id="rId30" Type="http://schemas.openxmlformats.org/officeDocument/2006/relationships/hyperlink" Target="mailto:Maja.Radman@eesc.europa.eu" TargetMode="External"/><Relationship Id="rId35" Type="http://schemas.openxmlformats.org/officeDocument/2006/relationships/hyperlink" Target="mailto:Annalisa.Tessarolo@eesc.europa.eu" TargetMode="External"/><Relationship Id="rId43" Type="http://schemas.openxmlformats.org/officeDocument/2006/relationships/hyperlink" Target="mailto:Martine.Delanoy@eesc.europa.eu" TargetMode="External"/><Relationship Id="rId48" Type="http://schemas.openxmlformats.org/officeDocument/2006/relationships/hyperlink" Target="mailto:Daniele.Vitali@eesc.europa.eu" TargetMode="External"/><Relationship Id="rId56" Type="http://schemas.openxmlformats.org/officeDocument/2006/relationships/header" Target="header5.xml"/><Relationship Id="rId8" Type="http://schemas.openxmlformats.org/officeDocument/2006/relationships/webSettings" Target="webSettings.xml"/><Relationship Id="rId51" Type="http://schemas.openxmlformats.org/officeDocument/2006/relationships/hyperlink" Target="https://www.eesc.europa.eu/es/our-work/opinions-information-reports/opinions/facilitating-potential-permanent-materials-eu-circular-economy" TargetMode="External"/><Relationship Id="rId3" Type="http://schemas.openxmlformats.org/officeDocument/2006/relationships/customXml" Target="../customXml/item3.xml"/><Relationship Id="rId12" Type="http://schemas.openxmlformats.org/officeDocument/2006/relationships/hyperlink" Target="https://www.eesc.europa.eu/es/our-work/opinions-information-reports/plenary-session-summaries" TargetMode="External"/><Relationship Id="rId17" Type="http://schemas.openxmlformats.org/officeDocument/2006/relationships/footer" Target="footer2.xml"/><Relationship Id="rId25" Type="http://schemas.openxmlformats.org/officeDocument/2006/relationships/hyperlink" Target="mailto:june.bedaton@eesc.europa.eu" TargetMode="External"/><Relationship Id="rId33" Type="http://schemas.openxmlformats.org/officeDocument/2006/relationships/hyperlink" Target="mailto:Albert.Precup@eesc.europa.eu" TargetMode="External"/><Relationship Id="rId38" Type="http://schemas.openxmlformats.org/officeDocument/2006/relationships/hyperlink" Target="https://www.eesc.europa.eu/es/our-work/opinions-information-reports/opinions/competitiveness-fund" TargetMode="External"/><Relationship Id="rId46" Type="http://schemas.openxmlformats.org/officeDocument/2006/relationships/hyperlink" Target="mailto:Marie-Laurence.Drillon@eesc.europa.eu" TargetMode="External"/><Relationship Id="rId59" Type="http://schemas.openxmlformats.org/officeDocument/2006/relationships/header" Target="header6.xml"/></Relationships>
</file>

<file path=word/_rels/footnotes.xml.rels><?xml version="1.0" encoding="UTF-8" standalone="yes"?>
<Relationships xmlns="http://schemas.openxmlformats.org/package/2006/relationships"><Relationship Id="rId8" Type="http://schemas.openxmlformats.org/officeDocument/2006/relationships/hyperlink" Target="https://eur-lex.europa.eu/legal-content/ES/TXT/?uri=CELEX:52021AE5690" TargetMode="External"/><Relationship Id="rId3" Type="http://schemas.openxmlformats.org/officeDocument/2006/relationships/hyperlink" Target="https://digital-strategy.ec.europa.eu/es/library/recommendation-protection-safety-and-empowerment-journalists" TargetMode="External"/><Relationship Id="rId7" Type="http://schemas.openxmlformats.org/officeDocument/2006/relationships/hyperlink" Target="https://www.eesc.europa.eu/es/our-work/opinions-information-reports/opinions/minimising-risk-deforestation-and-forest-degradation-associated-products-placed-eu-market" TargetMode="External"/><Relationship Id="rId2" Type="http://schemas.openxmlformats.org/officeDocument/2006/relationships/hyperlink" Target="https://eur-lex.europa.eu/legal-content/ES/TXT/?uri=CELEX%3A52022XC0930%2802%29" TargetMode="External"/><Relationship Id="rId1" Type="http://schemas.openxmlformats.org/officeDocument/2006/relationships/hyperlink" Target="https://eur-lex.europa.eu/legal-content/ES/TXT/?uri=legissum:4623532" TargetMode="External"/><Relationship Id="rId6" Type="http://schemas.openxmlformats.org/officeDocument/2006/relationships/hyperlink" Target="http://data.europa.eu/eli/C/2024/6882/oj" TargetMode="External"/><Relationship Id="rId5" Type="http://schemas.openxmlformats.org/officeDocument/2006/relationships/hyperlink" Target="https://www.eesc.europa.eu/es/our-work/opinions-information-reports/opinions/deforestation-amazon-rainforest-impact-climate-change-and-global-environment-consequences-companies-workers-and" TargetMode="External"/><Relationship Id="rId4" Type="http://schemas.openxmlformats.org/officeDocument/2006/relationships/hyperlink" Target="http://data.europa.eu/eli/C/2025/114/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A6WAAD5KZT2Q-284857674-6403</_dlc_DocId>
    <_dlc_DocIdUrl xmlns="1a33af13-4045-4f88-9d7b-618e30f79918">
      <Url>http://dm/eesc/2025/_layouts/15/DocIdRedir.aspx?ID=A6WAAD5KZT2Q-284857674-6403</Url>
      <Description>A6WAAD5KZT2Q-284857674-6403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2025-12-19T12:00:00+00:00</ProductionDate>
    <DocumentNumber xmlns="27994258-8564-426c-a7a1-d6286d62992e">3552</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MeetingDate xmlns="1a33af13-4045-4f88-9d7b-618e30f79918">2026-01-21T12:00:00+00:00</MeetingDat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297819</FicheNumber>
    <OriginalSender xmlns="1a33af13-4045-4f88-9d7b-618e30f79918">
      <UserInfo>
        <DisplayName>Navarro Anna</DisplayName>
        <AccountId>1542</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27994258-8564-426c-a7a1-d6286d62992e" xsi:nil="true"/>
    <DossierName_0 xmlns="http://schemas.microsoft.com/sharepoint/v3/fields">
      <Terms xmlns="http://schemas.microsoft.com/office/infopath/2007/PartnerControls"/>
    </DossierName_0>
    <DocumentVersion xmlns="1a33af13-4045-4f88-9d7b-618e30f79918">0</DocumentVersion>
  </documentManagement>
</p:properties>
</file>

<file path=customXml/itemProps1.xml><?xml version="1.0" encoding="utf-8"?>
<ds:datastoreItem xmlns:ds="http://schemas.openxmlformats.org/officeDocument/2006/customXml" ds:itemID="{AFC7F98D-AD39-42ED-BBD8-CDCEA0FC28AD}"/>
</file>

<file path=customXml/itemProps2.xml><?xml version="1.0" encoding="utf-8"?>
<ds:datastoreItem xmlns:ds="http://schemas.openxmlformats.org/officeDocument/2006/customXml" ds:itemID="{A5982D98-2B49-4D8D-9E82-3A196D630916}">
  <ds:schemaRefs>
    <ds:schemaRef ds:uri="http://schemas.microsoft.com/sharepoint/v3/contenttype/forms"/>
  </ds:schemaRefs>
</ds:datastoreItem>
</file>

<file path=customXml/itemProps3.xml><?xml version="1.0" encoding="utf-8"?>
<ds:datastoreItem xmlns:ds="http://schemas.openxmlformats.org/officeDocument/2006/customXml" ds:itemID="{4550B7D9-B944-4719-A93C-2F495E041519}">
  <ds:schemaRefs>
    <ds:schemaRef ds:uri="http://schemas.microsoft.com/sharepoint/events"/>
  </ds:schemaRefs>
</ds:datastoreItem>
</file>

<file path=customXml/itemProps4.xml><?xml version="1.0" encoding="utf-8"?>
<ds:datastoreItem xmlns:ds="http://schemas.openxmlformats.org/officeDocument/2006/customXml" ds:itemID="{FA5B0471-EE33-4BA9-BB89-D492EFC236E6}">
  <ds:schemaRefs>
    <ds:schemaRef ds:uri="http://schemas.microsoft.com/office/2006/metadata/properties"/>
    <ds:schemaRef ds:uri="http://schemas.microsoft.com/office/infopath/2007/PartnerControls"/>
    <ds:schemaRef ds:uri="bdd5dab9-bfdd-4431-a245-30f3c6677de9"/>
    <ds:schemaRef ds:uri="http://schemas.microsoft.com/sharepoint/v3/fields"/>
    <ds:schemaRef ds:uri="eb21defb-1074-42ca-8d3e-c3f375910b4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7745</Words>
  <Characters>42600</Characters>
  <Application>Microsoft Office Word</Application>
  <DocSecurity>0</DocSecurity>
  <Lines>355</Lines>
  <Paragraphs>100</Paragraphs>
  <ScaleCrop>false</ScaleCrop>
  <HeadingPairs>
    <vt:vector size="2" baseType="variant">
      <vt:variant>
        <vt:lpstr>Title</vt:lpstr>
      </vt:variant>
      <vt:variant>
        <vt:i4>1</vt:i4>
      </vt:variant>
    </vt:vector>
  </HeadingPairs>
  <TitlesOfParts>
    <vt:vector size="1" baseType="lpstr">
      <vt:lpstr>Summary of opinions - EESC new model</vt:lpstr>
    </vt:vector>
  </TitlesOfParts>
  <Manager/>
  <Company/>
  <LinksUpToDate>false</LinksUpToDate>
  <CharactersWithSpaces>50245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Síntesis de los dictámenes - 601.º pleno - diciembre de 2025</dc:title>
  <dc:subject>ADMIN</dc:subject>
  <dc:creator/>
  <cp:keywords>COR-EESC-2022-02583-00-00-ADMIN-TRA-EN</cp:keywords>
  <dc:description>Rapporteur:  - Original language: EN - Date of document: 20/05/2022 - Date of meeting:  - External documents:  - Administrator:  SUCIU Serban</dc:description>
  <cp:lastModifiedBy/>
  <cp:revision>7</cp:revision>
  <dcterms:created xsi:type="dcterms:W3CDTF">2025-12-15T10:39:00Z</dcterms:created>
  <dcterms:modified xsi:type="dcterms:W3CDTF">2025-12-19T15:26:00Z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15/12/2025, 02/05/2022, 02/05/2022, 28/06/2021</vt:lpwstr>
  </property>
  <property fmtid="{D5CDD505-2E9C-101B-9397-08002B2CF9AE}" pid="4" name="Pref_Time">
    <vt:lpwstr>11:21:32, 12:28:29, 12:25:37, 08:41:48</vt:lpwstr>
  </property>
  <property fmtid="{D5CDD505-2E9C-101B-9397-08002B2CF9AE}" pid="5" name="Pref_User">
    <vt:lpwstr>jhvi, enied, enied, enied</vt:lpwstr>
  </property>
  <property fmtid="{D5CDD505-2E9C-101B-9397-08002B2CF9AE}" pid="6" name="Pref_FileName">
    <vt:lpwstr>EESC-2025-03552-00-00-TCD-ORI.docx, Summary of opinions.docx, COR-EESC-2022-02370-00-00-ADMIN-ORI.docx, Synthese des avis Template.docx</vt:lpwstr>
  </property>
  <property fmtid="{D5CDD505-2E9C-101B-9397-08002B2CF9AE}" pid="7" name="ContentTypeId">
    <vt:lpwstr>0x010100EA97B91038054C99906057A708A1480A00B192796EE9568A4C8E77C6EF5F22B614</vt:lpwstr>
  </property>
  <property fmtid="{D5CDD505-2E9C-101B-9397-08002B2CF9AE}" pid="8" name="_dlc_DocIdItemGuid">
    <vt:lpwstr>d4f7a5c8-bd8c-41cf-92a5-ba2b628aaedd</vt:lpwstr>
  </property>
  <property fmtid="{D5CDD505-2E9C-101B-9397-08002B2CF9AE}" pid="9" name="AvailableTranslations">
    <vt:lpwstr>23;#DE|f6b31e5a-26fa-4935-b661-318e46daf27e;#30;#LT|a7ff5ce7-6123-4f68-865a-a57c31810414;#28;#SV|c2ed69e7-a339-43d7-8f22-d93680a92aa0;#27;#NL|55c6556c-b4f4-441d-9acf-c498d4f838bd;#41;#ET|ff6c3f4c-b02c-4c3c-ab07-2c37995a7a0a;#5;#EN|f2175f21-25d7-44a3-96da-d6a61b075e1b;#35;#FI|87606a43-d45f-42d6-b8c9-e1a3457db5b7;#39;#LV|46f7e311-5d9f-4663-b433-18aeccb7ace7;#40;#DA|5d49c027-8956-412b-aa16-e85a0f96ad0e;#42;#EL|6d4f4d51-af9b-4650-94b4-4276bee85c91;#34;#IT|0774613c-01ed-4e5d-a25d-11d2388de825;#46;#SK|46d9fce0-ef79-4f71-b89b-cd6aa82426b8;#12;#FR|d2afafd3-4c81-4f60-8f52-ee33f2f54ff3;#50;#HR|2f555653-ed1a-4fe6-8362-9082d95989e5;#31;#SL|98a412ae-eb01-49e9-ae3d-585a81724cfc;#29;#CS|72f9705b-0217-4fd3-bea2-cbc7ed80e26e;#37;#HU|6b229040-c589-4408-b4c1-4285663d20a8;#36;#RO|feb747a2-64cd-4299-af12-4833ddc30497;#16;#ES|e7a6b05b-ae16-40c8-add9-68b64b03aeba;#33;#PT|50ccc04a-eadd-42ae-a0cb-acaf45f812ba;#24;#PL|1e03da61-4678-4e07-b136-b5024ca9197b;#47;#BG|1a1b3951-7821-4e6a-85f5-5673fc08bd2c</vt:lpwstr>
  </property>
  <property fmtid="{D5CDD505-2E9C-101B-9397-08002B2CF9AE}" pid="10" name="DocumentType_0">
    <vt:lpwstr>TCD|cd9d6eb6-3f4f-424a-b2d1-57c9d450eaaf</vt:lpwstr>
  </property>
  <property fmtid="{D5CDD505-2E9C-101B-9397-08002B2CF9AE}" pid="11" name="DocumentSource_0">
    <vt:lpwstr>EESC|422833ec-8d7e-4e65-8e4e-8bed07ffb729</vt:lpwstr>
  </property>
  <property fmtid="{D5CDD505-2E9C-101B-9397-08002B2CF9AE}" pid="12" name="ProductionDate">
    <vt:filetime>2022-05-18T12:00:00Z</vt:filetime>
  </property>
  <property fmtid="{D5CDD505-2E9C-101B-9397-08002B2CF9AE}" pid="13" name="DocumentNumber">
    <vt:i4>3552</vt:i4>
  </property>
  <property fmtid="{D5CDD505-2E9C-101B-9397-08002B2CF9AE}" pid="14" name="DocumentVersion">
    <vt:i4>0</vt:i4>
  </property>
  <property fmtid="{D5CDD505-2E9C-101B-9397-08002B2CF9AE}" pid="15" name="DocumentStatus">
    <vt:lpwstr>13;#TRA|150d2a88-1431-44e6-a8ca-0bb753ab8672</vt:lpwstr>
  </property>
  <property fmtid="{D5CDD505-2E9C-101B-9397-08002B2CF9AE}" pid="16" name="DossierName">
    <vt:lpwstr/>
  </property>
  <property fmtid="{D5CDD505-2E9C-101B-9397-08002B2CF9AE}" pid="17" name="Confidentiality_0">
    <vt:lpwstr>Unrestricted|826e22d7-d029-4ec0-a450-0c28ff673572</vt:lpwstr>
  </property>
  <property fmtid="{D5CDD505-2E9C-101B-9397-08002B2CF9AE}" pid="18" name="Confidentiality">
    <vt:lpwstr>15;#Unrestricted|826e22d7-d029-4ec0-a450-0c28ff673572</vt:lpwstr>
  </property>
  <property fmtid="{D5CDD505-2E9C-101B-9397-08002B2CF9AE}" pid="19" name="OriginalLanguage">
    <vt:lpwstr>5;#EN|f2175f21-25d7-44a3-96da-d6a61b075e1b</vt:lpwstr>
  </property>
  <property fmtid="{D5CDD505-2E9C-101B-9397-08002B2CF9AE}" pid="20" name="MeetingName">
    <vt:lpwstr>67;#SPL-CES|32d8cb1f-c9ec-4365-95c7-8385a18618ac</vt:lpwstr>
  </property>
  <property fmtid="{D5CDD505-2E9C-101B-9397-08002B2CF9AE}" pid="21" name="TaxCatchAll">
    <vt:lpwstr>67;#SPL-CES|32d8cb1f-c9ec-4365-95c7-8385a18618ac;#15;#Unrestricted|826e22d7-d029-4ec0-a450-0c28ff673572;#13;#TRA|150d2a88-1431-44e6-a8ca-0bb753ab8672;#8;#Final|ea5e6674-7b27-4bac-b091-73adbb394efe;#5;#EN|f2175f21-25d7-44a3-96da-d6a61b075e1b;#19;#TCD|cd9d6eb6-3f4f-424a-b2d1-57c9d450eaaf;#1;#EESC|422833ec-8d7e-4e65-8e4e-8bed07ffb729;#34;#IT|0774613c-01ed-4e5d-a25d-11d2388de825</vt:lpwstr>
  </property>
  <property fmtid="{D5CDD505-2E9C-101B-9397-08002B2CF9AE}" pid="22" name="DocumentLanguage_0">
    <vt:lpwstr>EN|f2175f21-25d7-44a3-96da-d6a61b075e1b</vt:lpwstr>
  </property>
  <property fmtid="{D5CDD505-2E9C-101B-9397-08002B2CF9AE}" pid="23" name="VersionStatus_0">
    <vt:lpwstr>Final|ea5e6674-7b27-4bac-b091-73adbb394efe</vt:lpwstr>
  </property>
  <property fmtid="{D5CDD505-2E9C-101B-9397-08002B2CF9AE}" pid="24" name="VersionStatus">
    <vt:lpwstr>8;#Final|ea5e6674-7b27-4bac-b091-73adbb394efe</vt:lpwstr>
  </property>
  <property fmtid="{D5CDD505-2E9C-101B-9397-08002B2CF9AE}" pid="25" name="DocumentYear">
    <vt:i4>2025</vt:i4>
  </property>
  <property fmtid="{D5CDD505-2E9C-101B-9397-08002B2CF9AE}" pid="26" name="FicheNumber">
    <vt:i4>297819</vt:i4>
  </property>
  <property fmtid="{D5CDD505-2E9C-101B-9397-08002B2CF9AE}" pid="27" name="OriginalSender">
    <vt:lpwstr>1528;#TDriveSVCUserProd</vt:lpwstr>
  </property>
  <property fmtid="{D5CDD505-2E9C-101B-9397-08002B2CF9AE}" pid="28" name="DocumentPart">
    <vt:i4>0</vt:i4>
  </property>
  <property fmtid="{D5CDD505-2E9C-101B-9397-08002B2CF9AE}" pid="29" name="DocumentSource">
    <vt:lpwstr>1;#EESC|422833ec-8d7e-4e65-8e4e-8bed07ffb729</vt:lpwstr>
  </property>
  <property fmtid="{D5CDD505-2E9C-101B-9397-08002B2CF9AE}" pid="30" name="DocumentType">
    <vt:lpwstr>19;#TCD|cd9d6eb6-3f4f-424a-b2d1-57c9d450eaaf</vt:lpwstr>
  </property>
  <property fmtid="{D5CDD505-2E9C-101B-9397-08002B2CF9AE}" pid="31" name="RequestingService">
    <vt:lpwstr>Greffe</vt:lpwstr>
  </property>
  <property fmtid="{D5CDD505-2E9C-101B-9397-08002B2CF9AE}" pid="32" name="DocumentLanguage">
    <vt:lpwstr>16;#ES|e7a6b05b-ae16-40c8-add9-68b64b03aeba</vt:lpwstr>
  </property>
  <property fmtid="{D5CDD505-2E9C-101B-9397-08002B2CF9AE}" pid="33" name="AvailableTranslations_0">
    <vt:lpwstr>EN|f2175f21-25d7-44a3-96da-d6a61b075e1b;IT|0774613c-01ed-4e5d-a25d-11d2388de825</vt:lpwstr>
  </property>
  <property fmtid="{D5CDD505-2E9C-101B-9397-08002B2CF9AE}" pid="34" name="DocumentStatus_0">
    <vt:lpwstr>TRA|150d2a88-1431-44e6-a8ca-0bb753ab8672</vt:lpwstr>
  </property>
  <property fmtid="{D5CDD505-2E9C-101B-9397-08002B2CF9AE}" pid="35" name="OriginalLanguage_0">
    <vt:lpwstr>EN|f2175f21-25d7-44a3-96da-d6a61b075e1b</vt:lpwstr>
  </property>
  <property fmtid="{D5CDD505-2E9C-101B-9397-08002B2CF9AE}" pid="36" name="_docset_NoMedatataSyncRequired">
    <vt:lpwstr>False</vt:lpwstr>
  </property>
  <property fmtid="{D5CDD505-2E9C-101B-9397-08002B2CF9AE}" pid="37" name="MeetingName_0">
    <vt:lpwstr>SPL-CES|32d8cb1f-c9ec-4365-95c7-8385a18618ac</vt:lpwstr>
  </property>
  <property fmtid="{D5CDD505-2E9C-101B-9397-08002B2CF9AE}" pid="38" name="DossierName_0">
    <vt:lpwstr/>
  </property>
</Properties>
</file>