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7777777" w:rsidR="004D7AC0" w:rsidRDefault="004D7AC0" w:rsidP="004D7AC0">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anchorId="4982DE48" wp14:editId="4982DE4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 xml:space="preserve">Brussels, </w:t>
      </w:r>
      <w:r w:rsidR="00340927">
        <w:t>17</w:t>
      </w:r>
      <w:r w:rsidR="00A23E40">
        <w:t xml:space="preserve"> </w:t>
      </w:r>
      <w:r w:rsidR="008C414B">
        <w:t>December</w:t>
      </w:r>
      <w:r w:rsidR="00340927">
        <w:t xml:space="preserve">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9D662C5" w:rsidR="003066BE" w:rsidRDefault="00340927" w:rsidP="00600C84">
            <w:pPr>
              <w:snapToGrid w:val="0"/>
              <w:jc w:val="center"/>
              <w:rPr>
                <w:b/>
                <w:sz w:val="32"/>
                <w:szCs w:val="32"/>
              </w:rPr>
            </w:pPr>
            <w:r>
              <w:rPr>
                <w:b/>
                <w:sz w:val="32"/>
                <w:szCs w:val="32"/>
              </w:rPr>
              <w:t>60</w:t>
            </w:r>
            <w:r w:rsidR="004A6CE5">
              <w:rPr>
                <w:b/>
                <w:sz w:val="32"/>
                <w:szCs w:val="32"/>
              </w:rPr>
              <w:t>1st</w:t>
            </w:r>
            <w:r w:rsidR="004D7AC0" w:rsidRPr="0081153B">
              <w:rPr>
                <w:b/>
                <w:sz w:val="32"/>
                <w:szCs w:val="32"/>
              </w:rPr>
              <w:t xml:space="preserve"> PLENARY SESSION</w:t>
            </w:r>
          </w:p>
          <w:p w14:paraId="4982DD54" w14:textId="77777777" w:rsidR="003066BE" w:rsidRDefault="003066BE" w:rsidP="00600C84">
            <w:pPr>
              <w:snapToGrid w:val="0"/>
              <w:jc w:val="center"/>
              <w:rPr>
                <w:b/>
                <w:sz w:val="32"/>
                <w:szCs w:val="32"/>
              </w:rPr>
            </w:pPr>
          </w:p>
          <w:p w14:paraId="4982DD55" w14:textId="186FB0A9" w:rsidR="003066BE" w:rsidRDefault="00340927" w:rsidP="00600C84">
            <w:pPr>
              <w:snapToGrid w:val="0"/>
              <w:jc w:val="center"/>
              <w:rPr>
                <w:b/>
                <w:sz w:val="32"/>
                <w:szCs w:val="32"/>
              </w:rPr>
            </w:pPr>
            <w:r>
              <w:rPr>
                <w:b/>
                <w:sz w:val="32"/>
                <w:szCs w:val="32"/>
              </w:rPr>
              <w:t>3 and 4</w:t>
            </w:r>
            <w:r w:rsidR="008C414B">
              <w:rPr>
                <w:b/>
                <w:sz w:val="32"/>
                <w:szCs w:val="32"/>
              </w:rPr>
              <w:t xml:space="preserve"> December </w:t>
            </w:r>
            <w:r>
              <w:rPr>
                <w:b/>
                <w:sz w:val="32"/>
                <w:szCs w:val="32"/>
              </w:rPr>
              <w:t>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sidRPr="005463FF">
              <w:rPr>
                <w:b/>
                <w:sz w:val="32"/>
              </w:rPr>
              <w:t>SUMMARY OF ADOPTED OPINIONS, RESOLUTIONS AND INFORMATION / EVALUATION REPORTS</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r:id="rId12" w:history="1">
              <w:r w:rsidRPr="006D2D64">
                <w:rPr>
                  <w:rStyle w:val="Hyperlink"/>
                </w:rPr>
                <w:t>https://www.eesc.europa.eu/en/our-work/opinions-information-reports/plenary-session-summaries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rsidRPr="0081153B">
              <w:t>The opinions listed can be consulted online using the EESC search engine:</w:t>
            </w:r>
            <w:r>
              <w:br/>
            </w:r>
            <w:r>
              <w:br/>
            </w:r>
            <w:hyperlink r:id="rId13" w:history="1">
              <w:r w:rsidRPr="0081153B">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sidRPr="00A81AFE">
        <w:rPr>
          <w:b/>
        </w:rPr>
        <w:lastRenderedPageBreak/>
        <w:t>Contents: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5F19AE67" w14:textId="21D48310" w:rsidR="00625CA3" w:rsidRDefault="004D7AC0">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73758869" w:history="1">
            <w:r w:rsidR="00625CA3" w:rsidRPr="00B8317C">
              <w:rPr>
                <w:rStyle w:val="Hyperlink"/>
                <w:b/>
                <w:noProof/>
              </w:rPr>
              <w:t>1.</w:t>
            </w:r>
            <w:r w:rsidR="00625CA3">
              <w:rPr>
                <w:rFonts w:asciiTheme="minorHAnsi" w:eastAsiaTheme="minorEastAsia" w:hAnsiTheme="minorHAnsi" w:cstheme="minorBidi"/>
                <w:noProof/>
              </w:rPr>
              <w:tab/>
            </w:r>
            <w:r w:rsidR="00625CA3" w:rsidRPr="00B8317C">
              <w:rPr>
                <w:rStyle w:val="Hyperlink"/>
                <w:b/>
                <w:noProof/>
              </w:rPr>
              <w:t>ECONOMIC AND MONETARY UNION, ECONOMIC AND SOCIAL COHESION</w:t>
            </w:r>
            <w:r w:rsidR="00625CA3">
              <w:rPr>
                <w:noProof/>
                <w:webHidden/>
              </w:rPr>
              <w:tab/>
            </w:r>
            <w:r w:rsidR="00625CA3">
              <w:rPr>
                <w:noProof/>
                <w:webHidden/>
              </w:rPr>
              <w:fldChar w:fldCharType="begin"/>
            </w:r>
            <w:r w:rsidR="00625CA3">
              <w:rPr>
                <w:noProof/>
                <w:webHidden/>
              </w:rPr>
              <w:instrText xml:space="preserve"> PAGEREF _Toc173758869 \h </w:instrText>
            </w:r>
            <w:r w:rsidR="00625CA3">
              <w:rPr>
                <w:noProof/>
                <w:webHidden/>
              </w:rPr>
            </w:r>
            <w:r w:rsidR="00625CA3">
              <w:rPr>
                <w:noProof/>
                <w:webHidden/>
              </w:rPr>
              <w:fldChar w:fldCharType="separate"/>
            </w:r>
            <w:r w:rsidR="00C62A6C">
              <w:rPr>
                <w:noProof/>
                <w:webHidden/>
              </w:rPr>
              <w:t>3</w:t>
            </w:r>
            <w:r w:rsidR="00625CA3">
              <w:rPr>
                <w:noProof/>
                <w:webHidden/>
              </w:rPr>
              <w:fldChar w:fldCharType="end"/>
            </w:r>
          </w:hyperlink>
        </w:p>
        <w:p w14:paraId="77448F4A" w14:textId="4032D0CE"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0" w:history="1">
            <w:r w:rsidR="00625CA3" w:rsidRPr="00B8317C">
              <w:rPr>
                <w:rStyle w:val="Hyperlink"/>
                <w:b/>
                <w:noProof/>
              </w:rPr>
              <w:t>2.</w:t>
            </w:r>
            <w:r w:rsidR="00625CA3">
              <w:rPr>
                <w:rFonts w:asciiTheme="minorHAnsi" w:eastAsiaTheme="minorEastAsia" w:hAnsiTheme="minorHAnsi" w:cstheme="minorBidi"/>
                <w:noProof/>
              </w:rPr>
              <w:tab/>
            </w:r>
            <w:r w:rsidR="00625CA3" w:rsidRPr="00B8317C">
              <w:rPr>
                <w:rStyle w:val="Hyperlink"/>
                <w:b/>
                <w:noProof/>
              </w:rPr>
              <w:t>EMPLOYMENT, SOCIAL AFFAIRS AND CITIZENSHIP</w:t>
            </w:r>
            <w:r w:rsidR="00625CA3">
              <w:rPr>
                <w:noProof/>
                <w:webHidden/>
              </w:rPr>
              <w:tab/>
            </w:r>
            <w:r w:rsidR="00625CA3">
              <w:rPr>
                <w:noProof/>
                <w:webHidden/>
              </w:rPr>
              <w:fldChar w:fldCharType="begin"/>
            </w:r>
            <w:r w:rsidR="00625CA3">
              <w:rPr>
                <w:noProof/>
                <w:webHidden/>
              </w:rPr>
              <w:instrText xml:space="preserve"> PAGEREF _Toc173758870 \h </w:instrText>
            </w:r>
            <w:r w:rsidR="00625CA3">
              <w:rPr>
                <w:noProof/>
                <w:webHidden/>
              </w:rPr>
            </w:r>
            <w:r w:rsidR="00625CA3">
              <w:rPr>
                <w:noProof/>
                <w:webHidden/>
              </w:rPr>
              <w:fldChar w:fldCharType="separate"/>
            </w:r>
            <w:r w:rsidR="00C62A6C">
              <w:rPr>
                <w:noProof/>
                <w:webHidden/>
              </w:rPr>
              <w:t>6</w:t>
            </w:r>
            <w:r w:rsidR="00625CA3">
              <w:rPr>
                <w:noProof/>
                <w:webHidden/>
              </w:rPr>
              <w:fldChar w:fldCharType="end"/>
            </w:r>
          </w:hyperlink>
        </w:p>
        <w:p w14:paraId="1C39FCFA" w14:textId="0F04ABEC"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1" w:history="1">
            <w:r w:rsidR="00625CA3" w:rsidRPr="00B8317C">
              <w:rPr>
                <w:rStyle w:val="Hyperlink"/>
                <w:b/>
                <w:noProof/>
              </w:rPr>
              <w:t>3.</w:t>
            </w:r>
            <w:r w:rsidR="00625CA3">
              <w:rPr>
                <w:rFonts w:asciiTheme="minorHAnsi" w:eastAsiaTheme="minorEastAsia" w:hAnsiTheme="minorHAnsi" w:cstheme="minorBidi"/>
                <w:noProof/>
              </w:rPr>
              <w:tab/>
            </w:r>
            <w:r w:rsidR="00625CA3" w:rsidRPr="00B8317C">
              <w:rPr>
                <w:rStyle w:val="Hyperlink"/>
                <w:b/>
                <w:noProof/>
              </w:rPr>
              <w:t>TRANSPORT, ENERGY, INFRASTRUCTURE AND INFORMATION SOCIETY</w:t>
            </w:r>
            <w:r w:rsidR="00625CA3">
              <w:rPr>
                <w:noProof/>
                <w:webHidden/>
              </w:rPr>
              <w:tab/>
            </w:r>
            <w:r w:rsidR="00625CA3">
              <w:rPr>
                <w:noProof/>
                <w:webHidden/>
              </w:rPr>
              <w:fldChar w:fldCharType="begin"/>
            </w:r>
            <w:r w:rsidR="00625CA3">
              <w:rPr>
                <w:noProof/>
                <w:webHidden/>
              </w:rPr>
              <w:instrText xml:space="preserve"> PAGEREF _Toc173758871 \h </w:instrText>
            </w:r>
            <w:r w:rsidR="00625CA3">
              <w:rPr>
                <w:noProof/>
                <w:webHidden/>
              </w:rPr>
            </w:r>
            <w:r w:rsidR="00625CA3">
              <w:rPr>
                <w:noProof/>
                <w:webHidden/>
              </w:rPr>
              <w:fldChar w:fldCharType="separate"/>
            </w:r>
            <w:r w:rsidR="00C62A6C">
              <w:rPr>
                <w:noProof/>
                <w:webHidden/>
              </w:rPr>
              <w:t>9</w:t>
            </w:r>
            <w:r w:rsidR="00625CA3">
              <w:rPr>
                <w:noProof/>
                <w:webHidden/>
              </w:rPr>
              <w:fldChar w:fldCharType="end"/>
            </w:r>
          </w:hyperlink>
        </w:p>
        <w:p w14:paraId="77AAB64B" w14:textId="77165169"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2" w:history="1">
            <w:r w:rsidR="00625CA3" w:rsidRPr="00B8317C">
              <w:rPr>
                <w:rStyle w:val="Hyperlink"/>
                <w:b/>
                <w:noProof/>
              </w:rPr>
              <w:t>4.</w:t>
            </w:r>
            <w:r w:rsidR="00625CA3">
              <w:rPr>
                <w:rFonts w:asciiTheme="minorHAnsi" w:eastAsiaTheme="minorEastAsia" w:hAnsiTheme="minorHAnsi" w:cstheme="minorBidi"/>
                <w:noProof/>
              </w:rPr>
              <w:tab/>
            </w:r>
            <w:r w:rsidR="00625CA3" w:rsidRPr="00B8317C">
              <w:rPr>
                <w:rStyle w:val="Hyperlink"/>
                <w:b/>
                <w:noProof/>
              </w:rPr>
              <w:t>SINGLE MARKET, PRODUCTION AND CONSUMPTION</w:t>
            </w:r>
            <w:r w:rsidR="00625CA3">
              <w:rPr>
                <w:noProof/>
                <w:webHidden/>
              </w:rPr>
              <w:tab/>
            </w:r>
            <w:r w:rsidR="00625CA3">
              <w:rPr>
                <w:noProof/>
                <w:webHidden/>
              </w:rPr>
              <w:fldChar w:fldCharType="begin"/>
            </w:r>
            <w:r w:rsidR="00625CA3">
              <w:rPr>
                <w:noProof/>
                <w:webHidden/>
              </w:rPr>
              <w:instrText xml:space="preserve"> PAGEREF _Toc173758872 \h </w:instrText>
            </w:r>
            <w:r w:rsidR="00625CA3">
              <w:rPr>
                <w:noProof/>
                <w:webHidden/>
              </w:rPr>
            </w:r>
            <w:r w:rsidR="00625CA3">
              <w:rPr>
                <w:noProof/>
                <w:webHidden/>
              </w:rPr>
              <w:fldChar w:fldCharType="separate"/>
            </w:r>
            <w:r w:rsidR="00C62A6C">
              <w:rPr>
                <w:noProof/>
                <w:webHidden/>
              </w:rPr>
              <w:t>12</w:t>
            </w:r>
            <w:r w:rsidR="00625CA3">
              <w:rPr>
                <w:noProof/>
                <w:webHidden/>
              </w:rPr>
              <w:fldChar w:fldCharType="end"/>
            </w:r>
          </w:hyperlink>
        </w:p>
        <w:p w14:paraId="6B205347" w14:textId="4BD55D24"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3" w:history="1">
            <w:r w:rsidR="00625CA3" w:rsidRPr="00B8317C">
              <w:rPr>
                <w:rStyle w:val="Hyperlink"/>
                <w:b/>
                <w:noProof/>
              </w:rPr>
              <w:t>5.</w:t>
            </w:r>
            <w:r w:rsidR="00625CA3">
              <w:rPr>
                <w:rFonts w:asciiTheme="minorHAnsi" w:eastAsiaTheme="minorEastAsia" w:hAnsiTheme="minorHAnsi" w:cstheme="minorBidi"/>
                <w:noProof/>
              </w:rPr>
              <w:tab/>
            </w:r>
            <w:r w:rsidR="00625CA3" w:rsidRPr="00B8317C">
              <w:rPr>
                <w:rStyle w:val="Hyperlink"/>
                <w:b/>
                <w:noProof/>
              </w:rPr>
              <w:t>AGRICULTURE, RURAL DEVELOPMENT AND THE ENVIRONMENT</w:t>
            </w:r>
            <w:r w:rsidR="00625CA3">
              <w:rPr>
                <w:noProof/>
                <w:webHidden/>
              </w:rPr>
              <w:tab/>
            </w:r>
            <w:r w:rsidR="00625CA3">
              <w:rPr>
                <w:noProof/>
                <w:webHidden/>
              </w:rPr>
              <w:fldChar w:fldCharType="begin"/>
            </w:r>
            <w:r w:rsidR="00625CA3">
              <w:rPr>
                <w:noProof/>
                <w:webHidden/>
              </w:rPr>
              <w:instrText xml:space="preserve"> PAGEREF _Toc173758873 \h </w:instrText>
            </w:r>
            <w:r w:rsidR="00625CA3">
              <w:rPr>
                <w:noProof/>
                <w:webHidden/>
              </w:rPr>
            </w:r>
            <w:r w:rsidR="00625CA3">
              <w:rPr>
                <w:noProof/>
                <w:webHidden/>
              </w:rPr>
              <w:fldChar w:fldCharType="separate"/>
            </w:r>
            <w:r w:rsidR="00C62A6C">
              <w:rPr>
                <w:noProof/>
                <w:webHidden/>
              </w:rPr>
              <w:t>16</w:t>
            </w:r>
            <w:r w:rsidR="00625CA3">
              <w:rPr>
                <w:noProof/>
                <w:webHidden/>
              </w:rPr>
              <w:fldChar w:fldCharType="end"/>
            </w:r>
          </w:hyperlink>
        </w:p>
        <w:p w14:paraId="5227CAB2" w14:textId="5340B99F"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4" w:history="1">
            <w:r w:rsidR="00625CA3" w:rsidRPr="00B8317C">
              <w:rPr>
                <w:rStyle w:val="Hyperlink"/>
                <w:b/>
                <w:noProof/>
              </w:rPr>
              <w:t>6.</w:t>
            </w:r>
            <w:r w:rsidR="00625CA3">
              <w:rPr>
                <w:rFonts w:asciiTheme="minorHAnsi" w:eastAsiaTheme="minorEastAsia" w:hAnsiTheme="minorHAnsi" w:cstheme="minorBidi"/>
                <w:noProof/>
              </w:rPr>
              <w:tab/>
            </w:r>
            <w:r w:rsidR="00625CA3" w:rsidRPr="00B8317C">
              <w:rPr>
                <w:rStyle w:val="Hyperlink"/>
                <w:b/>
                <w:noProof/>
              </w:rPr>
              <w:t>EXTERNAL RELATIONS</w:t>
            </w:r>
            <w:r w:rsidR="00625CA3">
              <w:rPr>
                <w:noProof/>
                <w:webHidden/>
              </w:rPr>
              <w:tab/>
            </w:r>
            <w:r w:rsidR="00625CA3">
              <w:rPr>
                <w:noProof/>
                <w:webHidden/>
              </w:rPr>
              <w:fldChar w:fldCharType="begin"/>
            </w:r>
            <w:r w:rsidR="00625CA3">
              <w:rPr>
                <w:noProof/>
                <w:webHidden/>
              </w:rPr>
              <w:instrText xml:space="preserve"> PAGEREF _Toc173758874 \h </w:instrText>
            </w:r>
            <w:r w:rsidR="00625CA3">
              <w:rPr>
                <w:noProof/>
                <w:webHidden/>
              </w:rPr>
            </w:r>
            <w:r w:rsidR="00625CA3">
              <w:rPr>
                <w:noProof/>
                <w:webHidden/>
              </w:rPr>
              <w:fldChar w:fldCharType="separate"/>
            </w:r>
            <w:r w:rsidR="00C62A6C">
              <w:rPr>
                <w:noProof/>
                <w:webHidden/>
              </w:rPr>
              <w:t>18</w:t>
            </w:r>
            <w:r w:rsidR="00625CA3">
              <w:rPr>
                <w:noProof/>
                <w:webHidden/>
              </w:rPr>
              <w:fldChar w:fldCharType="end"/>
            </w:r>
          </w:hyperlink>
        </w:p>
        <w:p w14:paraId="5B97EAE6" w14:textId="7E09E7F1" w:rsidR="00625CA3" w:rsidRDefault="00597E8B">
          <w:pPr>
            <w:pStyle w:val="TOC1"/>
            <w:tabs>
              <w:tab w:val="left" w:pos="440"/>
              <w:tab w:val="right" w:leader="dot" w:pos="9063"/>
            </w:tabs>
            <w:rPr>
              <w:rFonts w:asciiTheme="minorHAnsi" w:eastAsiaTheme="minorEastAsia" w:hAnsiTheme="minorHAnsi" w:cstheme="minorBidi"/>
              <w:noProof/>
            </w:rPr>
          </w:pPr>
          <w:hyperlink w:anchor="_Toc173758875" w:history="1">
            <w:r w:rsidR="00625CA3" w:rsidRPr="00B8317C">
              <w:rPr>
                <w:rStyle w:val="Hyperlink"/>
                <w:b/>
                <w:noProof/>
              </w:rPr>
              <w:t>7.</w:t>
            </w:r>
            <w:r w:rsidR="00625CA3">
              <w:rPr>
                <w:rFonts w:asciiTheme="minorHAnsi" w:eastAsiaTheme="minorEastAsia" w:hAnsiTheme="minorHAnsi" w:cstheme="minorBidi"/>
                <w:noProof/>
              </w:rPr>
              <w:tab/>
            </w:r>
            <w:r w:rsidR="00625CA3" w:rsidRPr="00B8317C">
              <w:rPr>
                <w:rStyle w:val="Hyperlink"/>
                <w:b/>
                <w:noProof/>
                <w:lang w:val="en-GB"/>
              </w:rPr>
              <w:t>CONSULTATIVE COMMISSION ON INDUSTRIAL CHANGE</w:t>
            </w:r>
            <w:r w:rsidR="00625CA3">
              <w:rPr>
                <w:noProof/>
                <w:webHidden/>
              </w:rPr>
              <w:tab/>
            </w:r>
            <w:r w:rsidR="00625CA3">
              <w:rPr>
                <w:noProof/>
                <w:webHidden/>
              </w:rPr>
              <w:fldChar w:fldCharType="begin"/>
            </w:r>
            <w:r w:rsidR="00625CA3">
              <w:rPr>
                <w:noProof/>
                <w:webHidden/>
              </w:rPr>
              <w:instrText xml:space="preserve"> PAGEREF _Toc173758875 \h </w:instrText>
            </w:r>
            <w:r w:rsidR="00625CA3">
              <w:rPr>
                <w:noProof/>
                <w:webHidden/>
              </w:rPr>
            </w:r>
            <w:r w:rsidR="00625CA3">
              <w:rPr>
                <w:noProof/>
                <w:webHidden/>
              </w:rPr>
              <w:fldChar w:fldCharType="separate"/>
            </w:r>
            <w:r w:rsidR="00C62A6C">
              <w:rPr>
                <w:noProof/>
                <w:webHidden/>
              </w:rPr>
              <w:t>21</w:t>
            </w:r>
            <w:r w:rsidR="00625CA3">
              <w:rPr>
                <w:noProof/>
                <w:webHidden/>
              </w:rPr>
              <w:fldChar w:fldCharType="end"/>
            </w:r>
          </w:hyperlink>
        </w:p>
        <w:p w14:paraId="4982DD6A" w14:textId="6E1B6A65" w:rsidR="004D7AC0" w:rsidRDefault="004D7AC0" w:rsidP="004D7AC0">
          <w:r>
            <w:rPr>
              <w:b/>
              <w:bCs/>
              <w:noProof/>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173758869"/>
      <w:r w:rsidRPr="00803CA6">
        <w:rPr>
          <w:b/>
        </w:rPr>
        <w:lastRenderedPageBreak/>
        <w:t>ECONOMIC AND MONETARY UNION, ECONOMIC AND SOCIAL COHESION</w:t>
      </w:r>
      <w:bookmarkEnd w:id="0"/>
    </w:p>
    <w:p w14:paraId="4982DD6E" w14:textId="77777777" w:rsidR="004D7AC0" w:rsidRDefault="004D7AC0" w:rsidP="004D7AC0"/>
    <w:p w14:paraId="7E506423" w14:textId="68C4B266" w:rsidR="00612898" w:rsidRPr="00612898" w:rsidRDefault="00597E8B" w:rsidP="00612898">
      <w:pPr>
        <w:widowControl w:val="0"/>
        <w:numPr>
          <w:ilvl w:val="0"/>
          <w:numId w:val="4"/>
        </w:numPr>
        <w:overflowPunct w:val="0"/>
        <w:autoSpaceDE w:val="0"/>
        <w:autoSpaceDN w:val="0"/>
        <w:adjustRightInd w:val="0"/>
        <w:spacing w:after="120"/>
        <w:ind w:hanging="567"/>
        <w:textAlignment w:val="baseline"/>
        <w:rPr>
          <w:b/>
          <w:i/>
          <w:iCs/>
          <w:sz w:val="28"/>
          <w:szCs w:val="28"/>
          <w:lang w:val="en-GB"/>
        </w:rPr>
      </w:pPr>
      <w:hyperlink r:id="rId20" w:history="1">
        <w:r w:rsidR="00612898" w:rsidRPr="00612898">
          <w:rPr>
            <w:b/>
            <w:bCs/>
            <w:i/>
            <w:iCs/>
            <w:color w:val="0000FF"/>
            <w:sz w:val="28"/>
            <w:szCs w:val="28"/>
            <w:u w:val="single"/>
            <w:lang w:val="en-GB"/>
          </w:rPr>
          <w:t>Implementation of EU macro-regional strategies - 5th report</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B3BD2">
            <w:pPr>
              <w:tabs>
                <w:tab w:val="center" w:pos="284"/>
              </w:tabs>
              <w:overflowPunct w:val="0"/>
              <w:autoSpaceDE w:val="0"/>
              <w:autoSpaceDN w:val="0"/>
              <w:adjustRightInd w:val="0"/>
              <w:ind w:left="266" w:hanging="376"/>
              <w:textAlignment w:val="baseline"/>
              <w:rPr>
                <w:b/>
              </w:rPr>
            </w:pPr>
            <w:r w:rsidRPr="00612898">
              <w:rPr>
                <w:b/>
              </w:rPr>
              <w:t>Rapporteur</w:t>
            </w:r>
          </w:p>
        </w:tc>
        <w:tc>
          <w:tcPr>
            <w:tcW w:w="7621" w:type="dxa"/>
          </w:tcPr>
          <w:p w14:paraId="28CBAA45" w14:textId="5CFCD6C8" w:rsidR="00612898" w:rsidRDefault="00612898">
            <w:pPr>
              <w:tabs>
                <w:tab w:val="center" w:pos="284"/>
              </w:tabs>
              <w:overflowPunct w:val="0"/>
              <w:autoSpaceDE w:val="0"/>
              <w:autoSpaceDN w:val="0"/>
              <w:adjustRightInd w:val="0"/>
              <w:ind w:left="266" w:hanging="376"/>
              <w:textAlignment w:val="baseline"/>
            </w:pPr>
            <w:r w:rsidRPr="00612898">
              <w:rPr>
                <w:bCs/>
              </w:rPr>
              <w:t>S</w:t>
            </w:r>
            <w:r w:rsidRPr="00612898">
              <w:t>tefano</w:t>
            </w:r>
            <w:r w:rsidRPr="00612898">
              <w:rPr>
                <w:bCs/>
              </w:rPr>
              <w:t xml:space="preserve"> P</w:t>
            </w:r>
            <w:r w:rsidRPr="00612898">
              <w:t>ALMIERI</w:t>
            </w:r>
            <w:r w:rsidRPr="00612898">
              <w:rPr>
                <w:bCs/>
              </w:rPr>
              <w:t xml:space="preserve"> (Workers' Group </w:t>
            </w:r>
            <w:r w:rsidR="004A6CE5">
              <w:rPr>
                <w:b/>
                <w:bCs/>
                <w:i/>
                <w:iCs/>
                <w:lang w:val="en-GB"/>
              </w:rPr>
              <w:t>-</w:t>
            </w:r>
            <w:r w:rsidRPr="00612898">
              <w:rPr>
                <w:b/>
                <w:bCs/>
                <w:i/>
                <w:iCs/>
                <w:lang w:val="en-GB"/>
              </w:rPr>
              <w:t xml:space="preserve"> </w:t>
            </w:r>
            <w:r w:rsidRPr="00612898">
              <w:rPr>
                <w:lang w:val="en-GB"/>
              </w:rPr>
              <w:t>IT</w:t>
            </w:r>
            <w:r w:rsidRPr="00612898">
              <w:t>)</w:t>
            </w:r>
          </w:p>
          <w:p w14:paraId="07092A74" w14:textId="4FEAC4CC" w:rsidR="008C414B" w:rsidRPr="00612898" w:rsidRDefault="008C414B" w:rsidP="000B3BD2">
            <w:pPr>
              <w:tabs>
                <w:tab w:val="center" w:pos="284"/>
              </w:tabs>
              <w:overflowPunct w:val="0"/>
              <w:autoSpaceDE w:val="0"/>
              <w:autoSpaceDN w:val="0"/>
              <w:adjustRightInd w:val="0"/>
              <w:ind w:left="266" w:hanging="376"/>
              <w:textAlignment w:val="baseline"/>
              <w:rPr>
                <w:bCs/>
              </w:rPr>
            </w:pPr>
          </w:p>
        </w:tc>
      </w:tr>
      <w:tr w:rsidR="00612898" w:rsidRPr="000B3BD2" w14:paraId="257F78E5" w14:textId="77777777" w:rsidTr="0036489A">
        <w:tc>
          <w:tcPr>
            <w:tcW w:w="1701" w:type="dxa"/>
          </w:tcPr>
          <w:p w14:paraId="0C3EBBC1" w14:textId="77777777" w:rsidR="00612898" w:rsidRPr="00612898" w:rsidRDefault="00612898" w:rsidP="000B3BD2">
            <w:pPr>
              <w:tabs>
                <w:tab w:val="center" w:pos="284"/>
              </w:tabs>
              <w:overflowPunct w:val="0"/>
              <w:autoSpaceDE w:val="0"/>
              <w:autoSpaceDN w:val="0"/>
              <w:adjustRightInd w:val="0"/>
              <w:ind w:left="266" w:hanging="376"/>
              <w:textAlignment w:val="baseline"/>
              <w:rPr>
                <w:b/>
              </w:rPr>
            </w:pPr>
            <w:r w:rsidRPr="00612898">
              <w:rPr>
                <w:b/>
              </w:rPr>
              <w:t>References</w:t>
            </w:r>
          </w:p>
        </w:tc>
        <w:tc>
          <w:tcPr>
            <w:tcW w:w="7621" w:type="dxa"/>
          </w:tcPr>
          <w:p w14:paraId="58F0DB08" w14:textId="6AC8ADCA" w:rsidR="00896BC8" w:rsidRDefault="00612898">
            <w:pPr>
              <w:tabs>
                <w:tab w:val="center" w:pos="284"/>
              </w:tabs>
              <w:overflowPunct w:val="0"/>
              <w:autoSpaceDE w:val="0"/>
              <w:autoSpaceDN w:val="0"/>
              <w:adjustRightInd w:val="0"/>
              <w:ind w:left="266" w:hanging="376"/>
              <w:textAlignment w:val="baseline"/>
              <w:rPr>
                <w:lang w:val="pt-PT"/>
              </w:rPr>
            </w:pPr>
            <w:r w:rsidRPr="00612898">
              <w:rPr>
                <w:lang w:val="pt-PT"/>
              </w:rPr>
              <w:t>COM(2025) 191 final</w:t>
            </w:r>
          </w:p>
          <w:p w14:paraId="5DB59D59" w14:textId="2FC0173E" w:rsidR="00612898" w:rsidRPr="00612898" w:rsidRDefault="00612898" w:rsidP="000B3BD2">
            <w:pPr>
              <w:tabs>
                <w:tab w:val="center" w:pos="284"/>
              </w:tabs>
              <w:overflowPunct w:val="0"/>
              <w:autoSpaceDE w:val="0"/>
              <w:autoSpaceDN w:val="0"/>
              <w:adjustRightInd w:val="0"/>
              <w:ind w:left="266" w:hanging="376"/>
              <w:textAlignment w:val="baseline"/>
              <w:rPr>
                <w:lang w:val="pt-PT"/>
              </w:rPr>
            </w:pPr>
            <w:r w:rsidRPr="00612898">
              <w:rPr>
                <w:lang w:val="pt-PT"/>
              </w:rPr>
              <w:t>COM(2025) 196 final</w:t>
            </w:r>
          </w:p>
          <w:p w14:paraId="1B624F0D" w14:textId="77487EE9" w:rsidR="00612898" w:rsidRPr="00612898" w:rsidRDefault="00612898" w:rsidP="000B3BD2">
            <w:pPr>
              <w:tabs>
                <w:tab w:val="center" w:pos="284"/>
              </w:tabs>
              <w:overflowPunct w:val="0"/>
              <w:autoSpaceDE w:val="0"/>
              <w:autoSpaceDN w:val="0"/>
              <w:adjustRightInd w:val="0"/>
              <w:ind w:left="266" w:hanging="376"/>
              <w:textAlignment w:val="baseline"/>
              <w:rPr>
                <w:lang w:val="pt-PT"/>
              </w:rPr>
            </w:pPr>
            <w:r w:rsidRPr="00612898">
              <w:rPr>
                <w:lang w:val="pt-PT"/>
              </w:rP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lang w:val="en-GB"/>
        </w:rPr>
      </w:pPr>
      <w:r w:rsidRPr="00612898">
        <w:rPr>
          <w:b/>
          <w:lang w:val="en-GB"/>
        </w:rPr>
        <w:t>Key points</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lang w:val="en-GB"/>
        </w:rPr>
      </w:pPr>
      <w:r w:rsidRPr="00612898">
        <w:rPr>
          <w:bCs/>
          <w:iCs/>
          <w:lang w:val="en-GB"/>
        </w:rPr>
        <w:t>The EESC:</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3339A53C"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recognises the role played by macro-regional strategies (MRS) in generating multi-level synergies between policies, programmes and actors. They have supported the green and digital transitions, and developed significant resilience and solidarity during the pandemic and ongoing crises</w:t>
      </w:r>
      <w:r w:rsidR="004A6CE5">
        <w:rPr>
          <w:szCs w:val="20"/>
          <w:lang w:val="en-GB"/>
        </w:rPr>
        <w:t>;</w:t>
      </w:r>
    </w:p>
    <w:p w14:paraId="75D3836B" w14:textId="4584BA8D"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calls to strengthen vertical and horizontal multi-level governance by ensuring the involvement of local structures</w:t>
      </w:r>
      <w:r w:rsidR="004A6CE5">
        <w:rPr>
          <w:szCs w:val="20"/>
          <w:lang w:val="en-GB"/>
        </w:rPr>
        <w:t>;</w:t>
      </w:r>
    </w:p>
    <w:p w14:paraId="4E658ACB" w14:textId="0FF57F34"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welcomes revision processes and calls for the social dimension, civic participation (including youth) and interregional cooperation to be reinforced. The MRS must serve as laboratories for social inclusion and innovation, supporting green taxation and human capital</w:t>
      </w:r>
      <w:r w:rsidR="004A6CE5">
        <w:rPr>
          <w:szCs w:val="20"/>
          <w:lang w:val="en-GB"/>
        </w:rPr>
        <w:t>;</w:t>
      </w:r>
    </w:p>
    <w:p w14:paraId="288A6F61" w14:textId="77777777"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notes the findings of the MRS for the Baltic Sea region (EUSBSR), which has promoted sustainability and connections in the Baltic Sea. The 2021 revision through the Baltic Sea Strategy Point, strengthened cooperation and management. Despite relations with Russia and Belarus being suspended, the strategy remains valid;</w:t>
      </w:r>
    </w:p>
    <w:p w14:paraId="61DFA9B6" w14:textId="581DA869"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highlights the progress of the MRS for the Danube (EUSDR). The 2020 revision strengthened coherence with the EU’s priorities and youth participation, despite there being inequalities and uneven political commitment. The presidencies have revived innovation and governance</w:t>
      </w:r>
      <w:r w:rsidR="004A6CE5">
        <w:rPr>
          <w:szCs w:val="20"/>
          <w:lang w:val="en-GB"/>
        </w:rPr>
        <w:t>;</w:t>
      </w:r>
    </w:p>
    <w:p w14:paraId="5C7EA446" w14:textId="04D298AB"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highlights the results of the MRS for the Adriatic and Ionian region (EUSAIR), which recently updated its action plan by introducing a fifth social pillar. The strategy integrates enlargement, circular economy and digitalisation, strengthening partnerships and resilience</w:t>
      </w:r>
      <w:r w:rsidR="004A6CE5">
        <w:rPr>
          <w:szCs w:val="20"/>
          <w:lang w:val="en-GB"/>
        </w:rPr>
        <w:t>;</w:t>
      </w:r>
    </w:p>
    <w:p w14:paraId="0171069F" w14:textId="1E378767"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welcomes the MRS for the Alpine region (EUSALP) which consolidated cooperation and stable governance, by extending reach to non-EU countries. The revision integrates priorities concerning digitalisation, energy, water resources and circular economy</w:t>
      </w:r>
      <w:r w:rsidR="004A6CE5">
        <w:rPr>
          <w:szCs w:val="20"/>
          <w:lang w:val="en-GB"/>
        </w:rPr>
        <w:t>;</w:t>
      </w:r>
    </w:p>
    <w:p w14:paraId="6817B888" w14:textId="5352457F"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notes that enlargement to the Western Balkans, Ukraine and Moldova is a strategic priority and that the MRS have the potential to reinforce cooperation, institutional capacities</w:t>
      </w:r>
      <w:r w:rsidR="004A6CE5">
        <w:rPr>
          <w:szCs w:val="20"/>
          <w:lang w:val="en-GB"/>
        </w:rPr>
        <w:t>;</w:t>
      </w:r>
    </w:p>
    <w:p w14:paraId="710F3124" w14:textId="1640F321"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notes that Russia’s military aggression against Ukraine has affirmed the role of MRS as instruments of solidarity and resilience</w:t>
      </w:r>
      <w:r w:rsidR="004A6CE5">
        <w:rPr>
          <w:szCs w:val="20"/>
          <w:lang w:val="en-GB"/>
        </w:rPr>
        <w:t>;</w:t>
      </w:r>
    </w:p>
    <w:p w14:paraId="6EDD216B" w14:textId="54BBF23C"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considers the place-based approach adopted by the MRS essential, as it adapts European priorities to specific regional features and promotes cohesion through tools such as community-led local development and innovative initiatives such as the promotion of civic and youth participation</w:t>
      </w:r>
      <w:r w:rsidR="004A6CE5">
        <w:rPr>
          <w:szCs w:val="20"/>
          <w:lang w:val="en-GB"/>
        </w:rPr>
        <w:t>;</w:t>
      </w:r>
    </w:p>
    <w:p w14:paraId="34580314" w14:textId="4948B8F2"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calls for governance and funding to be strengthened, integrating MRS’ priorities into the EU’s main programmes. Local skills must be enhanced, partnerships consolidated and civil society and young people actively involved</w:t>
      </w:r>
      <w:r w:rsidR="004A6CE5">
        <w:rPr>
          <w:szCs w:val="20"/>
          <w:lang w:val="en-GB"/>
        </w:rPr>
        <w:t>;</w:t>
      </w:r>
    </w:p>
    <w:p w14:paraId="2F7ADDD3" w14:textId="05EBEAE4" w:rsidR="00612898" w:rsidRPr="00612898" w:rsidRDefault="003C16C3"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lastRenderedPageBreak/>
        <w:t xml:space="preserve">is </w:t>
      </w:r>
      <w:r w:rsidR="00612898" w:rsidRPr="00612898">
        <w:rPr>
          <w:szCs w:val="20"/>
          <w:lang w:val="en-GB"/>
        </w:rPr>
        <w:t>of the view, the new MFF (for the period 2028-2034) involves risks for the proper functioning of the MRS. It is therefore crucial that priorities on MRS are included in the partnership plans</w:t>
      </w:r>
      <w:r w:rsidR="004A6CE5">
        <w:rPr>
          <w:szCs w:val="20"/>
          <w:lang w:val="en-GB"/>
        </w:rPr>
        <w:t>;</w:t>
      </w:r>
    </w:p>
    <w:p w14:paraId="179CAD0A" w14:textId="469EF18A" w:rsidR="00612898" w:rsidRPr="00612898" w:rsidRDefault="00612898" w:rsidP="000B3BD2">
      <w:pPr>
        <w:numPr>
          <w:ilvl w:val="0"/>
          <w:numId w:val="18"/>
        </w:numPr>
        <w:overflowPunct w:val="0"/>
        <w:autoSpaceDE w:val="0"/>
        <w:autoSpaceDN w:val="0"/>
        <w:adjustRightInd w:val="0"/>
        <w:contextualSpacing/>
        <w:textAlignment w:val="baseline"/>
        <w:rPr>
          <w:szCs w:val="20"/>
          <w:lang w:val="en-GB"/>
        </w:rPr>
      </w:pPr>
      <w:r w:rsidRPr="00612898">
        <w:rPr>
          <w:szCs w:val="20"/>
          <w:lang w:val="en-GB"/>
        </w:rPr>
        <w:t>stresses the need for more transparent, responsible and corruption-free governance in the institutions involved in the MRS</w:t>
      </w:r>
      <w:r w:rsidR="004A6CE5">
        <w:rPr>
          <w:szCs w:val="20"/>
          <w:lang w:val="en-GB"/>
        </w:rPr>
        <w:t>;</w:t>
      </w:r>
    </w:p>
    <w:p w14:paraId="70A713C0" w14:textId="77777777" w:rsidR="00612898" w:rsidRPr="00612898" w:rsidRDefault="00612898" w:rsidP="000B3BD2">
      <w:pPr>
        <w:numPr>
          <w:ilvl w:val="0"/>
          <w:numId w:val="18"/>
        </w:numPr>
        <w:overflowPunct w:val="0"/>
        <w:autoSpaceDE w:val="0"/>
        <w:autoSpaceDN w:val="0"/>
        <w:adjustRightInd w:val="0"/>
        <w:contextualSpacing/>
        <w:textAlignment w:val="baseline"/>
        <w:rPr>
          <w:bCs/>
          <w:iCs/>
          <w:lang w:val="en-GB"/>
        </w:rPr>
      </w:pPr>
      <w:r w:rsidRPr="00612898">
        <w:rPr>
          <w:szCs w:val="20"/>
          <w:lang w:val="en-GB"/>
        </w:rPr>
        <w:t>calls for the creation of a new macro-regional strategy in the Mediterranean to address common challenges such as climate change, migration flows, the energy transition and blue sustainability.</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12898" w:rsidRPr="00612898" w14:paraId="242A4532" w14:textId="77777777" w:rsidTr="0036489A">
        <w:tc>
          <w:tcPr>
            <w:tcW w:w="1418" w:type="dxa"/>
          </w:tcPr>
          <w:p w14:paraId="21DFEBB5" w14:textId="77777777" w:rsidR="00612898" w:rsidRPr="00612898" w:rsidRDefault="00612898" w:rsidP="00612898">
            <w:pPr>
              <w:overflowPunct w:val="0"/>
              <w:autoSpaceDE w:val="0"/>
              <w:autoSpaceDN w:val="0"/>
              <w:adjustRightInd w:val="0"/>
              <w:textAlignment w:val="baseline"/>
              <w:rPr>
                <w:i/>
              </w:rPr>
            </w:pPr>
            <w:r w:rsidRPr="00612898">
              <w:rPr>
                <w:b/>
                <w:i/>
              </w:rPr>
              <w:t>Contact</w:t>
            </w:r>
          </w:p>
        </w:tc>
        <w:tc>
          <w:tcPr>
            <w:tcW w:w="7904" w:type="dxa"/>
          </w:tcPr>
          <w:p w14:paraId="26624CD5" w14:textId="0E28249F" w:rsidR="00612898" w:rsidRPr="00612898" w:rsidRDefault="00612898" w:rsidP="00612898">
            <w:pPr>
              <w:overflowPunct w:val="0"/>
              <w:autoSpaceDE w:val="0"/>
              <w:autoSpaceDN w:val="0"/>
              <w:adjustRightInd w:val="0"/>
              <w:textAlignment w:val="baseline"/>
              <w:rPr>
                <w:i/>
              </w:rPr>
            </w:pPr>
            <w:r w:rsidRPr="00612898">
              <w:rPr>
                <w:i/>
              </w:rPr>
              <w:t>Georgios M</w:t>
            </w:r>
            <w:r w:rsidR="004E64BE" w:rsidRPr="00612898">
              <w:rPr>
                <w:i/>
              </w:rPr>
              <w:t>eleas</w:t>
            </w:r>
          </w:p>
        </w:tc>
      </w:tr>
      <w:tr w:rsidR="00612898" w:rsidRPr="00612898" w14:paraId="169FB5DD" w14:textId="77777777" w:rsidTr="0036489A">
        <w:tc>
          <w:tcPr>
            <w:tcW w:w="1418" w:type="dxa"/>
          </w:tcPr>
          <w:p w14:paraId="04AD6363" w14:textId="77777777" w:rsidR="00612898" w:rsidRPr="00612898" w:rsidRDefault="00612898" w:rsidP="00612898">
            <w:pPr>
              <w:overflowPunct w:val="0"/>
              <w:autoSpaceDE w:val="0"/>
              <w:autoSpaceDN w:val="0"/>
              <w:adjustRightInd w:val="0"/>
              <w:textAlignment w:val="baseline"/>
              <w:rPr>
                <w:i/>
              </w:rPr>
            </w:pPr>
            <w:r w:rsidRPr="00612898">
              <w:rPr>
                <w:i/>
              </w:rPr>
              <w:t>Tel.</w:t>
            </w:r>
          </w:p>
        </w:tc>
        <w:tc>
          <w:tcPr>
            <w:tcW w:w="7904" w:type="dxa"/>
          </w:tcPr>
          <w:p w14:paraId="0ACA86BD" w14:textId="07A162F9" w:rsidR="00612898" w:rsidRPr="00612898" w:rsidRDefault="00612898" w:rsidP="00612898">
            <w:pPr>
              <w:overflowPunct w:val="0"/>
              <w:autoSpaceDE w:val="0"/>
              <w:autoSpaceDN w:val="0"/>
              <w:adjustRightInd w:val="0"/>
              <w:textAlignment w:val="baseline"/>
              <w:rPr>
                <w:i/>
              </w:rPr>
            </w:pPr>
            <w:r w:rsidRPr="00612898">
              <w:rPr>
                <w:i/>
                <w:lang w:val="fr-BE"/>
              </w:rPr>
              <w:t>+32 25469795</w:t>
            </w:r>
          </w:p>
        </w:tc>
      </w:tr>
      <w:tr w:rsidR="00612898" w:rsidRPr="00612898" w14:paraId="74BB4CF2" w14:textId="77777777" w:rsidTr="0036489A">
        <w:tc>
          <w:tcPr>
            <w:tcW w:w="1418" w:type="dxa"/>
          </w:tcPr>
          <w:p w14:paraId="0810916A" w14:textId="77777777" w:rsidR="00612898" w:rsidRPr="00612898" w:rsidRDefault="00612898" w:rsidP="00612898">
            <w:pPr>
              <w:overflowPunct w:val="0"/>
              <w:autoSpaceDE w:val="0"/>
              <w:autoSpaceDN w:val="0"/>
              <w:adjustRightInd w:val="0"/>
              <w:textAlignment w:val="baseline"/>
              <w:rPr>
                <w:i/>
              </w:rPr>
            </w:pPr>
            <w:r w:rsidRPr="00612898">
              <w:rPr>
                <w:i/>
              </w:rPr>
              <w:t>Email</w:t>
            </w:r>
          </w:p>
        </w:tc>
        <w:tc>
          <w:tcPr>
            <w:tcW w:w="7904" w:type="dxa"/>
          </w:tcPr>
          <w:p w14:paraId="7EA756D6" w14:textId="77777777" w:rsidR="00612898" w:rsidRPr="00612898" w:rsidRDefault="00597E8B" w:rsidP="00612898">
            <w:pPr>
              <w:overflowPunct w:val="0"/>
              <w:autoSpaceDE w:val="0"/>
              <w:autoSpaceDN w:val="0"/>
              <w:adjustRightInd w:val="0"/>
              <w:textAlignment w:val="baseline"/>
              <w:rPr>
                <w:i/>
                <w:iCs/>
                <w:lang w:val="en-GB"/>
              </w:rPr>
            </w:pPr>
            <w:hyperlink r:id="rId21" w:history="1">
              <w:r w:rsidR="00612898" w:rsidRPr="00612898">
                <w:rPr>
                  <w:i/>
                  <w:iCs/>
                  <w:color w:val="0000FF"/>
                  <w:u w:val="single"/>
                  <w:lang w:val="en-GB"/>
                </w:rPr>
                <w:t>Georgios.Meleas@eesc.europa.eu</w:t>
              </w:r>
            </w:hyperlink>
          </w:p>
        </w:tc>
      </w:tr>
    </w:tbl>
    <w:p w14:paraId="4982DD96" w14:textId="77777777" w:rsidR="004D7AC0" w:rsidRDefault="004D7AC0" w:rsidP="004D7AC0">
      <w:pPr>
        <w:pStyle w:val="ListParagraph"/>
        <w:ind w:left="0"/>
      </w:pPr>
    </w:p>
    <w:p w14:paraId="4B3225FD" w14:textId="3A0F01B3" w:rsidR="00C82E34" w:rsidRPr="00C82E34" w:rsidRDefault="00612898" w:rsidP="000B3BD2">
      <w:pPr>
        <w:spacing w:after="160" w:line="259" w:lineRule="auto"/>
        <w:jc w:val="left"/>
        <w:rPr>
          <w:b/>
          <w:i/>
          <w:iCs/>
          <w:sz w:val="28"/>
          <w:szCs w:val="28"/>
          <w:lang w:val="en-GB"/>
        </w:rPr>
      </w:pPr>
      <w:r>
        <w:br w:type="page"/>
      </w:r>
      <w:hyperlink r:id="rId22" w:history="1">
        <w:r w:rsidR="00C82E34" w:rsidRPr="00C82E34">
          <w:rPr>
            <w:b/>
            <w:bCs/>
            <w:i/>
            <w:iCs/>
            <w:color w:val="0000FF"/>
            <w:sz w:val="28"/>
            <w:szCs w:val="28"/>
            <w:u w:val="single"/>
            <w:lang w:val="en-GB"/>
          </w:rPr>
          <w:t>Establishing the European Fund for Regional Development including for European Territorial Cooperation (Interreg) and the Cohesion Fund</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sidRPr="00C82E34">
              <w:rPr>
                <w:b/>
              </w:rPr>
              <w:t>Rapporteur</w:t>
            </w:r>
          </w:p>
        </w:tc>
        <w:tc>
          <w:tcPr>
            <w:tcW w:w="7621" w:type="dxa"/>
          </w:tcPr>
          <w:p w14:paraId="297CD7E5" w14:textId="6CC0F363" w:rsidR="00C82E34" w:rsidRDefault="00C82E34" w:rsidP="00C82E34">
            <w:pPr>
              <w:tabs>
                <w:tab w:val="center" w:pos="284"/>
              </w:tabs>
              <w:overflowPunct w:val="0"/>
              <w:autoSpaceDE w:val="0"/>
              <w:autoSpaceDN w:val="0"/>
              <w:adjustRightInd w:val="0"/>
              <w:ind w:left="266" w:hanging="266"/>
              <w:textAlignment w:val="baseline"/>
            </w:pPr>
            <w:r w:rsidRPr="00C82E34">
              <w:t>David</w:t>
            </w:r>
            <w:r w:rsidRPr="00C82E34">
              <w:rPr>
                <w:bCs/>
              </w:rPr>
              <w:t xml:space="preserve"> SVENTEK (Employers' Group </w:t>
            </w:r>
            <w:r w:rsidR="00C2078A">
              <w:rPr>
                <w:b/>
                <w:bCs/>
                <w:i/>
                <w:iCs/>
                <w:lang w:val="en-GB"/>
              </w:rPr>
              <w:t>-</w:t>
            </w:r>
            <w:r w:rsidRPr="00C82E34">
              <w:rPr>
                <w:b/>
                <w:bCs/>
                <w:i/>
                <w:iCs/>
                <w:lang w:val="en-GB"/>
              </w:rPr>
              <w:t xml:space="preserve"> </w:t>
            </w:r>
            <w:r w:rsidRPr="00C82E34">
              <w:rPr>
                <w:lang w:val="en-GB"/>
              </w:rPr>
              <w:t>CZ</w:t>
            </w:r>
            <w:r w:rsidRPr="00C82E34">
              <w:t>)</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sidRPr="00C82E34">
              <w:rPr>
                <w:b/>
              </w:rPr>
              <w:t>References</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rPr>
                <w:lang w:val="pt-PT"/>
              </w:rPr>
            </w:pPr>
            <w:r w:rsidRPr="00C82E34">
              <w:rPr>
                <w:lang w:val="pt-PT"/>
              </w:rPr>
              <w:t>COM(2025) 552 final</w:t>
            </w:r>
          </w:p>
          <w:p w14:paraId="43B9D460" w14:textId="4146021E" w:rsidR="00C82E34" w:rsidRPr="00C82E34" w:rsidRDefault="00C82E34" w:rsidP="00C82E34">
            <w:pPr>
              <w:tabs>
                <w:tab w:val="center" w:pos="284"/>
              </w:tabs>
              <w:overflowPunct w:val="0"/>
              <w:autoSpaceDE w:val="0"/>
              <w:autoSpaceDN w:val="0"/>
              <w:adjustRightInd w:val="0"/>
              <w:ind w:left="266" w:hanging="266"/>
              <w:textAlignment w:val="baseline"/>
              <w:rPr>
                <w:lang w:val="pt-PT"/>
              </w:rPr>
            </w:pPr>
            <w:r w:rsidRPr="00C82E34">
              <w:rPr>
                <w:lang w:val="pt-PT"/>
              </w:rP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lang w:val="en-GB"/>
        </w:rPr>
      </w:pPr>
      <w:r w:rsidRPr="00C82E34">
        <w:rPr>
          <w:b/>
          <w:lang w:val="en-GB"/>
        </w:rPr>
        <w:t>Key points</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lang w:val="en-GB"/>
        </w:rPr>
      </w:pPr>
      <w:r w:rsidRPr="00C82E34">
        <w:rPr>
          <w:bCs/>
          <w:iCs/>
          <w:lang w:val="en-GB"/>
        </w:rPr>
        <w:t>The EESC:</w:t>
      </w:r>
    </w:p>
    <w:p w14:paraId="6B7D5112"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stresses that the need to reduce regional and territorial disparities remains one of the key priorities of EU integration and that the use of traditional, proven and effective cohesion policy instruments is the right way forward to support sustainable prosperity across all regions of the EU;</w:t>
      </w:r>
    </w:p>
    <w:p w14:paraId="419C11E1"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recommends clarifying the role of the ERDF and the Cohesion Fund (CF) within the National Regional Partnership Fund (NRPF), not only through general and specific objectives, but also through specific elaboration in the regulation. The EESC would welcome it if the draft regulation to which this opinion relates were to be elaborated and supplemented at least by an annex offering guidance on how to effectively integrate the ERDF and the CF into the NRPF;</w:t>
      </w:r>
    </w:p>
    <w:p w14:paraId="1B66C5C6"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insists that the new arrangements should not lead to a reduction in the importance and mission of the ERDF and the CF, particularly in supporting the development of lagging regions and the transformation of industrial areas. It also emphasises the importance of the partnership principle in the design of future programmes;</w:t>
      </w:r>
    </w:p>
    <w:p w14:paraId="50BDF906"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agrees with the content and thematic focus of the future Interreg programme and its synergies with the Global Europe programme in the specific cases proposed;</w:t>
      </w:r>
    </w:p>
    <w:p w14:paraId="23072895"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generally, agrees with the innovative approach of the proposal regarding the future of the established Interreg programme, particularly in terms of accepting the implementation structure at the level of the individual chapters of the Interreg Plan;</w:t>
      </w:r>
    </w:p>
    <w:p w14:paraId="64ACA7F4"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draws attention to the risk of the relevant actors at regional cross-border level not being able to reach an agreement, given that the draft regulation is not very detailed. It also recommends adopting the implementing act immediately after the regulation is adopted;</w:t>
      </w:r>
    </w:p>
    <w:p w14:paraId="4EB434F3"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recommends ensuring that the interpretation and implementation of the funds at Member State level are comparable and that there are no significant differences between Member States;</w:t>
      </w:r>
    </w:p>
    <w:p w14:paraId="72602B09" w14:textId="77777777" w:rsidR="00C82E34" w:rsidRPr="00C82E34" w:rsidRDefault="00C82E34" w:rsidP="000B3BD2">
      <w:pPr>
        <w:numPr>
          <w:ilvl w:val="0"/>
          <w:numId w:val="19"/>
        </w:numPr>
        <w:overflowPunct w:val="0"/>
        <w:autoSpaceDE w:val="0"/>
        <w:autoSpaceDN w:val="0"/>
        <w:adjustRightInd w:val="0"/>
        <w:ind w:left="284" w:hanging="284"/>
        <w:contextualSpacing/>
        <w:textAlignment w:val="baseline"/>
        <w:rPr>
          <w:szCs w:val="20"/>
          <w:lang w:val="en-GB"/>
        </w:rPr>
      </w:pPr>
      <w:r w:rsidRPr="00C82E34">
        <w:rPr>
          <w:szCs w:val="20"/>
          <w:lang w:val="en-GB"/>
        </w:rPr>
        <w:t>supports the simplification of implementation and administrative processes for more efficient use of funds;</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lang w:val="en-GB"/>
        </w:rPr>
      </w:pPr>
      <w:r w:rsidRPr="00C82E34">
        <w:rPr>
          <w:szCs w:val="20"/>
          <w:lang w:val="en-GB"/>
        </w:rPr>
        <w:t>appreciates that the proposal for a Regulation on the ERDF and the CF also provides for the possibility of supporting sustainable urban development and, within that framework, integrated urban and territorial development strategies focused on sustainable development and addressing challenges in the areas of the environment, energy and climate, fair transition to a clean, climate-neutral and resilient economy, with particular attention to affordable housing , poverty, cultural heritage and the use of the potential of digital technologies for innovation and energy efficiency;</w:t>
      </w:r>
    </w:p>
    <w:p w14:paraId="63EC4849" w14:textId="77777777" w:rsidR="00056F0F" w:rsidRPr="00C82E34" w:rsidRDefault="00056F0F" w:rsidP="000B3BD2">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82E34" w:rsidRPr="00C82E34" w14:paraId="04833A6C" w14:textId="77777777" w:rsidTr="0036489A">
        <w:tc>
          <w:tcPr>
            <w:tcW w:w="1418" w:type="dxa"/>
          </w:tcPr>
          <w:p w14:paraId="720E543D" w14:textId="77777777" w:rsidR="00C82E34" w:rsidRPr="00C82E34" w:rsidRDefault="00C82E34" w:rsidP="00C82E34">
            <w:pPr>
              <w:overflowPunct w:val="0"/>
              <w:autoSpaceDE w:val="0"/>
              <w:autoSpaceDN w:val="0"/>
              <w:adjustRightInd w:val="0"/>
              <w:textAlignment w:val="baseline"/>
              <w:rPr>
                <w:i/>
              </w:rPr>
            </w:pPr>
            <w:r w:rsidRPr="00C82E34">
              <w:rPr>
                <w:b/>
                <w:i/>
              </w:rPr>
              <w:t>Contact</w:t>
            </w:r>
          </w:p>
        </w:tc>
        <w:tc>
          <w:tcPr>
            <w:tcW w:w="7904" w:type="dxa"/>
          </w:tcPr>
          <w:p w14:paraId="2AC28C0B" w14:textId="5FFF53BD" w:rsidR="00C82E34" w:rsidRPr="00C82E34" w:rsidRDefault="00C82E34" w:rsidP="00C82E34">
            <w:pPr>
              <w:overflowPunct w:val="0"/>
              <w:autoSpaceDE w:val="0"/>
              <w:autoSpaceDN w:val="0"/>
              <w:adjustRightInd w:val="0"/>
              <w:textAlignment w:val="baseline"/>
              <w:rPr>
                <w:i/>
              </w:rPr>
            </w:pPr>
            <w:r w:rsidRPr="00C82E34">
              <w:rPr>
                <w:i/>
              </w:rPr>
              <w:t>Georgios M</w:t>
            </w:r>
            <w:r w:rsidR="00446882" w:rsidRPr="00C82E34">
              <w:rPr>
                <w:i/>
              </w:rPr>
              <w:t>eleas</w:t>
            </w:r>
          </w:p>
        </w:tc>
      </w:tr>
      <w:tr w:rsidR="00C82E34" w:rsidRPr="00C82E34" w14:paraId="06EB7C5A" w14:textId="77777777" w:rsidTr="0036489A">
        <w:tc>
          <w:tcPr>
            <w:tcW w:w="1418" w:type="dxa"/>
          </w:tcPr>
          <w:p w14:paraId="3964EC18" w14:textId="77777777" w:rsidR="00C82E34" w:rsidRPr="00C82E34" w:rsidRDefault="00C82E34" w:rsidP="00C82E34">
            <w:pPr>
              <w:overflowPunct w:val="0"/>
              <w:autoSpaceDE w:val="0"/>
              <w:autoSpaceDN w:val="0"/>
              <w:adjustRightInd w:val="0"/>
              <w:textAlignment w:val="baseline"/>
              <w:rPr>
                <w:i/>
              </w:rPr>
            </w:pPr>
            <w:r w:rsidRPr="00C82E34">
              <w:rPr>
                <w:i/>
              </w:rPr>
              <w:lastRenderedPageBreak/>
              <w:t>Tel.</w:t>
            </w:r>
          </w:p>
        </w:tc>
        <w:tc>
          <w:tcPr>
            <w:tcW w:w="7904" w:type="dxa"/>
          </w:tcPr>
          <w:p w14:paraId="6FC22AA9" w14:textId="72399FD8" w:rsidR="00C82E34" w:rsidRPr="00C82E34" w:rsidRDefault="00C82E34" w:rsidP="00C82E34">
            <w:pPr>
              <w:overflowPunct w:val="0"/>
              <w:autoSpaceDE w:val="0"/>
              <w:autoSpaceDN w:val="0"/>
              <w:adjustRightInd w:val="0"/>
              <w:textAlignment w:val="baseline"/>
              <w:rPr>
                <w:i/>
              </w:rPr>
            </w:pPr>
            <w:r w:rsidRPr="00C82E34">
              <w:rPr>
                <w:i/>
                <w:lang w:val="fr-BE"/>
              </w:rPr>
              <w:t>+32 25469795</w:t>
            </w:r>
          </w:p>
        </w:tc>
      </w:tr>
      <w:tr w:rsidR="00C82E34" w:rsidRPr="00C82E34" w14:paraId="03D8EF0B" w14:textId="77777777" w:rsidTr="0036489A">
        <w:tc>
          <w:tcPr>
            <w:tcW w:w="1418" w:type="dxa"/>
          </w:tcPr>
          <w:p w14:paraId="130E2BFD" w14:textId="77777777" w:rsidR="00C82E34" w:rsidRPr="00C82E34" w:rsidRDefault="00C82E34" w:rsidP="00C82E34">
            <w:pPr>
              <w:overflowPunct w:val="0"/>
              <w:autoSpaceDE w:val="0"/>
              <w:autoSpaceDN w:val="0"/>
              <w:adjustRightInd w:val="0"/>
              <w:textAlignment w:val="baseline"/>
              <w:rPr>
                <w:i/>
              </w:rPr>
            </w:pPr>
            <w:r w:rsidRPr="00C82E34">
              <w:rPr>
                <w:i/>
              </w:rPr>
              <w:t>Email</w:t>
            </w:r>
          </w:p>
        </w:tc>
        <w:tc>
          <w:tcPr>
            <w:tcW w:w="7904" w:type="dxa"/>
          </w:tcPr>
          <w:p w14:paraId="3D770788" w14:textId="77777777" w:rsidR="00C82E34" w:rsidRDefault="00597E8B" w:rsidP="00C82E34">
            <w:pPr>
              <w:overflowPunct w:val="0"/>
              <w:autoSpaceDE w:val="0"/>
              <w:autoSpaceDN w:val="0"/>
              <w:adjustRightInd w:val="0"/>
              <w:textAlignment w:val="baseline"/>
            </w:pPr>
            <w:hyperlink r:id="rId23" w:history="1">
              <w:r w:rsidR="00C82E34" w:rsidRPr="00C82E34">
                <w:rPr>
                  <w:i/>
                  <w:iCs/>
                  <w:color w:val="0000FF"/>
                  <w:u w:val="single"/>
                  <w:lang w:val="en-GB"/>
                </w:rPr>
                <w:t>Georgios.Meleas@eesc.europa.eu</w:t>
              </w:r>
            </w:hyperlink>
          </w:p>
          <w:p w14:paraId="21BA5198" w14:textId="77777777" w:rsidR="00D6499D" w:rsidRPr="00C82E34" w:rsidRDefault="00D6499D" w:rsidP="00C82E34">
            <w:pPr>
              <w:overflowPunct w:val="0"/>
              <w:autoSpaceDE w:val="0"/>
              <w:autoSpaceDN w:val="0"/>
              <w:adjustRightInd w:val="0"/>
              <w:textAlignment w:val="baseline"/>
              <w:rPr>
                <w:i/>
                <w:iCs/>
                <w:lang w:val="en-GB"/>
              </w:rPr>
            </w:pPr>
          </w:p>
        </w:tc>
      </w:tr>
    </w:tbl>
    <w:p w14:paraId="4982DD99" w14:textId="77777777" w:rsidR="004D7AC0" w:rsidRDefault="004D7AC0" w:rsidP="004D7AC0">
      <w:pPr>
        <w:pStyle w:val="Heading1"/>
        <w:rPr>
          <w:b/>
        </w:rPr>
      </w:pPr>
      <w:bookmarkStart w:id="1" w:name="_Toc75527081"/>
      <w:bookmarkStart w:id="2" w:name="_Toc173758870"/>
      <w:r w:rsidRPr="001C70A5">
        <w:rPr>
          <w:rFonts w:eastAsiaTheme="minorEastAsia"/>
          <w:b/>
        </w:rPr>
        <w:t>EMPLOYMENT, SOCIAL AFFAIRS AND CITIZENSHIP</w:t>
      </w:r>
      <w:bookmarkEnd w:id="1"/>
      <w:bookmarkEnd w:id="2"/>
    </w:p>
    <w:p w14:paraId="4982DD9A" w14:textId="77777777" w:rsidR="004D7AC0" w:rsidRDefault="004D7AC0" w:rsidP="004D7AC0"/>
    <w:p w14:paraId="0203F323" w14:textId="77777777" w:rsidR="00C24C34" w:rsidRDefault="00C24C34" w:rsidP="004D7AC0"/>
    <w:p w14:paraId="0D85C8AE" w14:textId="3D52F84E" w:rsidR="00E972B2" w:rsidRPr="00E972B2" w:rsidRDefault="00E972B2" w:rsidP="00E972B2">
      <w:pPr>
        <w:widowControl w:val="0"/>
        <w:numPr>
          <w:ilvl w:val="0"/>
          <w:numId w:val="6"/>
        </w:numPr>
        <w:overflowPunct w:val="0"/>
        <w:autoSpaceDE w:val="0"/>
        <w:autoSpaceDN w:val="0"/>
        <w:adjustRightInd w:val="0"/>
        <w:ind w:left="567" w:hanging="567"/>
        <w:textAlignment w:val="baseline"/>
        <w:rPr>
          <w:b/>
          <w:lang w:val="en-GB"/>
        </w:rPr>
      </w:pPr>
      <w:hyperlink r:id="rId24" w:history="1">
        <w:r w:rsidRPr="00056F0F">
          <w:rPr>
            <w:rStyle w:val="Hyperlink"/>
            <w:b/>
            <w:bCs/>
            <w:i/>
            <w:iCs/>
            <w:sz w:val="28"/>
            <w:szCs w:val="28"/>
            <w:lang w:val="en-GB"/>
          </w:rPr>
          <w:t>Labour</w:t>
        </w:r>
        <w:r w:rsidR="00056F0F" w:rsidRPr="00056F0F">
          <w:rPr>
            <w:rStyle w:val="Hyperlink"/>
            <w:b/>
            <w:bCs/>
            <w:i/>
            <w:iCs/>
            <w:sz w:val="28"/>
            <w:szCs w:val="28"/>
          </w:rPr>
          <w:t xml:space="preserve"> rights for journalists and media professionals as a safeguard for independence and truthful </w:t>
        </w:r>
        <w:r w:rsidR="00054433">
          <w:rPr>
            <w:rStyle w:val="Hyperlink"/>
            <w:b/>
            <w:bCs/>
            <w:i/>
            <w:iCs/>
            <w:sz w:val="28"/>
            <w:szCs w:val="28"/>
          </w:rPr>
          <w:t>information</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sidRPr="00E972B2">
              <w:rPr>
                <w:b/>
              </w:rPr>
              <w:t>Rapporteur</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sidRPr="00E972B2">
              <w:rPr>
                <w:b/>
              </w:rPr>
              <w:t>Co-rapporteur</w:t>
            </w:r>
          </w:p>
        </w:tc>
        <w:tc>
          <w:tcPr>
            <w:tcW w:w="6237" w:type="dxa"/>
          </w:tcPr>
          <w:p w14:paraId="59B0A1D0" w14:textId="77777777" w:rsidR="00E972B2" w:rsidRPr="00E972B2" w:rsidRDefault="00E972B2" w:rsidP="00E972B2">
            <w:pPr>
              <w:overflowPunct w:val="0"/>
              <w:autoSpaceDE w:val="0"/>
              <w:autoSpaceDN w:val="0"/>
              <w:adjustRightInd w:val="0"/>
              <w:ind w:left="567" w:hanging="567"/>
              <w:textAlignment w:val="baseline"/>
              <w:rPr>
                <w:lang w:val="es-ES"/>
              </w:rPr>
            </w:pPr>
            <w:r w:rsidRPr="00E972B2">
              <w:rPr>
                <w:lang w:val="es-ES"/>
              </w:rPr>
              <w:t>José Antonio MORENO DÍAZ (</w:t>
            </w:r>
            <w:proofErr w:type="spellStart"/>
            <w:r w:rsidRPr="00E972B2">
              <w:rPr>
                <w:lang w:val="es-ES"/>
              </w:rPr>
              <w:t>Workers</w:t>
            </w:r>
            <w:proofErr w:type="spellEnd"/>
            <w:r w:rsidRPr="00E972B2">
              <w:rPr>
                <w:lang w:val="es-ES"/>
              </w:rPr>
              <w:t xml:space="preserve">' </w:t>
            </w:r>
            <w:proofErr w:type="spellStart"/>
            <w:r w:rsidRPr="00E972B2">
              <w:rPr>
                <w:lang w:val="es-ES"/>
              </w:rPr>
              <w:t>Group</w:t>
            </w:r>
            <w:proofErr w:type="spellEnd"/>
            <w:r w:rsidRPr="00E972B2">
              <w:rPr>
                <w:lang w:val="es-ES"/>
              </w:rPr>
              <w:t xml:space="preserve"> - ES)</w:t>
            </w:r>
          </w:p>
          <w:p w14:paraId="683C7CA1" w14:textId="330CAA1E" w:rsidR="00E972B2" w:rsidRPr="00E972B2" w:rsidRDefault="00E972B2" w:rsidP="00E972B2">
            <w:pPr>
              <w:overflowPunct w:val="0"/>
              <w:autoSpaceDE w:val="0"/>
              <w:autoSpaceDN w:val="0"/>
              <w:adjustRightInd w:val="0"/>
              <w:ind w:left="567" w:hanging="567"/>
              <w:textAlignment w:val="baseline"/>
            </w:pPr>
            <w:r w:rsidRPr="00E972B2">
              <w:t xml:space="preserve">Christian MOOS (Civil Society </w:t>
            </w:r>
            <w:proofErr w:type="spellStart"/>
            <w:r w:rsidRPr="00E972B2">
              <w:t>Organisations’</w:t>
            </w:r>
            <w:proofErr w:type="spellEnd"/>
            <w:r w:rsidRPr="00E972B2">
              <w:t xml:space="preserve"> Group </w:t>
            </w:r>
            <w:r w:rsidR="007B245D">
              <w:t>-</w:t>
            </w:r>
            <w:r w:rsidRPr="00E972B2">
              <w:t xml:space="preserve"> DE)</w:t>
            </w:r>
          </w:p>
        </w:tc>
      </w:tr>
      <w:tr w:rsidR="00E972B2" w:rsidRPr="00E972B2" w14:paraId="403DF22C" w14:textId="77777777" w:rsidTr="0036489A">
        <w:tc>
          <w:tcPr>
            <w:tcW w:w="1701"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sidRPr="00E972B2">
              <w:rPr>
                <w:b/>
              </w:rPr>
              <w:t>References</w:t>
            </w:r>
          </w:p>
        </w:tc>
        <w:tc>
          <w:tcPr>
            <w:tcW w:w="6237" w:type="dxa"/>
          </w:tcPr>
          <w:p w14:paraId="3C316E73" w14:textId="77777777" w:rsidR="00E972B2" w:rsidRPr="000B3BD2"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B3BD2" w:rsidRDefault="00DB1B79" w:rsidP="00E972B2">
            <w:pPr>
              <w:tabs>
                <w:tab w:val="center" w:pos="284"/>
              </w:tabs>
              <w:overflowPunct w:val="0"/>
              <w:autoSpaceDE w:val="0"/>
              <w:autoSpaceDN w:val="0"/>
              <w:adjustRightInd w:val="0"/>
              <w:ind w:left="567" w:hanging="567"/>
              <w:textAlignment w:val="baseline"/>
              <w:rPr>
                <w:lang w:val="en-GB"/>
              </w:rPr>
            </w:pPr>
            <w:r w:rsidRPr="000B3BD2">
              <w:rPr>
                <w:lang w:val="en-GB"/>
              </w:rPr>
              <w:t>Own-initiative opinion</w:t>
            </w:r>
          </w:p>
          <w:p w14:paraId="4F671282" w14:textId="07E71C51" w:rsidR="00E972B2" w:rsidRPr="000B3BD2" w:rsidRDefault="00E972B2" w:rsidP="00E972B2">
            <w:pPr>
              <w:tabs>
                <w:tab w:val="center" w:pos="284"/>
              </w:tabs>
              <w:overflowPunct w:val="0"/>
              <w:autoSpaceDE w:val="0"/>
              <w:autoSpaceDN w:val="0"/>
              <w:adjustRightInd w:val="0"/>
              <w:ind w:left="567" w:hanging="567"/>
              <w:textAlignment w:val="baseline"/>
              <w:rPr>
                <w:lang w:val="en-GB"/>
              </w:rPr>
            </w:pPr>
            <w:r w:rsidRPr="000B3BD2">
              <w:rPr>
                <w:lang w:val="en-GB"/>
              </w:rPr>
              <w:t>EESC-2025-01400-00-00-AC</w:t>
            </w:r>
          </w:p>
        </w:tc>
      </w:tr>
      <w:tr w:rsidR="00E972B2" w:rsidRPr="00E972B2" w14:paraId="5DAEC2A3" w14:textId="77777777" w:rsidTr="0036489A">
        <w:tc>
          <w:tcPr>
            <w:tcW w:w="1701" w:type="dxa"/>
            <w:vMerge/>
          </w:tcPr>
          <w:p w14:paraId="23805FDF" w14:textId="77777777" w:rsidR="00E972B2" w:rsidRPr="000B3BD2"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0B3BD2"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lang w:val="en-GB"/>
        </w:rPr>
      </w:pPr>
      <w:r w:rsidRPr="00E972B2">
        <w:rPr>
          <w:b/>
          <w:lang w:val="en-GB"/>
        </w:rPr>
        <w:t>Key points</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lang w:val="en-GB"/>
        </w:rPr>
      </w:pPr>
      <w:r w:rsidRPr="00E972B2">
        <w:rPr>
          <w:szCs w:val="20"/>
          <w:lang w:val="en-GB"/>
        </w:rPr>
        <w:t>The EESC:</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B3BD2">
      <w:pPr>
        <w:numPr>
          <w:ilvl w:val="1"/>
          <w:numId w:val="20"/>
        </w:numPr>
        <w:overflowPunct w:val="0"/>
        <w:autoSpaceDE w:val="0"/>
        <w:autoSpaceDN w:val="0"/>
        <w:adjustRightInd w:val="0"/>
        <w:spacing w:line="276" w:lineRule="auto"/>
        <w:textAlignment w:val="baseline"/>
        <w:outlineLvl w:val="1"/>
        <w:rPr>
          <w:szCs w:val="20"/>
          <w:lang w:val="en-GB"/>
        </w:rPr>
      </w:pPr>
      <w:r w:rsidRPr="00E972B2">
        <w:rPr>
          <w:szCs w:val="20"/>
          <w:lang w:val="en-GB"/>
        </w:rPr>
        <w:t>urges authorities to take urgent protective measures against the growing insecurity of journalists, and calls for the full application of European Media Freedom Act. It also calls for the establishment of independent support for media outlets, in addition to existing subsidies to ensure the sustainability of the European media sector, and for considerable increase of funds for the protection of a sound information ecosystem;</w:t>
      </w:r>
    </w:p>
    <w:p w14:paraId="699C4C8F" w14:textId="77777777" w:rsidR="00E972B2" w:rsidRPr="00E972B2" w:rsidRDefault="00E972B2" w:rsidP="000B3BD2">
      <w:pPr>
        <w:numPr>
          <w:ilvl w:val="1"/>
          <w:numId w:val="20"/>
        </w:numPr>
        <w:overflowPunct w:val="0"/>
        <w:autoSpaceDE w:val="0"/>
        <w:autoSpaceDN w:val="0"/>
        <w:adjustRightInd w:val="0"/>
        <w:spacing w:line="276" w:lineRule="auto"/>
        <w:textAlignment w:val="baseline"/>
        <w:outlineLvl w:val="1"/>
        <w:rPr>
          <w:bCs/>
          <w:szCs w:val="20"/>
          <w:lang w:val="en-GB"/>
        </w:rPr>
      </w:pPr>
      <w:r w:rsidRPr="00E972B2">
        <w:rPr>
          <w:szCs w:val="20"/>
          <w:lang w:val="en-GB"/>
        </w:rPr>
        <w:t xml:space="preserve">calls on the European Commission to put forward an ambitious package with </w:t>
      </w:r>
      <w:r w:rsidRPr="00E972B2">
        <w:rPr>
          <w:iCs/>
          <w:szCs w:val="20"/>
          <w:lang w:val="en-GB"/>
        </w:rPr>
        <w:t>policy measures</w:t>
      </w:r>
      <w:r w:rsidRPr="00E972B2">
        <w:rPr>
          <w:szCs w:val="20"/>
          <w:lang w:val="en-GB"/>
        </w:rPr>
        <w:t xml:space="preserve"> and investments to support quality jobs in the media sector, and calls on governments to promote social dialogue and collective bargaining for all journalists, including freelancers, through the transposition of the Directive on adequate minimum wages where applicable</w:t>
      </w:r>
      <w:r w:rsidRPr="00E972B2">
        <w:rPr>
          <w:sz w:val="24"/>
          <w:szCs w:val="24"/>
          <w:vertAlign w:val="superscript"/>
          <w:lang w:val="en-GB"/>
        </w:rPr>
        <w:footnoteReference w:id="1"/>
      </w:r>
      <w:r w:rsidRPr="00E972B2">
        <w:rPr>
          <w:szCs w:val="20"/>
          <w:lang w:val="en-GB"/>
        </w:rPr>
        <w:t xml:space="preserve"> and the Guidelines on the application of Union competition law to collective agreements of solo self-employed persons</w:t>
      </w:r>
      <w:r w:rsidRPr="00E972B2">
        <w:rPr>
          <w:sz w:val="24"/>
          <w:szCs w:val="24"/>
          <w:vertAlign w:val="superscript"/>
          <w:lang w:val="en-GB"/>
        </w:rPr>
        <w:footnoteReference w:id="2"/>
      </w:r>
      <w:r w:rsidRPr="00E972B2">
        <w:rPr>
          <w:szCs w:val="20"/>
          <w:lang w:val="en-GB"/>
        </w:rPr>
        <w:t>. It further calls on the European Commission and Member States to fight bogus self-employment;</w:t>
      </w:r>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lang w:val="en-GB"/>
        </w:rPr>
      </w:pPr>
      <w:r w:rsidRPr="00E972B2">
        <w:rPr>
          <w:szCs w:val="20"/>
          <w:lang w:val="en-GB"/>
        </w:rPr>
        <w:t>calls on the European Commission to follow up on the Recommendation on the Protection, Safety and Empowerment of Journalists</w:t>
      </w:r>
      <w:r w:rsidRPr="00E972B2">
        <w:rPr>
          <w:sz w:val="24"/>
          <w:szCs w:val="24"/>
          <w:vertAlign w:val="superscript"/>
          <w:lang w:val="en-GB"/>
        </w:rPr>
        <w:footnoteReference w:id="3"/>
      </w:r>
      <w:r w:rsidRPr="00E972B2">
        <w:rPr>
          <w:szCs w:val="20"/>
          <w:lang w:val="en-GB"/>
        </w:rPr>
        <w:t xml:space="preserve">, and stresses the need for deeper engagement with journalists’ organisations to build structures that can safeguard journalists’ safety. Journalists are workers who </w:t>
      </w:r>
      <w:r w:rsidRPr="00E972B2">
        <w:rPr>
          <w:szCs w:val="20"/>
          <w:lang w:val="en-GB"/>
        </w:rPr>
        <w:lastRenderedPageBreak/>
        <w:t>are significantly exposed to stress, burnout, online harassment and digital overload. It would be useful for the Commission to consider how to follow up on the European Parliament resolution of 10 March 2022 calling for a directive on psychosocial risks to be adopted. The EESC is ready to issue an opinion on this matter</w:t>
      </w:r>
      <w:r w:rsidRPr="00E972B2">
        <w:rPr>
          <w:sz w:val="24"/>
          <w:szCs w:val="20"/>
          <w:vertAlign w:val="superscript"/>
          <w:lang w:val="en-GB"/>
        </w:rPr>
        <w:footnoteReference w:id="4"/>
      </w:r>
      <w:r w:rsidRPr="00E972B2">
        <w:rPr>
          <w:szCs w:val="20"/>
          <w:lang w:val="en-GB"/>
        </w:rPr>
        <w:t>;</w:t>
      </w:r>
    </w:p>
    <w:p w14:paraId="15FE9461" w14:textId="77777777" w:rsidR="00E972B2" w:rsidRPr="00E972B2" w:rsidRDefault="00E972B2" w:rsidP="000B3BD2">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lang w:val="en-GB"/>
        </w:rPr>
      </w:pPr>
      <w:r w:rsidRPr="00E972B2">
        <w:rPr>
          <w:szCs w:val="20"/>
          <w:lang w:val="en-GB"/>
        </w:rPr>
        <w:t>calls on the European Commission to monitor the application of the EU's legislative framework on the use of artificial intelligence (AI) to protect journalists and encourages journalists’ unions and media organisations to address the use of AI in newsrooms in the social dialogue. It also calls for funding for projects that develops the AI literacy of journalists, consideration of possibilities to co-fund ‘European Journalism Academies’, training and possibly subsidies for the salaries for young journalists from media companies that meet high standards concerning quality journalism and working conditions.</w:t>
      </w:r>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E972B2" w:rsidRPr="00E972B2" w14:paraId="2A48BF49" w14:textId="77777777" w:rsidTr="0036489A">
        <w:tc>
          <w:tcPr>
            <w:tcW w:w="1210"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sidRPr="00E972B2">
              <w:rPr>
                <w:b/>
                <w:i/>
              </w:rPr>
              <w:t>Contact</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sidRPr="00E972B2">
              <w:rPr>
                <w:i/>
                <w:lang w:val="en-GB"/>
              </w:rPr>
              <w:t>June Bedaton</w:t>
            </w:r>
          </w:p>
        </w:tc>
      </w:tr>
      <w:tr w:rsidR="00E972B2" w:rsidRPr="00E972B2" w14:paraId="6AAFD04B" w14:textId="77777777" w:rsidTr="0036489A">
        <w:tc>
          <w:tcPr>
            <w:tcW w:w="1210"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sidRPr="00E972B2">
              <w:rPr>
                <w:i/>
              </w:rPr>
              <w:t>Tel.</w:t>
            </w:r>
          </w:p>
        </w:tc>
        <w:tc>
          <w:tcPr>
            <w:tcW w:w="4493"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sidRPr="00E972B2">
              <w:rPr>
                <w:i/>
                <w:lang w:val="en-GB"/>
              </w:rPr>
              <w:t>+32 25468134</w:t>
            </w:r>
          </w:p>
        </w:tc>
      </w:tr>
      <w:tr w:rsidR="00E972B2" w:rsidRPr="00E972B2" w14:paraId="20D34920" w14:textId="77777777" w:rsidTr="0036489A">
        <w:tc>
          <w:tcPr>
            <w:tcW w:w="1210"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sidRPr="00E972B2">
              <w:rPr>
                <w:i/>
              </w:rPr>
              <w:t>Email</w:t>
            </w:r>
          </w:p>
        </w:tc>
        <w:tc>
          <w:tcPr>
            <w:tcW w:w="4493" w:type="dxa"/>
          </w:tcPr>
          <w:p w14:paraId="49B7876D" w14:textId="77777777" w:rsidR="00E972B2" w:rsidRPr="00E972B2" w:rsidRDefault="00597E8B" w:rsidP="00E972B2">
            <w:pPr>
              <w:overflowPunct w:val="0"/>
              <w:autoSpaceDE w:val="0"/>
              <w:autoSpaceDN w:val="0"/>
              <w:adjustRightInd w:val="0"/>
              <w:spacing w:line="240" w:lineRule="auto"/>
              <w:textAlignment w:val="baseline"/>
              <w:rPr>
                <w:i/>
                <w:iCs/>
              </w:rPr>
            </w:pPr>
            <w:hyperlink r:id="rId25" w:history="1">
              <w:r w:rsidR="00E972B2" w:rsidRPr="00E972B2">
                <w:rPr>
                  <w:i/>
                  <w:iCs/>
                  <w:color w:val="0000FF"/>
                  <w:u w:val="single"/>
                  <w:lang w:val="en-GB"/>
                </w:rPr>
                <w:t>june.bedaton@eesc.europa.eu</w:t>
              </w:r>
            </w:hyperlink>
            <w:r w:rsidR="00E972B2" w:rsidRPr="00E972B2">
              <w:rPr>
                <w:i/>
                <w:iCs/>
                <w:lang w:val="en-GB"/>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7B2A1AA9" w:rsidR="008D0052" w:rsidRPr="008D0052" w:rsidRDefault="004D7AC0" w:rsidP="008D0052">
      <w:pPr>
        <w:widowControl w:val="0"/>
        <w:numPr>
          <w:ilvl w:val="0"/>
          <w:numId w:val="6"/>
        </w:numPr>
        <w:overflowPunct w:val="0"/>
        <w:autoSpaceDE w:val="0"/>
        <w:autoSpaceDN w:val="0"/>
        <w:adjustRightInd w:val="0"/>
        <w:ind w:left="567" w:hanging="567"/>
        <w:textAlignment w:val="baseline"/>
        <w:rPr>
          <w:b/>
          <w:lang w:val="en-GB"/>
        </w:rPr>
      </w:pPr>
      <w:r>
        <w:br w:type="page"/>
      </w:r>
      <w:hyperlink r:id="rId26" w:history="1">
        <w:proofErr w:type="spellStart"/>
        <w:r w:rsidR="008D0052" w:rsidRPr="008D0052">
          <w:rPr>
            <w:b/>
            <w:bCs/>
            <w:i/>
            <w:iCs/>
            <w:color w:val="0000FF"/>
            <w:sz w:val="28"/>
            <w:szCs w:val="28"/>
            <w:u w:val="single"/>
            <w:lang w:val="en-GB"/>
          </w:rPr>
          <w:t>AgoraEU</w:t>
        </w:r>
        <w:proofErr w:type="spellEnd"/>
        <w:r w:rsidR="008D0052" w:rsidRPr="008D0052">
          <w:rPr>
            <w:b/>
            <w:bCs/>
            <w:i/>
            <w:iCs/>
            <w:color w:val="0000FF"/>
            <w:sz w:val="28"/>
            <w:szCs w:val="28"/>
            <w:u w:val="single"/>
            <w:lang w:val="en-GB"/>
          </w:rPr>
          <w:t xml:space="preserve"> and Justice programmes</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sidRPr="008D0052">
              <w:rPr>
                <w:b/>
              </w:rPr>
              <w:t>Rapporteur</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r w:rsidRPr="008D0052">
              <w:t xml:space="preserve">Ionuţ SIBIAN (Civil Society </w:t>
            </w:r>
            <w:proofErr w:type="spellStart"/>
            <w:r w:rsidRPr="008D0052">
              <w:t>Organisations’</w:t>
            </w:r>
            <w:proofErr w:type="spellEnd"/>
            <w:r w:rsidRPr="008D0052">
              <w:t xml:space="preserve"> Group - RO)</w:t>
            </w:r>
          </w:p>
        </w:tc>
      </w:tr>
      <w:tr w:rsidR="008D0052" w:rsidRPr="00597E8B"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sidRPr="008D0052">
              <w:rPr>
                <w:b/>
              </w:rPr>
              <w:t>References</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54BF91A4" w:rsidR="00D6499D" w:rsidRDefault="008D0052" w:rsidP="008D0052">
            <w:pPr>
              <w:tabs>
                <w:tab w:val="center" w:pos="284"/>
              </w:tabs>
              <w:overflowPunct w:val="0"/>
              <w:autoSpaceDE w:val="0"/>
              <w:autoSpaceDN w:val="0"/>
              <w:adjustRightInd w:val="0"/>
              <w:ind w:left="567" w:hanging="567"/>
              <w:textAlignment w:val="baseline"/>
              <w:rPr>
                <w:lang w:val="pt-PT"/>
              </w:rPr>
            </w:pPr>
            <w:r w:rsidRPr="008D0052">
              <w:rPr>
                <w:lang w:val="pt-PT"/>
              </w:rPr>
              <w:t>COM(2025) 463 final</w:t>
            </w:r>
          </w:p>
          <w:p w14:paraId="1E0886B9" w14:textId="77777777" w:rsidR="008D0052" w:rsidRPr="00597E8B" w:rsidRDefault="008D0052" w:rsidP="008D0052">
            <w:pPr>
              <w:tabs>
                <w:tab w:val="center" w:pos="284"/>
              </w:tabs>
              <w:overflowPunct w:val="0"/>
              <w:autoSpaceDE w:val="0"/>
              <w:autoSpaceDN w:val="0"/>
              <w:adjustRightInd w:val="0"/>
              <w:ind w:left="567" w:hanging="567"/>
              <w:textAlignment w:val="baseline"/>
              <w:rPr>
                <w:lang w:val="pt-PT"/>
              </w:rPr>
            </w:pPr>
            <w:r w:rsidRPr="00597E8B">
              <w:rPr>
                <w:lang w:val="pt-PT"/>
              </w:rP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rPr>
                <w:lang w:val="pt-PT"/>
              </w:rPr>
            </w:pPr>
            <w:r w:rsidRPr="008D0052">
              <w:rPr>
                <w:lang w:val="pt-PT"/>
              </w:rP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597E8B"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r w:rsidRPr="008D0052">
        <w:rPr>
          <w:b/>
          <w:lang w:val="en-GB"/>
        </w:rPr>
        <w:t>Key points</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lang w:val="fr-BE" w:eastAsia="fr-BE"/>
        </w:rPr>
      </w:pPr>
      <w:r w:rsidRPr="008D0052">
        <w:rPr>
          <w:b/>
          <w:bCs/>
          <w:lang w:val="fr-BE" w:eastAsia="fr-BE"/>
        </w:rPr>
        <w:t>The EESC:</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 xml:space="preserve">welcomes the Commission’s proposals for the </w:t>
      </w:r>
      <w:proofErr w:type="spellStart"/>
      <w:r w:rsidRPr="008D0052">
        <w:rPr>
          <w:lang w:eastAsia="fr-BE"/>
        </w:rPr>
        <w:t>AgoraEU</w:t>
      </w:r>
      <w:proofErr w:type="spellEnd"/>
      <w:r w:rsidRPr="008D0052">
        <w:rPr>
          <w:lang w:eastAsia="fr-BE"/>
        </w:rPr>
        <w:t xml:space="preserve"> and Justice </w:t>
      </w:r>
      <w:proofErr w:type="spellStart"/>
      <w:r w:rsidRPr="008D0052">
        <w:rPr>
          <w:lang w:eastAsia="fr-BE"/>
        </w:rPr>
        <w:t>programmes</w:t>
      </w:r>
      <w:proofErr w:type="spellEnd"/>
      <w:r w:rsidRPr="008D0052">
        <w:rPr>
          <w:lang w:eastAsia="fr-BE"/>
        </w:rPr>
        <w:t>, and urges the European Parliament and Council to endorse the proposals without reducing the proposed financial envelope;</w:t>
      </w:r>
    </w:p>
    <w:p w14:paraId="175AAA81"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calls</w:t>
      </w:r>
      <w:r w:rsidRPr="008D0052">
        <w:rPr>
          <w:lang w:val="en-GB" w:eastAsia="fr-BE"/>
        </w:rPr>
        <w:t xml:space="preserve"> for explicit recognition of advocacy as a core part of civil society organisations’ (CSOs) work and their role in policymaking to strengthen democracy and resilience;</w:t>
      </w:r>
    </w:p>
    <w:p w14:paraId="0C4BE5EB"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 xml:space="preserve">recommends introducing operating grants across all </w:t>
      </w:r>
      <w:proofErr w:type="spellStart"/>
      <w:r w:rsidRPr="008D0052">
        <w:rPr>
          <w:lang w:eastAsia="fr-BE"/>
        </w:rPr>
        <w:t>AgoraEU</w:t>
      </w:r>
      <w:proofErr w:type="spellEnd"/>
      <w:r w:rsidRPr="008D0052">
        <w:rPr>
          <w:lang w:eastAsia="fr-BE"/>
        </w:rPr>
        <w:t xml:space="preserve"> strands to reinforce CSOs’ institutional stability, and it requests extending operating grants under the Justice </w:t>
      </w:r>
      <w:proofErr w:type="spellStart"/>
      <w:r w:rsidRPr="008D0052">
        <w:rPr>
          <w:lang w:eastAsia="fr-BE"/>
        </w:rPr>
        <w:t>programme</w:t>
      </w:r>
      <w:proofErr w:type="spellEnd"/>
      <w:r w:rsidRPr="008D0052">
        <w:rPr>
          <w:lang w:eastAsia="fr-BE"/>
        </w:rPr>
        <w:t xml:space="preserve"> to non-profit </w:t>
      </w:r>
      <w:proofErr w:type="spellStart"/>
      <w:r w:rsidRPr="008D0052">
        <w:rPr>
          <w:lang w:eastAsia="fr-BE"/>
        </w:rPr>
        <w:t>organisations</w:t>
      </w:r>
      <w:proofErr w:type="spellEnd"/>
      <w:r w:rsidRPr="008D0052">
        <w:rPr>
          <w:lang w:eastAsia="fr-BE"/>
        </w:rPr>
        <w:t xml:space="preserve"> of general European interest;</w:t>
      </w:r>
    </w:p>
    <w:p w14:paraId="56C00DAF"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 xml:space="preserve">supports maintaining </w:t>
      </w:r>
      <w:r w:rsidRPr="008D0052">
        <w:rPr>
          <w:lang w:val="en-GB" w:eastAsia="fr-BE"/>
        </w:rPr>
        <w:t>financial support to third parties (</w:t>
      </w:r>
      <w:r w:rsidRPr="008D0052">
        <w:rPr>
          <w:lang w:eastAsia="fr-BE"/>
        </w:rPr>
        <w:t xml:space="preserve">FSTP) via intermediary </w:t>
      </w:r>
      <w:proofErr w:type="spellStart"/>
      <w:r w:rsidRPr="008D0052">
        <w:rPr>
          <w:lang w:eastAsia="fr-BE"/>
        </w:rPr>
        <w:t>organisations</w:t>
      </w:r>
      <w:proofErr w:type="spellEnd"/>
      <w:r w:rsidRPr="008D0052">
        <w:rPr>
          <w:lang w:eastAsia="fr-BE"/>
        </w:rPr>
        <w:t xml:space="preserve"> to reach smaller or grassroots groups, and </w:t>
      </w:r>
      <w:r w:rsidRPr="008D0052">
        <w:rPr>
          <w:lang w:val="en-GB" w:eastAsia="fr-BE"/>
        </w:rPr>
        <w:t>calls for ensuring the independence of intermediaries and the compliance of their governance with the EU Charter of Fundamental Rights as key eligibility criteria in their selection.</w:t>
      </w:r>
      <w:r w:rsidRPr="008D0052">
        <w:rPr>
          <w:lang w:eastAsia="fr-BE"/>
        </w:rPr>
        <w:t xml:space="preserve"> The EESC also r</w:t>
      </w:r>
      <w:proofErr w:type="spellStart"/>
      <w:r w:rsidRPr="008D0052">
        <w:rPr>
          <w:lang w:val="en-GB" w:eastAsia="fr-BE"/>
        </w:rPr>
        <w:t>equests</w:t>
      </w:r>
      <w:proofErr w:type="spellEnd"/>
      <w:r w:rsidRPr="008D0052">
        <w:rPr>
          <w:lang w:val="en-GB" w:eastAsia="fr-BE"/>
        </w:rPr>
        <w:t xml:space="preserve"> clarity on co-financing rates, proposing up to 100% EU funding for intermediaries and final beneficiaries implementing delegated activities;</w:t>
      </w:r>
    </w:p>
    <w:p w14:paraId="20D9DDF3"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val="en-GB" w:eastAsia="fr-BE"/>
        </w:rPr>
        <w:t xml:space="preserve">notes the need to adapt the Creative Europe Desks’ mandate and resources to effectively support </w:t>
      </w:r>
      <w:proofErr w:type="spellStart"/>
      <w:r w:rsidRPr="008D0052">
        <w:rPr>
          <w:lang w:val="en-GB" w:eastAsia="fr-BE"/>
        </w:rPr>
        <w:t>AgoraEU’s</w:t>
      </w:r>
      <w:proofErr w:type="spellEnd"/>
      <w:r w:rsidRPr="008D0052">
        <w:rPr>
          <w:lang w:val="en-GB" w:eastAsia="fr-BE"/>
        </w:rPr>
        <w:t xml:space="preserve"> broader scope across cultural, media, and civic sectors;</w:t>
      </w:r>
    </w:p>
    <w:p w14:paraId="612471EA"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calls</w:t>
      </w:r>
      <w:r w:rsidRPr="008D0052">
        <w:rPr>
          <w:lang w:val="en-GB" w:eastAsia="fr-BE"/>
        </w:rPr>
        <w:t xml:space="preserve"> for flexibility and safeguards (e.g. indexation, corrective mechanisms) in lump-sum and multiannual grants to prevent financial strain on beneficiaries;</w:t>
      </w:r>
    </w:p>
    <w:p w14:paraId="4E331884"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 xml:space="preserve">seeks clarity on synergies between the European Competitiveness Fund (ECF) and the Media+ strand of </w:t>
      </w:r>
      <w:proofErr w:type="spellStart"/>
      <w:r w:rsidRPr="008D0052">
        <w:rPr>
          <w:lang w:eastAsia="fr-BE"/>
        </w:rPr>
        <w:t>AgoraEU</w:t>
      </w:r>
      <w:proofErr w:type="spellEnd"/>
      <w:r w:rsidRPr="008D0052">
        <w:rPr>
          <w:lang w:eastAsia="fr-BE"/>
        </w:rPr>
        <w:t xml:space="preserve">; and it urges the Commission to connect grant recipients and develop an action plan to </w:t>
      </w:r>
      <w:proofErr w:type="spellStart"/>
      <w:r w:rsidRPr="008D0052">
        <w:rPr>
          <w:lang w:eastAsia="fr-BE"/>
        </w:rPr>
        <w:t>operationalise</w:t>
      </w:r>
      <w:proofErr w:type="spellEnd"/>
      <w:r w:rsidRPr="008D0052">
        <w:rPr>
          <w:lang w:eastAsia="fr-BE"/>
        </w:rPr>
        <w:t xml:space="preserve"> combined and cumulative funding under both Regulations, including joint calls, DG cooperation, and performance monitoring;</w:t>
      </w:r>
    </w:p>
    <w:p w14:paraId="1940591F"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recommends</w:t>
      </w:r>
      <w:r w:rsidRPr="008D0052">
        <w:rPr>
          <w:lang w:val="en-GB" w:eastAsia="fr-BE"/>
        </w:rPr>
        <w:t xml:space="preserve"> strengthening the focus on victims’ rights and access to justice in the Justice programme, including funding for support networks, practitioner training, and cross-border legal aid;</w:t>
      </w:r>
    </w:p>
    <w:p w14:paraId="54A7B395"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calls</w:t>
      </w:r>
      <w:r w:rsidRPr="008D0052">
        <w:rPr>
          <w:lang w:val="en-GB" w:eastAsia="fr-BE"/>
        </w:rPr>
        <w:t xml:space="preserve"> for addressing intra-EU funding disparities, particularly the East–West divide, in both programmes;</w:t>
      </w:r>
    </w:p>
    <w:p w14:paraId="40A1333F" w14:textId="77777777" w:rsidR="008D0052" w:rsidRPr="008D0052" w:rsidRDefault="008D0052" w:rsidP="000B3BD2">
      <w:pPr>
        <w:numPr>
          <w:ilvl w:val="0"/>
          <w:numId w:val="21"/>
        </w:numPr>
        <w:tabs>
          <w:tab w:val="clear" w:pos="720"/>
        </w:tabs>
        <w:overflowPunct w:val="0"/>
        <w:autoSpaceDE w:val="0"/>
        <w:autoSpaceDN w:val="0"/>
        <w:adjustRightInd w:val="0"/>
        <w:ind w:left="284" w:hanging="284"/>
        <w:textAlignment w:val="baseline"/>
        <w:rPr>
          <w:lang w:eastAsia="fr-BE"/>
        </w:rPr>
      </w:pPr>
      <w:r w:rsidRPr="008D0052">
        <w:rPr>
          <w:lang w:eastAsia="fr-BE"/>
        </w:rPr>
        <w:t>regrets</w:t>
      </w:r>
      <w:r w:rsidRPr="008D0052">
        <w:rPr>
          <w:lang w:val="en-GB" w:eastAsia="fr-BE"/>
        </w:rPr>
        <w:t xml:space="preserve"> the removal of the Civil Dialogue Working Group from the </w:t>
      </w:r>
      <w:proofErr w:type="spellStart"/>
      <w:r w:rsidRPr="008D0052">
        <w:rPr>
          <w:lang w:val="en-GB" w:eastAsia="fr-BE"/>
        </w:rPr>
        <w:t>AgoraEU</w:t>
      </w:r>
      <w:proofErr w:type="spellEnd"/>
      <w:r w:rsidRPr="008D0052">
        <w:rPr>
          <w:lang w:val="en-GB" w:eastAsia="fr-BE"/>
        </w:rPr>
        <w:t xml:space="preserve"> Regulation and urges its reinstatement;</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rPr>
          <w:lang w:eastAsia="fr-BE"/>
        </w:rPr>
      </w:pPr>
      <w:proofErr w:type="spellStart"/>
      <w:r w:rsidRPr="008D0052">
        <w:rPr>
          <w:lang w:eastAsia="fr-BE"/>
        </w:rPr>
        <w:t>emphasises</w:t>
      </w:r>
      <w:proofErr w:type="spellEnd"/>
      <w:r w:rsidRPr="008D0052">
        <w:rPr>
          <w:lang w:eastAsia="fr-BE"/>
        </w:rPr>
        <w:t xml:space="preserve"> that </w:t>
      </w:r>
      <w:proofErr w:type="spellStart"/>
      <w:r w:rsidRPr="008D0052">
        <w:rPr>
          <w:lang w:eastAsia="fr-BE"/>
        </w:rPr>
        <w:t>programme</w:t>
      </w:r>
      <w:proofErr w:type="spellEnd"/>
      <w:r w:rsidRPr="008D0052">
        <w:rPr>
          <w:lang w:eastAsia="fr-BE"/>
        </w:rPr>
        <w:t xml:space="preserve"> impact depends on adequate national infrastructure and co-funding, and proposes linking access to EU shared management funds to Member States’ demonstrated support for </w:t>
      </w:r>
      <w:proofErr w:type="spellStart"/>
      <w:r w:rsidRPr="008D0052">
        <w:rPr>
          <w:lang w:eastAsia="fr-BE"/>
        </w:rPr>
        <w:t>AgoraEU</w:t>
      </w:r>
      <w:proofErr w:type="spellEnd"/>
      <w:r w:rsidRPr="008D0052">
        <w:rPr>
          <w:lang w:eastAsia="fr-BE"/>
        </w:rPr>
        <w:t xml:space="preserve"> and Justice objectives.</w:t>
      </w:r>
    </w:p>
    <w:p w14:paraId="1831EAE3" w14:textId="77777777" w:rsidR="00F65006" w:rsidRPr="008D0052" w:rsidRDefault="00F65006" w:rsidP="000B3BD2">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sidRPr="008D0052">
              <w:rPr>
                <w:b/>
                <w:i/>
              </w:rPr>
              <w:t>Contact</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r w:rsidRPr="008D0052">
              <w:rPr>
                <w:i/>
                <w:lang w:val="en-GB"/>
              </w:rPr>
              <w:t>Alessia Cova</w:t>
            </w:r>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sidRPr="008D0052">
              <w:rPr>
                <w:i/>
              </w:rPr>
              <w:t>Tel.</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sidRPr="008D0052">
              <w:rPr>
                <w:i/>
                <w:lang w:val="en-GB"/>
              </w:rPr>
              <w:t>+32 25469426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sidRPr="008D0052">
              <w:rPr>
                <w:i/>
              </w:rPr>
              <w:lastRenderedPageBreak/>
              <w:t>Email</w:t>
            </w:r>
          </w:p>
        </w:tc>
        <w:tc>
          <w:tcPr>
            <w:tcW w:w="4493" w:type="dxa"/>
          </w:tcPr>
          <w:p w14:paraId="4E6DFDFB" w14:textId="77777777" w:rsidR="008D0052" w:rsidRPr="008D0052" w:rsidRDefault="00597E8B" w:rsidP="008D0052">
            <w:pPr>
              <w:overflowPunct w:val="0"/>
              <w:autoSpaceDE w:val="0"/>
              <w:autoSpaceDN w:val="0"/>
              <w:adjustRightInd w:val="0"/>
              <w:spacing w:line="240" w:lineRule="auto"/>
              <w:textAlignment w:val="baseline"/>
              <w:rPr>
                <w:i/>
                <w:iCs/>
              </w:rPr>
            </w:pPr>
            <w:hyperlink r:id="rId27" w:history="1">
              <w:r w:rsidR="008D0052" w:rsidRPr="008D0052">
                <w:rPr>
                  <w:i/>
                  <w:iCs/>
                  <w:color w:val="0000FF"/>
                  <w:u w:val="single"/>
                </w:rPr>
                <w:t>Alessia.Cova@eesc.europa.eu</w:t>
              </w:r>
            </w:hyperlink>
          </w:p>
        </w:tc>
      </w:tr>
    </w:tbl>
    <w:p w14:paraId="4982DDC5" w14:textId="04BE9D07" w:rsidR="004D7AC0" w:rsidRDefault="004D7AC0" w:rsidP="004D7AC0">
      <w:pPr>
        <w:spacing w:after="160" w:line="259" w:lineRule="auto"/>
        <w:jc w:val="left"/>
      </w:pPr>
    </w:p>
    <w:p w14:paraId="4982DDC6" w14:textId="77777777" w:rsidR="004D7AC0" w:rsidRDefault="004D7AC0" w:rsidP="004D7AC0">
      <w:pPr>
        <w:pStyle w:val="Heading1"/>
        <w:rPr>
          <w:b/>
        </w:rPr>
      </w:pPr>
      <w:bookmarkStart w:id="3" w:name="_Toc24617160"/>
      <w:bookmarkStart w:id="4" w:name="_Toc75527082"/>
      <w:bookmarkStart w:id="5" w:name="_Toc173758871"/>
      <w:r w:rsidRPr="008F0C17">
        <w:rPr>
          <w:b/>
        </w:rPr>
        <w:t>TRANSPORT, ENERGY, INFRASTRUCTURE AND INFORMATION SOCIETY</w:t>
      </w:r>
      <w:bookmarkEnd w:id="3"/>
      <w:bookmarkEnd w:id="4"/>
      <w:bookmarkEnd w:id="5"/>
    </w:p>
    <w:p w14:paraId="4982DDC7" w14:textId="77777777" w:rsidR="004D7AC0" w:rsidRDefault="004D7AC0" w:rsidP="004D7AC0"/>
    <w:p w14:paraId="34EB6B62" w14:textId="1442EB18" w:rsidR="00BC676C" w:rsidRPr="00BC676C" w:rsidRDefault="00597E8B" w:rsidP="00BC676C">
      <w:pPr>
        <w:widowControl w:val="0"/>
        <w:numPr>
          <w:ilvl w:val="0"/>
          <w:numId w:val="4"/>
        </w:numPr>
        <w:overflowPunct w:val="0"/>
        <w:autoSpaceDE w:val="0"/>
        <w:autoSpaceDN w:val="0"/>
        <w:adjustRightInd w:val="0"/>
        <w:ind w:hanging="567"/>
        <w:textAlignment w:val="baseline"/>
        <w:rPr>
          <w:sz w:val="20"/>
          <w:szCs w:val="20"/>
          <w:lang w:val="en-GB"/>
        </w:rPr>
      </w:pPr>
      <w:hyperlink r:id="rId28" w:history="1">
        <w:r w:rsidR="00BC676C" w:rsidRPr="00BC676C">
          <w:rPr>
            <w:b/>
            <w:bCs/>
            <w:i/>
            <w:iCs/>
            <w:color w:val="0000FF"/>
            <w:sz w:val="28"/>
            <w:szCs w:val="28"/>
            <w:u w:val="single"/>
            <w:lang w:val="en-GB"/>
          </w:rPr>
          <w:t>CO2 emission class of heavy-duty vehicles with trailers</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lang w:val="en-GB"/>
              </w:rPr>
            </w:pPr>
            <w:r w:rsidRPr="00BC676C">
              <w:rPr>
                <w:b/>
              </w:rPr>
              <w:t>References</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lang w:val="pt-PT"/>
              </w:rPr>
            </w:pPr>
            <w:proofErr w:type="spellStart"/>
            <w:r w:rsidRPr="00F2608E">
              <w:rPr>
                <w:bCs/>
                <w:lang w:val="pt-PT"/>
              </w:rPr>
              <w:t>Category</w:t>
            </w:r>
            <w:proofErr w:type="spellEnd"/>
            <w:r w:rsidRPr="00F2608E">
              <w:rPr>
                <w:bCs/>
                <w:lang w:val="pt-PT"/>
              </w:rPr>
              <w:t xml:space="preserve"> C </w:t>
            </w:r>
            <w:proofErr w:type="spellStart"/>
            <w:r w:rsidRPr="00F2608E">
              <w:rPr>
                <w:bCs/>
                <w:lang w:val="pt-PT"/>
              </w:rPr>
              <w:t>opinion</w:t>
            </w:r>
            <w:proofErr w:type="spellEnd"/>
          </w:p>
          <w:p w14:paraId="3982A737" w14:textId="6641B921" w:rsidR="00BC676C" w:rsidRPr="00BC676C" w:rsidRDefault="00BC676C" w:rsidP="00BC676C">
            <w:pPr>
              <w:tabs>
                <w:tab w:val="center" w:pos="284"/>
              </w:tabs>
              <w:overflowPunct w:val="0"/>
              <w:autoSpaceDE w:val="0"/>
              <w:autoSpaceDN w:val="0"/>
              <w:adjustRightInd w:val="0"/>
              <w:ind w:left="720" w:hanging="720"/>
              <w:textAlignment w:val="baseline"/>
              <w:rPr>
                <w:bCs/>
                <w:lang w:val="pt-PT"/>
              </w:rPr>
            </w:pPr>
            <w:r w:rsidRPr="00BC676C">
              <w:rPr>
                <w:bCs/>
                <w:lang w:val="pt-PT"/>
              </w:rPr>
              <w:t xml:space="preserve">COM(2025) 589 final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rPr>
                <w:lang w:val="en-GB"/>
              </w:rPr>
            </w:pPr>
            <w:r w:rsidRPr="00BC676C">
              <w:rPr>
                <w:lang w:val="pt-PT"/>
              </w:rP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r w:rsidRPr="00BC676C">
        <w:rPr>
          <w:b/>
          <w:lang w:val="en-GB"/>
        </w:rPr>
        <w:t>Key points</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lang w:val="en-GB"/>
        </w:rPr>
      </w:pPr>
      <w:r w:rsidRPr="00BC676C">
        <w:rPr>
          <w:bCs/>
          <w:iCs/>
          <w:lang w:val="en-GB"/>
        </w:rPr>
        <w:t xml:space="preserve">Since the Committee has already set out its views on the content of the proposal in question in its opinion </w:t>
      </w:r>
      <w:r w:rsidRPr="00BC676C">
        <w:rPr>
          <w:lang w:val="en-GB"/>
        </w:rPr>
        <w:t>TEN/815 CO2 emission class of heavy-duty vehicles with trailers</w:t>
      </w:r>
      <w:r w:rsidRPr="00BC676C">
        <w:rPr>
          <w:bCs/>
          <w:iCs/>
          <w:lang w:val="en-GB"/>
        </w:rPr>
        <w:t xml:space="preserve"> [</w:t>
      </w:r>
      <w:hyperlink r:id="rId29" w:history="1">
        <w:r w:rsidRPr="00C62A6C">
          <w:rPr>
            <w:bCs/>
            <w:iCs/>
            <w:color w:val="0000FF"/>
            <w:u w:val="single"/>
            <w:lang w:val="en-GB"/>
          </w:rPr>
          <w:t>C/2023/874</w:t>
        </w:r>
      </w:hyperlink>
      <w:r w:rsidRPr="00BC676C">
        <w:rPr>
          <w:bCs/>
          <w:iCs/>
          <w:lang w:val="en-GB"/>
        </w:rPr>
        <w:t>], adopted on 20/09/2023, it decided not to draw up a new opinion on the subject, but to refer to the position it had taken in the above-mentioned document.</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C676C" w:rsidRPr="00BC676C" w14:paraId="63E00060" w14:textId="77777777" w:rsidTr="0036489A">
        <w:tc>
          <w:tcPr>
            <w:tcW w:w="1418"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sidRPr="00BC676C">
              <w:rPr>
                <w:b/>
                <w:i/>
              </w:rPr>
              <w:t>Contact</w:t>
            </w:r>
          </w:p>
        </w:tc>
        <w:tc>
          <w:tcPr>
            <w:tcW w:w="7904"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sidRPr="00BC676C">
              <w:rPr>
                <w:i/>
              </w:rPr>
              <w:t>Maja R</w:t>
            </w:r>
            <w:r w:rsidR="0072769B" w:rsidRPr="00BC676C">
              <w:rPr>
                <w:i/>
              </w:rPr>
              <w:t>adman</w:t>
            </w:r>
          </w:p>
        </w:tc>
      </w:tr>
      <w:tr w:rsidR="00BC676C" w:rsidRPr="00BC676C" w14:paraId="10A1FE95" w14:textId="77777777" w:rsidTr="0036489A">
        <w:tc>
          <w:tcPr>
            <w:tcW w:w="1418"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sidRPr="00BC676C">
              <w:rPr>
                <w:i/>
              </w:rPr>
              <w:t>Tel.</w:t>
            </w:r>
          </w:p>
        </w:tc>
        <w:tc>
          <w:tcPr>
            <w:tcW w:w="7904"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sidRPr="00BC676C">
              <w:rPr>
                <w:i/>
              </w:rPr>
              <w:t>+32 254690</w:t>
            </w:r>
            <w:r w:rsidRPr="00BC676C">
              <w:rPr>
                <w:lang w:val="en-GB"/>
              </w:rPr>
              <w:t>51</w:t>
            </w:r>
          </w:p>
        </w:tc>
      </w:tr>
      <w:tr w:rsidR="00BC676C" w:rsidRPr="00BC676C" w14:paraId="31255C9B" w14:textId="77777777" w:rsidTr="0036489A">
        <w:tc>
          <w:tcPr>
            <w:tcW w:w="1418"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sidRPr="00BC676C">
              <w:rPr>
                <w:i/>
              </w:rPr>
              <w:t>Email</w:t>
            </w:r>
          </w:p>
        </w:tc>
        <w:tc>
          <w:tcPr>
            <w:tcW w:w="7904" w:type="dxa"/>
          </w:tcPr>
          <w:p w14:paraId="53D1C2A7" w14:textId="77777777" w:rsidR="00BC676C" w:rsidRPr="00BC676C" w:rsidRDefault="00597E8B" w:rsidP="00BC676C">
            <w:pPr>
              <w:overflowPunct w:val="0"/>
              <w:autoSpaceDE w:val="0"/>
              <w:autoSpaceDN w:val="0"/>
              <w:adjustRightInd w:val="0"/>
              <w:ind w:left="720" w:hanging="720"/>
              <w:textAlignment w:val="baseline"/>
              <w:rPr>
                <w:i/>
              </w:rPr>
            </w:pPr>
            <w:hyperlink r:id="rId30" w:history="1">
              <w:r w:rsidR="00BC676C" w:rsidRPr="00BC676C">
                <w:rPr>
                  <w:i/>
                  <w:color w:val="0000FF"/>
                  <w:u w:val="single"/>
                </w:rPr>
                <w:t>M</w:t>
              </w:r>
              <w:r w:rsidR="00BC676C" w:rsidRPr="00BC676C">
                <w:rPr>
                  <w:i/>
                  <w:color w:val="0000FF"/>
                  <w:u w:val="single"/>
                  <w:lang w:val="en-GB"/>
                </w:rPr>
                <w:t>aja.Radman</w:t>
              </w:r>
              <w:r w:rsidR="00BC676C" w:rsidRPr="00BC676C">
                <w:rPr>
                  <w:i/>
                  <w:color w:val="0000FF"/>
                  <w:u w:val="single"/>
                </w:rPr>
                <w:t>@eesc.europa.eu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15C6E6D3" w14:textId="026816C9"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lang w:val="en-GB"/>
        </w:rPr>
      </w:pPr>
      <w:r w:rsidRPr="0005334D">
        <w:rPr>
          <w:b/>
          <w:bCs/>
          <w:i/>
          <w:iCs/>
          <w:sz w:val="28"/>
          <w:szCs w:val="28"/>
          <w:lang w:val="en-GB"/>
        </w:rPr>
        <w:fldChar w:fldCharType="begin"/>
      </w:r>
      <w:r w:rsidRPr="0005334D">
        <w:rPr>
          <w:b/>
          <w:bCs/>
          <w:i/>
          <w:iCs/>
          <w:sz w:val="28"/>
          <w:szCs w:val="28"/>
          <w:lang w:val="en-GB"/>
        </w:rPr>
        <w:instrText xml:space="preserve"> HYPERLINK "https://www.eesc.europa.eu/en/our-work/opinions-information-reports/opinions/eu-space-act" </w:instrText>
      </w:r>
      <w:r w:rsidRPr="0005334D">
        <w:rPr>
          <w:b/>
          <w:bCs/>
          <w:i/>
          <w:iCs/>
          <w:sz w:val="28"/>
          <w:szCs w:val="28"/>
          <w:lang w:val="en-GB"/>
        </w:rPr>
        <w:fldChar w:fldCharType="separate"/>
      </w:r>
      <w:r w:rsidRPr="0005334D">
        <w:rPr>
          <w:b/>
          <w:bCs/>
          <w:i/>
          <w:iCs/>
          <w:color w:val="0000FF"/>
          <w:sz w:val="28"/>
          <w:szCs w:val="28"/>
          <w:u w:val="single"/>
          <w:lang w:val="en-GB"/>
        </w:rPr>
        <w:t>EU space act</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szCs w:val="14"/>
          <w:lang w:val="en-GB"/>
        </w:rPr>
      </w:pPr>
      <w:r w:rsidRPr="0005334D">
        <w:rPr>
          <w:b/>
          <w:bCs/>
          <w:i/>
          <w:iCs/>
          <w:sz w:val="28"/>
          <w:szCs w:val="28"/>
          <w:lang w:val="en-GB"/>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sidRPr="0005334D">
              <w:rPr>
                <w:b/>
              </w:rPr>
              <w:t>Rapporteur</w:t>
            </w:r>
          </w:p>
        </w:tc>
        <w:tc>
          <w:tcPr>
            <w:tcW w:w="5387" w:type="dxa"/>
          </w:tcPr>
          <w:p w14:paraId="1C51F404" w14:textId="6E3ED0CB" w:rsidR="0005334D" w:rsidRPr="0005334D" w:rsidRDefault="0005334D" w:rsidP="0005334D">
            <w:pPr>
              <w:tabs>
                <w:tab w:val="center" w:pos="284"/>
              </w:tabs>
              <w:overflowPunct w:val="0"/>
              <w:autoSpaceDE w:val="0"/>
              <w:autoSpaceDN w:val="0"/>
              <w:adjustRightInd w:val="0"/>
              <w:ind w:left="266" w:hanging="266"/>
              <w:textAlignment w:val="baseline"/>
              <w:rPr>
                <w:lang w:val="en-GB"/>
              </w:rPr>
            </w:pPr>
            <w:r w:rsidRPr="0005334D">
              <w:rPr>
                <w:lang w:val="en-GB"/>
              </w:rPr>
              <w:t xml:space="preserve">Angelo PAGLIARA (Workers' Group </w:t>
            </w:r>
            <w:r w:rsidR="00591A62">
              <w:rPr>
                <w:lang w:val="en-GB"/>
              </w:rPr>
              <w:t>-</w:t>
            </w:r>
            <w:r w:rsidRPr="0005334D">
              <w:rPr>
                <w:lang w:val="en-GB"/>
              </w:rPr>
              <w:t xml:space="preserve">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sidRPr="0005334D">
              <w:rPr>
                <w:b/>
              </w:rPr>
              <w:t xml:space="preserve">References </w:t>
            </w:r>
          </w:p>
        </w:tc>
        <w:tc>
          <w:tcPr>
            <w:tcW w:w="5387" w:type="dxa"/>
          </w:tcPr>
          <w:p w14:paraId="0F1F5196" w14:textId="7ADCE94A" w:rsidR="0005334D" w:rsidRPr="0005334D" w:rsidRDefault="0005334D" w:rsidP="0005334D">
            <w:pPr>
              <w:tabs>
                <w:tab w:val="center" w:pos="284"/>
              </w:tabs>
              <w:overflowPunct w:val="0"/>
              <w:autoSpaceDE w:val="0"/>
              <w:autoSpaceDN w:val="0"/>
              <w:adjustRightInd w:val="0"/>
              <w:ind w:left="266" w:hanging="266"/>
              <w:textAlignment w:val="baseline"/>
            </w:pPr>
            <w:r w:rsidRPr="0005334D">
              <w:rPr>
                <w:lang w:val="en-GB"/>
              </w:rPr>
              <w:t>COM(2025)</w:t>
            </w:r>
            <w:r w:rsidR="003C16C3">
              <w:rPr>
                <w:lang w:val="en-GB"/>
              </w:rPr>
              <w:t xml:space="preserve"> </w:t>
            </w:r>
            <w:r w:rsidRPr="0005334D">
              <w:rPr>
                <w:lang w:val="en-GB"/>
              </w:rPr>
              <w:t xml:space="preserve">335 final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rsidRPr="0005334D">
              <w:rPr>
                <w:lang w:val="en-GB"/>
              </w:rP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r w:rsidRPr="0005334D">
        <w:rPr>
          <w:b/>
          <w:lang w:val="en-GB"/>
        </w:rPr>
        <w:t>Key points</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lang w:val="en-GB"/>
        </w:rPr>
      </w:pPr>
      <w:r w:rsidRPr="0005334D">
        <w:rPr>
          <w:bCs/>
          <w:iCs/>
          <w:lang w:val="en-GB"/>
        </w:rPr>
        <w:t>The EESC:</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structurally and immediately </w:t>
      </w:r>
      <w:r w:rsidRPr="0005334D">
        <w:rPr>
          <w:b/>
          <w:bCs/>
          <w:szCs w:val="20"/>
          <w:lang w:val="en-GB"/>
        </w:rPr>
        <w:t>strengthening European public investment in space</w:t>
      </w:r>
      <w:r w:rsidRPr="0005334D">
        <w:rPr>
          <w:szCs w:val="20"/>
          <w:lang w:val="en-GB"/>
        </w:rPr>
        <w:t xml:space="preserve"> and increasing space investment </w:t>
      </w:r>
      <w:r w:rsidRPr="0005334D">
        <w:rPr>
          <w:b/>
          <w:bCs/>
          <w:szCs w:val="20"/>
          <w:lang w:val="en-GB"/>
        </w:rPr>
        <w:t>to at least 0.2% of GDP by 2030</w:t>
      </w:r>
      <w:r w:rsidRPr="000B3BD2">
        <w:t>;</w:t>
      </w:r>
    </w:p>
    <w:p w14:paraId="26F7B7AE"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w:t>
      </w:r>
      <w:r w:rsidRPr="0005334D">
        <w:rPr>
          <w:b/>
          <w:bCs/>
          <w:szCs w:val="20"/>
          <w:lang w:val="en-GB"/>
        </w:rPr>
        <w:t>clarifying how Article 114 of the Treaty can serve as the legal basis for the internal market for space-related products, services and data</w:t>
      </w:r>
      <w:r w:rsidRPr="0005334D">
        <w:rPr>
          <w:szCs w:val="20"/>
          <w:lang w:val="en-GB"/>
        </w:rPr>
        <w:t xml:space="preserve">, and suggests stipulating that the provisions of the Space Act must be interpreted in light of the </w:t>
      </w:r>
      <w:r w:rsidRPr="0005334D">
        <w:rPr>
          <w:b/>
          <w:bCs/>
          <w:szCs w:val="20"/>
          <w:lang w:val="en-GB"/>
        </w:rPr>
        <w:t>international obligations already accepted by the Member States</w:t>
      </w:r>
      <w:r w:rsidRPr="0005334D">
        <w:rPr>
          <w:szCs w:val="20"/>
          <w:lang w:val="en-GB"/>
        </w:rPr>
        <w:t>;</w:t>
      </w:r>
    </w:p>
    <w:p w14:paraId="084E4A62"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clarifying </w:t>
      </w:r>
      <w:r w:rsidRPr="0005334D">
        <w:rPr>
          <w:b/>
          <w:bCs/>
          <w:szCs w:val="20"/>
          <w:lang w:val="en-GB"/>
        </w:rPr>
        <w:t>why Title I refers solely to the criterion of Member State of establishment of the operator</w:t>
      </w:r>
      <w:r w:rsidRPr="0005334D">
        <w:rPr>
          <w:szCs w:val="20"/>
          <w:lang w:val="en-GB"/>
        </w:rPr>
        <w:t xml:space="preserve"> or third-country space operator, with no reference to the State of nationality, and recommends </w:t>
      </w:r>
      <w:r w:rsidRPr="0005334D">
        <w:rPr>
          <w:b/>
          <w:bCs/>
          <w:szCs w:val="20"/>
          <w:lang w:val="en-GB"/>
        </w:rPr>
        <w:t>clarifying Article 6(3) to ensure better coordination with national space legislations</w:t>
      </w:r>
      <w:r w:rsidRPr="0005334D">
        <w:rPr>
          <w:szCs w:val="20"/>
          <w:lang w:val="en-GB"/>
        </w:rPr>
        <w:t xml:space="preserve"> identifying operators required to obtain authorisation on the basis of nationality or the territory from which space activity is conducted;</w:t>
      </w:r>
    </w:p>
    <w:p w14:paraId="3E883F9C"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w:t>
      </w:r>
      <w:r w:rsidRPr="0005334D">
        <w:rPr>
          <w:b/>
          <w:bCs/>
          <w:szCs w:val="20"/>
          <w:lang w:val="en-GB"/>
        </w:rPr>
        <w:t>clarifying, in Title II, the functioning of derogations and flexibility in the authorisation process</w:t>
      </w:r>
      <w:r w:rsidRPr="0005334D">
        <w:rPr>
          <w:szCs w:val="20"/>
          <w:lang w:val="en-GB"/>
        </w:rPr>
        <w:t>, specifying processing times, applicability to non-commercial missions, Commission inspection powers and the operational role of the European Space Agency and EUSPA;</w:t>
      </w:r>
    </w:p>
    <w:p w14:paraId="0BFD0B62"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defining precisely the </w:t>
      </w:r>
      <w:r w:rsidRPr="0005334D">
        <w:rPr>
          <w:b/>
          <w:bCs/>
          <w:szCs w:val="20"/>
          <w:lang w:val="en-GB"/>
        </w:rPr>
        <w:t>limits within which Member States can impose stricter requirements</w:t>
      </w:r>
      <w:r w:rsidRPr="0005334D">
        <w:rPr>
          <w:szCs w:val="20"/>
          <w:lang w:val="en-GB"/>
        </w:rPr>
        <w:t xml:space="preserve"> concerning the free movement of space-based data and space services in the Union;</w:t>
      </w:r>
    </w:p>
    <w:p w14:paraId="05AA5B90"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highlights the need to </w:t>
      </w:r>
      <w:r w:rsidRPr="0005334D">
        <w:rPr>
          <w:b/>
          <w:bCs/>
          <w:szCs w:val="20"/>
          <w:lang w:val="en-GB"/>
        </w:rPr>
        <w:t>strengthen mutual recognition and common rules to avoid fragmentation</w:t>
      </w:r>
      <w:r w:rsidRPr="0005334D">
        <w:rPr>
          <w:szCs w:val="20"/>
          <w:lang w:val="en-GB"/>
        </w:rPr>
        <w:t xml:space="preserve"> and bureaucratic obstacles;</w:t>
      </w:r>
    </w:p>
    <w:p w14:paraId="73875630"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w:t>
      </w:r>
      <w:r w:rsidRPr="0005334D">
        <w:rPr>
          <w:b/>
          <w:bCs/>
          <w:szCs w:val="20"/>
          <w:lang w:val="en-GB"/>
        </w:rPr>
        <w:t>linking the European Space Strategy to European strategic autonomy</w:t>
      </w:r>
      <w:r w:rsidRPr="0005334D">
        <w:rPr>
          <w:szCs w:val="20"/>
          <w:lang w:val="en-GB"/>
        </w:rPr>
        <w:t xml:space="preserve"> and encouraging </w:t>
      </w:r>
      <w:r w:rsidRPr="0005334D">
        <w:rPr>
          <w:b/>
          <w:bCs/>
          <w:szCs w:val="20"/>
          <w:lang w:val="en-GB"/>
        </w:rPr>
        <w:t>complementary ecosystems and the multiplier effect of the space economy</w:t>
      </w:r>
      <w:r w:rsidRPr="0005334D">
        <w:rPr>
          <w:szCs w:val="20"/>
          <w:lang w:val="en-GB"/>
        </w:rPr>
        <w:t xml:space="preserve"> in support of specific sectors;</w:t>
      </w:r>
    </w:p>
    <w:p w14:paraId="2A025617"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recommends developing an </w:t>
      </w:r>
      <w:r w:rsidRPr="0005334D">
        <w:rPr>
          <w:b/>
          <w:bCs/>
          <w:szCs w:val="20"/>
          <w:lang w:val="en-GB"/>
        </w:rPr>
        <w:t>integrated strategy for space skills and jobs</w:t>
      </w:r>
      <w:r w:rsidRPr="0005334D">
        <w:rPr>
          <w:szCs w:val="20"/>
          <w:lang w:val="en-GB"/>
        </w:rPr>
        <w:t xml:space="preserve"> and adopting a </w:t>
      </w:r>
      <w:r w:rsidRPr="0005334D">
        <w:rPr>
          <w:b/>
          <w:bCs/>
          <w:szCs w:val="20"/>
          <w:lang w:val="en-GB"/>
        </w:rPr>
        <w:t>European Space Skills Agenda</w:t>
      </w:r>
      <w:r w:rsidRPr="0005334D">
        <w:rPr>
          <w:szCs w:val="20"/>
          <w:lang w:val="en-GB"/>
        </w:rPr>
        <w:t>;</w:t>
      </w:r>
    </w:p>
    <w:p w14:paraId="36AD8480" w14:textId="77777777" w:rsidR="0005334D" w:rsidRPr="0005334D" w:rsidRDefault="0005334D" w:rsidP="000B3BD2">
      <w:pPr>
        <w:numPr>
          <w:ilvl w:val="0"/>
          <w:numId w:val="22"/>
        </w:numPr>
        <w:overflowPunct w:val="0"/>
        <w:autoSpaceDE w:val="0"/>
        <w:autoSpaceDN w:val="0"/>
        <w:adjustRightInd w:val="0"/>
        <w:ind w:left="284" w:hanging="284"/>
        <w:textAlignment w:val="baseline"/>
        <w:rPr>
          <w:szCs w:val="20"/>
          <w:lang w:val="en-GB"/>
        </w:rPr>
      </w:pPr>
      <w:r w:rsidRPr="0005334D">
        <w:rPr>
          <w:szCs w:val="20"/>
          <w:lang w:val="en-GB"/>
        </w:rPr>
        <w:t xml:space="preserve">calls for adequate resources for the </w:t>
      </w:r>
      <w:r w:rsidRPr="0005334D">
        <w:rPr>
          <w:b/>
          <w:bCs/>
          <w:szCs w:val="20"/>
          <w:lang w:val="en-GB"/>
        </w:rPr>
        <w:t>operational reinforcement of EUSPA</w:t>
      </w:r>
      <w:r w:rsidRPr="0005334D">
        <w:rPr>
          <w:szCs w:val="20"/>
          <w:lang w:val="en-GB"/>
        </w:rPr>
        <w:t xml:space="preserve"> in the next Multiannual Financial Framework 2028–2034.</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5334D" w:rsidRPr="0005334D" w14:paraId="2E1C4F7A" w14:textId="77777777" w:rsidTr="0036489A">
        <w:tc>
          <w:tcPr>
            <w:tcW w:w="1418" w:type="dxa"/>
          </w:tcPr>
          <w:p w14:paraId="3B838871" w14:textId="77777777" w:rsidR="0005334D" w:rsidRPr="0005334D" w:rsidRDefault="0005334D" w:rsidP="0005334D">
            <w:pPr>
              <w:overflowPunct w:val="0"/>
              <w:autoSpaceDE w:val="0"/>
              <w:autoSpaceDN w:val="0"/>
              <w:adjustRightInd w:val="0"/>
              <w:textAlignment w:val="baseline"/>
              <w:rPr>
                <w:i/>
              </w:rPr>
            </w:pPr>
            <w:r w:rsidRPr="0005334D">
              <w:rPr>
                <w:b/>
                <w:i/>
              </w:rPr>
              <w:t>Contact</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r w:rsidRPr="0005334D">
              <w:rPr>
                <w:i/>
                <w:lang w:val="en-GB"/>
              </w:rPr>
              <w:t>Giorgia Bordignon</w:t>
            </w:r>
          </w:p>
        </w:tc>
      </w:tr>
      <w:tr w:rsidR="0005334D" w:rsidRPr="0005334D" w14:paraId="362A9B5A" w14:textId="77777777" w:rsidTr="0036489A">
        <w:tc>
          <w:tcPr>
            <w:tcW w:w="1418" w:type="dxa"/>
          </w:tcPr>
          <w:p w14:paraId="0F21C068" w14:textId="77777777" w:rsidR="0005334D" w:rsidRPr="0005334D" w:rsidRDefault="0005334D" w:rsidP="0005334D">
            <w:pPr>
              <w:overflowPunct w:val="0"/>
              <w:autoSpaceDE w:val="0"/>
              <w:autoSpaceDN w:val="0"/>
              <w:adjustRightInd w:val="0"/>
              <w:textAlignment w:val="baseline"/>
              <w:rPr>
                <w:i/>
              </w:rPr>
            </w:pPr>
            <w:r w:rsidRPr="0005334D">
              <w:rPr>
                <w:i/>
              </w:rPr>
              <w:t>Tel.</w:t>
            </w:r>
          </w:p>
        </w:tc>
        <w:tc>
          <w:tcPr>
            <w:tcW w:w="5670" w:type="dxa"/>
          </w:tcPr>
          <w:p w14:paraId="1CDF1B64" w14:textId="77777777" w:rsidR="0005334D" w:rsidRPr="0005334D" w:rsidRDefault="0005334D" w:rsidP="0005334D">
            <w:pPr>
              <w:overflowPunct w:val="0"/>
              <w:autoSpaceDE w:val="0"/>
              <w:autoSpaceDN w:val="0"/>
              <w:adjustRightInd w:val="0"/>
              <w:textAlignment w:val="baseline"/>
              <w:rPr>
                <w:i/>
              </w:rPr>
            </w:pPr>
            <w:r w:rsidRPr="0005334D">
              <w:rPr>
                <w:i/>
                <w:lang w:val="en-GB"/>
              </w:rPr>
              <w:t>+32 25468</w:t>
            </w:r>
            <w:r w:rsidRPr="0005334D">
              <w:rPr>
                <w:lang w:val="en-GB"/>
              </w:rPr>
              <w:t>535</w:t>
            </w:r>
          </w:p>
        </w:tc>
      </w:tr>
      <w:tr w:rsidR="0005334D" w:rsidRPr="0005334D" w14:paraId="2C7002E1" w14:textId="77777777" w:rsidTr="0036489A">
        <w:tc>
          <w:tcPr>
            <w:tcW w:w="1418" w:type="dxa"/>
          </w:tcPr>
          <w:p w14:paraId="1B96A53D" w14:textId="07EEC23C" w:rsidR="0005334D" w:rsidRPr="0005334D" w:rsidRDefault="008C414B" w:rsidP="0005334D">
            <w:pPr>
              <w:overflowPunct w:val="0"/>
              <w:autoSpaceDE w:val="0"/>
              <w:autoSpaceDN w:val="0"/>
              <w:adjustRightInd w:val="0"/>
              <w:textAlignment w:val="baseline"/>
              <w:rPr>
                <w:i/>
              </w:rPr>
            </w:pPr>
            <w:r>
              <w:rPr>
                <w:i/>
              </w:rPr>
              <w:t>E</w:t>
            </w:r>
            <w:r w:rsidR="0005334D" w:rsidRPr="0005334D">
              <w:rPr>
                <w:i/>
              </w:rPr>
              <w:t>mail</w:t>
            </w:r>
          </w:p>
        </w:tc>
        <w:tc>
          <w:tcPr>
            <w:tcW w:w="5670" w:type="dxa"/>
          </w:tcPr>
          <w:p w14:paraId="7D4DCAF5" w14:textId="77777777" w:rsidR="0005334D" w:rsidRPr="0005334D" w:rsidRDefault="00597E8B" w:rsidP="0005334D">
            <w:pPr>
              <w:overflowPunct w:val="0"/>
              <w:autoSpaceDE w:val="0"/>
              <w:autoSpaceDN w:val="0"/>
              <w:adjustRightInd w:val="0"/>
              <w:textAlignment w:val="baseline"/>
              <w:rPr>
                <w:i/>
              </w:rPr>
            </w:pPr>
            <w:hyperlink r:id="rId31" w:history="1">
              <w:r w:rsidR="0005334D" w:rsidRPr="0005334D">
                <w:rPr>
                  <w:i/>
                  <w:color w:val="0000FF"/>
                  <w:u w:val="single"/>
                </w:rPr>
                <w:t>GiorgiaAndrea.Bordignon@eesc.europa.eu</w:t>
              </w:r>
            </w:hyperlink>
            <w:r w:rsidR="0005334D" w:rsidRPr="0005334D">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6D9E1F22" w:rsidR="00B8543B" w:rsidRPr="00B8543B" w:rsidRDefault="00597E8B" w:rsidP="00B8543B">
      <w:pPr>
        <w:widowControl w:val="0"/>
        <w:numPr>
          <w:ilvl w:val="0"/>
          <w:numId w:val="4"/>
        </w:numPr>
        <w:overflowPunct w:val="0"/>
        <w:autoSpaceDE w:val="0"/>
        <w:autoSpaceDN w:val="0"/>
        <w:adjustRightInd w:val="0"/>
        <w:ind w:hanging="567"/>
        <w:textAlignment w:val="baseline"/>
        <w:rPr>
          <w:sz w:val="20"/>
          <w:szCs w:val="20"/>
          <w:lang w:val="en-GB"/>
        </w:rPr>
      </w:pPr>
      <w:hyperlink r:id="rId32" w:history="1">
        <w:r w:rsidR="00B8543B" w:rsidRPr="00B8543B">
          <w:rPr>
            <w:b/>
            <w:bCs/>
            <w:i/>
            <w:iCs/>
            <w:color w:val="0000FF"/>
            <w:sz w:val="28"/>
            <w:szCs w:val="28"/>
            <w:u w:val="single"/>
            <w:lang w:val="en-GB"/>
          </w:rPr>
          <w:t>Nuclear Illustrative Programme</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7132"/>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sidRPr="00B8543B">
              <w:rPr>
                <w:b/>
              </w:rPr>
              <w:t>Rapporteur</w:t>
            </w:r>
          </w:p>
        </w:tc>
        <w:tc>
          <w:tcPr>
            <w:tcW w:w="7229" w:type="dxa"/>
          </w:tcPr>
          <w:p w14:paraId="741530A3" w14:textId="661D430D" w:rsidR="00B8543B" w:rsidRPr="00B8543B" w:rsidRDefault="00B8543B" w:rsidP="00B8543B">
            <w:pPr>
              <w:tabs>
                <w:tab w:val="center" w:pos="284"/>
              </w:tabs>
              <w:overflowPunct w:val="0"/>
              <w:autoSpaceDE w:val="0"/>
              <w:autoSpaceDN w:val="0"/>
              <w:adjustRightInd w:val="0"/>
              <w:ind w:left="266" w:hanging="266"/>
              <w:textAlignment w:val="baseline"/>
            </w:pPr>
            <w:r w:rsidRPr="00B8543B">
              <w:t xml:space="preserve">Dumitru FORNEA (Workers' Group </w:t>
            </w:r>
            <w:r w:rsidR="00F104CA">
              <w:t xml:space="preserve">- </w:t>
            </w:r>
            <w:r w:rsidRPr="00B8543B">
              <w:t>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proofErr w:type="spellStart"/>
            <w:r w:rsidRPr="00B8543B">
              <w:rPr>
                <w:b/>
                <w:lang w:val="fr-FR"/>
              </w:rPr>
              <w:t>Co-rapporteur</w:t>
            </w:r>
            <w:proofErr w:type="spellEnd"/>
          </w:p>
        </w:tc>
        <w:tc>
          <w:tcPr>
            <w:tcW w:w="7229" w:type="dxa"/>
          </w:tcPr>
          <w:p w14:paraId="6C41DC74" w14:textId="0BA2328D" w:rsidR="00B8543B" w:rsidRDefault="00B8543B" w:rsidP="00B8543B">
            <w:pPr>
              <w:tabs>
                <w:tab w:val="center" w:pos="284"/>
              </w:tabs>
              <w:overflowPunct w:val="0"/>
              <w:autoSpaceDE w:val="0"/>
              <w:autoSpaceDN w:val="0"/>
              <w:adjustRightInd w:val="0"/>
              <w:ind w:left="266" w:hanging="266"/>
              <w:textAlignment w:val="baseline"/>
            </w:pPr>
            <w:r w:rsidRPr="00B8543B">
              <w:t xml:space="preserve">Alena MASTANTUONO (Employers' Group </w:t>
            </w:r>
            <w:r w:rsidR="00F104CA">
              <w:t>-</w:t>
            </w:r>
            <w:r w:rsidRPr="00B8543B">
              <w:t xml:space="preserve">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sidRPr="00B8543B">
              <w:rPr>
                <w:b/>
              </w:rPr>
              <w:t>References</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r w:rsidRPr="00B8543B">
              <w:rPr>
                <w:lang w:val="pt-PT"/>
              </w:rPr>
              <w:t>COM(2025) 315 final</w:t>
            </w:r>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r w:rsidRPr="00B8543B">
              <w:rPr>
                <w:lang w:val="pt-PT"/>
              </w:rP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r w:rsidRPr="00B8543B">
        <w:rPr>
          <w:b/>
          <w:lang w:val="en-GB"/>
        </w:rPr>
        <w:t>Key points</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lang w:val="en-GB"/>
        </w:rPr>
      </w:pPr>
      <w:r w:rsidRPr="00B8543B">
        <w:rPr>
          <w:bCs/>
          <w:iCs/>
          <w:lang w:val="en-GB"/>
        </w:rPr>
        <w:t>The EESC:</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bCs/>
          <w:iCs/>
          <w:lang w:val="en-GB"/>
        </w:rPr>
      </w:pPr>
      <w:r w:rsidRPr="00B8543B">
        <w:rPr>
          <w:bCs/>
          <w:iCs/>
          <w:lang w:val="en-GB"/>
        </w:rPr>
        <w:t>believes that the role of nuclear energy plays and will continue to play a crucial role in decarbonising the European continent and consolidating its strategic autonomy in the fields of energy and technology;</w:t>
      </w:r>
    </w:p>
    <w:p w14:paraId="38970C7F"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bCs/>
          <w:iCs/>
          <w:lang w:val="en-GB"/>
        </w:rPr>
      </w:pPr>
      <w:r w:rsidRPr="00B8543B">
        <w:rPr>
          <w:bCs/>
          <w:iCs/>
          <w:lang w:val="en-GB"/>
        </w:rPr>
        <w:t>recommends that the same conditions should apply to investments in the nuclear energy sector as they do to renewables;</w:t>
      </w:r>
    </w:p>
    <w:p w14:paraId="15C741CD"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bCs/>
          <w:iCs/>
          <w:lang w:val="en-GB"/>
        </w:rPr>
      </w:pPr>
      <w:r w:rsidRPr="00B8543B">
        <w:rPr>
          <w:bCs/>
          <w:iCs/>
          <w:lang w:val="en-GB"/>
        </w:rPr>
        <w:t>recommends speeding up investment through specific financial and regulatory measures, such as a streamlined State aid process, access to EU funding, sustainable financing, licensing processes and faster decisions at EU and national level;</w:t>
      </w:r>
    </w:p>
    <w:p w14:paraId="18340AE6"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bCs/>
          <w:iCs/>
          <w:lang w:val="en-GB"/>
        </w:rPr>
      </w:pPr>
      <w:r w:rsidRPr="00B8543B">
        <w:rPr>
          <w:bCs/>
          <w:iCs/>
          <w:lang w:val="en-GB"/>
        </w:rPr>
        <w:t>considers that dialogue with civil society is pivotal in building trust, ownership and societal acceptance;</w:t>
      </w:r>
    </w:p>
    <w:p w14:paraId="1F92E097"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bCs/>
          <w:iCs/>
          <w:lang w:val="en-GB"/>
        </w:rPr>
      </w:pPr>
      <w:r w:rsidRPr="00B8543B">
        <w:rPr>
          <w:bCs/>
          <w:iCs/>
          <w:lang w:val="en-GB"/>
        </w:rPr>
        <w:t>calls for enhanced regulatory cooperation among Member States;</w:t>
      </w:r>
    </w:p>
    <w:p w14:paraId="60BEBBD3" w14:textId="77777777" w:rsidR="00B8543B" w:rsidRPr="00B8543B" w:rsidRDefault="00B8543B" w:rsidP="000B3BD2">
      <w:pPr>
        <w:widowControl w:val="0"/>
        <w:numPr>
          <w:ilvl w:val="0"/>
          <w:numId w:val="23"/>
        </w:numPr>
        <w:overflowPunct w:val="0"/>
        <w:autoSpaceDE w:val="0"/>
        <w:autoSpaceDN w:val="0"/>
        <w:adjustRightInd w:val="0"/>
        <w:ind w:left="284" w:hanging="284"/>
        <w:textAlignment w:val="baseline"/>
        <w:rPr>
          <w:lang w:val="en-GB"/>
        </w:rPr>
      </w:pPr>
      <w:r w:rsidRPr="00B8543B">
        <w:rPr>
          <w:lang w:val="en-GB"/>
        </w:rPr>
        <w:t>recommends taking into account the role played by nuclear energy in stabilising the grid and calls for a calculation of systemic costs avoided thanks to nuclear energy to be added to the PINC.</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143"/>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sidRPr="00B8543B">
              <w:rPr>
                <w:b/>
                <w:i/>
              </w:rPr>
              <w:t>Contact</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sidRPr="00B8543B">
              <w:rPr>
                <w:i/>
              </w:rPr>
              <w:t>Albert P</w:t>
            </w:r>
            <w:r w:rsidR="00F104CA" w:rsidRPr="00B8543B">
              <w:rPr>
                <w:i/>
              </w:rPr>
              <w:t>recup</w:t>
            </w:r>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sidRPr="00B8543B">
              <w:rPr>
                <w:i/>
              </w:rPr>
              <w:t>Tel.</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sidRPr="00B8543B">
              <w:rPr>
                <w:i/>
              </w:rPr>
              <w:t>+32 25469326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sidRPr="00B8543B">
              <w:rPr>
                <w:i/>
              </w:rPr>
              <w:t>Email</w:t>
            </w:r>
          </w:p>
        </w:tc>
        <w:tc>
          <w:tcPr>
            <w:tcW w:w="7229" w:type="dxa"/>
          </w:tcPr>
          <w:p w14:paraId="1491B9B9" w14:textId="77777777" w:rsidR="00B8543B" w:rsidRPr="00B8543B" w:rsidRDefault="00597E8B" w:rsidP="00B8543B">
            <w:pPr>
              <w:overflowPunct w:val="0"/>
              <w:autoSpaceDE w:val="0"/>
              <w:autoSpaceDN w:val="0"/>
              <w:adjustRightInd w:val="0"/>
              <w:textAlignment w:val="baseline"/>
              <w:rPr>
                <w:i/>
              </w:rPr>
            </w:pPr>
            <w:hyperlink r:id="rId33" w:history="1">
              <w:r w:rsidR="00B8543B" w:rsidRPr="00B8543B">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6" w:name="_Toc75527083"/>
      <w:bookmarkStart w:id="7" w:name="_Toc173758872"/>
      <w:r>
        <w:rPr>
          <w:b/>
        </w:rPr>
        <w:t>SINGLE MARKET, PRODUCTION AND CONSUMPTION</w:t>
      </w:r>
      <w:bookmarkEnd w:id="6"/>
      <w:bookmarkEnd w:id="7"/>
    </w:p>
    <w:p w14:paraId="4982DDF4" w14:textId="77777777" w:rsidR="004D7AC0" w:rsidRDefault="004D7AC0" w:rsidP="004D7AC0"/>
    <w:p w14:paraId="5D547137" w14:textId="687A031E" w:rsidR="00465162" w:rsidRPr="00465162" w:rsidRDefault="00597E8B" w:rsidP="00465162">
      <w:pPr>
        <w:widowControl w:val="0"/>
        <w:numPr>
          <w:ilvl w:val="0"/>
          <w:numId w:val="4"/>
        </w:numPr>
        <w:overflowPunct w:val="0"/>
        <w:autoSpaceDE w:val="0"/>
        <w:autoSpaceDN w:val="0"/>
        <w:adjustRightInd w:val="0"/>
        <w:ind w:hanging="567"/>
        <w:textAlignment w:val="baseline"/>
        <w:rPr>
          <w:sz w:val="20"/>
          <w:szCs w:val="20"/>
          <w:lang w:val="en-GB"/>
        </w:rPr>
      </w:pPr>
      <w:hyperlink r:id="rId34" w:history="1">
        <w:r w:rsidR="00465162" w:rsidRPr="00465162">
          <w:rPr>
            <w:b/>
            <w:bCs/>
            <w:i/>
            <w:iCs/>
            <w:color w:val="0000FF"/>
            <w:sz w:val="28"/>
            <w:szCs w:val="28"/>
            <w:u w:val="single"/>
            <w:lang w:val="en-GB"/>
          </w:rPr>
          <w:t>Single Market Strategy</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sidRPr="00465162">
              <w:rPr>
                <w:b/>
              </w:rPr>
              <w:t>Rapporteurs</w:t>
            </w:r>
          </w:p>
        </w:tc>
        <w:tc>
          <w:tcPr>
            <w:tcW w:w="6521" w:type="dxa"/>
          </w:tcPr>
          <w:p w14:paraId="1AA6537D" w14:textId="2BD68312" w:rsidR="00465162" w:rsidRPr="00465162" w:rsidRDefault="00465162" w:rsidP="00465162">
            <w:pPr>
              <w:tabs>
                <w:tab w:val="center" w:pos="284"/>
              </w:tabs>
              <w:overflowPunct w:val="0"/>
              <w:autoSpaceDE w:val="0"/>
              <w:autoSpaceDN w:val="0"/>
              <w:adjustRightInd w:val="0"/>
              <w:ind w:left="266" w:hanging="266"/>
              <w:textAlignment w:val="baseline"/>
            </w:pPr>
            <w:r w:rsidRPr="00465162">
              <w:t>Emilie PROUZET (</w:t>
            </w:r>
            <w:r w:rsidRPr="00465162">
              <w:rPr>
                <w:lang w:val="en-GB"/>
              </w:rPr>
              <w:t xml:space="preserve">Employers' Group </w:t>
            </w:r>
            <w:r w:rsidR="00034990">
              <w:rPr>
                <w:lang w:val="en-GB"/>
              </w:rPr>
              <w:t>-</w:t>
            </w:r>
            <w:r w:rsidRPr="00465162">
              <w:rPr>
                <w:lang w:val="en-GB"/>
              </w:rPr>
              <w:t xml:space="preserve"> FR</w:t>
            </w:r>
            <w:r w:rsidRPr="00465162">
              <w:t>)</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5F6F15F7" w:rsidR="00465162" w:rsidRPr="00465162" w:rsidRDefault="00465162" w:rsidP="00465162">
            <w:pPr>
              <w:tabs>
                <w:tab w:val="center" w:pos="284"/>
              </w:tabs>
              <w:overflowPunct w:val="0"/>
              <w:autoSpaceDE w:val="0"/>
              <w:autoSpaceDN w:val="0"/>
              <w:adjustRightInd w:val="0"/>
              <w:ind w:left="266" w:hanging="266"/>
              <w:textAlignment w:val="baseline"/>
              <w:rPr>
                <w:lang w:val="en-GB"/>
              </w:rPr>
            </w:pPr>
            <w:r w:rsidRPr="00465162">
              <w:rPr>
                <w:lang w:val="en-GB"/>
              </w:rPr>
              <w:t xml:space="preserve">Angelo PAGLIARA (Workers' Group </w:t>
            </w:r>
            <w:r w:rsidR="00034990">
              <w:rPr>
                <w:lang w:val="en-GB"/>
              </w:rPr>
              <w:t>-</w:t>
            </w:r>
            <w:r w:rsidRPr="00465162">
              <w:rPr>
                <w:lang w:val="en-GB"/>
              </w:rPr>
              <w:t xml:space="preserve"> IT)</w:t>
            </w:r>
          </w:p>
          <w:p w14:paraId="1F24C2EA" w14:textId="43AA890F" w:rsidR="00465162" w:rsidRPr="00465162" w:rsidRDefault="00465162" w:rsidP="00465162">
            <w:pPr>
              <w:tabs>
                <w:tab w:val="center" w:pos="284"/>
              </w:tabs>
              <w:overflowPunct w:val="0"/>
              <w:autoSpaceDE w:val="0"/>
              <w:autoSpaceDN w:val="0"/>
              <w:adjustRightInd w:val="0"/>
              <w:ind w:left="266" w:hanging="266"/>
              <w:textAlignment w:val="baseline"/>
              <w:rPr>
                <w:lang w:val="en-GB"/>
              </w:rPr>
            </w:pPr>
            <w:r w:rsidRPr="00465162">
              <w:rPr>
                <w:lang w:val="en-GB"/>
              </w:rPr>
              <w:t xml:space="preserve">Giuseppe GUERINI (Civil Society Organisations' Group </w:t>
            </w:r>
            <w:r w:rsidR="00034990">
              <w:rPr>
                <w:lang w:val="en-GB"/>
              </w:rPr>
              <w:t xml:space="preserve">- </w:t>
            </w:r>
            <w:r w:rsidRPr="00465162">
              <w:rPr>
                <w:lang w:val="en-GB"/>
              </w:rPr>
              <w:t>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sidRPr="00465162">
              <w:rPr>
                <w:b/>
              </w:rPr>
              <w:t>References</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rPr>
                <w:lang w:val="pt-PT"/>
              </w:rPr>
            </w:pPr>
            <w:r w:rsidRPr="00465162">
              <w:rPr>
                <w:lang w:val="pt-PT"/>
              </w:rPr>
              <w:t>COM(2025) 500 final</w:t>
            </w:r>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rsidRPr="00465162">
              <w:rPr>
                <w:lang w:val="en-GB"/>
              </w:rP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r w:rsidRPr="00465162">
        <w:rPr>
          <w:b/>
          <w:lang w:val="en-GB"/>
        </w:rPr>
        <w:t>Key points</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lang w:val="en-GB"/>
        </w:rPr>
      </w:pPr>
      <w:r w:rsidRPr="00465162">
        <w:rPr>
          <w:bCs/>
          <w:iCs/>
          <w:lang w:val="en-GB"/>
        </w:rPr>
        <w:t>The EESC:</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fully supports the priorities identified by the Commission, which respond to the challenges raised by stakeholders;</w:t>
      </w:r>
    </w:p>
    <w:p w14:paraId="634276BC"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reiterates that regulatory simplification must take place with full respect for social and workers’ rights. It is therefore essential that European and national parliaments and social partners be structurally involved from the early stages of the legislative process;</w:t>
      </w:r>
    </w:p>
    <w:p w14:paraId="1A85E040"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intends to contribute more actively to the governance of the single market, including by assuming a strengthened role within the Single Market Enforcement Taskforce (SMET) process;</w:t>
      </w:r>
    </w:p>
    <w:p w14:paraId="0DE50EC7"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calls on the Commission to put forward legislative proposals to address territorial supply constraints and to harmonise product labelling;</w:t>
      </w:r>
    </w:p>
    <w:p w14:paraId="3DC83A6A"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welcomes the Commission’s announcement of a proposal for an optional ‘28th regime’ for businesses, but underlines the need for effective safeguards against potential abuses;</w:t>
      </w:r>
    </w:p>
    <w:p w14:paraId="52044ED1"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recognises the key role of standardisation as a driver of integration and innovation, but stresses the principles of transparency, inclusiveness and structured participation;</w:t>
      </w:r>
    </w:p>
    <w:p w14:paraId="4D4A10FA" w14:textId="77777777" w:rsidR="00465162" w:rsidRPr="00465162" w:rsidRDefault="00465162" w:rsidP="000B3BD2">
      <w:pPr>
        <w:widowControl w:val="0"/>
        <w:numPr>
          <w:ilvl w:val="0"/>
          <w:numId w:val="24"/>
        </w:numPr>
        <w:overflowPunct w:val="0"/>
        <w:autoSpaceDE w:val="0"/>
        <w:autoSpaceDN w:val="0"/>
        <w:adjustRightInd w:val="0"/>
        <w:ind w:left="284" w:hanging="284"/>
        <w:textAlignment w:val="baseline"/>
        <w:rPr>
          <w:bCs/>
          <w:iCs/>
          <w:lang w:val="en-GB"/>
        </w:rPr>
      </w:pPr>
      <w:r w:rsidRPr="00465162">
        <w:rPr>
          <w:bCs/>
          <w:iCs/>
          <w:lang w:val="en-GB"/>
        </w:rPr>
        <w:t>supports simplifying the recognition of professional qualifications, including for third-country nationals, but qualifications must be clearly defined, verifiable and of proven quality;</w:t>
      </w:r>
    </w:p>
    <w:p w14:paraId="44855F90" w14:textId="77777777" w:rsidR="00465162" w:rsidRPr="00465162" w:rsidRDefault="00465162" w:rsidP="000B3BD2">
      <w:pPr>
        <w:widowControl w:val="0"/>
        <w:numPr>
          <w:ilvl w:val="0"/>
          <w:numId w:val="25"/>
        </w:numPr>
        <w:overflowPunct w:val="0"/>
        <w:autoSpaceDE w:val="0"/>
        <w:autoSpaceDN w:val="0"/>
        <w:adjustRightInd w:val="0"/>
        <w:ind w:left="360"/>
        <w:textAlignment w:val="baseline"/>
        <w:rPr>
          <w:bCs/>
          <w:iCs/>
          <w:lang w:val="en-GB"/>
        </w:rPr>
      </w:pPr>
      <w:r w:rsidRPr="00465162">
        <w:rPr>
          <w:bCs/>
          <w:iCs/>
          <w:lang w:val="en-GB"/>
        </w:rPr>
        <w:t>supports strengthening the European Labour Authority (ELA);</w:t>
      </w:r>
    </w:p>
    <w:p w14:paraId="36D1C1B4" w14:textId="77777777" w:rsidR="00465162" w:rsidRPr="00465162" w:rsidRDefault="00465162" w:rsidP="000B3BD2">
      <w:pPr>
        <w:widowControl w:val="0"/>
        <w:numPr>
          <w:ilvl w:val="0"/>
          <w:numId w:val="25"/>
        </w:numPr>
        <w:overflowPunct w:val="0"/>
        <w:autoSpaceDE w:val="0"/>
        <w:autoSpaceDN w:val="0"/>
        <w:adjustRightInd w:val="0"/>
        <w:ind w:left="360"/>
        <w:textAlignment w:val="baseline"/>
        <w:rPr>
          <w:bCs/>
          <w:iCs/>
          <w:lang w:val="en-GB"/>
        </w:rPr>
      </w:pPr>
      <w:r w:rsidRPr="00465162">
        <w:rPr>
          <w:bCs/>
          <w:iCs/>
          <w:lang w:val="en-GB"/>
        </w:rPr>
        <w:t xml:space="preserve">calls for the scope of the single market to be extended to strategic sectors such as energy and finance. It underlines the need for an inclusive governance, and calls for the revision of public procurement legislation. At the same time, appropriate ways should be found to take into account social, environmental and innovation objectives.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65162" w:rsidRPr="00465162" w14:paraId="7E653814" w14:textId="77777777" w:rsidTr="0036489A">
        <w:tc>
          <w:tcPr>
            <w:tcW w:w="1418"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sidRPr="00465162">
              <w:rPr>
                <w:b/>
                <w:i/>
              </w:rPr>
              <w:lastRenderedPageBreak/>
              <w:t>Contact</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r w:rsidRPr="00465162">
              <w:rPr>
                <w:i/>
              </w:rPr>
              <w:t>Annalisa Tessarolo</w:t>
            </w:r>
          </w:p>
        </w:tc>
      </w:tr>
      <w:tr w:rsidR="00465162" w:rsidRPr="00465162" w14:paraId="3F0424C9" w14:textId="77777777" w:rsidTr="0036489A">
        <w:tc>
          <w:tcPr>
            <w:tcW w:w="1418"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sidRPr="00465162">
              <w:rPr>
                <w:i/>
              </w:rPr>
              <w:t>Tel.</w:t>
            </w:r>
          </w:p>
        </w:tc>
        <w:tc>
          <w:tcPr>
            <w:tcW w:w="5670"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sidRPr="00465162">
              <w:rPr>
                <w:i/>
                <w:lang w:val="en-GB"/>
              </w:rPr>
              <w:t>+ 32 25469732</w:t>
            </w:r>
          </w:p>
        </w:tc>
      </w:tr>
      <w:tr w:rsidR="00465162" w:rsidRPr="00465162" w14:paraId="6449EA12" w14:textId="77777777" w:rsidTr="0036489A">
        <w:tc>
          <w:tcPr>
            <w:tcW w:w="1418" w:type="dxa"/>
          </w:tcPr>
          <w:p w14:paraId="1D040452" w14:textId="0058E69C" w:rsidR="00465162" w:rsidRPr="00465162" w:rsidRDefault="00034990" w:rsidP="00465162">
            <w:pPr>
              <w:overflowPunct w:val="0"/>
              <w:autoSpaceDE w:val="0"/>
              <w:autoSpaceDN w:val="0"/>
              <w:adjustRightInd w:val="0"/>
              <w:spacing w:line="240" w:lineRule="auto"/>
              <w:textAlignment w:val="baseline"/>
              <w:rPr>
                <w:i/>
              </w:rPr>
            </w:pPr>
            <w:r>
              <w:rPr>
                <w:i/>
              </w:rPr>
              <w:t>E</w:t>
            </w:r>
            <w:r w:rsidR="00465162" w:rsidRPr="00465162">
              <w:rPr>
                <w:i/>
              </w:rPr>
              <w:t>mail</w:t>
            </w:r>
          </w:p>
        </w:tc>
        <w:tc>
          <w:tcPr>
            <w:tcW w:w="5670" w:type="dxa"/>
          </w:tcPr>
          <w:p w14:paraId="3E267456" w14:textId="77777777" w:rsidR="00465162" w:rsidRPr="00465162" w:rsidRDefault="00597E8B" w:rsidP="00465162">
            <w:pPr>
              <w:overflowPunct w:val="0"/>
              <w:autoSpaceDE w:val="0"/>
              <w:autoSpaceDN w:val="0"/>
              <w:adjustRightInd w:val="0"/>
              <w:spacing w:line="240" w:lineRule="auto"/>
              <w:textAlignment w:val="baseline"/>
              <w:rPr>
                <w:i/>
              </w:rPr>
            </w:pPr>
            <w:hyperlink r:id="rId35" w:history="1">
              <w:r w:rsidR="00465162" w:rsidRPr="00465162">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5375A0D7"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lang w:val="en-GB"/>
        </w:rPr>
      </w:pPr>
      <w:r>
        <w:br w:type="page"/>
      </w:r>
      <w:hyperlink r:id="rId36" w:tgtFrame="_blank" w:history="1">
        <w:r w:rsidR="008A6059" w:rsidRPr="008A6059">
          <w:rPr>
            <w:b/>
            <w:bCs/>
            <w:i/>
            <w:iCs/>
            <w:color w:val="0000FF"/>
            <w:sz w:val="28"/>
            <w:szCs w:val="28"/>
            <w:u w:val="single"/>
            <w:lang w:val="en-GB"/>
          </w:rPr>
          <w:t>Report on Competition Policy 2024</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sidRPr="008A6059">
              <w:rPr>
                <w:b/>
              </w:rPr>
              <w:t>Rapporteur</w:t>
            </w:r>
          </w:p>
        </w:tc>
        <w:tc>
          <w:tcPr>
            <w:tcW w:w="5387" w:type="dxa"/>
          </w:tcPr>
          <w:p w14:paraId="1D2ED450" w14:textId="62A837F0" w:rsidR="008A6059" w:rsidRPr="008A6059" w:rsidRDefault="008A6059" w:rsidP="008A6059">
            <w:pPr>
              <w:tabs>
                <w:tab w:val="center" w:pos="284"/>
              </w:tabs>
              <w:overflowPunct w:val="0"/>
              <w:autoSpaceDE w:val="0"/>
              <w:autoSpaceDN w:val="0"/>
              <w:adjustRightInd w:val="0"/>
              <w:ind w:left="266" w:hanging="266"/>
              <w:textAlignment w:val="baseline"/>
            </w:pPr>
            <w:r w:rsidRPr="008A6059">
              <w:rPr>
                <w:lang w:val="en-GB"/>
              </w:rPr>
              <w:t xml:space="preserve">Andrea MONE (Workers' Group </w:t>
            </w:r>
            <w:r w:rsidR="006E6F14">
              <w:rPr>
                <w:lang w:val="en-GB"/>
              </w:rPr>
              <w:t>-</w:t>
            </w:r>
            <w:r w:rsidRPr="008A6059">
              <w:rPr>
                <w:lang w:val="en-GB"/>
              </w:rPr>
              <w:t xml:space="preserve">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sidRPr="008A6059">
              <w:rPr>
                <w:b/>
              </w:rPr>
              <w:t>References</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rPr>
                <w:lang w:val="pt-PT"/>
              </w:rPr>
            </w:pPr>
            <w:r w:rsidRPr="008A6059">
              <w:rPr>
                <w:lang w:val="pt-PT"/>
              </w:rPr>
              <w:t>COM(2025) 181 final</w:t>
            </w:r>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rsidRPr="008A6059">
              <w:rPr>
                <w:lang w:val="en-GB"/>
              </w:rP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r w:rsidRPr="008A6059">
        <w:rPr>
          <w:b/>
          <w:lang w:val="en-GB"/>
        </w:rPr>
        <w:t>Key points</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lang w:val="en-GB"/>
        </w:rPr>
      </w:pPr>
      <w:r w:rsidRPr="008A6059">
        <w:rPr>
          <w:bCs/>
          <w:iCs/>
          <w:lang w:val="en-GB"/>
        </w:rPr>
        <w:t>The EESC:</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B3BD2">
      <w:pPr>
        <w:numPr>
          <w:ilvl w:val="0"/>
          <w:numId w:val="26"/>
        </w:numPr>
        <w:tabs>
          <w:tab w:val="clear" w:pos="720"/>
          <w:tab w:val="num" w:pos="284"/>
        </w:tabs>
        <w:overflowPunct w:val="0"/>
        <w:autoSpaceDE w:val="0"/>
        <w:autoSpaceDN w:val="0"/>
        <w:adjustRightInd w:val="0"/>
        <w:ind w:left="284" w:hanging="284"/>
        <w:textAlignment w:val="baseline"/>
        <w:rPr>
          <w:lang w:eastAsia="fr-BE"/>
        </w:rPr>
      </w:pPr>
      <w:r w:rsidRPr="008A6059">
        <w:rPr>
          <w:lang w:eastAsia="fr-BE"/>
        </w:rPr>
        <w:t xml:space="preserve">welcomes the </w:t>
      </w:r>
      <w:r w:rsidRPr="008A6059">
        <w:rPr>
          <w:b/>
          <w:bCs/>
          <w:lang w:eastAsia="fr-BE"/>
        </w:rPr>
        <w:t>Commission’s 2024 enforcement approach</w:t>
      </w:r>
      <w:r w:rsidRPr="008A6059">
        <w:rPr>
          <w:lang w:eastAsia="fr-BE"/>
        </w:rPr>
        <w:t>, which aligns competition policy with the EU’s digital, green, and resilience objectives while safeguarding a well-functioning and competitive single market;</w:t>
      </w:r>
    </w:p>
    <w:p w14:paraId="607132BD" w14:textId="77777777" w:rsidR="008A6059" w:rsidRPr="008A6059" w:rsidRDefault="008A6059" w:rsidP="000B3BD2">
      <w:pPr>
        <w:numPr>
          <w:ilvl w:val="0"/>
          <w:numId w:val="26"/>
        </w:numPr>
        <w:tabs>
          <w:tab w:val="clear" w:pos="720"/>
          <w:tab w:val="num" w:pos="284"/>
        </w:tabs>
        <w:overflowPunct w:val="0"/>
        <w:autoSpaceDE w:val="0"/>
        <w:autoSpaceDN w:val="0"/>
        <w:adjustRightInd w:val="0"/>
        <w:ind w:left="284" w:hanging="284"/>
        <w:textAlignment w:val="baseline"/>
        <w:rPr>
          <w:lang w:eastAsia="fr-BE"/>
        </w:rPr>
      </w:pPr>
      <w:r w:rsidRPr="008A6059">
        <w:rPr>
          <w:lang w:eastAsia="fr-BE"/>
        </w:rPr>
        <w:t xml:space="preserve">supports the Commission’s efforts to enhance the </w:t>
      </w:r>
      <w:r w:rsidRPr="008A6059">
        <w:rPr>
          <w:b/>
          <w:bCs/>
          <w:lang w:eastAsia="fr-BE"/>
        </w:rPr>
        <w:t>effectiveness and predictability of competition rules</w:t>
      </w:r>
      <w:r w:rsidRPr="008A6059">
        <w:rPr>
          <w:lang w:eastAsia="fr-BE"/>
        </w:rPr>
        <w:t xml:space="preserve">, including the development of new guidelines on exclusionary abuses of dominance, the </w:t>
      </w:r>
      <w:proofErr w:type="spellStart"/>
      <w:r w:rsidRPr="008A6059">
        <w:rPr>
          <w:lang w:eastAsia="fr-BE"/>
        </w:rPr>
        <w:t>modernised</w:t>
      </w:r>
      <w:proofErr w:type="spellEnd"/>
      <w:r w:rsidRPr="008A6059">
        <w:rPr>
          <w:lang w:eastAsia="fr-BE"/>
        </w:rPr>
        <w:t xml:space="preserve"> Market Definition Notice, and improved tools to assess consumer welfare impacts;</w:t>
      </w:r>
    </w:p>
    <w:p w14:paraId="30166AC6" w14:textId="77777777" w:rsidR="008A6059" w:rsidRPr="008A6059" w:rsidRDefault="008A6059" w:rsidP="000B3BD2">
      <w:pPr>
        <w:numPr>
          <w:ilvl w:val="0"/>
          <w:numId w:val="26"/>
        </w:numPr>
        <w:tabs>
          <w:tab w:val="clear" w:pos="720"/>
          <w:tab w:val="num" w:pos="284"/>
        </w:tabs>
        <w:overflowPunct w:val="0"/>
        <w:autoSpaceDE w:val="0"/>
        <w:autoSpaceDN w:val="0"/>
        <w:adjustRightInd w:val="0"/>
        <w:ind w:left="284" w:hanging="284"/>
        <w:textAlignment w:val="baseline"/>
        <w:rPr>
          <w:lang w:eastAsia="fr-BE"/>
        </w:rPr>
      </w:pPr>
      <w:proofErr w:type="spellStart"/>
      <w:r w:rsidRPr="008A6059">
        <w:rPr>
          <w:lang w:eastAsia="fr-BE"/>
        </w:rPr>
        <w:t>emphasises</w:t>
      </w:r>
      <w:proofErr w:type="spellEnd"/>
      <w:r w:rsidRPr="008A6059">
        <w:rPr>
          <w:lang w:eastAsia="fr-BE"/>
        </w:rPr>
        <w:t xml:space="preserve"> the importance of addressing competition challenges in </w:t>
      </w:r>
      <w:r w:rsidRPr="008A6059">
        <w:rPr>
          <w:b/>
          <w:bCs/>
          <w:lang w:eastAsia="fr-BE"/>
        </w:rPr>
        <w:t>digital markets</w:t>
      </w:r>
      <w:r w:rsidRPr="008A6059">
        <w:rPr>
          <w:lang w:eastAsia="fr-BE"/>
        </w:rPr>
        <w:t xml:space="preserve"> and encourages the Commission to continue reinforcing enforcement under both traditional competition rules and the Digital Markets Act, given the structural dominance and entry barriers in platform-based business models;</w:t>
      </w:r>
    </w:p>
    <w:p w14:paraId="2C7DEA84" w14:textId="77777777" w:rsidR="008A6059" w:rsidRPr="008A6059" w:rsidRDefault="008A6059" w:rsidP="000B3BD2">
      <w:pPr>
        <w:numPr>
          <w:ilvl w:val="0"/>
          <w:numId w:val="26"/>
        </w:numPr>
        <w:tabs>
          <w:tab w:val="clear" w:pos="720"/>
          <w:tab w:val="num" w:pos="284"/>
        </w:tabs>
        <w:overflowPunct w:val="0"/>
        <w:autoSpaceDE w:val="0"/>
        <w:autoSpaceDN w:val="0"/>
        <w:adjustRightInd w:val="0"/>
        <w:ind w:left="284" w:hanging="284"/>
        <w:textAlignment w:val="baseline"/>
        <w:rPr>
          <w:lang w:eastAsia="fr-BE"/>
        </w:rPr>
      </w:pPr>
      <w:r w:rsidRPr="008A6059">
        <w:rPr>
          <w:lang w:eastAsia="fr-BE"/>
        </w:rPr>
        <w:t>calls for</w:t>
      </w:r>
      <w:r w:rsidRPr="008A6059">
        <w:rPr>
          <w:b/>
          <w:bCs/>
          <w:lang w:eastAsia="fr-BE"/>
        </w:rPr>
        <w:t xml:space="preserve"> stronger merger control</w:t>
      </w:r>
      <w:r w:rsidRPr="008A6059">
        <w:rPr>
          <w:lang w:eastAsia="fr-BE"/>
        </w:rPr>
        <w:t xml:space="preserve">, including a framework to </w:t>
      </w:r>
      <w:proofErr w:type="spellStart"/>
      <w:r w:rsidRPr="008A6059">
        <w:rPr>
          <w:lang w:eastAsia="fr-BE"/>
        </w:rPr>
        <w:t>scrutinise</w:t>
      </w:r>
      <w:proofErr w:type="spellEnd"/>
      <w:r w:rsidRPr="008A6059">
        <w:rPr>
          <w:lang w:eastAsia="fr-BE"/>
        </w:rPr>
        <w:t xml:space="preserve"> below-threshold acquisitions that may harm competition (e.g. “killer acquisitions”), and urges </w:t>
      </w:r>
      <w:r w:rsidRPr="008A6059">
        <w:rPr>
          <w:b/>
          <w:bCs/>
          <w:lang w:eastAsia="fr-BE"/>
        </w:rPr>
        <w:t xml:space="preserve">greater consideration of </w:t>
      </w:r>
      <w:proofErr w:type="spellStart"/>
      <w:r w:rsidRPr="008A6059">
        <w:rPr>
          <w:b/>
          <w:bCs/>
          <w:lang w:eastAsia="fr-BE"/>
        </w:rPr>
        <w:t>labour</w:t>
      </w:r>
      <w:proofErr w:type="spellEnd"/>
      <w:r w:rsidRPr="008A6059">
        <w:rPr>
          <w:b/>
          <w:bCs/>
          <w:lang w:eastAsia="fr-BE"/>
        </w:rPr>
        <w:t xml:space="preserve"> market impacts and innovation </w:t>
      </w:r>
      <w:r w:rsidRPr="008A6059">
        <w:rPr>
          <w:lang w:eastAsia="fr-BE"/>
        </w:rPr>
        <w:t>dynamics in merger assessments;</w:t>
      </w:r>
    </w:p>
    <w:p w14:paraId="47C13D78" w14:textId="77777777" w:rsidR="008A6059" w:rsidRPr="008A6059" w:rsidRDefault="008A6059" w:rsidP="000B3BD2">
      <w:pPr>
        <w:numPr>
          <w:ilvl w:val="0"/>
          <w:numId w:val="26"/>
        </w:numPr>
        <w:tabs>
          <w:tab w:val="clear" w:pos="720"/>
          <w:tab w:val="num" w:pos="284"/>
        </w:tabs>
        <w:overflowPunct w:val="0"/>
        <w:autoSpaceDE w:val="0"/>
        <w:autoSpaceDN w:val="0"/>
        <w:adjustRightInd w:val="0"/>
        <w:ind w:left="284" w:hanging="284"/>
        <w:textAlignment w:val="baseline"/>
        <w:rPr>
          <w:lang w:eastAsia="fr-BE"/>
        </w:rPr>
      </w:pPr>
      <w:r w:rsidRPr="008A6059">
        <w:rPr>
          <w:lang w:eastAsia="fr-BE"/>
        </w:rPr>
        <w:t xml:space="preserve">highlights the need for </w:t>
      </w:r>
      <w:r w:rsidRPr="008A6059">
        <w:rPr>
          <w:b/>
          <w:bCs/>
          <w:lang w:eastAsia="fr-BE"/>
        </w:rPr>
        <w:t>State aid rules</w:t>
      </w:r>
      <w:r w:rsidRPr="008A6059">
        <w:rPr>
          <w:lang w:eastAsia="fr-BE"/>
        </w:rPr>
        <w:t xml:space="preserve">—particularly the new CISAF framework and IPCEI processes—to promote </w:t>
      </w:r>
      <w:r w:rsidRPr="008A6059">
        <w:rPr>
          <w:b/>
          <w:bCs/>
          <w:lang w:eastAsia="fr-BE"/>
        </w:rPr>
        <w:t>cross-border participation, reduce fragmentation, and support strategic investments</w:t>
      </w:r>
      <w:r w:rsidRPr="008A6059">
        <w:rPr>
          <w:lang w:eastAsia="fr-BE"/>
        </w:rPr>
        <w:t xml:space="preserve"> essential for the Clean Industrial Deal, while ensuring cohesion and a level playing field across Member States.</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A6059" w:rsidRPr="008A6059" w14:paraId="60D2607C" w14:textId="77777777" w:rsidTr="0036489A">
        <w:tc>
          <w:tcPr>
            <w:tcW w:w="1418"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sidRPr="008A6059">
              <w:rPr>
                <w:b/>
                <w:i/>
              </w:rPr>
              <w:t>Contact</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sidRPr="008A6059">
              <w:rPr>
                <w:i/>
              </w:rPr>
              <w:t>Silvia Staffa</w:t>
            </w:r>
          </w:p>
        </w:tc>
      </w:tr>
      <w:tr w:rsidR="008A6059" w:rsidRPr="008A6059" w14:paraId="3BAB393F" w14:textId="77777777" w:rsidTr="0036489A">
        <w:tc>
          <w:tcPr>
            <w:tcW w:w="1418"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sidRPr="008A6059">
              <w:rPr>
                <w:i/>
              </w:rPr>
              <w:t>Tel.</w:t>
            </w:r>
          </w:p>
        </w:tc>
        <w:tc>
          <w:tcPr>
            <w:tcW w:w="5670"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sidRPr="008A6059">
              <w:rPr>
                <w:i/>
                <w:lang w:val="en-GB"/>
              </w:rPr>
              <w:t>+ 32 25468378</w:t>
            </w:r>
          </w:p>
        </w:tc>
      </w:tr>
      <w:tr w:rsidR="008A6059" w:rsidRPr="008A6059" w14:paraId="6DC120EA" w14:textId="77777777" w:rsidTr="0036489A">
        <w:tc>
          <w:tcPr>
            <w:tcW w:w="1418" w:type="dxa"/>
          </w:tcPr>
          <w:p w14:paraId="32C00486" w14:textId="6A76D83D" w:rsidR="008A6059" w:rsidRPr="008A6059" w:rsidRDefault="006E6F14" w:rsidP="008A6059">
            <w:pPr>
              <w:overflowPunct w:val="0"/>
              <w:autoSpaceDE w:val="0"/>
              <w:autoSpaceDN w:val="0"/>
              <w:adjustRightInd w:val="0"/>
              <w:spacing w:line="240" w:lineRule="auto"/>
              <w:textAlignment w:val="baseline"/>
              <w:rPr>
                <w:i/>
              </w:rPr>
            </w:pPr>
            <w:r>
              <w:rPr>
                <w:i/>
              </w:rPr>
              <w:t>E</w:t>
            </w:r>
            <w:r w:rsidR="008A6059" w:rsidRPr="008A6059">
              <w:rPr>
                <w:i/>
              </w:rPr>
              <w:t>mail</w:t>
            </w:r>
          </w:p>
        </w:tc>
        <w:tc>
          <w:tcPr>
            <w:tcW w:w="5670" w:type="dxa"/>
          </w:tcPr>
          <w:p w14:paraId="0B7A4BF8" w14:textId="77777777" w:rsidR="008A6059" w:rsidRPr="008A6059" w:rsidRDefault="00597E8B" w:rsidP="008A6059">
            <w:pPr>
              <w:overflowPunct w:val="0"/>
              <w:autoSpaceDE w:val="0"/>
              <w:autoSpaceDN w:val="0"/>
              <w:adjustRightInd w:val="0"/>
              <w:spacing w:line="240" w:lineRule="auto"/>
              <w:textAlignment w:val="baseline"/>
              <w:rPr>
                <w:i/>
              </w:rPr>
            </w:pPr>
            <w:hyperlink r:id="rId37" w:history="1">
              <w:r w:rsidR="008A6059" w:rsidRPr="008A6059">
                <w:rPr>
                  <w:i/>
                  <w:color w:val="0000FF"/>
                  <w:u w:val="single"/>
                </w:rPr>
                <w:t>S</w:t>
              </w:r>
              <w:r w:rsidR="008A6059" w:rsidRPr="008A6059">
                <w:rPr>
                  <w:i/>
                  <w:color w:val="0000FF"/>
                  <w:u w:val="single"/>
                  <w:lang w:val="en-GB"/>
                </w:rPr>
                <w:t>ilvia</w:t>
              </w:r>
              <w:r w:rsidR="008A6059" w:rsidRPr="008A6059">
                <w:rPr>
                  <w:i/>
                  <w:color w:val="0000FF"/>
                  <w:u w:val="single"/>
                </w:rPr>
                <w:t>.Staffa@eesc.europa.eu</w:t>
              </w:r>
            </w:hyperlink>
          </w:p>
        </w:tc>
      </w:tr>
    </w:tbl>
    <w:p w14:paraId="4982DE1D" w14:textId="77777777" w:rsidR="004D7AC0" w:rsidRDefault="004D7AC0" w:rsidP="004D7AC0">
      <w:pPr>
        <w:pStyle w:val="ListParagraph"/>
        <w:ind w:left="0"/>
      </w:pPr>
    </w:p>
    <w:p w14:paraId="4E659D6D" w14:textId="34CA558D"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proofErr w:type="spellStart"/>
        <w:r w:rsidR="00685A3A" w:rsidRPr="00685A3A">
          <w:rPr>
            <w:b/>
            <w:bCs/>
            <w:i/>
            <w:iCs/>
            <w:color w:val="0000FF"/>
            <w:sz w:val="28"/>
            <w:szCs w:val="28"/>
            <w:u w:val="single"/>
            <w:lang w:val="fr-FR"/>
          </w:rPr>
          <w:t>Competitiveness</w:t>
        </w:r>
        <w:proofErr w:type="spellEnd"/>
        <w:r w:rsidR="00685A3A" w:rsidRPr="00685A3A">
          <w:rPr>
            <w:b/>
            <w:bCs/>
            <w:i/>
            <w:iCs/>
            <w:color w:val="0000FF"/>
            <w:sz w:val="28"/>
            <w:szCs w:val="28"/>
            <w:u w:val="single"/>
            <w:lang w:val="fr-FR"/>
          </w:rPr>
          <w:t xml:space="preserve"> </w:t>
        </w:r>
        <w:proofErr w:type="spellStart"/>
        <w:r w:rsidR="00685A3A" w:rsidRPr="00685A3A">
          <w:rPr>
            <w:b/>
            <w:bCs/>
            <w:i/>
            <w:iCs/>
            <w:color w:val="0000FF"/>
            <w:sz w:val="28"/>
            <w:szCs w:val="28"/>
            <w:u w:val="single"/>
            <w:lang w:val="fr-FR"/>
          </w:rPr>
          <w:t>fund</w:t>
        </w:r>
        <w:proofErr w:type="spellEnd"/>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sidRPr="00685A3A">
              <w:rPr>
                <w:b/>
              </w:rPr>
              <w:t>Rapporteur</w:t>
            </w:r>
          </w:p>
        </w:tc>
        <w:tc>
          <w:tcPr>
            <w:tcW w:w="3892" w:type="pct"/>
          </w:tcPr>
          <w:p w14:paraId="51845819" w14:textId="5140C0C9" w:rsidR="00685A3A" w:rsidRPr="00685A3A" w:rsidRDefault="00685A3A" w:rsidP="00685A3A">
            <w:pPr>
              <w:tabs>
                <w:tab w:val="center" w:pos="0"/>
              </w:tabs>
              <w:overflowPunct w:val="0"/>
              <w:autoSpaceDE w:val="0"/>
              <w:autoSpaceDN w:val="0"/>
              <w:adjustRightInd w:val="0"/>
              <w:ind w:left="266" w:hanging="266"/>
              <w:textAlignment w:val="baseline"/>
              <w:rPr>
                <w:lang w:val="en-GB"/>
              </w:rPr>
            </w:pPr>
            <w:r w:rsidRPr="00685A3A">
              <w:rPr>
                <w:bCs/>
              </w:rPr>
              <w:t>Milena ANGELOVA</w:t>
            </w:r>
            <w:r w:rsidRPr="00685A3A">
              <w:t xml:space="preserve"> (</w:t>
            </w:r>
            <w:r w:rsidRPr="00685A3A">
              <w:rPr>
                <w:lang w:val="en-GB"/>
              </w:rPr>
              <w:t xml:space="preserve">Employers' Group </w:t>
            </w:r>
            <w:r w:rsidR="0068013D">
              <w:rPr>
                <w:lang w:val="en-GB"/>
              </w:rPr>
              <w:t>-</w:t>
            </w:r>
            <w:r w:rsidRPr="00685A3A">
              <w:rPr>
                <w:lang w:val="en-GB"/>
              </w:rPr>
              <w:t xml:space="preserve"> BG</w:t>
            </w:r>
            <w:r w:rsidRPr="00685A3A">
              <w:t>)</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sidRPr="00685A3A">
              <w:rPr>
                <w:b/>
              </w:rPr>
              <w:t>References</w:t>
            </w:r>
          </w:p>
        </w:tc>
        <w:tc>
          <w:tcPr>
            <w:tcW w:w="3892" w:type="pct"/>
          </w:tcPr>
          <w:p w14:paraId="3A3B4EA5" w14:textId="380A953C" w:rsidR="00685A3A" w:rsidRPr="00685A3A" w:rsidRDefault="00685A3A" w:rsidP="00685A3A">
            <w:pPr>
              <w:tabs>
                <w:tab w:val="center" w:pos="284"/>
              </w:tabs>
              <w:overflowPunct w:val="0"/>
              <w:autoSpaceDE w:val="0"/>
              <w:autoSpaceDN w:val="0"/>
              <w:adjustRightInd w:val="0"/>
              <w:ind w:left="266" w:hanging="266"/>
              <w:textAlignment w:val="baseline"/>
              <w:rPr>
                <w:lang w:val="pt-PT"/>
              </w:rPr>
            </w:pPr>
            <w:r w:rsidRPr="00685A3A">
              <w:rPr>
                <w:lang w:val="pt-PT"/>
              </w:rPr>
              <w:t>COM(2025) 555 final</w:t>
            </w:r>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rPr>
                <w:lang w:val="pt-PT"/>
              </w:rPr>
            </w:pPr>
            <w:r w:rsidRPr="00685A3A">
              <w:rPr>
                <w:lang w:val="pt-PT"/>
              </w:rP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r w:rsidRPr="00685A3A">
        <w:rPr>
          <w:b/>
          <w:lang w:val="en-GB"/>
        </w:rPr>
        <w:t>Key points</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lang w:val="en-GB"/>
        </w:rPr>
      </w:pPr>
      <w:r w:rsidRPr="00685A3A">
        <w:rPr>
          <w:bCs/>
          <w:iCs/>
          <w:lang w:val="en-GB"/>
        </w:rPr>
        <w:t>The EESC:</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B3BD2">
      <w:pPr>
        <w:numPr>
          <w:ilvl w:val="0"/>
          <w:numId w:val="27"/>
        </w:numPr>
        <w:overflowPunct w:val="0"/>
        <w:autoSpaceDE w:val="0"/>
        <w:autoSpaceDN w:val="0"/>
        <w:adjustRightInd w:val="0"/>
        <w:ind w:left="284" w:hanging="284"/>
        <w:textAlignment w:val="baseline"/>
      </w:pPr>
      <w:r w:rsidRPr="00685A3A">
        <w:rPr>
          <w:lang w:val="en-GB"/>
        </w:rPr>
        <w:t>supports the creation of the European Competitiveness Fund (ECF) as a cornerstone of the next EU budget and a driver of innovation, resilience and security, stressing</w:t>
      </w:r>
      <w:r w:rsidRPr="00685A3A">
        <w:t xml:space="preserve"> that </w:t>
      </w:r>
      <w:r w:rsidRPr="00685A3A">
        <w:rPr>
          <w:b/>
          <w:bCs/>
        </w:rPr>
        <w:t>funding must remain firmly aligned with sustainability and the EU’s social market economy</w:t>
      </w:r>
      <w:r w:rsidRPr="00685A3A">
        <w:t>;</w:t>
      </w:r>
    </w:p>
    <w:p w14:paraId="7B5E1E81" w14:textId="77777777" w:rsidR="00685A3A" w:rsidRPr="00685A3A" w:rsidRDefault="00685A3A" w:rsidP="000B3BD2">
      <w:pPr>
        <w:numPr>
          <w:ilvl w:val="0"/>
          <w:numId w:val="27"/>
        </w:numPr>
        <w:overflowPunct w:val="0"/>
        <w:autoSpaceDE w:val="0"/>
        <w:autoSpaceDN w:val="0"/>
        <w:adjustRightInd w:val="0"/>
        <w:ind w:left="284" w:hanging="284"/>
        <w:textAlignment w:val="baseline"/>
      </w:pPr>
      <w:r w:rsidRPr="00685A3A">
        <w:rPr>
          <w:b/>
          <w:bCs/>
          <w:lang w:val="en-GB"/>
        </w:rPr>
        <w:t>calls for EU-wide, merit-based project selection</w:t>
      </w:r>
      <w:r w:rsidRPr="00685A3A">
        <w:rPr>
          <w:lang w:val="en-GB"/>
        </w:rPr>
        <w:t>, with clear criteria such as excellence, future orientation and economic potential. To</w:t>
      </w:r>
      <w:r w:rsidRPr="00685A3A">
        <w:t xml:space="preserve"> </w:t>
      </w:r>
      <w:r w:rsidRPr="00685A3A">
        <w:rPr>
          <w:b/>
          <w:bCs/>
        </w:rPr>
        <w:t>avoid national gatekeeping</w:t>
      </w:r>
      <w:r w:rsidRPr="00685A3A">
        <w:t>, the EESC urges transparent procedures, equal access for applicants in all Member States, and the active involvement of social partners and civil society in governance;</w:t>
      </w:r>
    </w:p>
    <w:p w14:paraId="64C52483" w14:textId="77777777" w:rsidR="00685A3A" w:rsidRPr="00685A3A" w:rsidRDefault="00685A3A" w:rsidP="000B3BD2">
      <w:pPr>
        <w:numPr>
          <w:ilvl w:val="0"/>
          <w:numId w:val="27"/>
        </w:numPr>
        <w:overflowPunct w:val="0"/>
        <w:autoSpaceDE w:val="0"/>
        <w:autoSpaceDN w:val="0"/>
        <w:adjustRightInd w:val="0"/>
        <w:ind w:left="284" w:hanging="284"/>
        <w:textAlignment w:val="baseline"/>
      </w:pPr>
      <w:r w:rsidRPr="00685A3A">
        <w:rPr>
          <w:b/>
          <w:bCs/>
          <w:lang w:val="en-GB"/>
        </w:rPr>
        <w:t>recommends introducing a “market referendum”</w:t>
      </w:r>
      <w:r w:rsidRPr="00685A3A">
        <w:rPr>
          <w:lang w:val="en-GB"/>
        </w:rPr>
        <w:t>, requiring projects seeking major EU top-ups—such as IPCEIs or other large-scale investments</w:t>
      </w:r>
      <w:r w:rsidRPr="00685A3A">
        <w:t xml:space="preserve">—to </w:t>
      </w:r>
      <w:proofErr w:type="spellStart"/>
      <w:r w:rsidRPr="00685A3A">
        <w:t>mobilise</w:t>
      </w:r>
      <w:proofErr w:type="spellEnd"/>
      <w:r w:rsidRPr="00685A3A">
        <w:t xml:space="preserve"> a share of private capital first. This market-test mechanism would help validate project quality, reduce </w:t>
      </w:r>
      <w:proofErr w:type="spellStart"/>
      <w:r w:rsidRPr="00685A3A">
        <w:t>politicised</w:t>
      </w:r>
      <w:proofErr w:type="spellEnd"/>
      <w:r w:rsidRPr="00685A3A">
        <w:t xml:space="preserve"> funding decisions and strengthen the link between public support and real competitiveness;</w:t>
      </w:r>
    </w:p>
    <w:p w14:paraId="7A1693EC" w14:textId="77777777" w:rsidR="00685A3A" w:rsidRPr="00685A3A" w:rsidRDefault="00685A3A" w:rsidP="000B3BD2">
      <w:pPr>
        <w:numPr>
          <w:ilvl w:val="0"/>
          <w:numId w:val="27"/>
        </w:numPr>
        <w:overflowPunct w:val="0"/>
        <w:autoSpaceDE w:val="0"/>
        <w:autoSpaceDN w:val="0"/>
        <w:adjustRightInd w:val="0"/>
        <w:ind w:left="284" w:hanging="284"/>
        <w:textAlignment w:val="baseline"/>
      </w:pPr>
      <w:r w:rsidRPr="00685A3A">
        <w:rPr>
          <w:b/>
          <w:bCs/>
          <w:lang w:val="en-GB"/>
        </w:rPr>
        <w:t>stresses the need for strong risk-assessment and prevention tools</w:t>
      </w:r>
      <w:r w:rsidRPr="00685A3A">
        <w:rPr>
          <w:lang w:val="en-GB"/>
        </w:rPr>
        <w:t>, ensuring that ECF resources are channelled only to projects that genuinely</w:t>
      </w:r>
      <w:r w:rsidRPr="00685A3A">
        <w:t xml:space="preserve"> enhance Europe’s competitiveness and avoid repeating past shortcomings in EU funding </w:t>
      </w:r>
      <w:proofErr w:type="spellStart"/>
      <w:r w:rsidRPr="00685A3A">
        <w:t>programmes</w:t>
      </w:r>
      <w:proofErr w:type="spellEnd"/>
      <w:r w:rsidRPr="00685A3A">
        <w:t>;</w:t>
      </w:r>
    </w:p>
    <w:p w14:paraId="4F35B8DF" w14:textId="77777777" w:rsidR="00685A3A" w:rsidRPr="00685A3A" w:rsidRDefault="00685A3A" w:rsidP="000B3BD2">
      <w:pPr>
        <w:numPr>
          <w:ilvl w:val="0"/>
          <w:numId w:val="27"/>
        </w:numPr>
        <w:overflowPunct w:val="0"/>
        <w:autoSpaceDE w:val="0"/>
        <w:autoSpaceDN w:val="0"/>
        <w:adjustRightInd w:val="0"/>
        <w:ind w:left="284" w:hanging="284"/>
        <w:textAlignment w:val="baseline"/>
      </w:pPr>
      <w:r w:rsidRPr="00685A3A">
        <w:rPr>
          <w:lang w:val="en-GB"/>
        </w:rPr>
        <w:t>highlights the importance</w:t>
      </w:r>
      <w:r w:rsidRPr="00685A3A">
        <w:t xml:space="preserve"> of s</w:t>
      </w:r>
      <w:r w:rsidRPr="00685A3A">
        <w:rPr>
          <w:b/>
          <w:bCs/>
        </w:rPr>
        <w:t>upporting SMEs, regional and cross-border innovation ecosystems, and investment in skills and decent work</w:t>
      </w:r>
      <w:r w:rsidRPr="00685A3A">
        <w:t>, while simplifying procedures and ensuring governance that is transparent, predictable and inclusive.</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5360"/>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2572"/>
            </w:tblGrid>
            <w:tr w:rsidR="00E13363" w:rsidRPr="00A6689B" w14:paraId="014CFA79" w14:textId="77777777" w:rsidTr="0036489A">
              <w:tc>
                <w:tcPr>
                  <w:tcW w:w="742" w:type="pct"/>
                </w:tcPr>
                <w:p w14:paraId="7EB958FC" w14:textId="77777777" w:rsidR="00E13363" w:rsidRPr="00A6689B" w:rsidRDefault="00E13363" w:rsidP="00E13363">
                  <w:pPr>
                    <w:rPr>
                      <w:i/>
                    </w:rPr>
                  </w:pPr>
                  <w:r>
                    <w:rPr>
                      <w:b/>
                      <w:i/>
                    </w:rPr>
                    <w:t>Contact</w:t>
                  </w:r>
                </w:p>
              </w:tc>
              <w:tc>
                <w:tcPr>
                  <w:tcW w:w="4258" w:type="pct"/>
                </w:tcPr>
                <w:p w14:paraId="2797B023" w14:textId="00679360" w:rsidR="00E13363" w:rsidRPr="00A6689B" w:rsidRDefault="00E13363" w:rsidP="00E13363">
                  <w:pPr>
                    <w:rPr>
                      <w:i/>
                    </w:rPr>
                  </w:pPr>
                  <w:r>
                    <w:rPr>
                      <w:i/>
                    </w:rPr>
                    <w:t>Silvia S</w:t>
                  </w:r>
                  <w:r w:rsidR="000E7346">
                    <w:rPr>
                      <w:i/>
                    </w:rPr>
                    <w:t>taffa</w:t>
                  </w:r>
                </w:p>
              </w:tc>
            </w:tr>
            <w:tr w:rsidR="00E13363" w:rsidRPr="00A6689B" w14:paraId="545C7BC0" w14:textId="77777777" w:rsidTr="0036489A">
              <w:tc>
                <w:tcPr>
                  <w:tcW w:w="742" w:type="pct"/>
                </w:tcPr>
                <w:p w14:paraId="01319993" w14:textId="77777777" w:rsidR="00E13363" w:rsidRPr="00A6689B" w:rsidRDefault="00E13363" w:rsidP="00E13363">
                  <w:pPr>
                    <w:rPr>
                      <w:i/>
                    </w:rPr>
                  </w:pPr>
                  <w:r>
                    <w:rPr>
                      <w:i/>
                    </w:rPr>
                    <w:t>Tel.</w:t>
                  </w:r>
                </w:p>
              </w:tc>
              <w:tc>
                <w:tcPr>
                  <w:tcW w:w="4258" w:type="pct"/>
                </w:tcPr>
                <w:p w14:paraId="66DD56EC" w14:textId="77777777" w:rsidR="00E13363" w:rsidRPr="00A6689B" w:rsidRDefault="00E13363" w:rsidP="00E13363">
                  <w:pPr>
                    <w:rPr>
                      <w:i/>
                    </w:rPr>
                  </w:pPr>
                  <w:r>
                    <w:rPr>
                      <w:i/>
                    </w:rPr>
                    <w:t>+32 254 68378</w:t>
                  </w:r>
                </w:p>
              </w:tc>
            </w:tr>
            <w:tr w:rsidR="00E13363" w:rsidRPr="00CB5569" w14:paraId="4CC970C9" w14:textId="77777777" w:rsidTr="0036489A">
              <w:tc>
                <w:tcPr>
                  <w:tcW w:w="742" w:type="pct"/>
                </w:tcPr>
                <w:p w14:paraId="7B046870" w14:textId="77777777" w:rsidR="00E13363" w:rsidRPr="00A6689B" w:rsidRDefault="00E13363" w:rsidP="00E13363">
                  <w:pPr>
                    <w:rPr>
                      <w:i/>
                    </w:rPr>
                  </w:pPr>
                  <w:r>
                    <w:rPr>
                      <w:i/>
                    </w:rPr>
                    <w:t>Email</w:t>
                  </w:r>
                </w:p>
              </w:tc>
              <w:tc>
                <w:tcPr>
                  <w:tcW w:w="4258" w:type="pct"/>
                </w:tcPr>
                <w:p w14:paraId="73277BE8" w14:textId="77777777" w:rsidR="00E13363" w:rsidRPr="00CB5569" w:rsidRDefault="00597E8B" w:rsidP="00E13363">
                  <w:pPr>
                    <w:rPr>
                      <w:i/>
                      <w:iCs/>
                      <w:sz w:val="20"/>
                    </w:rPr>
                  </w:pPr>
                  <w:hyperlink r:id="rId39" w:history="1">
                    <w:r w:rsidR="00E13363" w:rsidRPr="00B40062">
                      <w:rPr>
                        <w:rStyle w:val="Hyperlink"/>
                        <w:i/>
                        <w:iCs/>
                        <w:sz w:val="20"/>
                      </w:rPr>
                      <w:t>Silvia.Staff</w:t>
                    </w:r>
                    <w:r w:rsidR="00E13363" w:rsidRPr="00C12FF5">
                      <w:rPr>
                        <w:rStyle w:val="Hyperlink"/>
                        <w:i/>
                        <w:iCs/>
                        <w:sz w:val="20"/>
                      </w:rPr>
                      <w:t>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090BFE1C"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sidRPr="00685A3A">
          <w:rPr>
            <w:b/>
            <w:bCs/>
            <w:i/>
            <w:iCs/>
            <w:color w:val="0000FF"/>
            <w:sz w:val="28"/>
            <w:szCs w:val="28"/>
            <w:u w:val="single"/>
          </w:rPr>
          <w:t>Review of the European public procurement legal framework</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6979"/>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sidRPr="00685A3A">
              <w:rPr>
                <w:b/>
              </w:rPr>
              <w:t>Rapporteur</w:t>
            </w:r>
          </w:p>
        </w:tc>
        <w:tc>
          <w:tcPr>
            <w:tcW w:w="3892" w:type="pct"/>
          </w:tcPr>
          <w:p w14:paraId="1387F327" w14:textId="2C202D73" w:rsidR="00685A3A" w:rsidRPr="00685A3A" w:rsidRDefault="00685A3A" w:rsidP="00685A3A">
            <w:pPr>
              <w:tabs>
                <w:tab w:val="center" w:pos="0"/>
              </w:tabs>
              <w:overflowPunct w:val="0"/>
              <w:autoSpaceDE w:val="0"/>
              <w:autoSpaceDN w:val="0"/>
              <w:adjustRightInd w:val="0"/>
              <w:ind w:left="266" w:hanging="266"/>
              <w:textAlignment w:val="baseline"/>
              <w:rPr>
                <w:lang w:val="en-GB"/>
              </w:rPr>
            </w:pPr>
            <w:r w:rsidRPr="00685A3A">
              <w:rPr>
                <w:bCs/>
              </w:rPr>
              <w:t>Philip VON BROCKDORFF</w:t>
            </w:r>
            <w:r w:rsidRPr="00685A3A">
              <w:t xml:space="preserve"> (</w:t>
            </w:r>
            <w:r w:rsidRPr="00685A3A">
              <w:rPr>
                <w:lang w:val="en-GB"/>
              </w:rPr>
              <w:t xml:space="preserve">Workers' Group </w:t>
            </w:r>
            <w:r w:rsidR="00B94F6D">
              <w:rPr>
                <w:lang w:val="en-GB"/>
              </w:rPr>
              <w:t>-</w:t>
            </w:r>
            <w:r w:rsidRPr="00685A3A">
              <w:rPr>
                <w:lang w:val="en-GB"/>
              </w:rPr>
              <w:t xml:space="preserve"> MT</w:t>
            </w:r>
            <w:r w:rsidRPr="00685A3A">
              <w: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sidRPr="00685A3A">
              <w:rPr>
                <w:b/>
              </w:rPr>
              <w:t>Reference</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rPr>
                <w:lang w:val="en-GB"/>
              </w:rPr>
            </w:pPr>
            <w:r w:rsidRPr="00685A3A">
              <w:rPr>
                <w:lang w:val="en-GB"/>
              </w:rPr>
              <w:t>Exploratory opinion</w:t>
            </w:r>
            <w:r w:rsidR="00B94F6D">
              <w:rPr>
                <w:lang w:val="en-GB"/>
              </w:rPr>
              <w:t xml:space="preserve"> requested by the European Commission</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rsidRPr="00685A3A">
              <w:rPr>
                <w:lang w:val="en-GB"/>
              </w:rP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r w:rsidRPr="00685A3A">
        <w:rPr>
          <w:b/>
          <w:lang w:val="en-GB"/>
        </w:rPr>
        <w:t>Key points</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lang w:val="en-GB"/>
        </w:rPr>
      </w:pPr>
      <w:r w:rsidRPr="00685A3A">
        <w:rPr>
          <w:bCs/>
          <w:iCs/>
          <w:lang w:val="en-GB"/>
        </w:rPr>
        <w:t>The EESC:</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agrees that a review of existing EU legislation is necessary to enhance simplification, reduce administrative cost, and support further harmonisation in the single market;</w:t>
      </w:r>
    </w:p>
    <w:p w14:paraId="73D00E89"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believes that a sustainable EU procurement policy can go beyond the narrow market failure paradigm, enabling strategic and public welfare-oriented procurement; enshrine social, innovation and environmental criteria as equal objectives; and ensure fair access to public procurement by private operators;</w:t>
      </w:r>
    </w:p>
    <w:p w14:paraId="0FCA8925"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considers that public contracts must be awarded on the most economically advantageous basis, while emphasising the importance of non-price criteria, e.g., quality, innovation, environmental, sustainability and social considerations, especially workers’ rights and collective agreements;</w:t>
      </w:r>
    </w:p>
    <w:p w14:paraId="67FC0F27"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calls for a holistic approach towards Services of General Interest (SGI) policies;</w:t>
      </w:r>
    </w:p>
    <w:p w14:paraId="4BDE4CA5"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is of the view that public contracts should not be awarded to companies that systematically infringe core workers’ rights or collective agreements that they are bound to;</w:t>
      </w:r>
    </w:p>
    <w:p w14:paraId="2A2F2AFD"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considers that, subject to appropriate legal criteria, and while ensuring minimum distortion to competition, the possibility to use in-house procurement for majority-controlled legal entities and direct award should be retained as part of the revision of the EU procurement directives;</w:t>
      </w:r>
    </w:p>
    <w:p w14:paraId="6E90E59A"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recommends introducing a legal obligation to evaluate the effects of the existing thresholds for public service contracts;</w:t>
      </w:r>
    </w:p>
    <w:p w14:paraId="47C53FE7"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lang w:val="en-GB" w:eastAsia="zh-CN"/>
        </w:rPr>
      </w:pPr>
      <w:r w:rsidRPr="00685A3A">
        <w:rPr>
          <w:lang w:val="en-GB" w:eastAsia="zh-CN"/>
        </w:rPr>
        <w:t>thinks that public procurement can support a socially just, ecologically sustainable and economically resilient Europe, for the benefit of the common good;</w:t>
      </w:r>
    </w:p>
    <w:p w14:paraId="75315D9A" w14:textId="77777777" w:rsidR="00685A3A" w:rsidRPr="00685A3A" w:rsidRDefault="00685A3A" w:rsidP="000B3BD2">
      <w:pPr>
        <w:numPr>
          <w:ilvl w:val="0"/>
          <w:numId w:val="28"/>
        </w:numPr>
        <w:overflowPunct w:val="0"/>
        <w:autoSpaceDE w:val="0"/>
        <w:autoSpaceDN w:val="0"/>
        <w:adjustRightInd w:val="0"/>
        <w:spacing w:line="276" w:lineRule="auto"/>
        <w:ind w:left="284" w:hanging="284"/>
        <w:contextualSpacing/>
        <w:textAlignment w:val="baseline"/>
        <w:rPr>
          <w:rFonts w:ascii="Calibri" w:hAnsi="Calibri"/>
          <w:lang w:val="en-GB" w:eastAsia="zh-CN"/>
        </w:rPr>
      </w:pPr>
      <w:r w:rsidRPr="00685A3A">
        <w:rPr>
          <w:lang w:val="en-GB" w:eastAsia="zh-CN"/>
        </w:rPr>
        <w:t>calls for mandatory price revision clauses to account for wage-related changes in collective agreements and/or labour legislation or inflation, and other relevant factors that affect the execution of a contract, such as energy costs</w:t>
      </w:r>
      <w:r w:rsidRPr="00685A3A">
        <w:rPr>
          <w:rFonts w:ascii="Calibri" w:hAnsi="Calibri"/>
          <w:lang w:val="en-GB" w:eastAsia="zh-CN"/>
        </w:rPr>
        <w:t>.</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7727"/>
      </w:tblGrid>
      <w:tr w:rsidR="00685A3A" w:rsidRPr="00685A3A" w14:paraId="0E43841C" w14:textId="77777777" w:rsidTr="0036489A">
        <w:tc>
          <w:tcPr>
            <w:tcW w:w="742"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sidRPr="00685A3A">
              <w:rPr>
                <w:b/>
                <w:i/>
              </w:rPr>
              <w:t>Contact</w:t>
            </w:r>
          </w:p>
        </w:tc>
        <w:tc>
          <w:tcPr>
            <w:tcW w:w="4258"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sidRPr="00685A3A">
              <w:rPr>
                <w:i/>
              </w:rPr>
              <w:t>Annalisa Tessarolo</w:t>
            </w:r>
          </w:p>
        </w:tc>
      </w:tr>
      <w:tr w:rsidR="00685A3A" w:rsidRPr="00685A3A" w14:paraId="3DD656A6" w14:textId="77777777" w:rsidTr="0036489A">
        <w:tc>
          <w:tcPr>
            <w:tcW w:w="742"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sidRPr="00685A3A">
              <w:rPr>
                <w:i/>
              </w:rPr>
              <w:t>Tel.</w:t>
            </w:r>
          </w:p>
        </w:tc>
        <w:tc>
          <w:tcPr>
            <w:tcW w:w="4258"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sidRPr="00685A3A">
              <w:rPr>
                <w:i/>
              </w:rPr>
              <w:t>+ 32 25469732</w:t>
            </w:r>
          </w:p>
        </w:tc>
      </w:tr>
      <w:tr w:rsidR="00685A3A" w:rsidRPr="00685A3A" w14:paraId="31FFB9F3" w14:textId="77777777" w:rsidTr="0036489A">
        <w:tc>
          <w:tcPr>
            <w:tcW w:w="742"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sidRPr="00685A3A">
              <w:rPr>
                <w:i/>
              </w:rPr>
              <w:t>Email</w:t>
            </w:r>
          </w:p>
        </w:tc>
        <w:tc>
          <w:tcPr>
            <w:tcW w:w="4258" w:type="pct"/>
          </w:tcPr>
          <w:p w14:paraId="04364B9F" w14:textId="77777777" w:rsidR="00685A3A" w:rsidRPr="00685A3A" w:rsidRDefault="00597E8B" w:rsidP="00685A3A">
            <w:pPr>
              <w:overflowPunct w:val="0"/>
              <w:autoSpaceDE w:val="0"/>
              <w:autoSpaceDN w:val="0"/>
              <w:adjustRightInd w:val="0"/>
              <w:spacing w:line="240" w:lineRule="auto"/>
              <w:textAlignment w:val="baseline"/>
              <w:rPr>
                <w:i/>
                <w:iCs/>
                <w:lang w:val="en-GB"/>
              </w:rPr>
            </w:pPr>
            <w:hyperlink r:id="rId41" w:history="1">
              <w:r w:rsidR="00685A3A" w:rsidRPr="00685A3A">
                <w:rPr>
                  <w:i/>
                  <w:iCs/>
                  <w:color w:val="0000FF"/>
                  <w:u w:val="single"/>
                  <w:lang w:val="en-GB"/>
                </w:rPr>
                <w:t>Annalisa.Tessarolo@eesc.europa.eu</w:t>
              </w:r>
            </w:hyperlink>
          </w:p>
        </w:tc>
      </w:tr>
    </w:tbl>
    <w:p w14:paraId="40169B8F" w14:textId="3A8D790B" w:rsidR="00685A3A" w:rsidRDefault="00685A3A"/>
    <w:p w14:paraId="1E327181" w14:textId="77777777" w:rsidR="00685A3A" w:rsidRDefault="00685A3A">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8" w:name="_Toc70322234"/>
      <w:bookmarkStart w:id="9" w:name="_Toc75527084"/>
      <w:bookmarkStart w:id="10" w:name="_Toc173758873"/>
      <w:r>
        <w:rPr>
          <w:b/>
        </w:rPr>
        <w:t>AGRICULTURE, RURAL DEVELOPMENT AND THE ENVIRONMENT</w:t>
      </w:r>
      <w:bookmarkEnd w:id="8"/>
      <w:bookmarkEnd w:id="9"/>
      <w:bookmarkEnd w:id="10"/>
    </w:p>
    <w:p w14:paraId="4982DE20" w14:textId="77777777" w:rsidR="004D7AC0" w:rsidRDefault="004D7AC0" w:rsidP="004D7AC0"/>
    <w:p w14:paraId="280704BE" w14:textId="697C4DDF" w:rsidR="00836765" w:rsidRPr="00836765" w:rsidRDefault="00597E8B" w:rsidP="00836765">
      <w:pPr>
        <w:widowControl w:val="0"/>
        <w:numPr>
          <w:ilvl w:val="0"/>
          <w:numId w:val="4"/>
        </w:numPr>
        <w:overflowPunct w:val="0"/>
        <w:autoSpaceDE w:val="0"/>
        <w:autoSpaceDN w:val="0"/>
        <w:adjustRightInd w:val="0"/>
        <w:ind w:hanging="567"/>
        <w:textAlignment w:val="baseline"/>
        <w:rPr>
          <w:b/>
          <w:lang w:val="en-GB"/>
        </w:rPr>
      </w:pPr>
      <w:hyperlink r:id="rId42" w:history="1">
        <w:r w:rsidR="00836765" w:rsidRPr="00836765">
          <w:rPr>
            <w:b/>
            <w:bCs/>
            <w:i/>
            <w:iCs/>
            <w:color w:val="0000FF"/>
            <w:sz w:val="28"/>
            <w:szCs w:val="28"/>
            <w:u w:val="single"/>
            <w:lang w:val="en-GB"/>
          </w:rPr>
          <w:t>Amendment to deforestation regulation (EU) 2023/1115</w:t>
        </w:r>
      </w:hyperlink>
      <w:r w:rsidR="00836765" w:rsidRPr="00836765">
        <w:rPr>
          <w:b/>
          <w:bCs/>
          <w:i/>
          <w:iCs/>
          <w:sz w:val="28"/>
          <w:szCs w:val="28"/>
          <w:lang w:val="en-GB"/>
        </w:rPr>
        <w:t xml:space="preserve"> </w:t>
      </w:r>
    </w:p>
    <w:p w14:paraId="304DC66A" w14:textId="77777777" w:rsidR="00836765" w:rsidRPr="00836765" w:rsidRDefault="00836765" w:rsidP="00836765">
      <w:pPr>
        <w:widowControl w:val="0"/>
        <w:overflowPunct w:val="0"/>
        <w:autoSpaceDE w:val="0"/>
        <w:autoSpaceDN w:val="0"/>
        <w:adjustRightInd w:val="0"/>
        <w:ind w:left="266"/>
        <w:textAlignment w:val="baseline"/>
        <w:rPr>
          <w:b/>
          <w:bCs/>
          <w:i/>
          <w:iCs/>
          <w:sz w:val="28"/>
          <w:szCs w:val="28"/>
          <w:lang w:val="en-GB"/>
        </w:rPr>
      </w:pP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sidRPr="00836765">
              <w:rPr>
                <w:b/>
              </w:rPr>
              <w:t>References</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rPr>
                <w:lang w:val="en-GB"/>
              </w:rPr>
            </w:pPr>
            <w:r>
              <w:rPr>
                <w:lang w:val="en-GB"/>
              </w:rPr>
              <w:t>Category C opinion</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rsidRPr="00836765">
              <w:rPr>
                <w:lang w:val="en-GB"/>
              </w:rPr>
              <w:t>COM(2025) 652 final</w:t>
            </w:r>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rsidRPr="00836765">
              <w:rPr>
                <w:lang w:val="en-GB"/>
              </w:rP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r w:rsidRPr="00836765">
        <w:rPr>
          <w:b/>
          <w:lang w:val="en-GB"/>
        </w:rPr>
        <w:t>Key points</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lang w:val="en-GB"/>
        </w:rPr>
      </w:pPr>
      <w:r w:rsidRPr="00836765">
        <w:rPr>
          <w:bCs/>
          <w:iCs/>
          <w:lang w:val="en-GB"/>
        </w:rPr>
        <w:t>The EESC:</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B3BD2">
      <w:pPr>
        <w:widowControl w:val="0"/>
        <w:numPr>
          <w:ilvl w:val="0"/>
          <w:numId w:val="29"/>
        </w:numPr>
        <w:overflowPunct w:val="0"/>
        <w:autoSpaceDE w:val="0"/>
        <w:autoSpaceDN w:val="0"/>
        <w:adjustRightInd w:val="0"/>
        <w:ind w:left="284" w:hanging="284"/>
        <w:textAlignment w:val="baseline"/>
        <w:rPr>
          <w:bCs/>
          <w:iCs/>
          <w:lang w:val="en-GB"/>
        </w:rPr>
      </w:pPr>
      <w:r w:rsidRPr="00836765">
        <w:rPr>
          <w:szCs w:val="20"/>
          <w:lang w:val="en-GB"/>
        </w:rPr>
        <w:t>has already set out its views on the content of the proposal in question in its opinions EESC-2024-01183-00-00-AC-TRA, adopted on 19/09/2024</w:t>
      </w:r>
      <w:r w:rsidRPr="00836765">
        <w:rPr>
          <w:sz w:val="18"/>
          <w:szCs w:val="14"/>
          <w:vertAlign w:val="superscript"/>
          <w:lang w:val="en-GB"/>
        </w:rPr>
        <w:footnoteReference w:id="5"/>
      </w:r>
      <w:r w:rsidRPr="00836765">
        <w:rPr>
          <w:sz w:val="20"/>
          <w:szCs w:val="18"/>
          <w:lang w:val="en-GB"/>
        </w:rPr>
        <w:t xml:space="preserve"> </w:t>
      </w:r>
      <w:r w:rsidRPr="00836765">
        <w:rPr>
          <w:szCs w:val="20"/>
          <w:lang w:val="en-GB"/>
        </w:rPr>
        <w:t>and EESC-2021-05690-00-00-AC-TRA, adopted on 23/02/2022</w:t>
      </w:r>
      <w:r w:rsidRPr="00836765">
        <w:rPr>
          <w:sz w:val="18"/>
          <w:szCs w:val="14"/>
          <w:vertAlign w:val="superscript"/>
          <w:lang w:val="en-GB"/>
        </w:rPr>
        <w:footnoteReference w:id="6"/>
      </w:r>
      <w:r w:rsidRPr="00836765">
        <w:rPr>
          <w:szCs w:val="20"/>
          <w:lang w:val="en-GB"/>
        </w:rPr>
        <w:t>, it has decided not to draw up a new opinion on the subject, but to refer to the position it had taken in the above-mentioned documents.</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sidRPr="00836765">
              <w:rPr>
                <w:b/>
                <w:i/>
              </w:rPr>
              <w:t>Contact</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sidRPr="00836765">
              <w:rPr>
                <w:i/>
                <w:lang w:val="en-GB"/>
              </w:rPr>
              <w:t>Martine D</w:t>
            </w:r>
            <w:r w:rsidR="00B730AD" w:rsidRPr="00836765">
              <w:rPr>
                <w:i/>
                <w:lang w:val="en-GB"/>
              </w:rPr>
              <w:t>elanoy</w:t>
            </w:r>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sidRPr="00836765">
              <w:rPr>
                <w:i/>
              </w:rPr>
              <w:t>Tel.</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sidRPr="00836765">
              <w:rPr>
                <w:i/>
                <w:lang w:val="fr-LU"/>
              </w:rPr>
              <w:t>+32 25469</w:t>
            </w:r>
            <w:r w:rsidRPr="00836765">
              <w:rPr>
                <w:lang w:val="fr-LU"/>
              </w:rPr>
              <w:t>802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sidRPr="00836765">
              <w:rPr>
                <w:i/>
              </w:rPr>
              <w:t>Email</w:t>
            </w:r>
          </w:p>
        </w:tc>
        <w:tc>
          <w:tcPr>
            <w:tcW w:w="3922" w:type="pct"/>
          </w:tcPr>
          <w:p w14:paraId="63509101" w14:textId="77777777" w:rsidR="00836765" w:rsidRPr="00836765" w:rsidRDefault="00597E8B" w:rsidP="00836765">
            <w:pPr>
              <w:overflowPunct w:val="0"/>
              <w:autoSpaceDE w:val="0"/>
              <w:autoSpaceDN w:val="0"/>
              <w:adjustRightInd w:val="0"/>
              <w:textAlignment w:val="baseline"/>
              <w:rPr>
                <w:i/>
              </w:rPr>
            </w:pPr>
            <w:hyperlink r:id="rId43" w:history="1">
              <w:r w:rsidR="00836765" w:rsidRPr="00836765">
                <w:rPr>
                  <w:i/>
                  <w:color w:val="0000FF"/>
                  <w:u w:val="single"/>
                  <w:lang w:val="en-GB"/>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60C44D96" w:rsidR="000122F3" w:rsidRPr="000122F3" w:rsidRDefault="007F5784" w:rsidP="000122F3">
      <w:pPr>
        <w:widowControl w:val="0"/>
        <w:numPr>
          <w:ilvl w:val="0"/>
          <w:numId w:val="12"/>
        </w:numPr>
        <w:overflowPunct w:val="0"/>
        <w:autoSpaceDE w:val="0"/>
        <w:autoSpaceDN w:val="0"/>
        <w:adjustRightInd w:val="0"/>
        <w:ind w:left="567" w:hanging="567"/>
        <w:rPr>
          <w:sz w:val="20"/>
          <w:szCs w:val="20"/>
          <w:lang w:val="en-GB"/>
        </w:rPr>
      </w:pPr>
      <w:r>
        <w:br w:type="page"/>
      </w:r>
      <w:hyperlink r:id="rId44" w:history="1">
        <w:r w:rsidR="000122F3" w:rsidRPr="000122F3">
          <w:rPr>
            <w:b/>
            <w:bCs/>
            <w:i/>
            <w:iCs/>
            <w:color w:val="0000FF"/>
            <w:sz w:val="28"/>
            <w:szCs w:val="28"/>
            <w:u w:val="single"/>
            <w:lang w:val="en-GB"/>
          </w:rPr>
          <w:t>Revision of the Union Civil Protection Mechanism</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sidRPr="000122F3">
              <w:rPr>
                <w:b/>
              </w:rPr>
              <w:t>Rapporteur</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r w:rsidRPr="000122F3">
              <w:t>Florian MARIN</w:t>
            </w:r>
            <w:r w:rsidR="00973F68">
              <w:t xml:space="preserve"> </w:t>
            </w:r>
            <w:r w:rsidR="00973F68" w:rsidRPr="00973F68">
              <w:t>(Workers' Group -</w:t>
            </w:r>
            <w:r w:rsidR="00D40BB6">
              <w:t xml:space="preserve"> </w:t>
            </w:r>
            <w:r w:rsidR="00973F68">
              <w:t>RO</w:t>
            </w:r>
            <w:r w:rsidR="00973F68" w:rsidRPr="00973F68">
              <w:t>)</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sidRPr="000122F3">
              <w:rPr>
                <w:b/>
              </w:rPr>
              <w:t>References</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rPr>
                <w:lang w:val="en-GB"/>
              </w:rPr>
            </w:pPr>
            <w:r>
              <w:rPr>
                <w:lang w:val="en-GB"/>
              </w:rPr>
              <w:t>COM(2025) 548 final</w:t>
            </w:r>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rsidRPr="000122F3">
              <w:rPr>
                <w:lang w:val="en-GB"/>
              </w:rP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r w:rsidRPr="000122F3">
        <w:rPr>
          <w:b/>
          <w:lang w:val="en-GB"/>
        </w:rPr>
        <w:t>Key points</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rPr>
          <w:lang w:val="en-GB"/>
        </w:rPr>
      </w:pPr>
      <w:r w:rsidRPr="000122F3">
        <w:rPr>
          <w:lang w:val="en-GB"/>
        </w:rPr>
        <w:t>The EESC recommends:</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b/>
          <w:bCs/>
          <w:lang w:val="en-GB"/>
        </w:rPr>
        <w:t>more ambition</w:t>
      </w:r>
      <w:r w:rsidRPr="000122F3">
        <w:rPr>
          <w:lang w:val="en-GB"/>
        </w:rPr>
        <w:t xml:space="preserve"> in terms of addressing disaster risk reduction and prevention, rather than focusing primarily on response capacities. The establishment of an efficient and integrated Union Civil Protection Mechanism (UCPM) must include a comprehensive </w:t>
      </w:r>
      <w:r w:rsidRPr="000122F3">
        <w:rPr>
          <w:b/>
          <w:bCs/>
          <w:lang w:val="en-GB"/>
        </w:rPr>
        <w:t>framework for risk reduction policies</w:t>
      </w:r>
      <w:r w:rsidRPr="000122F3">
        <w:rPr>
          <w:lang w:val="en-GB"/>
        </w:rPr>
        <w:t xml:space="preserve"> across the EU, as well as increased focus on </w:t>
      </w:r>
      <w:r w:rsidRPr="000122F3">
        <w:rPr>
          <w:b/>
          <w:bCs/>
          <w:lang w:val="en-GB"/>
        </w:rPr>
        <w:t>cross-sectoral and cross-border</w:t>
      </w:r>
      <w:r w:rsidRPr="000122F3">
        <w:rPr>
          <w:lang w:val="en-GB"/>
        </w:rPr>
        <w:t xml:space="preserve"> disaster prevention, all implemented within a holistic risk management system;</w:t>
      </w:r>
    </w:p>
    <w:p w14:paraId="7024A92F"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b/>
          <w:bCs/>
          <w:lang w:val="en-GB"/>
        </w:rPr>
        <w:t>reducing administrative burdens</w:t>
      </w:r>
      <w:r w:rsidRPr="000122F3">
        <w:rPr>
          <w:lang w:val="en-GB"/>
        </w:rPr>
        <w:t xml:space="preserve">, eliminating overlaps, upgrading inadequate data and support systems, increasing trained human resources and investing in interoperable capacities based on common standards and training pathways, while ensuring </w:t>
      </w:r>
      <w:r w:rsidRPr="000122F3">
        <w:rPr>
          <w:b/>
          <w:bCs/>
          <w:lang w:val="en-GB"/>
        </w:rPr>
        <w:t>high-quality working conditions</w:t>
      </w:r>
      <w:r w:rsidRPr="000122F3">
        <w:rPr>
          <w:lang w:val="en-GB"/>
        </w:rPr>
        <w:t xml:space="preserve"> as prerequisites for strengthening societal resilience in a whole-of-society approach to crises;</w:t>
      </w:r>
    </w:p>
    <w:p w14:paraId="497B5155"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b/>
          <w:bCs/>
          <w:lang w:val="en-GB"/>
        </w:rPr>
        <w:t>better anticipation</w:t>
      </w:r>
      <w:r w:rsidRPr="000122F3">
        <w:rPr>
          <w:lang w:val="en-GB"/>
        </w:rPr>
        <w:t xml:space="preserve"> </w:t>
      </w:r>
      <w:r w:rsidRPr="000122F3">
        <w:rPr>
          <w:b/>
          <w:bCs/>
          <w:lang w:val="en-GB"/>
        </w:rPr>
        <w:t>and understanding</w:t>
      </w:r>
      <w:r w:rsidRPr="000122F3">
        <w:rPr>
          <w:lang w:val="en-GB"/>
        </w:rPr>
        <w:t xml:space="preserve"> of disasters and crises, while considering the role of propaganda and disinformation in amplifying social stress;</w:t>
      </w:r>
    </w:p>
    <w:p w14:paraId="1AEBFB07"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strengthening the UPCM through </w:t>
      </w:r>
      <w:r w:rsidRPr="000122F3">
        <w:rPr>
          <w:b/>
          <w:bCs/>
          <w:lang w:val="en-GB"/>
        </w:rPr>
        <w:t>supplementary funding</w:t>
      </w:r>
      <w:r w:rsidRPr="000122F3">
        <w:rPr>
          <w:lang w:val="en-GB"/>
        </w:rPr>
        <w:t>, particularly in relation to vulnerable groups and regions, including the outermost regions and regions in proximity to war;</w:t>
      </w:r>
    </w:p>
    <w:p w14:paraId="6A0A0A84"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ensuring </w:t>
      </w:r>
      <w:r w:rsidRPr="000122F3">
        <w:rPr>
          <w:b/>
          <w:bCs/>
          <w:lang w:val="en-GB"/>
        </w:rPr>
        <w:t>coherence with National and Regional Partnership Plans</w:t>
      </w:r>
      <w:r w:rsidRPr="000122F3">
        <w:rPr>
          <w:lang w:val="en-GB"/>
        </w:rPr>
        <w:t xml:space="preserve"> (NRPPs) proposed for the 2028–2034 programming period;</w:t>
      </w:r>
    </w:p>
    <w:p w14:paraId="1E425507"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fostering </w:t>
      </w:r>
      <w:r w:rsidRPr="000122F3">
        <w:rPr>
          <w:b/>
          <w:bCs/>
          <w:lang w:val="en-GB"/>
        </w:rPr>
        <w:t>greater complementarities</w:t>
      </w:r>
      <w:r w:rsidRPr="000122F3">
        <w:rPr>
          <w:lang w:val="en-GB"/>
        </w:rPr>
        <w:t xml:space="preserve"> between existing instruments such as Security Action for Europe, the European Solidarity Corps and the UCPM;</w:t>
      </w:r>
    </w:p>
    <w:p w14:paraId="71C4B6AC"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ensuring sufficient and stable </w:t>
      </w:r>
      <w:r w:rsidRPr="000122F3">
        <w:rPr>
          <w:b/>
          <w:bCs/>
          <w:lang w:val="en-GB"/>
        </w:rPr>
        <w:t>funding for professional firefighters</w:t>
      </w:r>
      <w:r w:rsidRPr="000122F3">
        <w:rPr>
          <w:lang w:val="en-GB"/>
        </w:rPr>
        <w:t xml:space="preserve"> </w:t>
      </w:r>
      <w:r w:rsidRPr="000122F3">
        <w:rPr>
          <w:b/>
          <w:bCs/>
          <w:lang w:val="en-GB"/>
        </w:rPr>
        <w:t>and</w:t>
      </w:r>
      <w:r w:rsidRPr="000122F3">
        <w:rPr>
          <w:lang w:val="en-GB"/>
        </w:rPr>
        <w:t xml:space="preserve"> </w:t>
      </w:r>
      <w:r w:rsidRPr="000122F3">
        <w:rPr>
          <w:b/>
          <w:bCs/>
          <w:lang w:val="en-GB"/>
        </w:rPr>
        <w:t>healthcare personnel</w:t>
      </w:r>
      <w:r w:rsidRPr="000122F3">
        <w:rPr>
          <w:lang w:val="en-GB"/>
        </w:rPr>
        <w:t xml:space="preserve"> to maintain efficiency and rapid response within the UCPM, while strengthening the role of volunteers;</w:t>
      </w:r>
    </w:p>
    <w:p w14:paraId="22A0C91D"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that the </w:t>
      </w:r>
      <w:r w:rsidRPr="000122F3">
        <w:rPr>
          <w:b/>
          <w:bCs/>
          <w:lang w:val="en-GB"/>
        </w:rPr>
        <w:t>UCPM</w:t>
      </w:r>
      <w:r w:rsidRPr="000122F3">
        <w:rPr>
          <w:lang w:val="en-GB"/>
        </w:rPr>
        <w:t xml:space="preserve"> </w:t>
      </w:r>
      <w:r w:rsidRPr="000122F3">
        <w:rPr>
          <w:b/>
          <w:bCs/>
          <w:lang w:val="en-GB"/>
        </w:rPr>
        <w:t>be built on flexibility</w:t>
      </w:r>
      <w:r w:rsidRPr="000122F3">
        <w:rPr>
          <w:lang w:val="en-GB"/>
        </w:rPr>
        <w:t xml:space="preserve"> to respect the diversity of national disaster management systems, while </w:t>
      </w:r>
      <w:r w:rsidRPr="000122F3">
        <w:rPr>
          <w:b/>
          <w:bCs/>
          <w:lang w:val="en-GB"/>
        </w:rPr>
        <w:t>ensuring cross-border cooperation</w:t>
      </w:r>
      <w:r w:rsidRPr="000122F3">
        <w:rPr>
          <w:lang w:val="en-GB"/>
        </w:rPr>
        <w:t xml:space="preserve"> and coordination for a prompt and effective response to disasters that know no borders, with the full involvement of organised civil society;</w:t>
      </w:r>
    </w:p>
    <w:p w14:paraId="0D503548"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adapting procurement rules to </w:t>
      </w:r>
      <w:r w:rsidRPr="000122F3">
        <w:rPr>
          <w:b/>
          <w:bCs/>
          <w:lang w:val="en-GB"/>
        </w:rPr>
        <w:t>guarantee rapid and effective provision of critical supplies</w:t>
      </w:r>
      <w:r w:rsidRPr="000122F3">
        <w:rPr>
          <w:lang w:val="en-GB"/>
        </w:rPr>
        <w:t xml:space="preserve"> and services in times of crisis;</w:t>
      </w:r>
    </w:p>
    <w:p w14:paraId="5918B32B" w14:textId="77777777" w:rsidR="000122F3" w:rsidRPr="000122F3" w:rsidRDefault="000122F3" w:rsidP="000B3BD2">
      <w:pPr>
        <w:widowControl w:val="0"/>
        <w:numPr>
          <w:ilvl w:val="0"/>
          <w:numId w:val="30"/>
        </w:numPr>
        <w:overflowPunct w:val="0"/>
        <w:autoSpaceDE w:val="0"/>
        <w:autoSpaceDN w:val="0"/>
        <w:adjustRightInd w:val="0"/>
        <w:ind w:left="284" w:hanging="284"/>
        <w:rPr>
          <w:lang w:val="en-GB"/>
        </w:rPr>
      </w:pPr>
      <w:r w:rsidRPr="000122F3">
        <w:rPr>
          <w:lang w:val="en-GB"/>
        </w:rPr>
        <w:t xml:space="preserve">establishing a </w:t>
      </w:r>
      <w:r w:rsidRPr="000122F3">
        <w:rPr>
          <w:b/>
          <w:bCs/>
          <w:lang w:val="en-GB"/>
        </w:rPr>
        <w:t>standardised form for reporting disasters</w:t>
      </w:r>
      <w:r w:rsidRPr="000122F3">
        <w:rPr>
          <w:lang w:val="en-GB"/>
        </w:rPr>
        <w:t xml:space="preserve"> to be used by all Member States.</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122F3" w:rsidRPr="000122F3" w14:paraId="315A6780" w14:textId="77777777">
        <w:tc>
          <w:tcPr>
            <w:tcW w:w="1077" w:type="pct"/>
            <w:hideMark/>
          </w:tcPr>
          <w:p w14:paraId="0BC88ACD" w14:textId="77777777" w:rsidR="000122F3" w:rsidRPr="000122F3" w:rsidRDefault="000122F3" w:rsidP="000122F3">
            <w:pPr>
              <w:overflowPunct w:val="0"/>
              <w:autoSpaceDE w:val="0"/>
              <w:autoSpaceDN w:val="0"/>
              <w:adjustRightInd w:val="0"/>
              <w:rPr>
                <w:i/>
                <w:iCs/>
              </w:rPr>
            </w:pPr>
            <w:r w:rsidRPr="000122F3">
              <w:rPr>
                <w:b/>
                <w:bCs/>
                <w:i/>
                <w:iCs/>
              </w:rPr>
              <w:t>Contact</w:t>
            </w:r>
          </w:p>
        </w:tc>
        <w:tc>
          <w:tcPr>
            <w:tcW w:w="3923" w:type="pct"/>
            <w:hideMark/>
          </w:tcPr>
          <w:p w14:paraId="278195BE" w14:textId="77777777" w:rsidR="000122F3" w:rsidRPr="000122F3" w:rsidRDefault="000122F3" w:rsidP="000122F3">
            <w:pPr>
              <w:overflowPunct w:val="0"/>
              <w:autoSpaceDE w:val="0"/>
              <w:autoSpaceDN w:val="0"/>
              <w:adjustRightInd w:val="0"/>
              <w:rPr>
                <w:i/>
                <w:iCs/>
              </w:rPr>
            </w:pPr>
            <w:r w:rsidRPr="000122F3">
              <w:rPr>
                <w:i/>
                <w:iCs/>
              </w:rPr>
              <w:t xml:space="preserve">Arturo </w:t>
            </w:r>
            <w:r w:rsidRPr="000122F3">
              <w:rPr>
                <w:i/>
                <w:iCs/>
                <w:lang w:val="en-GB"/>
              </w:rPr>
              <w:t>Iniguez Yuste</w:t>
            </w:r>
          </w:p>
        </w:tc>
      </w:tr>
      <w:tr w:rsidR="000122F3" w:rsidRPr="000122F3" w14:paraId="326D7576" w14:textId="77777777">
        <w:tc>
          <w:tcPr>
            <w:tcW w:w="1077" w:type="pct"/>
            <w:hideMark/>
          </w:tcPr>
          <w:p w14:paraId="74416C4B" w14:textId="77777777" w:rsidR="000122F3" w:rsidRPr="000122F3" w:rsidRDefault="000122F3" w:rsidP="000122F3">
            <w:pPr>
              <w:overflowPunct w:val="0"/>
              <w:autoSpaceDE w:val="0"/>
              <w:autoSpaceDN w:val="0"/>
              <w:adjustRightInd w:val="0"/>
              <w:rPr>
                <w:i/>
              </w:rPr>
            </w:pPr>
            <w:r w:rsidRPr="000122F3">
              <w:rPr>
                <w:i/>
              </w:rPr>
              <w:t>Tel.</w:t>
            </w:r>
          </w:p>
        </w:tc>
        <w:tc>
          <w:tcPr>
            <w:tcW w:w="3923" w:type="pct"/>
            <w:hideMark/>
          </w:tcPr>
          <w:p w14:paraId="0CE46E70" w14:textId="77777777" w:rsidR="000122F3" w:rsidRPr="000122F3" w:rsidRDefault="000122F3" w:rsidP="000122F3">
            <w:pPr>
              <w:overflowPunct w:val="0"/>
              <w:autoSpaceDE w:val="0"/>
              <w:autoSpaceDN w:val="0"/>
              <w:adjustRightInd w:val="0"/>
              <w:rPr>
                <w:i/>
              </w:rPr>
            </w:pPr>
            <w:r w:rsidRPr="000122F3">
              <w:rPr>
                <w:i/>
              </w:rPr>
              <w:t>+32 25468768</w:t>
            </w:r>
          </w:p>
        </w:tc>
      </w:tr>
      <w:tr w:rsidR="000122F3" w:rsidRPr="000122F3" w14:paraId="753D0F57" w14:textId="77777777">
        <w:tc>
          <w:tcPr>
            <w:tcW w:w="1077" w:type="pct"/>
            <w:hideMark/>
          </w:tcPr>
          <w:p w14:paraId="2C40013E" w14:textId="77777777" w:rsidR="000122F3" w:rsidRPr="000122F3" w:rsidRDefault="000122F3" w:rsidP="000122F3">
            <w:pPr>
              <w:overflowPunct w:val="0"/>
              <w:autoSpaceDE w:val="0"/>
              <w:autoSpaceDN w:val="0"/>
              <w:adjustRightInd w:val="0"/>
              <w:rPr>
                <w:i/>
              </w:rPr>
            </w:pPr>
            <w:r w:rsidRPr="000122F3">
              <w:rPr>
                <w:i/>
              </w:rPr>
              <w:t>Email</w:t>
            </w:r>
          </w:p>
        </w:tc>
        <w:tc>
          <w:tcPr>
            <w:tcW w:w="3923" w:type="pct"/>
            <w:hideMark/>
          </w:tcPr>
          <w:p w14:paraId="2E7C650A" w14:textId="77777777" w:rsidR="000122F3" w:rsidRPr="000122F3" w:rsidRDefault="00597E8B" w:rsidP="000122F3">
            <w:pPr>
              <w:overflowPunct w:val="0"/>
              <w:autoSpaceDE w:val="0"/>
              <w:autoSpaceDN w:val="0"/>
              <w:adjustRightInd w:val="0"/>
              <w:rPr>
                <w:i/>
              </w:rPr>
            </w:pPr>
            <w:hyperlink r:id="rId45" w:history="1">
              <w:r w:rsidR="000122F3" w:rsidRPr="000122F3">
                <w:rPr>
                  <w:i/>
                  <w:color w:val="0000FF"/>
                  <w:u w:val="single"/>
                </w:rPr>
                <w:t>Arturo.Iniguez@eesc.europa.eu</w:t>
              </w:r>
            </w:hyperlink>
          </w:p>
        </w:tc>
      </w:tr>
    </w:tbl>
    <w:p w14:paraId="715DB2BD" w14:textId="599992C3" w:rsidR="00395794" w:rsidRDefault="00395794">
      <w:pPr>
        <w:spacing w:after="160" w:line="259" w:lineRule="auto"/>
        <w:jc w:val="left"/>
      </w:pPr>
    </w:p>
    <w:p w14:paraId="73A0193B" w14:textId="77777777" w:rsidR="00395794" w:rsidRDefault="00395794">
      <w:pPr>
        <w:spacing w:after="160" w:line="259" w:lineRule="auto"/>
        <w:jc w:val="left"/>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11" w:name="_Toc173758874"/>
      <w:r>
        <w:rPr>
          <w:b/>
        </w:rPr>
        <w:t>EXTERNAL RELATIONS</w:t>
      </w:r>
      <w:bookmarkEnd w:id="11"/>
    </w:p>
    <w:p w14:paraId="3BBB3E68" w14:textId="77777777" w:rsidR="007F5784" w:rsidRDefault="007F5784" w:rsidP="007F5784"/>
    <w:p w14:paraId="15F03B8E" w14:textId="65E14AB5"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lang w:val="en-GB" w:eastAsia="zh-CN"/>
        </w:rPr>
      </w:pPr>
      <w:r w:rsidRPr="00C62A6C">
        <w:rPr>
          <w:b/>
          <w:bCs/>
          <w:i/>
          <w:iCs/>
          <w:sz w:val="28"/>
          <w:szCs w:val="28"/>
          <w:lang w:val="en-GB" w:eastAsia="zh-CN"/>
        </w:rPr>
        <w:fldChar w:fldCharType="begin"/>
      </w:r>
      <w:r w:rsidRPr="00C62A6C">
        <w:rPr>
          <w:b/>
          <w:bCs/>
          <w:i/>
          <w:iCs/>
          <w:sz w:val="28"/>
          <w:szCs w:val="28"/>
          <w:lang w:val="en-GB" w:eastAsia="zh-CN"/>
        </w:rPr>
        <w:instrText>HYPERLINK "https://www.eesc.europa.eu/en/our-work/opinions-information-reports/opinions/european-unions-strategic-approach-black-sea-region"</w:instrText>
      </w:r>
      <w:r w:rsidRPr="00C62A6C">
        <w:rPr>
          <w:b/>
          <w:bCs/>
          <w:i/>
          <w:iCs/>
          <w:sz w:val="28"/>
          <w:szCs w:val="28"/>
          <w:lang w:val="en-GB" w:eastAsia="zh-CN"/>
        </w:rPr>
        <w:fldChar w:fldCharType="separate"/>
      </w:r>
      <w:r w:rsidRPr="00C62A6C">
        <w:rPr>
          <w:b/>
          <w:bCs/>
          <w:i/>
          <w:iCs/>
          <w:color w:val="0000FF"/>
          <w:sz w:val="28"/>
          <w:szCs w:val="28"/>
          <w:u w:val="single"/>
          <w:lang w:val="en-GB" w:eastAsia="zh-CN"/>
        </w:rPr>
        <w:t>The European Union's strategic approach to the Black Sea region</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lang w:val="en-GB"/>
        </w:rPr>
      </w:pPr>
      <w:r w:rsidRPr="00C62A6C">
        <w:rPr>
          <w:b/>
          <w:bCs/>
          <w:i/>
          <w:iCs/>
          <w:sz w:val="28"/>
          <w:szCs w:val="28"/>
          <w:lang w:val="en-GB"/>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947"/>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237C67">
              <w:rPr>
                <w:b/>
              </w:rPr>
              <w:t>Rapporteur</w:t>
            </w:r>
          </w:p>
        </w:tc>
        <w:tc>
          <w:tcPr>
            <w:tcW w:w="3889" w:type="pct"/>
          </w:tcPr>
          <w:p w14:paraId="4CC365C4" w14:textId="0EFBEC15" w:rsidR="00237C67" w:rsidRPr="00237C67" w:rsidRDefault="00237C67" w:rsidP="00237C67">
            <w:pPr>
              <w:tabs>
                <w:tab w:val="center" w:pos="284"/>
              </w:tabs>
              <w:overflowPunct w:val="0"/>
              <w:autoSpaceDE w:val="0"/>
              <w:autoSpaceDN w:val="0"/>
              <w:adjustRightInd w:val="0"/>
              <w:ind w:left="266" w:hanging="266"/>
              <w:textAlignment w:val="baseline"/>
              <w:rPr>
                <w:lang w:val="en-GB"/>
              </w:rPr>
            </w:pPr>
            <w:r w:rsidRPr="00237C67">
              <w:rPr>
                <w:lang w:val="en-GB"/>
              </w:rPr>
              <w:t xml:space="preserve">Milena ANGELOVA (Employers' Group </w:t>
            </w:r>
            <w:r w:rsidR="001A7442">
              <w:rPr>
                <w:lang w:val="en-GB"/>
              </w:rPr>
              <w:t>-</w:t>
            </w:r>
            <w:r w:rsidRPr="00237C67">
              <w:rPr>
                <w:lang w:val="en-GB"/>
              </w:rPr>
              <w:t xml:space="preserve">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237C67">
              <w:rPr>
                <w:b/>
              </w:rPr>
              <w:t>Reference</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JOIN(2025) 135 final</w:t>
            </w:r>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rsidRPr="00237C67">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r w:rsidRPr="00237C67">
        <w:rPr>
          <w:b/>
          <w:lang w:val="en-GB"/>
        </w:rPr>
        <w:t>Key points</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lang w:val="en-GB"/>
        </w:rPr>
      </w:pPr>
      <w:r w:rsidRPr="00237C67">
        <w:rPr>
          <w:bCs/>
          <w:iCs/>
          <w:lang w:val="en-GB"/>
        </w:rPr>
        <w:t>The EESC:</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welcomes the </w:t>
      </w:r>
      <w:r w:rsidRPr="00237C67">
        <w:rPr>
          <w:b/>
          <w:bCs/>
          <w:lang w:val="en-GB" w:eastAsia="zh-CN"/>
        </w:rPr>
        <w:t xml:space="preserve">long-awaited initiative </w:t>
      </w:r>
      <w:r w:rsidRPr="00237C67">
        <w:rPr>
          <w:lang w:val="en-GB" w:eastAsia="zh-CN"/>
        </w:rPr>
        <w:t>to devote</w:t>
      </w:r>
      <w:r w:rsidRPr="00237C67">
        <w:rPr>
          <w:b/>
          <w:bCs/>
          <w:lang w:val="en-GB" w:eastAsia="zh-CN"/>
        </w:rPr>
        <w:t xml:space="preserve"> particular attention to the Black Sea region</w:t>
      </w:r>
      <w:r w:rsidRPr="00237C67">
        <w:rPr>
          <w:lang w:val="en-GB" w:eastAsia="zh-CN"/>
        </w:rPr>
        <w:t xml:space="preserve">, proposing for it an European Union strategic approach, but notes that it comes with </w:t>
      </w:r>
      <w:r w:rsidRPr="00237C67">
        <w:rPr>
          <w:b/>
          <w:bCs/>
          <w:lang w:val="en-GB" w:eastAsia="zh-CN"/>
        </w:rPr>
        <w:t>a certain delay</w:t>
      </w:r>
      <w:r w:rsidRPr="00237C67">
        <w:rPr>
          <w:lang w:val="en-GB" w:eastAsia="zh-CN"/>
        </w:rPr>
        <w:t xml:space="preserve"> and therefore calls for </w:t>
      </w:r>
      <w:r w:rsidRPr="00237C67">
        <w:rPr>
          <w:b/>
          <w:bCs/>
          <w:lang w:val="en-GB" w:eastAsia="zh-CN"/>
        </w:rPr>
        <w:t>swift and decisive actions to implement it</w:t>
      </w:r>
      <w:r w:rsidRPr="00237C67">
        <w:rPr>
          <w:lang w:val="en-GB" w:eastAsia="zh-CN"/>
        </w:rPr>
        <w:t xml:space="preserve"> and to </w:t>
      </w:r>
      <w:r w:rsidRPr="00237C67">
        <w:rPr>
          <w:b/>
          <w:bCs/>
          <w:lang w:val="en-GB" w:eastAsia="zh-CN"/>
        </w:rPr>
        <w:t>secure it with sufficient resources</w:t>
      </w:r>
      <w:r w:rsidRPr="00237C67">
        <w:rPr>
          <w:lang w:val="en-GB" w:eastAsia="zh-CN"/>
        </w:rPr>
        <w:t>;</w:t>
      </w:r>
    </w:p>
    <w:p w14:paraId="4F615B3A"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stresses that although a</w:t>
      </w:r>
      <w:r w:rsidRPr="00237C67">
        <w:rPr>
          <w:b/>
          <w:bCs/>
          <w:lang w:val="en-GB" w:eastAsia="zh-CN"/>
        </w:rPr>
        <w:t xml:space="preserve">ll countries in the region </w:t>
      </w:r>
      <w:r w:rsidRPr="00237C67">
        <w:rPr>
          <w:lang w:val="en-GB" w:eastAsia="zh-CN"/>
        </w:rPr>
        <w:t>are bearing the</w:t>
      </w:r>
      <w:r w:rsidRPr="00237C67">
        <w:rPr>
          <w:b/>
          <w:bCs/>
          <w:lang w:val="en-GB" w:eastAsia="zh-CN"/>
        </w:rPr>
        <w:t xml:space="preserve"> negative consequences of military hostilities</w:t>
      </w:r>
      <w:r w:rsidRPr="00237C67">
        <w:rPr>
          <w:lang w:val="en-GB" w:eastAsia="zh-CN"/>
        </w:rPr>
        <w:t xml:space="preserve">, </w:t>
      </w:r>
      <w:r w:rsidRPr="00237C67">
        <w:rPr>
          <w:b/>
          <w:bCs/>
          <w:lang w:val="en-GB" w:eastAsia="zh-CN"/>
        </w:rPr>
        <w:t>targeted social and economic support has not been provided to all of them in proportion to their efforts and sacrifices</w:t>
      </w:r>
      <w:r w:rsidRPr="00237C67">
        <w:rPr>
          <w:lang w:val="en-GB" w:eastAsia="zh-CN"/>
        </w:rPr>
        <w:t>;</w:t>
      </w:r>
    </w:p>
    <w:p w14:paraId="64F59F4D"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urges the Commission, in consultation with EU Member States, the countries in the Black Sea region and all stakeholders, to </w:t>
      </w:r>
      <w:r w:rsidRPr="00237C67">
        <w:rPr>
          <w:b/>
          <w:bCs/>
          <w:lang w:val="en-GB" w:eastAsia="zh-CN"/>
        </w:rPr>
        <w:t>proceed rapidly</w:t>
      </w:r>
      <w:r w:rsidRPr="00237C67">
        <w:rPr>
          <w:lang w:val="en-GB" w:eastAsia="zh-CN"/>
        </w:rPr>
        <w:t xml:space="preserve">, ideally by the end of 2025, with </w:t>
      </w:r>
      <w:r w:rsidRPr="00237C67">
        <w:rPr>
          <w:b/>
          <w:bCs/>
          <w:lang w:val="en-GB" w:eastAsia="zh-CN"/>
        </w:rPr>
        <w:t>preparing a pragmatic and properly funded strategy for the development of the region</w:t>
      </w:r>
      <w:r w:rsidRPr="000B3BD2">
        <w:t>;</w:t>
      </w:r>
    </w:p>
    <w:p w14:paraId="3DED4801"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regrets that the </w:t>
      </w:r>
      <w:r w:rsidRPr="00237C67">
        <w:rPr>
          <w:b/>
          <w:bCs/>
          <w:lang w:val="en-GB" w:eastAsia="zh-CN"/>
        </w:rPr>
        <w:t>previous EU framework policy</w:t>
      </w:r>
      <w:r w:rsidRPr="00237C67">
        <w:rPr>
          <w:lang w:val="en-GB" w:eastAsia="zh-CN"/>
        </w:rPr>
        <w:t xml:space="preserve"> (Black Sea Synergy from 2007) for the region was not covering the </w:t>
      </w:r>
      <w:r w:rsidRPr="00237C67">
        <w:rPr>
          <w:b/>
          <w:bCs/>
          <w:lang w:val="en-GB" w:eastAsia="zh-CN"/>
        </w:rPr>
        <w:t>security dimension</w:t>
      </w:r>
      <w:r w:rsidRPr="00237C67">
        <w:rPr>
          <w:lang w:val="en-GB" w:eastAsia="zh-CN"/>
        </w:rPr>
        <w:t xml:space="preserve"> and underlines the </w:t>
      </w:r>
      <w:r w:rsidRPr="00237C67">
        <w:rPr>
          <w:b/>
          <w:bCs/>
          <w:lang w:val="en-GB" w:eastAsia="zh-CN"/>
        </w:rPr>
        <w:t>need for the EU’s security initiatives in the Black Sea region to deliver tangible results</w:t>
      </w:r>
      <w:r w:rsidRPr="000B3BD2">
        <w:t>;</w:t>
      </w:r>
    </w:p>
    <w:p w14:paraId="52F031F1"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stresses that </w:t>
      </w:r>
      <w:r w:rsidRPr="00237C67">
        <w:rPr>
          <w:b/>
          <w:bCs/>
          <w:lang w:val="en-GB" w:eastAsia="zh-CN"/>
        </w:rPr>
        <w:t>achieving a lasting peace</w:t>
      </w:r>
      <w:r w:rsidRPr="00237C67">
        <w:rPr>
          <w:lang w:val="en-GB" w:eastAsia="zh-CN"/>
        </w:rPr>
        <w:t xml:space="preserve"> is a </w:t>
      </w:r>
      <w:r w:rsidRPr="00237C67">
        <w:rPr>
          <w:b/>
          <w:bCs/>
          <w:lang w:val="en-GB" w:eastAsia="zh-CN"/>
        </w:rPr>
        <w:t>necessary and essential pre-condition for sustainable economic development</w:t>
      </w:r>
      <w:r w:rsidRPr="00237C67">
        <w:rPr>
          <w:lang w:val="en-GB" w:eastAsia="zh-CN"/>
        </w:rPr>
        <w:t xml:space="preserve"> and notes with regret that this is not included as an objective in the document;</w:t>
      </w:r>
    </w:p>
    <w:p w14:paraId="63B8D3C0"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finds the </w:t>
      </w:r>
      <w:r w:rsidRPr="00237C67">
        <w:rPr>
          <w:b/>
          <w:bCs/>
          <w:lang w:val="en-GB" w:eastAsia="zh-CN"/>
        </w:rPr>
        <w:t>major constraint on the strategic approach</w:t>
      </w:r>
      <w:r w:rsidRPr="00237C67">
        <w:rPr>
          <w:lang w:val="en-GB" w:eastAsia="zh-CN"/>
        </w:rPr>
        <w:t xml:space="preserve"> is that it is based entirely on the </w:t>
      </w:r>
      <w:r w:rsidRPr="00237C67">
        <w:rPr>
          <w:b/>
          <w:bCs/>
          <w:lang w:val="en-GB" w:eastAsia="zh-CN"/>
        </w:rPr>
        <w:t>existing financial instruments</w:t>
      </w:r>
      <w:r w:rsidRPr="00237C67">
        <w:rPr>
          <w:lang w:val="en-GB" w:eastAsia="zh-CN"/>
        </w:rPr>
        <w:t xml:space="preserve"> and </w:t>
      </w:r>
      <w:r w:rsidRPr="00237C67">
        <w:rPr>
          <w:b/>
          <w:bCs/>
          <w:lang w:val="en-GB" w:eastAsia="zh-CN"/>
        </w:rPr>
        <w:t xml:space="preserve">budgetary resources included in the multiannual financial framework 2021-2027; </w:t>
      </w:r>
      <w:r w:rsidRPr="00237C67">
        <w:rPr>
          <w:lang w:val="en-GB" w:eastAsia="zh-CN"/>
        </w:rPr>
        <w:t xml:space="preserve">requires the </w:t>
      </w:r>
      <w:r w:rsidRPr="00237C67">
        <w:rPr>
          <w:b/>
          <w:bCs/>
          <w:lang w:val="en-GB" w:eastAsia="zh-CN"/>
        </w:rPr>
        <w:t>instruments to be simplified, consolidated and prioritised</w:t>
      </w:r>
      <w:r w:rsidRPr="00237C67">
        <w:rPr>
          <w:lang w:val="en-GB" w:eastAsia="zh-CN"/>
        </w:rPr>
        <w:t xml:space="preserve"> to produce an immediate and visible effect;</w:t>
      </w:r>
    </w:p>
    <w:p w14:paraId="44A0477D" w14:textId="77777777" w:rsidR="00237C67" w:rsidRPr="00237C67" w:rsidRDefault="00237C67" w:rsidP="000B3BD2">
      <w:pPr>
        <w:numPr>
          <w:ilvl w:val="0"/>
          <w:numId w:val="31"/>
        </w:numPr>
        <w:overflowPunct w:val="0"/>
        <w:autoSpaceDE w:val="0"/>
        <w:autoSpaceDN w:val="0"/>
        <w:adjustRightInd w:val="0"/>
        <w:ind w:left="284" w:hanging="284"/>
        <w:contextualSpacing/>
        <w:textAlignment w:val="baseline"/>
        <w:rPr>
          <w:bCs/>
          <w:iCs/>
          <w:lang w:val="en-GB" w:eastAsia="zh-CN"/>
        </w:rPr>
      </w:pPr>
      <w:r w:rsidRPr="00237C67">
        <w:rPr>
          <w:lang w:val="en-GB" w:eastAsia="zh-CN"/>
        </w:rPr>
        <w:t xml:space="preserve">recommends </w:t>
      </w:r>
      <w:r w:rsidRPr="00237C67">
        <w:rPr>
          <w:b/>
          <w:bCs/>
          <w:lang w:val="en-GB" w:eastAsia="zh-CN"/>
        </w:rPr>
        <w:t>conducting an in-depth impact analysis of all the existing instruments</w:t>
      </w:r>
      <w:r w:rsidRPr="00237C67">
        <w:rPr>
          <w:lang w:val="en-GB" w:eastAsia="zh-CN"/>
        </w:rPr>
        <w:t xml:space="preserve"> to date and, on this basis, formulating </w:t>
      </w:r>
      <w:r w:rsidRPr="00237C67">
        <w:rPr>
          <w:b/>
          <w:bCs/>
          <w:lang w:val="en-GB" w:eastAsia="zh-CN"/>
        </w:rPr>
        <w:t>more specific</w:t>
      </w:r>
      <w:r w:rsidRPr="00237C67">
        <w:rPr>
          <w:lang w:val="en-GB" w:eastAsia="zh-CN"/>
        </w:rPr>
        <w:t xml:space="preserve"> and </w:t>
      </w:r>
      <w:r w:rsidRPr="00237C67">
        <w:rPr>
          <w:b/>
          <w:bCs/>
          <w:lang w:val="en-GB" w:eastAsia="zh-CN"/>
        </w:rPr>
        <w:t>clearer commitments</w:t>
      </w:r>
      <w:r w:rsidRPr="00237C67">
        <w:rPr>
          <w:lang w:val="en-GB" w:eastAsia="zh-CN"/>
        </w:rPr>
        <w:t xml:space="preserve"> regarding their use going forward;</w:t>
      </w:r>
    </w:p>
    <w:p w14:paraId="53E35EF9" w14:textId="77777777" w:rsidR="00237C67" w:rsidRPr="00237C67" w:rsidRDefault="00237C67" w:rsidP="000B3BD2">
      <w:pPr>
        <w:widowControl w:val="0"/>
        <w:numPr>
          <w:ilvl w:val="0"/>
          <w:numId w:val="31"/>
        </w:numPr>
        <w:overflowPunct w:val="0"/>
        <w:autoSpaceDE w:val="0"/>
        <w:autoSpaceDN w:val="0"/>
        <w:adjustRightInd w:val="0"/>
        <w:ind w:left="284" w:hanging="284"/>
        <w:contextualSpacing/>
        <w:textAlignment w:val="baseline"/>
        <w:rPr>
          <w:lang w:val="en-GB" w:eastAsia="zh-CN"/>
        </w:rPr>
      </w:pPr>
      <w:r w:rsidRPr="00237C67">
        <w:rPr>
          <w:lang w:val="en-GB" w:eastAsia="zh-CN"/>
        </w:rPr>
        <w:t xml:space="preserve">estimates that more attention should be devoted to </w:t>
      </w:r>
      <w:r w:rsidRPr="00237C67">
        <w:rPr>
          <w:b/>
          <w:bCs/>
          <w:lang w:val="en-GB" w:eastAsia="zh-CN"/>
        </w:rPr>
        <w:t>tackling hybrid threats</w:t>
      </w:r>
      <w:r w:rsidRPr="00237C67">
        <w:rPr>
          <w:lang w:val="en-GB" w:eastAsia="zh-CN"/>
        </w:rPr>
        <w:t xml:space="preserve"> and </w:t>
      </w:r>
      <w:r w:rsidRPr="00237C67">
        <w:rPr>
          <w:b/>
          <w:bCs/>
          <w:lang w:val="en-GB" w:eastAsia="zh-CN"/>
        </w:rPr>
        <w:t>governance malfunctions</w:t>
      </w:r>
      <w:r w:rsidRPr="00237C67">
        <w:rPr>
          <w:lang w:val="en-GB" w:eastAsia="zh-CN"/>
        </w:rPr>
        <w:t>, which threaten to undermine regional stability.</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095"/>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sidRPr="00237C67">
              <w:rPr>
                <w:b/>
                <w:i/>
              </w:rPr>
              <w:t>Contact</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r w:rsidRPr="00237C67">
              <w:t>Marie-Laurence Drillon</w:t>
            </w:r>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sidRPr="00237C67">
              <w:rPr>
                <w:i/>
              </w:rPr>
              <w:t>Tel.</w:t>
            </w:r>
          </w:p>
        </w:tc>
        <w:tc>
          <w:tcPr>
            <w:tcW w:w="3910" w:type="pct"/>
          </w:tcPr>
          <w:p w14:paraId="701AABDE" w14:textId="719C8B70" w:rsidR="00237C67" w:rsidRPr="00237C67" w:rsidRDefault="00237C67" w:rsidP="00237C67">
            <w:pPr>
              <w:overflowPunct w:val="0"/>
              <w:autoSpaceDE w:val="0"/>
              <w:autoSpaceDN w:val="0"/>
              <w:adjustRightInd w:val="0"/>
              <w:textAlignment w:val="baseline"/>
              <w:rPr>
                <w:i/>
              </w:rPr>
            </w:pPr>
            <w:r w:rsidRPr="00237C67">
              <w:rPr>
                <w:i/>
              </w:rPr>
              <w:t>+32 2546 8320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sidRPr="00237C67">
              <w:rPr>
                <w:i/>
              </w:rPr>
              <w:t>Email</w:t>
            </w:r>
          </w:p>
        </w:tc>
        <w:tc>
          <w:tcPr>
            <w:tcW w:w="3910" w:type="pct"/>
          </w:tcPr>
          <w:p w14:paraId="56749FB7" w14:textId="77777777" w:rsidR="00237C67" w:rsidRPr="00237C67" w:rsidRDefault="00597E8B" w:rsidP="00237C67">
            <w:pPr>
              <w:overflowPunct w:val="0"/>
              <w:autoSpaceDE w:val="0"/>
              <w:autoSpaceDN w:val="0"/>
              <w:adjustRightInd w:val="0"/>
              <w:textAlignment w:val="baseline"/>
              <w:rPr>
                <w:i/>
              </w:rPr>
            </w:pPr>
            <w:hyperlink r:id="rId46" w:history="1">
              <w:r w:rsidR="00237C67" w:rsidRPr="00237C67">
                <w:rPr>
                  <w:i/>
                  <w:color w:val="0000FF"/>
                  <w:u w:val="single"/>
                  <w:lang w:val="en-GB"/>
                </w:rPr>
                <w:t>Marie-Laurence.Drillon@eesc.europa.eu</w:t>
              </w:r>
            </w:hyperlink>
          </w:p>
        </w:tc>
      </w:tr>
    </w:tbl>
    <w:p w14:paraId="74D4B137" w14:textId="77777777" w:rsidR="007F5784" w:rsidRDefault="007F5784" w:rsidP="007F5784">
      <w:pPr>
        <w:spacing w:after="160" w:line="259" w:lineRule="auto"/>
        <w:jc w:val="left"/>
      </w:pPr>
    </w:p>
    <w:p w14:paraId="210E1333" w14:textId="58843240"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lang w:val="en-GB"/>
        </w:rPr>
      </w:pPr>
      <w:r>
        <w:br w:type="page"/>
      </w:r>
      <w:hyperlink r:id="rId47" w:history="1">
        <w:r w:rsidR="00C913CA" w:rsidRPr="00C913CA">
          <w:rPr>
            <w:b/>
            <w:bCs/>
            <w:i/>
            <w:iCs/>
            <w:color w:val="0000FF"/>
            <w:sz w:val="28"/>
            <w:szCs w:val="28"/>
            <w:u w:val="single"/>
            <w:lang w:val="en-GB"/>
          </w:rPr>
          <w:t>Global Europe (Multiannual Financial Framework proposal)</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sidRPr="00C913CA">
              <w:rPr>
                <w:b/>
              </w:rPr>
              <w:t>Rapporteur</w:t>
            </w:r>
          </w:p>
        </w:tc>
        <w:tc>
          <w:tcPr>
            <w:tcW w:w="3923" w:type="pct"/>
          </w:tcPr>
          <w:p w14:paraId="4316EC99" w14:textId="6288B2D7" w:rsidR="00C913CA" w:rsidRPr="00C913CA" w:rsidRDefault="00C913CA" w:rsidP="00C913CA">
            <w:pPr>
              <w:tabs>
                <w:tab w:val="center" w:pos="284"/>
              </w:tabs>
              <w:overflowPunct w:val="0"/>
              <w:autoSpaceDE w:val="0"/>
              <w:autoSpaceDN w:val="0"/>
              <w:adjustRightInd w:val="0"/>
              <w:ind w:left="266" w:right="-3091" w:hanging="266"/>
              <w:textAlignment w:val="baseline"/>
            </w:pPr>
            <w:r w:rsidRPr="00C913CA">
              <w:t xml:space="preserve">Mateusz SZYMAŃSKI (Workers' Group </w:t>
            </w:r>
            <w:r w:rsidR="00515DDF">
              <w:t>-</w:t>
            </w:r>
            <w:r w:rsidRPr="00C913CA">
              <w:t xml:space="preserve">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proofErr w:type="spellStart"/>
            <w:r w:rsidRPr="00C913CA">
              <w:rPr>
                <w:b/>
                <w:lang w:val="fr-FR"/>
              </w:rPr>
              <w:t>Co-rapporteur</w:t>
            </w:r>
            <w:proofErr w:type="spellEnd"/>
          </w:p>
        </w:tc>
        <w:tc>
          <w:tcPr>
            <w:tcW w:w="3923" w:type="pct"/>
          </w:tcPr>
          <w:p w14:paraId="7376BE83" w14:textId="3141CA08" w:rsidR="00C913CA" w:rsidRDefault="00C913CA" w:rsidP="00C913CA">
            <w:pPr>
              <w:tabs>
                <w:tab w:val="center" w:pos="284"/>
              </w:tabs>
              <w:overflowPunct w:val="0"/>
              <w:autoSpaceDE w:val="0"/>
              <w:autoSpaceDN w:val="0"/>
              <w:adjustRightInd w:val="0"/>
              <w:ind w:left="266" w:right="-3091" w:hanging="266"/>
              <w:textAlignment w:val="baseline"/>
            </w:pPr>
            <w:r w:rsidRPr="00C913CA">
              <w:t xml:space="preserve">Luca JAHIER (Civil Society </w:t>
            </w:r>
            <w:proofErr w:type="spellStart"/>
            <w:r w:rsidRPr="00C913CA">
              <w:t>Organisations'</w:t>
            </w:r>
            <w:proofErr w:type="spellEnd"/>
            <w:r w:rsidRPr="00C913CA">
              <w:t xml:space="preserve"> Group </w:t>
            </w:r>
            <w:r w:rsidR="00515DDF">
              <w:t>-</w:t>
            </w:r>
            <w:r w:rsidRPr="00C913CA">
              <w:t xml:space="preserve">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sidRPr="00C913CA">
              <w:rPr>
                <w:b/>
              </w:rPr>
              <w:t>References</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COM(2025</w:t>
            </w:r>
            <w:r w:rsidR="00CC18D0">
              <w:t>)</w:t>
            </w:r>
            <w:r>
              <w:t xml:space="preserve"> 551 final</w:t>
            </w:r>
          </w:p>
          <w:p w14:paraId="2BBBFAE1" w14:textId="43F06C46" w:rsidR="00C913CA" w:rsidRPr="00C913CA" w:rsidRDefault="00C913CA" w:rsidP="00C913CA">
            <w:pPr>
              <w:tabs>
                <w:tab w:val="center" w:pos="284"/>
              </w:tabs>
              <w:overflowPunct w:val="0"/>
              <w:autoSpaceDE w:val="0"/>
              <w:autoSpaceDN w:val="0"/>
              <w:adjustRightInd w:val="0"/>
              <w:ind w:left="266" w:right="-3091" w:hanging="266"/>
              <w:textAlignment w:val="baseline"/>
            </w:pPr>
            <w:r w:rsidRPr="00C913CA">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r w:rsidRPr="00C913CA">
        <w:rPr>
          <w:b/>
          <w:lang w:val="en-GB"/>
        </w:rPr>
        <w:t>Key points</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lang w:val="en-GB"/>
        </w:rPr>
      </w:pPr>
      <w:r w:rsidRPr="00C913CA">
        <w:rPr>
          <w:bCs/>
          <w:iCs/>
          <w:lang w:val="en-GB"/>
        </w:rPr>
        <w:t>The EESC:</w:t>
      </w:r>
    </w:p>
    <w:p w14:paraId="7F34015F"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lang w:val="en-GB"/>
        </w:rPr>
        <w:t>welcomes the Commission proposal to increase expenditure on the EU’s external policies under the upcoming multiannual financial framework (MFF), with a Global Europe instrument including a Reserve for Ukraine, and considers this increase essential for the EU to affirm its role as a global player and values, as well as to build strategic autonomy;</w:t>
      </w:r>
    </w:p>
    <w:p w14:paraId="092597D8" w14:textId="79768B53"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considers that the EU should play a leading role in development and humanitarian efforts and in revitalising the UN system, with the Global Gateway becoming its main instrument</w:t>
      </w:r>
      <w:r w:rsidR="003C16C3">
        <w:rPr>
          <w:bCs/>
          <w:iCs/>
          <w:szCs w:val="20"/>
          <w:lang w:val="en-GB"/>
        </w:rPr>
        <w:t>;</w:t>
      </w:r>
      <w:r w:rsidRPr="00C913CA">
        <w:rPr>
          <w:bCs/>
          <w:iCs/>
          <w:szCs w:val="20"/>
          <w:lang w:val="en-GB"/>
        </w:rPr>
        <w:t xml:space="preserve"> </w:t>
      </w:r>
    </w:p>
    <w:p w14:paraId="023EF68A"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 xml:space="preserve">points out that the Civil Society Organisations and Local Authorities Advisory Board for the Global Gateway has remained disconnected from decision-making and created fragmented dialogue. The EESC calls to ensure meaningful participation, including of the EESC and the </w:t>
      </w:r>
      <w:proofErr w:type="spellStart"/>
      <w:r w:rsidRPr="00C913CA">
        <w:rPr>
          <w:bCs/>
          <w:iCs/>
          <w:szCs w:val="20"/>
          <w:lang w:val="en-GB"/>
        </w:rPr>
        <w:t>CoR</w:t>
      </w:r>
      <w:proofErr w:type="spellEnd"/>
      <w:r w:rsidRPr="00C913CA">
        <w:rPr>
          <w:bCs/>
          <w:iCs/>
          <w:szCs w:val="20"/>
          <w:lang w:val="en-GB"/>
        </w:rPr>
        <w:t>;</w:t>
      </w:r>
    </w:p>
    <w:p w14:paraId="4484C108"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lang w:val="en-GB"/>
        </w:rPr>
        <w:t>emphasises the need to build consistency between foreign policy, development, trade and the European Competitiveness Fund to achieve sustainable development and economic resilience;</w:t>
      </w:r>
    </w:p>
    <w:p w14:paraId="33EE32E4"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despite the positive assessment of the proposed flexibility in external action, expects full transparency and accountability in the spending of funds;</w:t>
      </w:r>
    </w:p>
    <w:p w14:paraId="54231D48"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 xml:space="preserve">calls to extend the Commission’s Inequality Marker to Global Gateway projects; </w:t>
      </w:r>
    </w:p>
    <w:p w14:paraId="622745CB"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 xml:space="preserve">expects existing bodies, such as civil society platforms, to be engaged more extensively in maintaining relations with organisations in partner countries; </w:t>
      </w:r>
    </w:p>
    <w:p w14:paraId="17AD7981"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supports all efforts to reinforce prosperity and security in our neighbourhood and thus within the EU, and supports further enlargement of the Union;</w:t>
      </w:r>
    </w:p>
    <w:p w14:paraId="751B0DE5"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stresses the need for predictable and stable funding for civil society organisations, notably to strengthen democracy, civic space and gender equality;</w:t>
      </w:r>
    </w:p>
    <w:p w14:paraId="29F107B3"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szCs w:val="20"/>
          <w:lang w:val="en-GB"/>
        </w:rPr>
        <w:t>expects that the objectives on economic cooperation and entrepreneurship will be accompanied by ambitious social, human rights and environmental safeguards;</w:t>
      </w:r>
    </w:p>
    <w:p w14:paraId="1EC11B19" w14:textId="77777777" w:rsidR="00C913CA" w:rsidRPr="00C913CA" w:rsidRDefault="00C913CA" w:rsidP="000B3BD2">
      <w:pPr>
        <w:widowControl w:val="0"/>
        <w:numPr>
          <w:ilvl w:val="0"/>
          <w:numId w:val="32"/>
        </w:numPr>
        <w:overflowPunct w:val="0"/>
        <w:autoSpaceDE w:val="0"/>
        <w:autoSpaceDN w:val="0"/>
        <w:adjustRightInd w:val="0"/>
        <w:ind w:left="284" w:hanging="284"/>
        <w:textAlignment w:val="baseline"/>
        <w:rPr>
          <w:bCs/>
          <w:iCs/>
          <w:lang w:val="en-GB"/>
        </w:rPr>
      </w:pPr>
      <w:r w:rsidRPr="00C913CA">
        <w:rPr>
          <w:bCs/>
          <w:iCs/>
          <w:lang w:val="en-GB"/>
        </w:rPr>
        <w:t>opposes the approach of suspending payments in the context of migration policy, emphasising the need for positive incentives to achieve the stated goals.</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5424"/>
      </w:tblGrid>
      <w:tr w:rsidR="00C913CA" w:rsidRPr="00C913CA"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2650"/>
            </w:tblGrid>
            <w:tr w:rsidR="006559C7" w:rsidRPr="00A6689B" w14:paraId="566687C9" w14:textId="77777777" w:rsidTr="002238FF">
              <w:tc>
                <w:tcPr>
                  <w:tcW w:w="1077" w:type="pct"/>
                </w:tcPr>
                <w:p w14:paraId="5EE88CD7" w14:textId="77777777" w:rsidR="006559C7" w:rsidRPr="006559C7" w:rsidRDefault="006559C7" w:rsidP="006559C7">
                  <w:pPr>
                    <w:ind w:hanging="78"/>
                    <w:rPr>
                      <w:i/>
                      <w:sz w:val="20"/>
                      <w:szCs w:val="20"/>
                    </w:rPr>
                  </w:pPr>
                  <w:r w:rsidRPr="006559C7">
                    <w:rPr>
                      <w:b/>
                      <w:i/>
                      <w:sz w:val="20"/>
                      <w:szCs w:val="20"/>
                    </w:rPr>
                    <w:t>Contact</w:t>
                  </w:r>
                </w:p>
              </w:tc>
              <w:tc>
                <w:tcPr>
                  <w:tcW w:w="3923" w:type="pct"/>
                </w:tcPr>
                <w:p w14:paraId="1A70046D" w14:textId="77777777" w:rsidR="006559C7" w:rsidRPr="006559C7" w:rsidRDefault="006559C7" w:rsidP="006559C7">
                  <w:pPr>
                    <w:ind w:hanging="78"/>
                    <w:rPr>
                      <w:i/>
                      <w:sz w:val="20"/>
                      <w:szCs w:val="20"/>
                    </w:rPr>
                  </w:pPr>
                  <w:r w:rsidRPr="006559C7">
                    <w:rPr>
                      <w:i/>
                      <w:sz w:val="20"/>
                      <w:szCs w:val="20"/>
                    </w:rPr>
                    <w:t xml:space="preserve">Daniele Vitali </w:t>
                  </w:r>
                </w:p>
              </w:tc>
            </w:tr>
            <w:tr w:rsidR="006559C7" w:rsidRPr="00A6689B" w14:paraId="6A2E51F7" w14:textId="77777777" w:rsidTr="002238FF">
              <w:tc>
                <w:tcPr>
                  <w:tcW w:w="1077" w:type="pct"/>
                </w:tcPr>
                <w:p w14:paraId="36742115" w14:textId="77777777" w:rsidR="006559C7" w:rsidRPr="006559C7" w:rsidRDefault="006559C7" w:rsidP="006559C7">
                  <w:pPr>
                    <w:ind w:hanging="78"/>
                    <w:rPr>
                      <w:i/>
                      <w:sz w:val="20"/>
                      <w:szCs w:val="20"/>
                    </w:rPr>
                  </w:pPr>
                  <w:r w:rsidRPr="006559C7">
                    <w:rPr>
                      <w:i/>
                      <w:sz w:val="20"/>
                      <w:szCs w:val="20"/>
                    </w:rPr>
                    <w:t>Tel.</w:t>
                  </w:r>
                </w:p>
              </w:tc>
              <w:tc>
                <w:tcPr>
                  <w:tcW w:w="3923" w:type="pct"/>
                </w:tcPr>
                <w:p w14:paraId="2025EE29" w14:textId="4EFB46A4" w:rsidR="006559C7" w:rsidRPr="006559C7" w:rsidRDefault="006559C7" w:rsidP="006559C7">
                  <w:pPr>
                    <w:ind w:hanging="78"/>
                    <w:rPr>
                      <w:i/>
                      <w:sz w:val="20"/>
                      <w:szCs w:val="20"/>
                    </w:rPr>
                  </w:pPr>
                  <w:r w:rsidRPr="006559C7">
                    <w:rPr>
                      <w:i/>
                      <w:sz w:val="20"/>
                      <w:szCs w:val="20"/>
                    </w:rPr>
                    <w:t>+32 25468817</w:t>
                  </w:r>
                </w:p>
              </w:tc>
            </w:tr>
            <w:tr w:rsidR="006559C7" w:rsidRPr="00A6689B" w14:paraId="40EB0530" w14:textId="77777777" w:rsidTr="002238FF">
              <w:tc>
                <w:tcPr>
                  <w:tcW w:w="1077" w:type="pct"/>
                </w:tcPr>
                <w:p w14:paraId="0E0B5DFB" w14:textId="77777777" w:rsidR="006559C7" w:rsidRPr="006559C7" w:rsidRDefault="006559C7" w:rsidP="006559C7">
                  <w:pPr>
                    <w:ind w:hanging="78"/>
                    <w:rPr>
                      <w:i/>
                      <w:sz w:val="20"/>
                      <w:szCs w:val="20"/>
                    </w:rPr>
                  </w:pPr>
                  <w:r w:rsidRPr="006559C7">
                    <w:rPr>
                      <w:i/>
                      <w:sz w:val="20"/>
                      <w:szCs w:val="20"/>
                    </w:rPr>
                    <w:t>Email</w:t>
                  </w:r>
                </w:p>
              </w:tc>
              <w:tc>
                <w:tcPr>
                  <w:tcW w:w="3923" w:type="pct"/>
                </w:tcPr>
                <w:p w14:paraId="65211337" w14:textId="77777777" w:rsidR="006559C7" w:rsidRPr="006559C7" w:rsidRDefault="00597E8B" w:rsidP="006559C7">
                  <w:pPr>
                    <w:ind w:hanging="78"/>
                    <w:rPr>
                      <w:i/>
                      <w:sz w:val="20"/>
                      <w:szCs w:val="20"/>
                    </w:rPr>
                  </w:pPr>
                  <w:hyperlink r:id="rId48" w:history="1">
                    <w:r w:rsidR="006559C7" w:rsidRPr="006559C7">
                      <w:rPr>
                        <w:rStyle w:val="Hyperlink"/>
                        <w:i/>
                        <w:sz w:val="20"/>
                        <w:szCs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43EA1FE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lang w:val="en-GB"/>
        </w:rPr>
      </w:pPr>
      <w:r>
        <w:br w:type="page"/>
      </w:r>
      <w:hyperlink r:id="rId49" w:history="1">
        <w:r w:rsidR="004503DC" w:rsidRPr="004503DC">
          <w:rPr>
            <w:b/>
            <w:bCs/>
            <w:i/>
            <w:iCs/>
            <w:color w:val="0000FF"/>
            <w:sz w:val="28"/>
            <w:szCs w:val="28"/>
            <w:u w:val="single"/>
            <w:lang w:val="en-GB"/>
          </w:rPr>
          <w:t>A predictable and common way forward for Ukrainians in the EU</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sidRPr="004503DC">
              <w:rPr>
                <w:b/>
              </w:rPr>
              <w:t xml:space="preserve">Rapporteur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r w:rsidRPr="004503DC">
              <w:t>Mateusz SZYMAŃSKI (Workers' Group -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proofErr w:type="spellStart"/>
            <w:r w:rsidRPr="004503DC">
              <w:rPr>
                <w:b/>
                <w:lang w:val="fr-FR"/>
              </w:rPr>
              <w:t>Co-rapporteur</w:t>
            </w:r>
            <w:proofErr w:type="spellEnd"/>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r w:rsidRPr="004503DC">
              <w:t xml:space="preserve">Krzysztof BALON (Civil Society </w:t>
            </w:r>
            <w:proofErr w:type="spellStart"/>
            <w:r w:rsidRPr="004503DC">
              <w:t>Organisations'</w:t>
            </w:r>
            <w:proofErr w:type="spellEnd"/>
            <w:r w:rsidRPr="004503DC">
              <w:t xml:space="preserve"> Group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sidRPr="004503DC">
              <w:rPr>
                <w:b/>
              </w:rPr>
              <w:t>References</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COM(2025) 649 final</w:t>
            </w:r>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rsidRPr="004503DC">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r w:rsidRPr="004503DC">
        <w:rPr>
          <w:b/>
          <w:lang w:val="en-GB"/>
        </w:rPr>
        <w:t>Key points</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lang w:val="en-GB"/>
        </w:rPr>
      </w:pPr>
      <w:r w:rsidRPr="004503DC">
        <w:rPr>
          <w:bCs/>
          <w:iCs/>
          <w:lang w:val="en-GB"/>
        </w:rPr>
        <w:t>The EESC:</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bCs/>
          <w:iCs/>
          <w:lang w:val="en-GB"/>
        </w:rPr>
      </w:pPr>
      <w:r w:rsidRPr="004503DC">
        <w:rPr>
          <w:bCs/>
          <w:iCs/>
          <w:lang w:val="en-GB"/>
        </w:rPr>
        <w:t>reiterates its solidarity with the Ukrainian people and recalls that the Russia’s aggression against Ukraine caused millions of Ukrainians to flee the danger, and highlights the role played by civil society organisations when the greatest influx of displaced people from Ukraine occurred;</w:t>
      </w:r>
    </w:p>
    <w:p w14:paraId="739050E0"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bCs/>
          <w:iCs/>
          <w:lang w:val="en-GB"/>
        </w:rPr>
      </w:pPr>
      <w:r w:rsidRPr="004503DC">
        <w:rPr>
          <w:bCs/>
          <w:iCs/>
          <w:szCs w:val="20"/>
          <w:lang w:val="en-GB"/>
        </w:rPr>
        <w:t>notes that the temporary protection has proven to be a beneficial solution for displaced people from Ukraine, while the conditions for returning to Ukraine do not yet exist due to the ongoing aggression, and welcomes the decision to extend temporary protection for a further period;</w:t>
      </w:r>
    </w:p>
    <w:p w14:paraId="027B8CC0"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bCs/>
          <w:iCs/>
          <w:lang w:val="en-GB"/>
        </w:rPr>
      </w:pPr>
      <w:r w:rsidRPr="004503DC">
        <w:rPr>
          <w:bCs/>
          <w:iCs/>
          <w:lang w:val="en-GB"/>
        </w:rPr>
        <w:t>underscores the need for a long-term perspective for people enjoying the temporary protection and calls on the European Commission and the Member States to take steps to facilitate an easy transition to a more permanent basis for residence and a gradual move away from temporary protection;</w:t>
      </w:r>
    </w:p>
    <w:p w14:paraId="58D36077"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bCs/>
          <w:iCs/>
          <w:lang w:val="en-GB"/>
        </w:rPr>
      </w:pPr>
      <w:r w:rsidRPr="004503DC">
        <w:rPr>
          <w:bCs/>
          <w:iCs/>
          <w:lang w:val="en-GB"/>
        </w:rPr>
        <w:t>points out that the situation related to the arrival of Ukrainians in the EU has increased pressure on the public service systems of the Member States. and stresses the need to increase investment in high-quality services of general interest, including housing, which should be available on an equal footing to all people legally residing in the EU;</w:t>
      </w:r>
    </w:p>
    <w:p w14:paraId="40289059"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lang w:val="en-GB"/>
        </w:rPr>
      </w:pPr>
      <w:r w:rsidRPr="004503DC">
        <w:rPr>
          <w:lang w:val="en-GB"/>
        </w:rPr>
        <w:t>notes that efforts should be made to ensure the successful integration of Ukrainians in the EU through language courses, support for local community initiatives, the education of Ukrainian children in the Member States, and countering disinformation and Russian intelligence activities, as well as by involving them in organisations operating in their local communities;</w:t>
      </w:r>
    </w:p>
    <w:p w14:paraId="6F366C03" w14:textId="77777777" w:rsidR="004503DC" w:rsidRPr="004503DC" w:rsidRDefault="004503DC" w:rsidP="000B3BD2">
      <w:pPr>
        <w:widowControl w:val="0"/>
        <w:numPr>
          <w:ilvl w:val="0"/>
          <w:numId w:val="33"/>
        </w:numPr>
        <w:overflowPunct w:val="0"/>
        <w:autoSpaceDE w:val="0"/>
        <w:autoSpaceDN w:val="0"/>
        <w:adjustRightInd w:val="0"/>
        <w:ind w:left="284" w:hanging="284"/>
        <w:textAlignment w:val="baseline"/>
        <w:rPr>
          <w:szCs w:val="20"/>
          <w:lang w:val="en-GB"/>
        </w:rPr>
      </w:pPr>
      <w:r w:rsidRPr="004503DC">
        <w:rPr>
          <w:szCs w:val="20"/>
          <w:lang w:val="en-GB"/>
        </w:rPr>
        <w:t>stresses the importance of establishing fair working conditions for Ukrainians, both within the EU and in Ukraine - Member States are expected to combat exploitation and unequal treatment of Ukrainians in employment, while the Ukrainian government is expected to restore favourable solutions for workers and trade union activities through social dialogue.</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sidRPr="004503DC">
              <w:rPr>
                <w:b/>
                <w:i/>
              </w:rPr>
              <w:t>Contact</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proofErr w:type="spellStart"/>
            <w:r w:rsidRPr="004503DC">
              <w:rPr>
                <w:i/>
              </w:rPr>
              <w:t>Katarína</w:t>
            </w:r>
            <w:proofErr w:type="spellEnd"/>
            <w:r w:rsidRPr="004503DC">
              <w:rPr>
                <w:i/>
              </w:rPr>
              <w:t xml:space="preserve"> </w:t>
            </w:r>
            <w:proofErr w:type="spellStart"/>
            <w:r w:rsidRPr="004503DC">
              <w:rPr>
                <w:i/>
              </w:rPr>
              <w:t>G</w:t>
            </w:r>
            <w:r w:rsidR="00F733BE" w:rsidRPr="004503DC">
              <w:rPr>
                <w:i/>
              </w:rPr>
              <w:t>rzeszczyk</w:t>
            </w:r>
            <w:proofErr w:type="spellEnd"/>
            <w:r w:rsidRPr="004503DC">
              <w:rPr>
                <w:i/>
              </w:rPr>
              <w:t xml:space="preserve"> </w:t>
            </w:r>
            <w:proofErr w:type="spellStart"/>
            <w:r w:rsidRPr="004503DC">
              <w:rPr>
                <w:i/>
              </w:rPr>
              <w:t>A</w:t>
            </w:r>
            <w:r w:rsidR="00F733BE" w:rsidRPr="004503DC">
              <w:rPr>
                <w:i/>
              </w:rPr>
              <w:t>lbrechtová</w:t>
            </w:r>
            <w:proofErr w:type="spellEnd"/>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sidRPr="004503DC">
              <w:rPr>
                <w:i/>
              </w:rPr>
              <w:t>Tel.</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sidRPr="004503DC">
              <w:rPr>
                <w:i/>
              </w:rPr>
              <w:t>+32 25469460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sidRPr="004503DC">
              <w:rPr>
                <w:i/>
              </w:rPr>
              <w:t>Email</w:t>
            </w:r>
          </w:p>
        </w:tc>
        <w:tc>
          <w:tcPr>
            <w:tcW w:w="3923" w:type="pct"/>
          </w:tcPr>
          <w:p w14:paraId="59F392A7" w14:textId="77777777" w:rsidR="004503DC" w:rsidRPr="004503DC" w:rsidRDefault="00597E8B" w:rsidP="004503DC">
            <w:pPr>
              <w:overflowPunct w:val="0"/>
              <w:autoSpaceDE w:val="0"/>
              <w:autoSpaceDN w:val="0"/>
              <w:adjustRightInd w:val="0"/>
              <w:textAlignment w:val="baseline"/>
              <w:rPr>
                <w:i/>
              </w:rPr>
            </w:pPr>
            <w:hyperlink r:id="rId50" w:history="1">
              <w:r w:rsidR="004503DC" w:rsidRPr="004503DC">
                <w:rPr>
                  <w:i/>
                  <w:color w:val="0000FF"/>
                  <w:u w:val="single"/>
                </w:rPr>
                <w:t>Katarina.Albrechtova@eesc.europa.eu</w:t>
              </w:r>
            </w:hyperlink>
            <w:r w:rsidR="004503DC" w:rsidRPr="004503DC">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4681B02" w14:textId="77777777" w:rsidR="006D2C8A" w:rsidRDefault="006D2C8A">
      <w:pPr>
        <w:spacing w:after="160" w:line="259" w:lineRule="auto"/>
        <w:jc w:val="left"/>
      </w:pPr>
    </w:p>
    <w:p w14:paraId="528C73AA" w14:textId="46DE726B" w:rsidR="006D2C8A" w:rsidRPr="006D2C8A" w:rsidRDefault="006D2C8A" w:rsidP="006D2C8A">
      <w:pPr>
        <w:pStyle w:val="Heading1"/>
        <w:rPr>
          <w:b/>
        </w:rPr>
      </w:pPr>
      <w:bookmarkStart w:id="12" w:name="_Toc173758875"/>
      <w:r w:rsidRPr="006D2C8A">
        <w:rPr>
          <w:b/>
          <w:color w:val="222A35" w:themeColor="text2" w:themeShade="80"/>
          <w:lang w:val="en-GB"/>
        </w:rPr>
        <w:t>CONSULTATIVE COMMISSION ON INDUSTRIAL CHANGE</w:t>
      </w:r>
      <w:bookmarkEnd w:id="12"/>
    </w:p>
    <w:p w14:paraId="713E272F" w14:textId="77777777" w:rsidR="006D2C8A" w:rsidRDefault="006D2C8A" w:rsidP="006D2C8A"/>
    <w:p w14:paraId="7383D97E" w14:textId="07D743CE" w:rsidR="00ED76AC" w:rsidRPr="00ED76AC" w:rsidRDefault="00597E8B" w:rsidP="00ED76AC">
      <w:pPr>
        <w:widowControl w:val="0"/>
        <w:numPr>
          <w:ilvl w:val="0"/>
          <w:numId w:val="16"/>
        </w:numPr>
        <w:overflowPunct w:val="0"/>
        <w:autoSpaceDE w:val="0"/>
        <w:autoSpaceDN w:val="0"/>
        <w:adjustRightInd w:val="0"/>
        <w:ind w:hanging="567"/>
        <w:rPr>
          <w:sz w:val="20"/>
          <w:szCs w:val="20"/>
          <w:lang w:val="en-GB"/>
        </w:rPr>
      </w:pPr>
      <w:hyperlink r:id="rId51" w:history="1">
        <w:r w:rsidR="00ED76AC" w:rsidRPr="00ED76AC">
          <w:rPr>
            <w:b/>
            <w:bCs/>
            <w:i/>
            <w:iCs/>
            <w:color w:val="0000FF"/>
            <w:sz w:val="28"/>
            <w:szCs w:val="28"/>
            <w:u w:val="single"/>
            <w:lang w:val="en-GB"/>
          </w:rPr>
          <w:t>Facilitating the potential of permanent materials in EU circular economy</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sidRPr="00ED76AC">
              <w:rPr>
                <w:b/>
              </w:rPr>
              <w:t>Rapporteur</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r w:rsidRPr="00ED76AC">
              <w:t>Andrea MONE (</w:t>
            </w:r>
            <w:r w:rsidRPr="00ED76AC">
              <w:rPr>
                <w:lang w:val="en-GB"/>
              </w:rPr>
              <w:t>Workers' Group - IT</w:t>
            </w:r>
            <w:r w:rsidRPr="00ED76AC">
              <w: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proofErr w:type="spellStart"/>
            <w:r w:rsidRPr="00ED76AC">
              <w:rPr>
                <w:b/>
                <w:lang w:val="fr-FR"/>
              </w:rPr>
              <w:t>Co-rapporteur</w:t>
            </w:r>
            <w:proofErr w:type="spellEnd"/>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r w:rsidRPr="00ED76AC">
              <w:t>Michal PINTÉR (Employers' Group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sidRPr="00ED76AC">
              <w:rPr>
                <w:b/>
              </w:rPr>
              <w:t>Reference</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rPr>
                <w:lang w:val="en-GB"/>
              </w:rPr>
            </w:pPr>
            <w:r>
              <w:rPr>
                <w:lang w:val="en-GB"/>
              </w:rPr>
              <w:t>Own-initiative opinion</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rsidRPr="00ED76AC">
              <w:rPr>
                <w:lang w:val="en-GB"/>
              </w:rP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r w:rsidRPr="00ED76AC">
        <w:rPr>
          <w:b/>
          <w:lang w:val="en-GB"/>
        </w:rPr>
        <w:t>Key points</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77777777" w:rsidR="00ED76AC" w:rsidRPr="00ED76AC" w:rsidRDefault="00ED76AC" w:rsidP="00ED76AC">
      <w:pPr>
        <w:overflowPunct w:val="0"/>
        <w:autoSpaceDE w:val="0"/>
        <w:autoSpaceDN w:val="0"/>
        <w:adjustRightInd w:val="0"/>
        <w:rPr>
          <w:bCs/>
          <w:iCs/>
          <w:lang w:val="en-GB"/>
        </w:rPr>
      </w:pPr>
      <w:r w:rsidRPr="00ED76AC">
        <w:rPr>
          <w:bCs/>
          <w:iCs/>
          <w:lang w:val="en-GB"/>
        </w:rPr>
        <w:t>The EESC:</w:t>
      </w:r>
    </w:p>
    <w:p w14:paraId="26A569C6"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recognises the crucial role of permanent materials</w:t>
      </w:r>
      <w:r w:rsidRPr="00ED76AC">
        <w:rPr>
          <w:lang w:val="en-GB" w:eastAsia="en-GB"/>
        </w:rPr>
        <w:t xml:space="preserve"> in enabling a genuine circular economy, particularly in packaging, and calls for</w:t>
      </w:r>
      <w:r w:rsidRPr="00ED76AC">
        <w:rPr>
          <w:b/>
          <w:bCs/>
          <w:lang w:val="en-GB" w:eastAsia="en-GB"/>
        </w:rPr>
        <w:t xml:space="preserve"> their explicit recognition in EU legislation</w:t>
      </w:r>
      <w:r w:rsidRPr="00ED76AC">
        <w:rPr>
          <w:lang w:val="en-GB" w:eastAsia="en-GB"/>
        </w:rPr>
        <w:t>;</w:t>
      </w:r>
    </w:p>
    <w:p w14:paraId="32D7A91F"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supports the EU’s ambition to achieve a 90% separate collection rate for packaging waste by 2030</w:t>
      </w:r>
      <w:r w:rsidRPr="00ED76AC">
        <w:rPr>
          <w:lang w:val="en-GB" w:eastAsia="en-GB"/>
        </w:rPr>
        <w:t>, emphasising that advanced and well-funded collection, sorting and high-quality recycling systems are essential to maximise material retention and enable closed-loop recycling for permanent materials;</w:t>
      </w:r>
    </w:p>
    <w:p w14:paraId="167FDC16"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calls for the strengthening and harmonisation of extended producer responsibility (EPR) schemes</w:t>
      </w:r>
      <w:r w:rsidRPr="00ED76AC">
        <w:rPr>
          <w:lang w:val="en-GB" w:eastAsia="en-GB"/>
        </w:rPr>
        <w:t xml:space="preserve"> across Member States. This includes the enforcement of </w:t>
      </w:r>
      <w:r w:rsidRPr="00ED76AC">
        <w:rPr>
          <w:b/>
          <w:bCs/>
          <w:lang w:val="en-GB" w:eastAsia="en-GB"/>
        </w:rPr>
        <w:t>eco-modulated fees based on transparent and consistent criteria</w:t>
      </w:r>
      <w:r w:rsidRPr="00ED76AC">
        <w:rPr>
          <w:lang w:val="en-GB" w:eastAsia="en-GB"/>
        </w:rPr>
        <w:t xml:space="preserve">, proportional fee structures, and the </w:t>
      </w:r>
      <w:r w:rsidRPr="00ED76AC">
        <w:rPr>
          <w:b/>
          <w:bCs/>
          <w:lang w:val="en-GB" w:eastAsia="en-GB"/>
        </w:rPr>
        <w:t xml:space="preserve">ring-fencing of EPR revenues </w:t>
      </w:r>
      <w:r w:rsidRPr="00ED76AC">
        <w:rPr>
          <w:lang w:val="en-GB" w:eastAsia="en-GB"/>
        </w:rPr>
        <w:t>for reinvestment into the same material stream;</w:t>
      </w:r>
    </w:p>
    <w:p w14:paraId="422AF8F5"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notes the need for prioritised investment</w:t>
      </w:r>
      <w:r w:rsidRPr="00ED76AC">
        <w:rPr>
          <w:lang w:val="en-GB" w:eastAsia="en-GB"/>
        </w:rPr>
        <w:t xml:space="preserve"> in modern infrastructure for the separate collection, sorting and recycling of packaging waste. It stresses that </w:t>
      </w:r>
      <w:r w:rsidRPr="00ED76AC">
        <w:rPr>
          <w:b/>
          <w:bCs/>
          <w:lang w:val="en-GB" w:eastAsia="en-GB"/>
        </w:rPr>
        <w:t>additional support should focus on lower-performing regions or those with limited investment capacity</w:t>
      </w:r>
      <w:r w:rsidRPr="00ED76AC">
        <w:rPr>
          <w:lang w:val="en-GB" w:eastAsia="en-GB"/>
        </w:rPr>
        <w:t>, ensuring that all Member States can meet circular economy objectives;</w:t>
      </w:r>
    </w:p>
    <w:p w14:paraId="059D94FE"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recommends a comprehensive EU-wide assessment of citizens’ recycling behaviour</w:t>
      </w:r>
      <w:r w:rsidRPr="00ED76AC">
        <w:rPr>
          <w:lang w:val="en-GB" w:eastAsia="en-GB"/>
        </w:rPr>
        <w:t xml:space="preserve"> to identify gaps, barriers and best practices. Based on this assessment, the EESC calls for measures to strengthen consumer participation in the separate collection of packaging waste, recognising that household sorting is the essential first step of effective recycling;</w:t>
      </w:r>
    </w:p>
    <w:p w14:paraId="09697A6A"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emphasises the importance of a socially sustainable transition</w:t>
      </w:r>
      <w:r w:rsidRPr="00ED76AC">
        <w:rPr>
          <w:lang w:val="en-GB" w:eastAsia="en-GB"/>
        </w:rPr>
        <w:t xml:space="preserve"> to a circular economy, urging early anticipation of labour-market impacts. It calls for guaranteed access to </w:t>
      </w:r>
      <w:r w:rsidRPr="00ED76AC">
        <w:rPr>
          <w:b/>
          <w:bCs/>
          <w:lang w:val="en-GB" w:eastAsia="en-GB"/>
        </w:rPr>
        <w:t>up-skilling and re-skilling opportunities</w:t>
      </w:r>
      <w:r w:rsidRPr="00ED76AC">
        <w:rPr>
          <w:lang w:val="en-GB" w:eastAsia="en-GB"/>
        </w:rPr>
        <w:t xml:space="preserve"> to support smooth job-to-job transitions so workers can fully participate in and benefit from the emerging circular economy;</w:t>
      </w:r>
    </w:p>
    <w:p w14:paraId="2E89F971" w14:textId="77777777" w:rsidR="00ED76AC" w:rsidRPr="00ED76AC" w:rsidRDefault="00ED76AC" w:rsidP="000B3BD2">
      <w:pPr>
        <w:numPr>
          <w:ilvl w:val="0"/>
          <w:numId w:val="34"/>
        </w:numPr>
        <w:overflowPunct w:val="0"/>
        <w:autoSpaceDE w:val="0"/>
        <w:autoSpaceDN w:val="0"/>
        <w:adjustRightInd w:val="0"/>
        <w:ind w:left="284" w:hanging="284"/>
        <w:rPr>
          <w:lang w:val="en-GB" w:eastAsia="en-GB"/>
        </w:rPr>
      </w:pPr>
      <w:r w:rsidRPr="00ED76AC">
        <w:rPr>
          <w:b/>
          <w:bCs/>
          <w:lang w:val="en-GB" w:eastAsia="en-GB"/>
        </w:rPr>
        <w:t>advocates for stronger social dialogue and collective bargaining at all levels</w:t>
      </w:r>
      <w:r w:rsidRPr="00ED76AC">
        <w:rPr>
          <w:lang w:val="en-GB" w:eastAsia="en-GB"/>
        </w:rPr>
        <w:t>, including within companies, to ensure workers are informed, consulted and involved in the shift towards circular business models.</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sidRPr="00ED76AC">
              <w:rPr>
                <w:b/>
                <w:i/>
              </w:rPr>
              <w:t>Contact</w:t>
            </w:r>
          </w:p>
        </w:tc>
        <w:tc>
          <w:tcPr>
            <w:tcW w:w="3923" w:type="pct"/>
            <w:hideMark/>
          </w:tcPr>
          <w:p w14:paraId="0144A2EC" w14:textId="10811451" w:rsidR="00ED76AC" w:rsidRPr="00ED76AC" w:rsidRDefault="00ED76AC" w:rsidP="00ED76AC">
            <w:pPr>
              <w:overflowPunct w:val="0"/>
              <w:autoSpaceDE w:val="0"/>
              <w:autoSpaceDN w:val="0"/>
              <w:adjustRightInd w:val="0"/>
              <w:rPr>
                <w:i/>
              </w:rPr>
            </w:pPr>
            <w:r w:rsidRPr="00ED76AC">
              <w:rPr>
                <w:i/>
              </w:rPr>
              <w:t>Adam D</w:t>
            </w:r>
            <w:r w:rsidR="001307DF" w:rsidRPr="00ED76AC">
              <w:rPr>
                <w:i/>
              </w:rPr>
              <w:t>orywalski</w:t>
            </w:r>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sidRPr="00ED76AC">
              <w:rPr>
                <w:i/>
              </w:rPr>
              <w:t>Tel.</w:t>
            </w:r>
          </w:p>
        </w:tc>
        <w:tc>
          <w:tcPr>
            <w:tcW w:w="3923" w:type="pct"/>
            <w:hideMark/>
          </w:tcPr>
          <w:p w14:paraId="262EFFB7" w14:textId="031EF339" w:rsidR="00ED76AC" w:rsidRPr="00ED76AC" w:rsidRDefault="00ED76AC" w:rsidP="00ED76AC">
            <w:pPr>
              <w:overflowPunct w:val="0"/>
              <w:autoSpaceDE w:val="0"/>
              <w:autoSpaceDN w:val="0"/>
              <w:adjustRightInd w:val="0"/>
              <w:rPr>
                <w:i/>
              </w:rPr>
            </w:pPr>
            <w:r w:rsidRPr="00ED76AC">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sidRPr="00ED76AC">
              <w:rPr>
                <w:i/>
              </w:rPr>
              <w:t>Email</w:t>
            </w:r>
          </w:p>
        </w:tc>
        <w:tc>
          <w:tcPr>
            <w:tcW w:w="3923" w:type="pct"/>
            <w:hideMark/>
          </w:tcPr>
          <w:p w14:paraId="6BD8C4E6" w14:textId="77777777" w:rsidR="00ED76AC" w:rsidRPr="00ED76AC" w:rsidRDefault="00597E8B" w:rsidP="00ED76AC">
            <w:pPr>
              <w:overflowPunct w:val="0"/>
              <w:autoSpaceDE w:val="0"/>
              <w:autoSpaceDN w:val="0"/>
              <w:adjustRightInd w:val="0"/>
              <w:rPr>
                <w:i/>
              </w:rPr>
            </w:pPr>
            <w:hyperlink r:id="rId52" w:history="1">
              <w:r w:rsidR="00ED76AC" w:rsidRPr="00ED76AC">
                <w:rPr>
                  <w:i/>
                  <w:iCs/>
                  <w:color w:val="0000FF"/>
                  <w:u w:val="single"/>
                  <w:lang w:val="en-GB"/>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30298AFA" w:rsidR="009F1AE3" w:rsidRPr="009F1AE3" w:rsidRDefault="009F1AE3" w:rsidP="009F1AE3">
      <w:pPr>
        <w:widowControl w:val="0"/>
        <w:numPr>
          <w:ilvl w:val="0"/>
          <w:numId w:val="4"/>
        </w:numPr>
        <w:overflowPunct w:val="0"/>
        <w:autoSpaceDE w:val="0"/>
        <w:autoSpaceDN w:val="0"/>
        <w:adjustRightInd w:val="0"/>
        <w:ind w:hanging="567"/>
        <w:textAlignment w:val="baseline"/>
        <w:rPr>
          <w:sz w:val="20"/>
          <w:szCs w:val="20"/>
          <w:lang w:val="en-GB"/>
        </w:rPr>
      </w:pPr>
      <w:hyperlink r:id="rId53" w:history="1">
        <w:r w:rsidRPr="009F1AE3">
          <w:rPr>
            <w:b/>
            <w:bCs/>
            <w:i/>
            <w:iCs/>
            <w:color w:val="0000FF"/>
            <w:sz w:val="28"/>
            <w:szCs w:val="28"/>
            <w:u w:val="single"/>
            <w:lang w:val="en-GB"/>
          </w:rPr>
          <w:t>Industrial Cooperative</w:t>
        </w:r>
        <w:r w:rsidR="005A2512">
          <w:rPr>
            <w:b/>
            <w:bCs/>
            <w:i/>
            <w:iCs/>
            <w:color w:val="0000FF"/>
            <w:sz w:val="28"/>
            <w:szCs w:val="28"/>
            <w:u w:val="single"/>
            <w:lang w:val="en-GB"/>
          </w:rPr>
          <w:t>s: a tool for the challenge of inclusive and sustainable competitiveness</w:t>
        </w:r>
      </w:hyperlink>
      <w:r w:rsidRPr="009F1AE3">
        <w:rPr>
          <w:b/>
          <w:bCs/>
          <w:i/>
          <w:iCs/>
          <w:sz w:val="28"/>
          <w:szCs w:val="28"/>
          <w:lang w:val="en-GB"/>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sidRPr="009F1AE3">
              <w:rPr>
                <w:b/>
              </w:rPr>
              <w:t>Rapporteur</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r w:rsidRPr="009F1AE3">
              <w:t xml:space="preserve">Giuseppe GUERINI (Civil Society </w:t>
            </w:r>
            <w:proofErr w:type="spellStart"/>
            <w:r w:rsidRPr="009F1AE3">
              <w:t>Organisations'</w:t>
            </w:r>
            <w:proofErr w:type="spellEnd"/>
            <w:r w:rsidRPr="009F1AE3">
              <w:t xml:space="preserve"> Group -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proofErr w:type="spellStart"/>
            <w:r w:rsidRPr="009F1AE3">
              <w:rPr>
                <w:b/>
                <w:lang w:val="fr-FR"/>
              </w:rPr>
              <w:t>Co-rapporteur</w:t>
            </w:r>
            <w:proofErr w:type="spellEnd"/>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r w:rsidRPr="009F1AE3">
              <w:t>Michal PINTÉR (Employers' Group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sidRPr="009F1AE3">
              <w:rPr>
                <w:b/>
              </w:rPr>
              <w:t>References</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rPr>
                <w:lang w:val="en-GB"/>
              </w:rPr>
            </w:pPr>
            <w:r>
              <w:rPr>
                <w:lang w:val="en-GB"/>
              </w:rPr>
              <w:t>Own-initiative opinion</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rsidRPr="009F1AE3">
              <w:rPr>
                <w:lang w:val="en-GB"/>
              </w:rP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r w:rsidRPr="009F1AE3">
        <w:rPr>
          <w:b/>
          <w:lang w:val="en-GB"/>
        </w:rPr>
        <w:t>Key points</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lang w:val="en-GB"/>
        </w:rPr>
      </w:pPr>
      <w:r w:rsidRPr="009F1AE3">
        <w:rPr>
          <w:bCs/>
          <w:iCs/>
          <w:lang w:val="en-GB"/>
        </w:rPr>
        <w:t>The EESC:</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notes that the United Nations has proclaimed 2025 the International Year of Cooperatives under the theme “Cooperatives Build a Better World”, reflecting growing international recognition of the cooperative model across sectors;</w:t>
      </w:r>
    </w:p>
    <w:p w14:paraId="3D3801AB"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recommends integrating cooperative business education into mainstream entrepreneurship and vocational training, including awareness activities for financial institutions and opportunities within Erasmus+;</w:t>
      </w:r>
    </w:p>
    <w:p w14:paraId="28A4E3C6"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believes that cooperatives should be actively promoted among start-ups and young entrepreneurs;</w:t>
      </w:r>
    </w:p>
    <w:p w14:paraId="58C2F6EC"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calls for recognition of industrial cooperatives as key economic actors and for targeted financial incentives at EU, national and regional levels (</w:t>
      </w:r>
      <w:r w:rsidRPr="009F1AE3">
        <w:rPr>
          <w:szCs w:val="20"/>
          <w:lang w:val="en-GB"/>
        </w:rPr>
        <w:t xml:space="preserve">tax breaks, grants, low-interest financing) </w:t>
      </w:r>
      <w:r w:rsidRPr="009F1AE3">
        <w:rPr>
          <w:bCs/>
          <w:iCs/>
          <w:lang w:val="en-GB"/>
        </w:rPr>
        <w:t>to support industrial symbiosis and circularity;</w:t>
      </w:r>
    </w:p>
    <w:p w14:paraId="4A87AD53"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encourages investment in shared industrial parks, eco-industrial zones and cooperative knowledge-sharing platforms to strengthen cooperative localisation and sustainable production;</w:t>
      </w:r>
    </w:p>
    <w:p w14:paraId="52113114"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urges the inclusion of cooperative-specific policy measures in EU cohesion programmes and regional development strategies, prioritising cooperative-led initiatives to boost regional resilience and sustainability;</w:t>
      </w:r>
    </w:p>
    <w:p w14:paraId="7894A3A1" w14:textId="77777777"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highlights the growing strategic importance of data-driven cooperatives and calls on EU and national authorities to support collective initiatives for managing and sharing industrial data;</w:t>
      </w:r>
    </w:p>
    <w:p w14:paraId="79564FBF" w14:textId="44C56D7D" w:rsidR="009F1AE3" w:rsidRPr="009F1AE3" w:rsidRDefault="009F1AE3" w:rsidP="000B3BD2">
      <w:pPr>
        <w:widowControl w:val="0"/>
        <w:numPr>
          <w:ilvl w:val="0"/>
          <w:numId w:val="35"/>
        </w:numPr>
        <w:overflowPunct w:val="0"/>
        <w:autoSpaceDE w:val="0"/>
        <w:autoSpaceDN w:val="0"/>
        <w:adjustRightInd w:val="0"/>
        <w:ind w:left="284" w:hanging="284"/>
        <w:textAlignment w:val="baseline"/>
        <w:rPr>
          <w:bCs/>
          <w:iCs/>
          <w:lang w:val="en-GB"/>
        </w:rPr>
      </w:pPr>
      <w:r w:rsidRPr="009F1AE3">
        <w:rPr>
          <w:bCs/>
          <w:iCs/>
          <w:lang w:val="en-GB"/>
        </w:rPr>
        <w:t>stresses that the cooperative model provides unique added value through democratic governance, equitable wealth distribution, community engagement, and strong adaptability, reinforcing EU strategic autonomy</w:t>
      </w:r>
      <w:r w:rsidR="00926A3C">
        <w:rPr>
          <w:bCs/>
          <w:iCs/>
          <w:lang w:val="en-GB"/>
        </w:rPr>
        <w:t>.</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sidRPr="009F1AE3">
              <w:rPr>
                <w:b/>
                <w:i/>
              </w:rPr>
              <w:t>Contact</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sidRPr="009F1AE3">
              <w:rPr>
                <w:i/>
              </w:rPr>
              <w:t>Adam D</w:t>
            </w:r>
            <w:r w:rsidR="007B326F" w:rsidRPr="009F1AE3">
              <w:rPr>
                <w:i/>
              </w:rPr>
              <w:t>orywalski</w:t>
            </w:r>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sidRPr="009F1AE3">
              <w:rPr>
                <w:i/>
              </w:rPr>
              <w:t>Tel.</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sidRPr="009F1AE3">
              <w:rPr>
                <w:i/>
              </w:rPr>
              <w:t>+32 25469397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sidRPr="009F1AE3">
              <w:rPr>
                <w:i/>
              </w:rPr>
              <w:t>Email</w:t>
            </w:r>
          </w:p>
        </w:tc>
        <w:tc>
          <w:tcPr>
            <w:tcW w:w="3923" w:type="pct"/>
          </w:tcPr>
          <w:p w14:paraId="7A67CA0D" w14:textId="77777777" w:rsidR="009F1AE3" w:rsidRPr="009F1AE3" w:rsidRDefault="00597E8B" w:rsidP="009F1AE3">
            <w:pPr>
              <w:overflowPunct w:val="0"/>
              <w:autoSpaceDE w:val="0"/>
              <w:autoSpaceDN w:val="0"/>
              <w:adjustRightInd w:val="0"/>
              <w:textAlignment w:val="baseline"/>
              <w:rPr>
                <w:i/>
              </w:rPr>
            </w:pPr>
            <w:hyperlink r:id="rId54" w:history="1">
              <w:r w:rsidR="009F1AE3" w:rsidRPr="009F1AE3">
                <w:rPr>
                  <w:i/>
                  <w:iCs/>
                  <w:color w:val="0000FF"/>
                  <w:u w:val="single"/>
                  <w:lang w:val="en-GB"/>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B3BD2">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217BDF5"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Pr>
        <w:noProof/>
      </w:rPr>
      <w:t>1</w:t>
    </w:r>
    <w:r>
      <w:fldChar w:fldCharType="end"/>
    </w:r>
    <w:r>
      <w:t>/</w:t>
    </w:r>
    <w:r w:rsidR="00597E8B">
      <w:fldChar w:fldCharType="begin"/>
    </w:r>
    <w:r w:rsidR="00597E8B">
      <w:instrText xml:space="preserve"> NUMPAGES </w:instrText>
    </w:r>
    <w:r w:rsidR="00597E8B">
      <w:fldChar w:fldCharType="separate"/>
    </w:r>
    <w:r>
      <w:rPr>
        <w:noProof/>
      </w:rPr>
      <w:t>1</w:t>
    </w:r>
    <w:r w:rsidR="00597E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65FF92BB"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Pr>
        <w:noProof/>
      </w:rPr>
      <w:t>1</w:t>
    </w:r>
    <w:r>
      <w:fldChar w:fldCharType="end"/>
    </w:r>
    <w:r>
      <w:t>/</w:t>
    </w:r>
    <w:r w:rsidR="00597E8B">
      <w:fldChar w:fldCharType="begin"/>
    </w:r>
    <w:r w:rsidR="00597E8B">
      <w:instrText xml:space="preserve"> NUMPAGES </w:instrText>
    </w:r>
    <w:r w:rsidR="00597E8B">
      <w:fldChar w:fldCharType="separate"/>
    </w:r>
    <w:r>
      <w:rPr>
        <w:noProof/>
      </w:rPr>
      <w:t>1</w:t>
    </w:r>
    <w:r w:rsidR="00597E8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sidRPr="009C61FF">
        <w:rPr>
          <w:sz w:val="16"/>
          <w:szCs w:val="16"/>
        </w:rPr>
        <w:tab/>
      </w:r>
      <w:hyperlink r:id="rId1">
        <w:r w:rsidRPr="00C62A6C">
          <w:rPr>
            <w:color w:val="0000FF"/>
            <w:sz w:val="16"/>
            <w:szCs w:val="16"/>
            <w:u w:val="single"/>
          </w:rPr>
          <w:t>https://eur-lex.europa.eu/legal-content/EN/TXT/?uri=legissum:4623532</w:t>
        </w:r>
      </w:hyperlink>
      <w:r w:rsidRPr="00ED3E39">
        <w:rPr>
          <w:sz w:val="16"/>
          <w:szCs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sidRPr="009C61FF">
        <w:rPr>
          <w:sz w:val="16"/>
          <w:szCs w:val="16"/>
        </w:rPr>
        <w:tab/>
      </w:r>
      <w:hyperlink r:id="rId2">
        <w:r w:rsidRPr="00C62A6C">
          <w:rPr>
            <w:color w:val="0000FF"/>
            <w:sz w:val="16"/>
            <w:szCs w:val="16"/>
            <w:u w:val="single"/>
          </w:rPr>
          <w:t>https://eur-lex.europa.eu/legal-content/EN/TXT/?uri=CELEX%3A52022XC0930%2802%29</w:t>
        </w:r>
      </w:hyperlink>
      <w:r w:rsidRPr="00ED3E39">
        <w:rPr>
          <w:sz w:val="16"/>
          <w:szCs w:val="16"/>
        </w:rP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sidRPr="0023267D">
        <w:rPr>
          <w:sz w:val="16"/>
          <w:szCs w:val="16"/>
        </w:rPr>
        <w:tab/>
      </w:r>
      <w:hyperlink r:id="rId3">
        <w:r w:rsidRPr="00C62A6C">
          <w:rPr>
            <w:color w:val="0000FF"/>
            <w:sz w:val="16"/>
            <w:szCs w:val="16"/>
            <w:u w:val="single"/>
          </w:rPr>
          <w:t>https://digital-strategy.ec.europa.eu/en/library/recommendation-protection-safety-and-empowerment-journalists</w:t>
        </w:r>
      </w:hyperlink>
      <w:r w:rsidRPr="00C1394A">
        <w:rPr>
          <w:sz w:val="16"/>
          <w:szCs w:val="16"/>
        </w:rPr>
        <w:t>.</w:t>
      </w:r>
    </w:p>
  </w:footnote>
  <w:footnote w:id="4">
    <w:p w14:paraId="026EF876" w14:textId="77777777" w:rsidR="00E972B2" w:rsidRPr="00C510E4" w:rsidRDefault="00E972B2" w:rsidP="00E972B2">
      <w:pPr>
        <w:keepLines/>
        <w:spacing w:after="60" w:line="240" w:lineRule="auto"/>
        <w:ind w:left="567" w:hanging="567"/>
        <w:rPr>
          <w:lang w:val="fi-FI"/>
        </w:rPr>
      </w:pPr>
      <w:r>
        <w:rPr>
          <w:rStyle w:val="FootnoteReference"/>
        </w:rPr>
        <w:footnoteRef/>
      </w:r>
      <w:r>
        <w:rPr>
          <w:lang w:val="fi-FI"/>
        </w:rPr>
        <w:tab/>
      </w:r>
      <w:r w:rsidRPr="00443B69">
        <w:rPr>
          <w:iCs/>
          <w:sz w:val="16"/>
          <w:szCs w:val="16"/>
          <w:lang w:val="fi-FI"/>
        </w:rPr>
        <w:t xml:space="preserve">OJ C, C/2025/114, 10.1.2025, ELI: </w:t>
      </w:r>
      <w:hyperlink r:id="rId4" w:history="1">
        <w:r w:rsidRPr="00C62A6C">
          <w:rPr>
            <w:rStyle w:val="Hyperlink"/>
            <w:iCs/>
            <w:sz w:val="16"/>
            <w:szCs w:val="16"/>
            <w:lang w:val="fi-FI"/>
          </w:rPr>
          <w:t>http://data.europa.eu/eli/C/2025/114/oj</w:t>
        </w:r>
      </w:hyperlink>
      <w:r w:rsidRPr="00443B69">
        <w:rPr>
          <w:iCs/>
          <w:sz w:val="16"/>
          <w:szCs w:val="16"/>
          <w:lang w:val="fi-FI"/>
        </w:rPr>
        <w:t>.</w:t>
      </w:r>
    </w:p>
  </w:footnote>
  <w:footnote w:id="5">
    <w:p w14:paraId="01E2CCA5" w14:textId="77777777" w:rsidR="00836765" w:rsidRPr="00360DD3" w:rsidRDefault="00836765" w:rsidP="00836765">
      <w:pPr>
        <w:pStyle w:val="FootnoteText"/>
      </w:pPr>
      <w:r>
        <w:rPr>
          <w:rStyle w:val="FootnoteReference"/>
        </w:rPr>
        <w:footnoteRef/>
      </w:r>
      <w:r>
        <w:t xml:space="preserve"> </w:t>
      </w:r>
      <w:r>
        <w:tab/>
      </w:r>
      <w:r w:rsidRPr="00CC5CB1">
        <w:t xml:space="preserve">EESC </w:t>
      </w:r>
      <w:r>
        <w:t xml:space="preserve">own-initiative </w:t>
      </w:r>
      <w:r w:rsidRPr="00CC5CB1">
        <w:t xml:space="preserve">opinion on </w:t>
      </w:r>
      <w:hyperlink r:id="rId5" w:anchor=":~:text=The%20only%20reliable%20way%20to%20preserve%20the%20rainforests%20is%20through" w:history="1">
        <w:r w:rsidRPr="00A723BA">
          <w:rPr>
            <w:rStyle w:val="Hyperlink"/>
            <w:i/>
            <w:iCs/>
          </w:rPr>
          <w:t>Deforestation of the Amazon rainforest – impact on climate change and the global environment; consequences for companies, workers and population</w:t>
        </w:r>
      </w:hyperlink>
      <w:r w:rsidRPr="00CC5CB1">
        <w:t>,</w:t>
      </w:r>
      <w:r>
        <w:t xml:space="preserve"> </w:t>
      </w:r>
      <w:hyperlink r:id="rId6" w:history="1">
        <w:r w:rsidRPr="00C62A6C">
          <w:rPr>
            <w:rStyle w:val="Hyperlink"/>
          </w:rPr>
          <w:t>OJ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 xml:space="preserve"> </w:t>
      </w:r>
      <w:r>
        <w:tab/>
      </w:r>
      <w:r w:rsidRPr="00CC5CB1">
        <w:t xml:space="preserve">EESC opinion on </w:t>
      </w:r>
      <w:hyperlink r:id="rId7" w:history="1">
        <w:r w:rsidRPr="0046761F">
          <w:rPr>
            <w:rStyle w:val="Hyperlink"/>
            <w:i/>
            <w:iCs/>
          </w:rPr>
          <w:t>Minimising the risk of deforestation and forest degradation associated with products placed on the EU market</w:t>
        </w:r>
      </w:hyperlink>
      <w:r w:rsidRPr="00CC5CB1">
        <w:t xml:space="preserve">, </w:t>
      </w:r>
      <w:hyperlink r:id="rId8" w:history="1">
        <w:r w:rsidRPr="00C62A6C">
          <w:rPr>
            <w:rStyle w:val="Hyperlink"/>
          </w:rPr>
          <w:t>OJ C 275,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22F3"/>
    <w:rsid w:val="00034990"/>
    <w:rsid w:val="0005334D"/>
    <w:rsid w:val="00054433"/>
    <w:rsid w:val="00056F0F"/>
    <w:rsid w:val="00063DFF"/>
    <w:rsid w:val="00085AF6"/>
    <w:rsid w:val="000A1597"/>
    <w:rsid w:val="000B3BD2"/>
    <w:rsid w:val="000C7C8B"/>
    <w:rsid w:val="000D394D"/>
    <w:rsid w:val="000E7346"/>
    <w:rsid w:val="001307DF"/>
    <w:rsid w:val="00145DF7"/>
    <w:rsid w:val="00194E7D"/>
    <w:rsid w:val="001A7442"/>
    <w:rsid w:val="001E391D"/>
    <w:rsid w:val="00237C67"/>
    <w:rsid w:val="002A5636"/>
    <w:rsid w:val="002B0636"/>
    <w:rsid w:val="002B5AEF"/>
    <w:rsid w:val="002B7981"/>
    <w:rsid w:val="002D3663"/>
    <w:rsid w:val="002F53D8"/>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97E8B"/>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n/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n/our-work/opinions-information-reports/opinions/single-market-strategy" TargetMode="External"/><Relationship Id="rId42" Type="http://schemas.openxmlformats.org/officeDocument/2006/relationships/hyperlink" Target="https://www.eesc.europa.eu/en/our-work/opinions-information-reports/opinions/amendment-deforestation-regulation-eu-20231115" TargetMode="External"/><Relationship Id="rId47" Type="http://schemas.openxmlformats.org/officeDocument/2006/relationships/hyperlink" Target="https://www.eesc.europa.eu/en/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en/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n/our-work/opinions-information-reports/opinions/labour-rights-journalists-and-media-professionals-safeguard-independence-and-truthful-information" TargetMode="External"/><Relationship Id="rId32" Type="http://schemas.openxmlformats.org/officeDocument/2006/relationships/hyperlink" Target="https://www.eesc.europa.eu/en/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en/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en/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n/our-work/opinions-information-reports/opinions/co2-emission-class-heavy-duty-vehicles-trailers-0" TargetMode="External"/><Relationship Id="rId36" Type="http://schemas.openxmlformats.org/officeDocument/2006/relationships/hyperlink" Target="https://www.eesc.europa.eu/en/our-work/opinions-information-reports/opinions/report-competition-policy-2024" TargetMode="External"/><Relationship Id="rId49" Type="http://schemas.openxmlformats.org/officeDocument/2006/relationships/hyperlink" Target="https://www.eesc.europa.eu/en/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en/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en/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en/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uriserv%3AOJ.C_.2022.275.01.0088.01.ENG&amp;toc=OJ%3AC%3A2022%3A275%3ATOC" TargetMode="External"/><Relationship Id="rId3" Type="http://schemas.openxmlformats.org/officeDocument/2006/relationships/hyperlink" Target="https://digital-strategy.ec.europa.eu/en/library/recommendation-protection-safety-and-empowerment-journalists" TargetMode="External"/><Relationship Id="rId7" Type="http://schemas.openxmlformats.org/officeDocument/2006/relationships/hyperlink" Target="https://www.eesc.europa.eu/en/our-work/opinions-information-reports/opinions/minimising-risk-deforestation-and-forest-degradation-associated-products-placed-eu-market" TargetMode="External"/><Relationship Id="rId2" Type="http://schemas.openxmlformats.org/officeDocument/2006/relationships/hyperlink" Target="https://eur-lex.europa.eu/legal-content/EN/TXT/?uri=CELEX%3A52022XC0930%2802%29" TargetMode="External"/><Relationship Id="rId1" Type="http://schemas.openxmlformats.org/officeDocument/2006/relationships/hyperlink" Target="https://eur-lex.europa.eu/legal-content/EN/TXT/?uri=legissum:4623532" TargetMode="External"/><Relationship Id="rId6" Type="http://schemas.openxmlformats.org/officeDocument/2006/relationships/hyperlink" Target="https://eur-lex.europa.eu/legal-content/EN/TXT/?uri=OJ:C_202406882" TargetMode="External"/><Relationship Id="rId5" Type="http://schemas.openxmlformats.org/officeDocument/2006/relationships/hyperlink" Target="https://www.eesc.europa.eu/en/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A6WAAD5KZT2Q-284857674-6401</_dlc_DocId>
    <_dlc_DocIdUrl xmlns="1a33af13-4045-4f88-9d7b-618e30f79918">
      <Url>http://dm/eesc/2025/_layouts/15/DocIdRedir.aspx?ID=A6WAAD5KZT2Q-284857674-6401</Url>
      <Description>A6WAAD5KZT2Q-284857674-6401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Capuano Marco</DisplayName>
        <AccountId>34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CA1CCEBA-5A47-4538-9C74-326C252DD39A}"/>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6157</Words>
  <Characters>36573</Characters>
  <Application>Microsoft Office Word</Application>
  <DocSecurity>0</DocSecurity>
  <Lines>870</Lines>
  <Paragraphs>414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- 601st plenary session - December 2025 </dc:title>
  <dc:subject>ADMIN</dc:subject>
  <dc:creator/>
  <cp:keywords>COR-EESC-2022-02583-00-00-ADMIN-TRA-EN</cp:keywords>
  <dc:description>Rapporteur:  - Original language: EN - Date of document: 20/05/2022 - Date of meeting:  - External documents:  - Administrator:  SUCIU Serban</dc:description>
  <cp:lastModifiedBy/>
  <cp:revision>3</cp:revision>
  <dcterms:created xsi:type="dcterms:W3CDTF">2025-12-19T15:21:00Z</dcterms:created>
  <dcterms:modified xsi:type="dcterms:W3CDTF">2025-12-19T15:22:00Z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291a9de1-4411-4ed1-b16d-401fe8b98fc7</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5;#EN|f2175f21-25d7-44a3-96da-d6a61b075e1b</vt:lpwstr>
  </property>
  <property fmtid="{D5CDD505-2E9C-101B-9397-08002B2CF9AE}" pid="33" name="AvailableTranslations_0">
    <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