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2DD4D" w14:textId="2763E927" w:rsidR="004D7AC0" w:rsidRDefault="00F74BC3" w:rsidP="004D7AC0">
      <w:pPr>
        <w:jc w:val="center"/>
      </w:pPr>
      <w:r>
        <w:rPr>
          <w:noProof/>
        </w:rPr>
        <w:drawing>
          <wp:inline distT="0" distB="0" distL="0" distR="0" wp14:anchorId="4146E5DF" wp14:editId="13CFD67B">
            <wp:extent cx="1792605" cy="1239520"/>
            <wp:effectExtent l="0" t="0" r="0" b="0"/>
            <wp:docPr id="1" name="Picture 1" title="EESCLogo_DE"/>
            <wp:cNvGraphicFramePr/>
            <a:graphic xmlns:a="http://schemas.openxmlformats.org/drawingml/2006/main">
              <a:graphicData uri="http://schemas.openxmlformats.org/drawingml/2006/picture">
                <pic:pic xmlns:pic="http://schemas.openxmlformats.org/drawingml/2006/picture">
                  <pic:nvPicPr>
                    <pic:cNvPr id="1" name="Picture 1" title="EESCLogo_D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9264" behindDoc="1" locked="0" layoutInCell="0" allowOverlap="1" wp14:anchorId="4982DE48" wp14:editId="3EF4470C">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2DE54" w14:textId="77777777" w:rsidR="004D7AC0" w:rsidRPr="00260E65" w:rsidRDefault="004D7AC0" w:rsidP="004D7AC0">
                            <w:pPr>
                              <w:jc w:val="center"/>
                              <w:rPr>
                                <w:rFonts w:ascii="Arial" w:hAnsi="Arial" w:cs="Arial"/>
                                <w:b/>
                                <w:bCs/>
                                <w:sz w:val="48"/>
                              </w:rPr>
                            </w:pPr>
                            <w:r>
                              <w:rPr>
                                <w:rFonts w:ascii="Arial" w:hAnsi="Arial"/>
                                <w:b/>
                                <w:sz w:val="48"/>
                              </w:rPr>
                              <w:t>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2DE48"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4982DE54" w14:textId="77777777" w:rsidR="004D7AC0" w:rsidRPr="00260E65" w:rsidRDefault="004D7AC0" w:rsidP="004D7AC0">
                      <w:pPr>
                        <w:jc w:val="center"/>
                        <w:rPr>
                          <w:rFonts w:ascii="Arial" w:hAnsi="Arial" w:cs="Arial"/>
                          <w:b/>
                          <w:bCs/>
                          <w:sz w:val="48"/>
                        </w:rPr>
                      </w:pPr>
                      <w:r>
                        <w:rPr>
                          <w:rFonts w:ascii="Arial" w:hAnsi="Arial"/>
                          <w:b/>
                          <w:sz w:val="48"/>
                        </w:rPr>
                        <w:t>DE</w:t>
                      </w:r>
                    </w:p>
                  </w:txbxContent>
                </v:textbox>
                <w10:wrap anchorx="page" anchory="page"/>
              </v:shape>
            </w:pict>
          </mc:Fallback>
        </mc:AlternateContent>
      </w:r>
    </w:p>
    <w:p w14:paraId="4982DD4E" w14:textId="77777777" w:rsidR="004D7AC0" w:rsidRDefault="004D7AC0" w:rsidP="004D7AC0"/>
    <w:p w14:paraId="4982DD4F" w14:textId="583AC3F3" w:rsidR="004D7AC0" w:rsidRDefault="004D7AC0" w:rsidP="004D7AC0">
      <w:pPr>
        <w:jc w:val="right"/>
      </w:pPr>
      <w:r>
        <w:t>Brüssel, den 17. Dezember 2025</w:t>
      </w:r>
    </w:p>
    <w:p w14:paraId="4982DD50" w14:textId="77777777" w:rsidR="004D7AC0" w:rsidRDefault="004D7AC0" w:rsidP="004D7AC0"/>
    <w:p w14:paraId="4982DD51" w14:textId="77777777" w:rsidR="004D7AC0" w:rsidRDefault="004D7AC0" w:rsidP="004D7AC0"/>
    <w:p w14:paraId="4982DD52" w14:textId="77777777" w:rsidR="004D7AC0" w:rsidRDefault="004D7AC0" w:rsidP="004D7AC0"/>
    <w:tbl>
      <w:tblPr>
        <w:tblW w:w="0" w:type="auto"/>
        <w:tblLook w:val="04A0" w:firstRow="1" w:lastRow="0" w:firstColumn="1" w:lastColumn="0" w:noHBand="0" w:noVBand="1"/>
      </w:tblPr>
      <w:tblGrid>
        <w:gridCol w:w="9289"/>
      </w:tblGrid>
      <w:tr w:rsidR="004D7AC0" w14:paraId="4982DD59" w14:textId="77777777" w:rsidTr="00600C84">
        <w:tc>
          <w:tcPr>
            <w:tcW w:w="9289" w:type="dxa"/>
            <w:tcBorders>
              <w:bottom w:val="double" w:sz="4" w:space="0" w:color="auto"/>
            </w:tcBorders>
          </w:tcPr>
          <w:p w14:paraId="4982DD53" w14:textId="02802AB8" w:rsidR="003066BE" w:rsidRDefault="00340927" w:rsidP="00600C84">
            <w:pPr>
              <w:snapToGrid w:val="0"/>
              <w:jc w:val="center"/>
              <w:rPr>
                <w:b/>
                <w:sz w:val="32"/>
                <w:szCs w:val="32"/>
              </w:rPr>
            </w:pPr>
            <w:r>
              <w:rPr>
                <w:b/>
                <w:sz w:val="32"/>
              </w:rPr>
              <w:t>601. PLENARTAGUNG</w:t>
            </w:r>
          </w:p>
          <w:p w14:paraId="4982DD54" w14:textId="77777777" w:rsidR="003066BE" w:rsidRDefault="003066BE" w:rsidP="00600C84">
            <w:pPr>
              <w:snapToGrid w:val="0"/>
              <w:jc w:val="center"/>
              <w:rPr>
                <w:b/>
                <w:sz w:val="32"/>
                <w:szCs w:val="32"/>
              </w:rPr>
            </w:pPr>
          </w:p>
          <w:p w14:paraId="4982DD55" w14:textId="2F334972" w:rsidR="003066BE" w:rsidRDefault="00340927" w:rsidP="00600C84">
            <w:pPr>
              <w:snapToGrid w:val="0"/>
              <w:jc w:val="center"/>
              <w:rPr>
                <w:b/>
                <w:sz w:val="32"/>
                <w:szCs w:val="32"/>
              </w:rPr>
            </w:pPr>
            <w:r>
              <w:rPr>
                <w:b/>
                <w:sz w:val="32"/>
              </w:rPr>
              <w:t>3./4. Dezember 2025</w:t>
            </w:r>
          </w:p>
          <w:p w14:paraId="4982DD56" w14:textId="77777777" w:rsidR="003066BE" w:rsidRDefault="003066BE" w:rsidP="00600C84">
            <w:pPr>
              <w:snapToGrid w:val="0"/>
              <w:jc w:val="center"/>
              <w:rPr>
                <w:b/>
                <w:sz w:val="32"/>
                <w:szCs w:val="32"/>
              </w:rPr>
            </w:pPr>
          </w:p>
          <w:p w14:paraId="4982DD57" w14:textId="30F7D8B5" w:rsidR="004D7AC0" w:rsidRPr="0081153B" w:rsidRDefault="00754027" w:rsidP="00600C84">
            <w:pPr>
              <w:snapToGrid w:val="0"/>
              <w:jc w:val="center"/>
              <w:rPr>
                <w:rFonts w:eastAsia="MS Mincho"/>
                <w:b/>
                <w:sz w:val="32"/>
                <w:szCs w:val="32"/>
              </w:rPr>
            </w:pPr>
            <w:r>
              <w:rPr>
                <w:b/>
                <w:sz w:val="32"/>
              </w:rPr>
              <w:t>, ENTSCHLIEẞUNGEN UND INFORMATIONS-/BEWERTUNGSBERICHTE</w:t>
            </w:r>
          </w:p>
          <w:p w14:paraId="4982DD58" w14:textId="77777777" w:rsidR="004D7AC0" w:rsidRDefault="004D7AC0" w:rsidP="00600C84">
            <w:pPr>
              <w:snapToGrid w:val="0"/>
            </w:pPr>
          </w:p>
        </w:tc>
      </w:tr>
      <w:tr w:rsidR="004D7AC0" w14:paraId="4982DD5F" w14:textId="77777777" w:rsidTr="00600C84">
        <w:tc>
          <w:tcPr>
            <w:tcW w:w="9289" w:type="dxa"/>
            <w:tcBorders>
              <w:top w:val="double" w:sz="4" w:space="0" w:color="auto"/>
              <w:left w:val="double" w:sz="4" w:space="0" w:color="auto"/>
              <w:bottom w:val="double" w:sz="4" w:space="0" w:color="auto"/>
              <w:right w:val="double" w:sz="4" w:space="0" w:color="auto"/>
            </w:tcBorders>
          </w:tcPr>
          <w:p w14:paraId="4982DD5A" w14:textId="0C0FF99D" w:rsidR="004D7AC0" w:rsidRPr="0081153B" w:rsidRDefault="004D7AC0" w:rsidP="00600C84">
            <w:pPr>
              <w:snapToGrid w:val="0"/>
              <w:jc w:val="center"/>
            </w:pPr>
            <w:r>
              <w:t>Dieses Dokument kann in allen Amtssprachen der Europäischen Union auf dem EWSA-Internetportal abgerufen werden:</w:t>
            </w:r>
            <w:r>
              <w:br/>
            </w:r>
            <w:r>
              <w:br/>
            </w:r>
            <w:hyperlink r:id="rId12" w:history="1">
              <w:r>
                <w:rPr>
                  <w:rStyle w:val="Hyperlink"/>
                </w:rPr>
                <w:t>https://www.eesc.europa.eu/de/our-work/opinions-information-reports/plenary-session-summaries</w:t>
              </w:r>
            </w:hyperlink>
          </w:p>
          <w:p w14:paraId="4982DD5B" w14:textId="77777777" w:rsidR="004D7AC0" w:rsidRPr="0081153B" w:rsidRDefault="004D7AC0" w:rsidP="00600C84">
            <w:pPr>
              <w:snapToGrid w:val="0"/>
              <w:jc w:val="center"/>
            </w:pPr>
          </w:p>
          <w:p w14:paraId="4982DD5C" w14:textId="77777777" w:rsidR="004D7AC0" w:rsidRPr="0081153B" w:rsidRDefault="004D7AC0" w:rsidP="00600C84">
            <w:pPr>
              <w:snapToGrid w:val="0"/>
              <w:jc w:val="center"/>
              <w:rPr>
                <w:rFonts w:eastAsia="SimSun"/>
              </w:rPr>
            </w:pPr>
          </w:p>
          <w:p w14:paraId="4982DD5D" w14:textId="77777777" w:rsidR="004D7AC0" w:rsidRPr="00044561" w:rsidRDefault="004D7AC0" w:rsidP="00600C84">
            <w:pPr>
              <w:snapToGrid w:val="0"/>
              <w:jc w:val="center"/>
            </w:pPr>
            <w:r>
              <w:t>Die aufgeführten Stellungnahmen können online über die Suchmaschine des EWSA abgerufen werden:</w:t>
            </w:r>
            <w:r>
              <w:br/>
            </w:r>
            <w:r>
              <w:br/>
            </w:r>
            <w:hyperlink r:id="rId13" w:history="1">
              <w:r>
                <w:rPr>
                  <w:rStyle w:val="Hyperlink"/>
                </w:rPr>
                <w:t>https://dmsearch.eesc.europa.eu/search/opinion</w:t>
              </w:r>
            </w:hyperlink>
          </w:p>
          <w:p w14:paraId="4982DD5E" w14:textId="77777777" w:rsidR="004D7AC0" w:rsidRPr="00044561" w:rsidRDefault="004D7AC0" w:rsidP="00600C84">
            <w:pPr>
              <w:snapToGrid w:val="0"/>
              <w:jc w:val="center"/>
            </w:pPr>
          </w:p>
        </w:tc>
      </w:tr>
    </w:tbl>
    <w:p w14:paraId="4982DD60" w14:textId="77777777" w:rsidR="004D7AC0" w:rsidRDefault="004D7AC0" w:rsidP="004D7AC0"/>
    <w:p w14:paraId="4982DD61" w14:textId="77777777" w:rsidR="004D7AC0" w:rsidRDefault="004D7AC0" w:rsidP="004D7AC0"/>
    <w:p w14:paraId="4982DD62" w14:textId="77777777" w:rsidR="004D7AC0" w:rsidRDefault="004D7AC0" w:rsidP="004D7AC0">
      <w:pPr>
        <w:sectPr w:rsidR="004D7AC0" w:rsidSect="00EE6F0B">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14:paraId="4982DD63" w14:textId="77777777" w:rsidR="004D7AC0" w:rsidRPr="00A81AFE" w:rsidRDefault="004D7AC0" w:rsidP="004D7AC0">
      <w:pPr>
        <w:rPr>
          <w:b/>
        </w:rPr>
      </w:pPr>
      <w:r>
        <w:rPr>
          <w:b/>
        </w:rPr>
        <w:lastRenderedPageBreak/>
        <w:t>Inhalt</w:t>
      </w:r>
    </w:p>
    <w:sdt>
      <w:sdtPr>
        <w:rPr>
          <w:rFonts w:ascii="Times New Roman" w:eastAsia="Times New Roman" w:hAnsi="Times New Roman" w:cs="Times New Roman"/>
          <w:color w:val="auto"/>
          <w:sz w:val="22"/>
          <w:szCs w:val="22"/>
        </w:rPr>
        <w:id w:val="-17007477"/>
        <w:docPartObj>
          <w:docPartGallery w:val="Table of Contents"/>
          <w:docPartUnique/>
        </w:docPartObj>
      </w:sdtPr>
      <w:sdtEndPr>
        <w:rPr>
          <w:b/>
          <w:bCs/>
          <w:noProof/>
        </w:rPr>
      </w:sdtEndPr>
      <w:sdtContent>
        <w:p w14:paraId="4982DD64" w14:textId="77777777" w:rsidR="004D7AC0" w:rsidRPr="00A81AFE" w:rsidRDefault="004D7AC0" w:rsidP="004D7AC0">
          <w:pPr>
            <w:pStyle w:val="TOCHeading"/>
            <w:rPr>
              <w:rFonts w:ascii="Times New Roman" w:hAnsi="Times New Roman" w:cs="Times New Roman"/>
              <w:color w:val="auto"/>
              <w:sz w:val="22"/>
              <w:szCs w:val="22"/>
            </w:rPr>
          </w:pPr>
        </w:p>
        <w:p w14:paraId="6169697E" w14:textId="25171DBC" w:rsidR="00054D1E" w:rsidRDefault="004D7AC0" w:rsidP="00054D1E">
          <w:pPr>
            <w:pStyle w:val="TOC1"/>
            <w:rPr>
              <w:rFonts w:asciiTheme="minorHAnsi" w:eastAsiaTheme="minorEastAsia" w:hAnsiTheme="minorHAnsi" w:cstheme="minorBidi"/>
              <w:noProof/>
              <w:lang w:val="en-US"/>
            </w:rPr>
          </w:pPr>
          <w:r>
            <w:fldChar w:fldCharType="begin"/>
          </w:r>
          <w:r>
            <w:instrText xml:space="preserve"> TOC \o "1-3" \h \z \u </w:instrText>
          </w:r>
          <w:r>
            <w:fldChar w:fldCharType="separate"/>
          </w:r>
          <w:hyperlink w:anchor="_Toc217289950" w:history="1">
            <w:r w:rsidR="00054D1E" w:rsidRPr="00E404C8">
              <w:rPr>
                <w:rStyle w:val="Hyperlink"/>
                <w:b/>
                <w:noProof/>
              </w:rPr>
              <w:t>1.</w:t>
            </w:r>
            <w:r w:rsidR="00054D1E">
              <w:rPr>
                <w:rFonts w:asciiTheme="minorHAnsi" w:eastAsiaTheme="minorEastAsia" w:hAnsiTheme="minorHAnsi" w:cstheme="minorBidi"/>
                <w:noProof/>
                <w:lang w:val="en-US"/>
              </w:rPr>
              <w:tab/>
            </w:r>
            <w:r w:rsidR="00054D1E" w:rsidRPr="00E404C8">
              <w:rPr>
                <w:rStyle w:val="Hyperlink"/>
                <w:b/>
                <w:noProof/>
              </w:rPr>
              <w:t>WIRTSCHAFTS- UND WÄHRUNGSUNION, WIRTSCHAFTLICHER UND SOZIALER ZUSAMMENHALT</w:t>
            </w:r>
            <w:r w:rsidR="00054D1E">
              <w:rPr>
                <w:noProof/>
                <w:webHidden/>
              </w:rPr>
              <w:tab/>
            </w:r>
            <w:r w:rsidR="00054D1E">
              <w:rPr>
                <w:noProof/>
                <w:webHidden/>
              </w:rPr>
              <w:fldChar w:fldCharType="begin"/>
            </w:r>
            <w:r w:rsidR="00054D1E">
              <w:rPr>
                <w:noProof/>
                <w:webHidden/>
              </w:rPr>
              <w:instrText xml:space="preserve"> PAGEREF _Toc217289950 \h </w:instrText>
            </w:r>
            <w:r w:rsidR="00054D1E">
              <w:rPr>
                <w:noProof/>
                <w:webHidden/>
              </w:rPr>
            </w:r>
            <w:r w:rsidR="00054D1E">
              <w:rPr>
                <w:noProof/>
                <w:webHidden/>
              </w:rPr>
              <w:fldChar w:fldCharType="separate"/>
            </w:r>
            <w:r w:rsidR="00054D1E">
              <w:rPr>
                <w:noProof/>
                <w:webHidden/>
              </w:rPr>
              <w:t>4</w:t>
            </w:r>
            <w:r w:rsidR="00054D1E">
              <w:rPr>
                <w:noProof/>
                <w:webHidden/>
              </w:rPr>
              <w:fldChar w:fldCharType="end"/>
            </w:r>
          </w:hyperlink>
        </w:p>
        <w:p w14:paraId="751DFB83" w14:textId="24E670E8" w:rsidR="00054D1E" w:rsidRPr="00054D1E" w:rsidRDefault="00054D1E" w:rsidP="00054D1E">
          <w:pPr>
            <w:pStyle w:val="TOC1"/>
            <w:rPr>
              <w:rFonts w:asciiTheme="minorHAnsi" w:eastAsiaTheme="minorEastAsia" w:hAnsiTheme="minorHAnsi" w:cstheme="minorBidi"/>
              <w:noProof/>
              <w:lang w:val="en-US"/>
            </w:rPr>
          </w:pPr>
          <w:hyperlink w:anchor="_Toc217289951" w:history="1">
            <w:r w:rsidRPr="00E404C8">
              <w:rPr>
                <w:rStyle w:val="Hyperlink"/>
                <w:b/>
                <w:noProof/>
              </w:rPr>
              <w:t>2.</w:t>
            </w:r>
            <w:r>
              <w:rPr>
                <w:rFonts w:asciiTheme="minorHAnsi" w:eastAsiaTheme="minorEastAsia" w:hAnsiTheme="minorHAnsi" w:cstheme="minorBidi"/>
                <w:noProof/>
                <w:lang w:val="en-US"/>
              </w:rPr>
              <w:tab/>
            </w:r>
            <w:r w:rsidRPr="00E404C8">
              <w:rPr>
                <w:rStyle w:val="Hyperlink"/>
                <w:b/>
                <w:noProof/>
              </w:rPr>
              <w:t>BESCHÄFTIGUNG, SOZIALFRAGEN, UNIONSBÜRGERSCHAFT</w:t>
            </w:r>
            <w:r>
              <w:rPr>
                <w:noProof/>
                <w:webHidden/>
              </w:rPr>
              <w:tab/>
            </w:r>
            <w:r>
              <w:rPr>
                <w:noProof/>
                <w:webHidden/>
              </w:rPr>
              <w:fldChar w:fldCharType="begin"/>
            </w:r>
            <w:r>
              <w:rPr>
                <w:noProof/>
                <w:webHidden/>
              </w:rPr>
              <w:instrText xml:space="preserve"> PAGEREF _Toc217289951 \h </w:instrText>
            </w:r>
            <w:r>
              <w:rPr>
                <w:noProof/>
                <w:webHidden/>
              </w:rPr>
            </w:r>
            <w:r>
              <w:rPr>
                <w:noProof/>
                <w:webHidden/>
              </w:rPr>
              <w:fldChar w:fldCharType="separate"/>
            </w:r>
            <w:r>
              <w:rPr>
                <w:noProof/>
                <w:webHidden/>
              </w:rPr>
              <w:t>7</w:t>
            </w:r>
            <w:r>
              <w:rPr>
                <w:noProof/>
                <w:webHidden/>
              </w:rPr>
              <w:fldChar w:fldCharType="end"/>
            </w:r>
          </w:hyperlink>
        </w:p>
        <w:p w14:paraId="1A46BA51" w14:textId="42264342" w:rsidR="00054D1E" w:rsidRDefault="00054D1E" w:rsidP="00054D1E">
          <w:pPr>
            <w:pStyle w:val="TOC1"/>
            <w:rPr>
              <w:rFonts w:asciiTheme="minorHAnsi" w:eastAsiaTheme="minorEastAsia" w:hAnsiTheme="minorHAnsi" w:cstheme="minorBidi"/>
              <w:noProof/>
              <w:lang w:val="en-US"/>
            </w:rPr>
          </w:pPr>
          <w:hyperlink w:anchor="_Toc217289956" w:history="1">
            <w:r w:rsidRPr="00E404C8">
              <w:rPr>
                <w:rStyle w:val="Hyperlink"/>
                <w:b/>
                <w:noProof/>
              </w:rPr>
              <w:t>3.</w:t>
            </w:r>
            <w:r>
              <w:rPr>
                <w:rFonts w:asciiTheme="minorHAnsi" w:eastAsiaTheme="minorEastAsia" w:hAnsiTheme="minorHAnsi" w:cstheme="minorBidi"/>
                <w:noProof/>
                <w:lang w:val="en-US"/>
              </w:rPr>
              <w:tab/>
            </w:r>
            <w:r w:rsidRPr="00E404C8">
              <w:rPr>
                <w:rStyle w:val="Hyperlink"/>
                <w:b/>
                <w:noProof/>
              </w:rPr>
              <w:t>VERKEHR, ENERGIE, INFRASTRUKTUREN, INFORMATIONSGESELLSCHAFT</w:t>
            </w:r>
            <w:r>
              <w:rPr>
                <w:noProof/>
                <w:webHidden/>
              </w:rPr>
              <w:tab/>
            </w:r>
            <w:r>
              <w:rPr>
                <w:noProof/>
                <w:webHidden/>
              </w:rPr>
              <w:fldChar w:fldCharType="begin"/>
            </w:r>
            <w:r>
              <w:rPr>
                <w:noProof/>
                <w:webHidden/>
              </w:rPr>
              <w:instrText xml:space="preserve"> PAGEREF _Toc217289956 \h </w:instrText>
            </w:r>
            <w:r>
              <w:rPr>
                <w:noProof/>
                <w:webHidden/>
              </w:rPr>
            </w:r>
            <w:r>
              <w:rPr>
                <w:noProof/>
                <w:webHidden/>
              </w:rPr>
              <w:fldChar w:fldCharType="separate"/>
            </w:r>
            <w:r>
              <w:rPr>
                <w:noProof/>
                <w:webHidden/>
              </w:rPr>
              <w:t>10</w:t>
            </w:r>
            <w:r>
              <w:rPr>
                <w:noProof/>
                <w:webHidden/>
              </w:rPr>
              <w:fldChar w:fldCharType="end"/>
            </w:r>
          </w:hyperlink>
        </w:p>
        <w:p w14:paraId="2666744B" w14:textId="2DEA47E9" w:rsidR="00054D1E" w:rsidRDefault="00054D1E" w:rsidP="00054D1E">
          <w:pPr>
            <w:pStyle w:val="TOC1"/>
            <w:rPr>
              <w:rFonts w:asciiTheme="minorHAnsi" w:eastAsiaTheme="minorEastAsia" w:hAnsiTheme="minorHAnsi" w:cstheme="minorBidi"/>
              <w:noProof/>
              <w:lang w:val="en-US"/>
            </w:rPr>
          </w:pPr>
          <w:hyperlink w:anchor="_Toc217289957" w:history="1">
            <w:r w:rsidRPr="00E404C8">
              <w:rPr>
                <w:rStyle w:val="Hyperlink"/>
                <w:b/>
                <w:noProof/>
              </w:rPr>
              <w:t>4.</w:t>
            </w:r>
            <w:r>
              <w:rPr>
                <w:rFonts w:asciiTheme="minorHAnsi" w:eastAsiaTheme="minorEastAsia" w:hAnsiTheme="minorHAnsi" w:cstheme="minorBidi"/>
                <w:noProof/>
                <w:lang w:val="en-US"/>
              </w:rPr>
              <w:tab/>
            </w:r>
            <w:r w:rsidRPr="00E404C8">
              <w:rPr>
                <w:rStyle w:val="Hyperlink"/>
                <w:b/>
                <w:noProof/>
              </w:rPr>
              <w:t>BINNENMARKT, PRODUKTION, VERBRAUCH</w:t>
            </w:r>
            <w:r>
              <w:rPr>
                <w:noProof/>
                <w:webHidden/>
              </w:rPr>
              <w:tab/>
            </w:r>
            <w:r>
              <w:rPr>
                <w:noProof/>
                <w:webHidden/>
              </w:rPr>
              <w:fldChar w:fldCharType="begin"/>
            </w:r>
            <w:r>
              <w:rPr>
                <w:noProof/>
                <w:webHidden/>
              </w:rPr>
              <w:instrText xml:space="preserve"> PAGEREF _Toc217289957 \h </w:instrText>
            </w:r>
            <w:r>
              <w:rPr>
                <w:noProof/>
                <w:webHidden/>
              </w:rPr>
            </w:r>
            <w:r>
              <w:rPr>
                <w:noProof/>
                <w:webHidden/>
              </w:rPr>
              <w:fldChar w:fldCharType="separate"/>
            </w:r>
            <w:r>
              <w:rPr>
                <w:noProof/>
                <w:webHidden/>
              </w:rPr>
              <w:t>14</w:t>
            </w:r>
            <w:r>
              <w:rPr>
                <w:noProof/>
                <w:webHidden/>
              </w:rPr>
              <w:fldChar w:fldCharType="end"/>
            </w:r>
          </w:hyperlink>
        </w:p>
        <w:p w14:paraId="438823EF" w14:textId="2CF52E0E" w:rsidR="00054D1E" w:rsidRDefault="00054D1E" w:rsidP="00054D1E">
          <w:pPr>
            <w:pStyle w:val="TOC1"/>
            <w:rPr>
              <w:rFonts w:asciiTheme="minorHAnsi" w:eastAsiaTheme="minorEastAsia" w:hAnsiTheme="minorHAnsi" w:cstheme="minorBidi"/>
              <w:noProof/>
              <w:lang w:val="en-US"/>
            </w:rPr>
          </w:pPr>
          <w:hyperlink w:anchor="_Toc217289958" w:history="1">
            <w:r w:rsidRPr="00E404C8">
              <w:rPr>
                <w:rStyle w:val="Hyperlink"/>
                <w:b/>
                <w:noProof/>
              </w:rPr>
              <w:t>5.</w:t>
            </w:r>
            <w:r>
              <w:rPr>
                <w:rFonts w:asciiTheme="minorHAnsi" w:eastAsiaTheme="minorEastAsia" w:hAnsiTheme="minorHAnsi" w:cstheme="minorBidi"/>
                <w:noProof/>
                <w:lang w:val="en-US"/>
              </w:rPr>
              <w:tab/>
            </w:r>
            <w:r w:rsidRPr="00E404C8">
              <w:rPr>
                <w:rStyle w:val="Hyperlink"/>
                <w:b/>
                <w:noProof/>
              </w:rPr>
              <w:t>LANDWIRTSCHAFT, LÄNDLICHE ENTWICKLUNG, UMWELT</w:t>
            </w:r>
            <w:r>
              <w:rPr>
                <w:noProof/>
                <w:webHidden/>
              </w:rPr>
              <w:tab/>
            </w:r>
            <w:r>
              <w:rPr>
                <w:noProof/>
                <w:webHidden/>
              </w:rPr>
              <w:fldChar w:fldCharType="begin"/>
            </w:r>
            <w:r>
              <w:rPr>
                <w:noProof/>
                <w:webHidden/>
              </w:rPr>
              <w:instrText xml:space="preserve"> PAGEREF _Toc217289958 \h </w:instrText>
            </w:r>
            <w:r>
              <w:rPr>
                <w:noProof/>
                <w:webHidden/>
              </w:rPr>
            </w:r>
            <w:r>
              <w:rPr>
                <w:noProof/>
                <w:webHidden/>
              </w:rPr>
              <w:fldChar w:fldCharType="separate"/>
            </w:r>
            <w:r>
              <w:rPr>
                <w:noProof/>
                <w:webHidden/>
              </w:rPr>
              <w:t>19</w:t>
            </w:r>
            <w:r>
              <w:rPr>
                <w:noProof/>
                <w:webHidden/>
              </w:rPr>
              <w:fldChar w:fldCharType="end"/>
            </w:r>
          </w:hyperlink>
        </w:p>
        <w:p w14:paraId="58D754A0" w14:textId="6AAF7ED2" w:rsidR="00054D1E" w:rsidRDefault="00054D1E" w:rsidP="00054D1E">
          <w:pPr>
            <w:pStyle w:val="TOC1"/>
            <w:rPr>
              <w:rFonts w:asciiTheme="minorHAnsi" w:eastAsiaTheme="minorEastAsia" w:hAnsiTheme="minorHAnsi" w:cstheme="minorBidi"/>
              <w:noProof/>
              <w:lang w:val="en-US"/>
            </w:rPr>
          </w:pPr>
          <w:hyperlink w:anchor="_Toc217289959" w:history="1">
            <w:r w:rsidRPr="00E404C8">
              <w:rPr>
                <w:rStyle w:val="Hyperlink"/>
                <w:b/>
                <w:noProof/>
              </w:rPr>
              <w:t>6.</w:t>
            </w:r>
            <w:r>
              <w:rPr>
                <w:rFonts w:asciiTheme="minorHAnsi" w:eastAsiaTheme="minorEastAsia" w:hAnsiTheme="minorHAnsi" w:cstheme="minorBidi"/>
                <w:noProof/>
                <w:lang w:val="en-US"/>
              </w:rPr>
              <w:tab/>
            </w:r>
            <w:r w:rsidRPr="00E404C8">
              <w:rPr>
                <w:rStyle w:val="Hyperlink"/>
                <w:b/>
                <w:noProof/>
              </w:rPr>
              <w:t>AUẞENBEZIEHUNGEN</w:t>
            </w:r>
            <w:r>
              <w:rPr>
                <w:noProof/>
                <w:webHidden/>
              </w:rPr>
              <w:tab/>
            </w:r>
            <w:r>
              <w:rPr>
                <w:noProof/>
                <w:webHidden/>
              </w:rPr>
              <w:fldChar w:fldCharType="begin"/>
            </w:r>
            <w:r>
              <w:rPr>
                <w:noProof/>
                <w:webHidden/>
              </w:rPr>
              <w:instrText xml:space="preserve"> PAGEREF _Toc217289959 \h </w:instrText>
            </w:r>
            <w:r>
              <w:rPr>
                <w:noProof/>
                <w:webHidden/>
              </w:rPr>
            </w:r>
            <w:r>
              <w:rPr>
                <w:noProof/>
                <w:webHidden/>
              </w:rPr>
              <w:fldChar w:fldCharType="separate"/>
            </w:r>
            <w:r>
              <w:rPr>
                <w:noProof/>
                <w:webHidden/>
              </w:rPr>
              <w:t>22</w:t>
            </w:r>
            <w:r>
              <w:rPr>
                <w:noProof/>
                <w:webHidden/>
              </w:rPr>
              <w:fldChar w:fldCharType="end"/>
            </w:r>
          </w:hyperlink>
        </w:p>
        <w:p w14:paraId="57D65EEE" w14:textId="17990892" w:rsidR="00054D1E" w:rsidRDefault="00054D1E" w:rsidP="00054D1E">
          <w:pPr>
            <w:pStyle w:val="TOC1"/>
            <w:rPr>
              <w:rFonts w:asciiTheme="minorHAnsi" w:eastAsiaTheme="minorEastAsia" w:hAnsiTheme="minorHAnsi" w:cstheme="minorBidi"/>
              <w:noProof/>
              <w:lang w:val="en-US"/>
            </w:rPr>
          </w:pPr>
          <w:hyperlink w:anchor="_Toc217289960" w:history="1">
            <w:r w:rsidRPr="00E404C8">
              <w:rPr>
                <w:rStyle w:val="Hyperlink"/>
                <w:b/>
                <w:noProof/>
              </w:rPr>
              <w:t>7.</w:t>
            </w:r>
            <w:r>
              <w:rPr>
                <w:rFonts w:asciiTheme="minorHAnsi" w:eastAsiaTheme="minorEastAsia" w:hAnsiTheme="minorHAnsi" w:cstheme="minorBidi"/>
                <w:noProof/>
                <w:lang w:val="en-US"/>
              </w:rPr>
              <w:tab/>
            </w:r>
            <w:r w:rsidRPr="00E404C8">
              <w:rPr>
                <w:rStyle w:val="Hyperlink"/>
                <w:b/>
                <w:noProof/>
              </w:rPr>
              <w:t>BERATENDE KOMMISSION FÜR DEN INDUSTRIELLEN WANDEL</w:t>
            </w:r>
            <w:r>
              <w:rPr>
                <w:noProof/>
                <w:webHidden/>
              </w:rPr>
              <w:tab/>
            </w:r>
            <w:r>
              <w:rPr>
                <w:noProof/>
                <w:webHidden/>
              </w:rPr>
              <w:fldChar w:fldCharType="begin"/>
            </w:r>
            <w:r>
              <w:rPr>
                <w:noProof/>
                <w:webHidden/>
              </w:rPr>
              <w:instrText xml:space="preserve"> PAGEREF _Toc217289960 \h </w:instrText>
            </w:r>
            <w:r>
              <w:rPr>
                <w:noProof/>
                <w:webHidden/>
              </w:rPr>
            </w:r>
            <w:r>
              <w:rPr>
                <w:noProof/>
                <w:webHidden/>
              </w:rPr>
              <w:fldChar w:fldCharType="separate"/>
            </w:r>
            <w:r>
              <w:rPr>
                <w:noProof/>
                <w:webHidden/>
              </w:rPr>
              <w:t>28</w:t>
            </w:r>
            <w:r>
              <w:rPr>
                <w:noProof/>
                <w:webHidden/>
              </w:rPr>
              <w:fldChar w:fldCharType="end"/>
            </w:r>
          </w:hyperlink>
        </w:p>
        <w:p w14:paraId="4982DD6A" w14:textId="5604C460" w:rsidR="004D7AC0" w:rsidRDefault="004D7AC0" w:rsidP="004D7AC0">
          <w:r>
            <w:rPr>
              <w:b/>
            </w:rPr>
            <w:fldChar w:fldCharType="end"/>
          </w:r>
        </w:p>
      </w:sdtContent>
    </w:sdt>
    <w:p w14:paraId="4982DD6B" w14:textId="77777777" w:rsidR="004D7AC0" w:rsidRDefault="004D7AC0" w:rsidP="004D7AC0"/>
    <w:p w14:paraId="4982DD6C" w14:textId="77777777" w:rsidR="004D7AC0" w:rsidRDefault="004D7AC0" w:rsidP="003201C9">
      <w:pPr>
        <w:jc w:val="left"/>
      </w:pPr>
      <w:r>
        <w:br w:type="page"/>
      </w:r>
    </w:p>
    <w:p w14:paraId="4982DD6D" w14:textId="77777777" w:rsidR="004D7AC0" w:rsidRDefault="004D7AC0" w:rsidP="003201C9">
      <w:pPr>
        <w:pStyle w:val="Heading1"/>
        <w:rPr>
          <w:b/>
        </w:rPr>
      </w:pPr>
      <w:bookmarkStart w:id="0" w:name="_Toc217289950"/>
      <w:r>
        <w:rPr>
          <w:b/>
        </w:rPr>
        <w:lastRenderedPageBreak/>
        <w:t>WIRTSCHAFTS- UND WÄHRUNGSUNION, WIRTSCHAFTLICHER UND SOZIALER ZUSAMMENHALT</w:t>
      </w:r>
      <w:bookmarkEnd w:id="0"/>
    </w:p>
    <w:p w14:paraId="4982DD6E" w14:textId="77777777" w:rsidR="004D7AC0" w:rsidRDefault="004D7AC0" w:rsidP="003201C9"/>
    <w:p w14:paraId="7E506423" w14:textId="4B34D16E" w:rsidR="00612898" w:rsidRPr="00612898" w:rsidRDefault="000055E5" w:rsidP="003201C9">
      <w:pPr>
        <w:widowControl w:val="0"/>
        <w:numPr>
          <w:ilvl w:val="0"/>
          <w:numId w:val="4"/>
        </w:numPr>
        <w:overflowPunct w:val="0"/>
        <w:autoSpaceDE w:val="0"/>
        <w:autoSpaceDN w:val="0"/>
        <w:adjustRightInd w:val="0"/>
        <w:ind w:hanging="567"/>
        <w:textAlignment w:val="baseline"/>
        <w:rPr>
          <w:b/>
          <w:i/>
          <w:iCs/>
          <w:sz w:val="28"/>
          <w:szCs w:val="28"/>
        </w:rPr>
      </w:pPr>
      <w:hyperlink r:id="rId20" w:history="1">
        <w:r w:rsidR="00F74BC3">
          <w:rPr>
            <w:b/>
            <w:i/>
            <w:color w:val="0000FF"/>
            <w:sz w:val="28"/>
            <w:u w:val="single"/>
          </w:rPr>
          <w:t>Durchführung makroregionaler Strategien der EU – 5. Bericht</w:t>
        </w:r>
      </w:hyperlink>
    </w:p>
    <w:p w14:paraId="6D1E8521" w14:textId="77777777" w:rsidR="00612898" w:rsidRPr="003201C9" w:rsidRDefault="00612898" w:rsidP="003201C9">
      <w:pPr>
        <w:widowControl w:val="0"/>
        <w:overflowPunct w:val="0"/>
        <w:autoSpaceDE w:val="0"/>
        <w:autoSpaceDN w:val="0"/>
        <w:adjustRightInd w:val="0"/>
        <w:ind w:left="284"/>
        <w:textAlignment w:val="baseline"/>
        <w:rPr>
          <w:b/>
          <w:i/>
          <w:iCs/>
          <w:lang w:val="en-GB"/>
        </w:rPr>
      </w:pPr>
    </w:p>
    <w:tbl>
      <w:tblPr>
        <w:tblStyle w:val="TableGrid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0"/>
        <w:gridCol w:w="7322"/>
      </w:tblGrid>
      <w:tr w:rsidR="00612898" w:rsidRPr="003201C9" w14:paraId="05AE56A5" w14:textId="77777777" w:rsidTr="0036489A">
        <w:tc>
          <w:tcPr>
            <w:tcW w:w="1701" w:type="dxa"/>
          </w:tcPr>
          <w:p w14:paraId="46E62AEA" w14:textId="77777777" w:rsidR="00612898" w:rsidRPr="003201C9" w:rsidRDefault="00612898" w:rsidP="003201C9">
            <w:pPr>
              <w:tabs>
                <w:tab w:val="center" w:pos="284"/>
              </w:tabs>
              <w:overflowPunct w:val="0"/>
              <w:autoSpaceDE w:val="0"/>
              <w:autoSpaceDN w:val="0"/>
              <w:adjustRightInd w:val="0"/>
              <w:ind w:left="266" w:hanging="376"/>
              <w:textAlignment w:val="baseline"/>
              <w:rPr>
                <w:b/>
                <w:sz w:val="22"/>
                <w:szCs w:val="22"/>
              </w:rPr>
            </w:pPr>
            <w:r w:rsidRPr="003201C9">
              <w:rPr>
                <w:b/>
                <w:sz w:val="22"/>
                <w:szCs w:val="22"/>
              </w:rPr>
              <w:t>Berichterstatter</w:t>
            </w:r>
          </w:p>
        </w:tc>
        <w:tc>
          <w:tcPr>
            <w:tcW w:w="7621" w:type="dxa"/>
          </w:tcPr>
          <w:p w14:paraId="28CBAA45" w14:textId="4453529C" w:rsidR="00612898" w:rsidRPr="003201C9" w:rsidRDefault="00612898" w:rsidP="003201C9">
            <w:pPr>
              <w:tabs>
                <w:tab w:val="center" w:pos="284"/>
              </w:tabs>
              <w:overflowPunct w:val="0"/>
              <w:autoSpaceDE w:val="0"/>
              <w:autoSpaceDN w:val="0"/>
              <w:adjustRightInd w:val="0"/>
              <w:ind w:left="266" w:hanging="376"/>
              <w:textAlignment w:val="baseline"/>
              <w:rPr>
                <w:sz w:val="22"/>
                <w:szCs w:val="22"/>
              </w:rPr>
            </w:pPr>
            <w:r w:rsidRPr="003201C9">
              <w:rPr>
                <w:sz w:val="22"/>
                <w:szCs w:val="22"/>
              </w:rPr>
              <w:t>Stefano PALMIERI (Gruppe Arbeitnehmer – IT)</w:t>
            </w:r>
          </w:p>
          <w:p w14:paraId="07092A74" w14:textId="4FEAC4CC" w:rsidR="008C414B" w:rsidRPr="00C04690" w:rsidRDefault="008C414B" w:rsidP="003201C9">
            <w:pPr>
              <w:tabs>
                <w:tab w:val="center" w:pos="284"/>
              </w:tabs>
              <w:overflowPunct w:val="0"/>
              <w:autoSpaceDE w:val="0"/>
              <w:autoSpaceDN w:val="0"/>
              <w:adjustRightInd w:val="0"/>
              <w:ind w:left="266" w:hanging="376"/>
              <w:textAlignment w:val="baseline"/>
              <w:rPr>
                <w:bCs/>
                <w:sz w:val="12"/>
                <w:szCs w:val="12"/>
              </w:rPr>
            </w:pPr>
          </w:p>
        </w:tc>
      </w:tr>
      <w:tr w:rsidR="00612898" w:rsidRPr="003201C9" w14:paraId="257F78E5" w14:textId="77777777" w:rsidTr="0036489A">
        <w:tc>
          <w:tcPr>
            <w:tcW w:w="1701" w:type="dxa"/>
          </w:tcPr>
          <w:p w14:paraId="0C3EBBC1" w14:textId="77777777" w:rsidR="00612898" w:rsidRPr="003201C9" w:rsidRDefault="00612898" w:rsidP="003201C9">
            <w:pPr>
              <w:tabs>
                <w:tab w:val="center" w:pos="284"/>
              </w:tabs>
              <w:overflowPunct w:val="0"/>
              <w:autoSpaceDE w:val="0"/>
              <w:autoSpaceDN w:val="0"/>
              <w:adjustRightInd w:val="0"/>
              <w:ind w:left="266" w:hanging="376"/>
              <w:textAlignment w:val="baseline"/>
              <w:rPr>
                <w:b/>
                <w:sz w:val="22"/>
                <w:szCs w:val="22"/>
              </w:rPr>
            </w:pPr>
            <w:r w:rsidRPr="003201C9">
              <w:rPr>
                <w:b/>
                <w:sz w:val="22"/>
                <w:szCs w:val="22"/>
              </w:rPr>
              <w:t>Referenzdokumente</w:t>
            </w:r>
          </w:p>
        </w:tc>
        <w:tc>
          <w:tcPr>
            <w:tcW w:w="7621" w:type="dxa"/>
          </w:tcPr>
          <w:p w14:paraId="58F0DB08" w14:textId="4B9508DB" w:rsidR="00896BC8" w:rsidRPr="003201C9" w:rsidRDefault="00612898" w:rsidP="003201C9">
            <w:pPr>
              <w:tabs>
                <w:tab w:val="center" w:pos="284"/>
              </w:tabs>
              <w:overflowPunct w:val="0"/>
              <w:autoSpaceDE w:val="0"/>
              <w:autoSpaceDN w:val="0"/>
              <w:adjustRightInd w:val="0"/>
              <w:ind w:left="266" w:hanging="376"/>
              <w:textAlignment w:val="baseline"/>
              <w:rPr>
                <w:sz w:val="22"/>
                <w:szCs w:val="22"/>
                <w:lang w:val="pt-PT"/>
              </w:rPr>
            </w:pPr>
            <w:r w:rsidRPr="003201C9">
              <w:rPr>
                <w:sz w:val="22"/>
                <w:szCs w:val="22"/>
                <w:lang w:val="pt-PT"/>
              </w:rPr>
              <w:t>COM(2025) 191 final</w:t>
            </w:r>
          </w:p>
          <w:p w14:paraId="5DB59D59" w14:textId="2F819FC3" w:rsidR="00612898" w:rsidRPr="003201C9" w:rsidRDefault="00612898" w:rsidP="003201C9">
            <w:pPr>
              <w:tabs>
                <w:tab w:val="center" w:pos="284"/>
              </w:tabs>
              <w:overflowPunct w:val="0"/>
              <w:autoSpaceDE w:val="0"/>
              <w:autoSpaceDN w:val="0"/>
              <w:adjustRightInd w:val="0"/>
              <w:ind w:left="266" w:hanging="376"/>
              <w:textAlignment w:val="baseline"/>
              <w:rPr>
                <w:sz w:val="22"/>
                <w:szCs w:val="22"/>
                <w:lang w:val="pt-PT"/>
              </w:rPr>
            </w:pPr>
            <w:r w:rsidRPr="003201C9">
              <w:rPr>
                <w:sz w:val="22"/>
                <w:szCs w:val="22"/>
                <w:lang w:val="pt-PT"/>
              </w:rPr>
              <w:t>COM(2025) 196 final</w:t>
            </w:r>
          </w:p>
          <w:p w14:paraId="4A616A3C" w14:textId="77777777" w:rsidR="00612898" w:rsidRDefault="00612898" w:rsidP="003201C9">
            <w:pPr>
              <w:tabs>
                <w:tab w:val="center" w:pos="284"/>
              </w:tabs>
              <w:overflowPunct w:val="0"/>
              <w:autoSpaceDE w:val="0"/>
              <w:autoSpaceDN w:val="0"/>
              <w:adjustRightInd w:val="0"/>
              <w:ind w:left="266" w:hanging="376"/>
              <w:textAlignment w:val="baseline"/>
              <w:rPr>
                <w:sz w:val="22"/>
                <w:szCs w:val="22"/>
                <w:lang w:val="pt-PT"/>
              </w:rPr>
            </w:pPr>
            <w:r w:rsidRPr="003201C9">
              <w:rPr>
                <w:sz w:val="22"/>
                <w:szCs w:val="22"/>
                <w:lang w:val="pt-PT"/>
              </w:rPr>
              <w:t>EESC-2025-02216-00-00-AC</w:t>
            </w:r>
          </w:p>
          <w:p w14:paraId="1B624F0D" w14:textId="632CD7D8" w:rsidR="00C04690" w:rsidRPr="003201C9" w:rsidRDefault="00C04690" w:rsidP="003201C9">
            <w:pPr>
              <w:tabs>
                <w:tab w:val="center" w:pos="284"/>
              </w:tabs>
              <w:overflowPunct w:val="0"/>
              <w:autoSpaceDE w:val="0"/>
              <w:autoSpaceDN w:val="0"/>
              <w:adjustRightInd w:val="0"/>
              <w:ind w:left="266" w:hanging="376"/>
              <w:textAlignment w:val="baseline"/>
              <w:rPr>
                <w:sz w:val="22"/>
                <w:szCs w:val="22"/>
                <w:lang w:val="pt-PT"/>
              </w:rPr>
            </w:pPr>
          </w:p>
        </w:tc>
      </w:tr>
    </w:tbl>
    <w:p w14:paraId="264DB47F" w14:textId="77777777" w:rsidR="00612898" w:rsidRPr="003201C9" w:rsidRDefault="00612898" w:rsidP="003201C9">
      <w:pPr>
        <w:keepNext/>
        <w:keepLines/>
        <w:tabs>
          <w:tab w:val="center" w:pos="284"/>
        </w:tabs>
        <w:overflowPunct w:val="0"/>
        <w:autoSpaceDE w:val="0"/>
        <w:autoSpaceDN w:val="0"/>
        <w:adjustRightInd w:val="0"/>
        <w:ind w:left="266" w:hanging="266"/>
        <w:textAlignment w:val="baseline"/>
        <w:rPr>
          <w:b/>
        </w:rPr>
      </w:pPr>
      <w:r w:rsidRPr="003201C9">
        <w:rPr>
          <w:b/>
        </w:rPr>
        <w:t>Kernaussagen</w:t>
      </w:r>
    </w:p>
    <w:p w14:paraId="7E8CAAEB" w14:textId="77777777" w:rsidR="004A6CE5" w:rsidRPr="003201C9" w:rsidRDefault="004A6CE5" w:rsidP="003201C9">
      <w:pPr>
        <w:keepNext/>
        <w:keepLines/>
        <w:tabs>
          <w:tab w:val="center" w:pos="284"/>
        </w:tabs>
        <w:overflowPunct w:val="0"/>
        <w:autoSpaceDE w:val="0"/>
        <w:autoSpaceDN w:val="0"/>
        <w:adjustRightInd w:val="0"/>
        <w:ind w:left="266" w:hanging="266"/>
        <w:textAlignment w:val="baseline"/>
        <w:rPr>
          <w:b/>
          <w:lang w:val="en-GB"/>
        </w:rPr>
      </w:pPr>
    </w:p>
    <w:p w14:paraId="0E1234AC" w14:textId="77777777" w:rsidR="00612898" w:rsidRPr="003201C9" w:rsidRDefault="00612898" w:rsidP="003201C9">
      <w:pPr>
        <w:overflowPunct w:val="0"/>
        <w:autoSpaceDE w:val="0"/>
        <w:autoSpaceDN w:val="0"/>
        <w:adjustRightInd w:val="0"/>
        <w:textAlignment w:val="baseline"/>
        <w:rPr>
          <w:bCs/>
          <w:iCs/>
        </w:rPr>
      </w:pPr>
      <w:r w:rsidRPr="003201C9">
        <w:t>Der EWSA</w:t>
      </w:r>
    </w:p>
    <w:p w14:paraId="1B6220CA" w14:textId="77777777" w:rsidR="004A6CE5" w:rsidRPr="003201C9" w:rsidRDefault="004A6CE5" w:rsidP="003201C9">
      <w:pPr>
        <w:overflowPunct w:val="0"/>
        <w:autoSpaceDE w:val="0"/>
        <w:autoSpaceDN w:val="0"/>
        <w:adjustRightInd w:val="0"/>
        <w:textAlignment w:val="baseline"/>
        <w:rPr>
          <w:bCs/>
          <w:iCs/>
          <w:lang w:val="en-GB"/>
        </w:rPr>
      </w:pPr>
    </w:p>
    <w:p w14:paraId="6B7B575D" w14:textId="56DFD5EB" w:rsidR="00612898" w:rsidRPr="003201C9" w:rsidRDefault="00612898" w:rsidP="003201C9">
      <w:pPr>
        <w:numPr>
          <w:ilvl w:val="0"/>
          <w:numId w:val="18"/>
        </w:numPr>
        <w:overflowPunct w:val="0"/>
        <w:autoSpaceDE w:val="0"/>
        <w:autoSpaceDN w:val="0"/>
        <w:adjustRightInd w:val="0"/>
        <w:ind w:left="709" w:hanging="425"/>
        <w:contextualSpacing/>
        <w:textAlignment w:val="baseline"/>
      </w:pPr>
      <w:r w:rsidRPr="003201C9">
        <w:t>verweist auf die wichtige Rolle der makroregionalen Strategien für die Erzielung von Synergien auf mehreren Ebenen zwischen politischen Maßnahmen, Programmen und Akteuren. Während der COVID-19-Pandemie und im Zuge der aktuellen Krisen haben diese Strategien den ökologischen und den digitalen Wandel unterstützt und die Kapazitäten in Sachen Resilienz und Solidarität erheblich gestärkt;</w:t>
      </w:r>
    </w:p>
    <w:p w14:paraId="75D3836B" w14:textId="641E7E0C" w:rsidR="00612898" w:rsidRPr="003201C9" w:rsidRDefault="00612898" w:rsidP="003201C9">
      <w:pPr>
        <w:numPr>
          <w:ilvl w:val="0"/>
          <w:numId w:val="18"/>
        </w:numPr>
        <w:overflowPunct w:val="0"/>
        <w:autoSpaceDE w:val="0"/>
        <w:autoSpaceDN w:val="0"/>
        <w:adjustRightInd w:val="0"/>
        <w:ind w:left="709" w:hanging="425"/>
        <w:contextualSpacing/>
        <w:textAlignment w:val="baseline"/>
      </w:pPr>
      <w:r w:rsidRPr="003201C9">
        <w:t>fordert, die vertikale und horizontale Multi-Level-Governance durch die Einbeziehung lokaler Strukturen zu stärken;</w:t>
      </w:r>
    </w:p>
    <w:p w14:paraId="4E658ACB" w14:textId="00D67EDC" w:rsidR="00612898" w:rsidRPr="003201C9" w:rsidRDefault="00612898" w:rsidP="003201C9">
      <w:pPr>
        <w:numPr>
          <w:ilvl w:val="0"/>
          <w:numId w:val="18"/>
        </w:numPr>
        <w:overflowPunct w:val="0"/>
        <w:autoSpaceDE w:val="0"/>
        <w:autoSpaceDN w:val="0"/>
        <w:adjustRightInd w:val="0"/>
        <w:ind w:left="709" w:hanging="425"/>
        <w:contextualSpacing/>
        <w:textAlignment w:val="baseline"/>
      </w:pPr>
      <w:r w:rsidRPr="003201C9">
        <w:t>begrüßt die Überprüfungsverfahren und fordert eine Stärkung der sozialen Dimension, der Bürgerbeteiligung (einschließlich der Beteiligung Jugendlicher) und der interregionalen Zusammenarbeit. Die makroregionalen Strategien müssen als Erprobungsfelder für soziale Inklusion und Innovation fungieren und die ökologische Besteuerung sowie die Humanressourcen fördern;</w:t>
      </w:r>
    </w:p>
    <w:p w14:paraId="288A6F61" w14:textId="77777777" w:rsidR="00612898" w:rsidRPr="003201C9" w:rsidRDefault="00612898" w:rsidP="003201C9">
      <w:pPr>
        <w:numPr>
          <w:ilvl w:val="0"/>
          <w:numId w:val="18"/>
        </w:numPr>
        <w:overflowPunct w:val="0"/>
        <w:autoSpaceDE w:val="0"/>
        <w:autoSpaceDN w:val="0"/>
        <w:adjustRightInd w:val="0"/>
        <w:ind w:left="709" w:hanging="425"/>
        <w:contextualSpacing/>
        <w:textAlignment w:val="baseline"/>
      </w:pPr>
      <w:r w:rsidRPr="003201C9">
        <w:t>nimmt die Ergebnisse der makroregionalen Strategie für den Ostseeraum (EUSBSR) zur Kenntnis, mit der Nachhaltigkeit und Konnektivität in der Ostsee gefördert wurden. Die 2021 vorgenommene Überprüfung der Strategie sowie des Instruments „Ostsee-Strategiepunkt“ hat die Zusammenarbeit und die Verwaltung gestärkt. Auch nach Aussetzung der Beziehungen zu Russland und Belarus behält die Strategie ihre Gültigkeit;</w:t>
      </w:r>
    </w:p>
    <w:p w14:paraId="61DFA9B6" w14:textId="3FCD71FF" w:rsidR="00612898" w:rsidRPr="003201C9" w:rsidRDefault="00612898" w:rsidP="003201C9">
      <w:pPr>
        <w:numPr>
          <w:ilvl w:val="0"/>
          <w:numId w:val="18"/>
        </w:numPr>
        <w:overflowPunct w:val="0"/>
        <w:autoSpaceDE w:val="0"/>
        <w:autoSpaceDN w:val="0"/>
        <w:adjustRightInd w:val="0"/>
        <w:ind w:left="709" w:hanging="425"/>
        <w:contextualSpacing/>
        <w:textAlignment w:val="baseline"/>
      </w:pPr>
      <w:r w:rsidRPr="003201C9">
        <w:t>hebt die Fortschritte bei der makroregionalen Strategie für den Donauraum (EUSDR) hervor. Durch die Überprüfung im Jahr 2020 wurde die Kohärenz mit den Prioritäten der EU sowie die Teilhabe junger Menschen – wenn auch nicht überall gleich und mit unterschiedlichem Ausmaß an politischem Engagement – gestärkt. Die Vorsitze haben auf Innovation und Governance gesetzt;</w:t>
      </w:r>
    </w:p>
    <w:p w14:paraId="5C7EA446" w14:textId="479B26B1" w:rsidR="00612898" w:rsidRPr="003201C9" w:rsidRDefault="00612898" w:rsidP="003201C9">
      <w:pPr>
        <w:numPr>
          <w:ilvl w:val="0"/>
          <w:numId w:val="18"/>
        </w:numPr>
        <w:overflowPunct w:val="0"/>
        <w:autoSpaceDE w:val="0"/>
        <w:autoSpaceDN w:val="0"/>
        <w:adjustRightInd w:val="0"/>
        <w:ind w:left="709" w:hanging="425"/>
        <w:contextualSpacing/>
        <w:textAlignment w:val="baseline"/>
      </w:pPr>
      <w:r w:rsidRPr="003201C9">
        <w:t>hebt die Ergebnisse der makroregionalen Strategie für den adriatisch-ionischen Raum (EUSAIR) hervor, deren Aktionsplan kürzlich durch die Einführung einer fünften sozialen Säule aktualisiert wurde. Die Strategie umfasst Erweiterung, Kreislaufwirtschaft und Digitalisierung sowie die Stärkung von Partnerschaften und Resilienz;</w:t>
      </w:r>
    </w:p>
    <w:p w14:paraId="0171069F" w14:textId="26283E8D" w:rsidR="00612898" w:rsidRPr="003201C9" w:rsidRDefault="00612898" w:rsidP="003201C9">
      <w:pPr>
        <w:numPr>
          <w:ilvl w:val="0"/>
          <w:numId w:val="18"/>
        </w:numPr>
        <w:overflowPunct w:val="0"/>
        <w:autoSpaceDE w:val="0"/>
        <w:autoSpaceDN w:val="0"/>
        <w:adjustRightInd w:val="0"/>
        <w:ind w:left="709" w:hanging="425"/>
        <w:contextualSpacing/>
        <w:textAlignment w:val="baseline"/>
      </w:pPr>
      <w:r w:rsidRPr="003201C9">
        <w:t>bewertet die makroregionale Strategie für den Alpenraum (EUSALP), die die Zusammenarbeit und eine stabile Regierungsführung gestärkt hat und auch Drittländern offensteht, positiv. Bei der Überarbeitung wurden Prioritäten in den Bereichen Digitalisierung, Energie, Wasser und Kreislaufwirtschaft zusammengeführt;</w:t>
      </w:r>
    </w:p>
    <w:p w14:paraId="6817B888" w14:textId="70F4706D" w:rsidR="00612898" w:rsidRPr="003201C9" w:rsidRDefault="00612898" w:rsidP="003201C9">
      <w:pPr>
        <w:numPr>
          <w:ilvl w:val="0"/>
          <w:numId w:val="18"/>
        </w:numPr>
        <w:overflowPunct w:val="0"/>
        <w:autoSpaceDE w:val="0"/>
        <w:autoSpaceDN w:val="0"/>
        <w:adjustRightInd w:val="0"/>
        <w:ind w:left="709" w:hanging="425"/>
        <w:contextualSpacing/>
        <w:textAlignment w:val="baseline"/>
      </w:pPr>
      <w:r w:rsidRPr="003201C9">
        <w:lastRenderedPageBreak/>
        <w:t>weist darauf hin, dass die Erweiterung um die Länder des Westbalkans, die Ukraine und Moldau eine strategische Priorität darstellt und die makroregionalen Strategien das Potenzial haben, die Zusammenarbeit und die institutionellen Kapazitäten zu stärken;</w:t>
      </w:r>
    </w:p>
    <w:p w14:paraId="710F3124" w14:textId="6C89F131" w:rsidR="00612898" w:rsidRPr="003201C9" w:rsidRDefault="00612898" w:rsidP="003201C9">
      <w:pPr>
        <w:numPr>
          <w:ilvl w:val="0"/>
          <w:numId w:val="18"/>
        </w:numPr>
        <w:overflowPunct w:val="0"/>
        <w:autoSpaceDE w:val="0"/>
        <w:autoSpaceDN w:val="0"/>
        <w:adjustRightInd w:val="0"/>
        <w:ind w:left="709" w:hanging="425"/>
        <w:contextualSpacing/>
        <w:textAlignment w:val="baseline"/>
      </w:pPr>
      <w:r w:rsidRPr="003201C9">
        <w:t>weist darauf hin, dass die militärische Aggression Russlands gegen die Ukraine die Rolle der makroregionalen Strategien als Instrumente der Solidarität und Resilienz bestätigt hat;</w:t>
      </w:r>
    </w:p>
    <w:p w14:paraId="6EDD216B" w14:textId="02F6DEB7" w:rsidR="00612898" w:rsidRPr="003201C9" w:rsidRDefault="00612898" w:rsidP="003201C9">
      <w:pPr>
        <w:numPr>
          <w:ilvl w:val="0"/>
          <w:numId w:val="18"/>
        </w:numPr>
        <w:overflowPunct w:val="0"/>
        <w:autoSpaceDE w:val="0"/>
        <w:autoSpaceDN w:val="0"/>
        <w:adjustRightInd w:val="0"/>
        <w:ind w:left="709" w:hanging="425"/>
        <w:contextualSpacing/>
        <w:textAlignment w:val="baseline"/>
      </w:pPr>
      <w:r w:rsidRPr="003201C9">
        <w:t>ist der Auffassung, dass dem ortsbezogenen Ansatz der makroregionalen Strategien, mit dem die europäischen Prioritäten an die spezifischen Gegebenheiten vor Ort angepasst und der Zusammenhalt durch Instrumente wie die von der örtlichen Bevölkerung betriebene lokale Entwicklung (CLLD) und innovative Initiativen zur Förderung der Bürgerbeteiligung und der Beteiligung der Jugend gestärkt werden, entscheidende Bedeutung zukommt;</w:t>
      </w:r>
    </w:p>
    <w:p w14:paraId="34580314" w14:textId="53CAB3F9" w:rsidR="00612898" w:rsidRPr="003201C9" w:rsidRDefault="00612898" w:rsidP="003201C9">
      <w:pPr>
        <w:numPr>
          <w:ilvl w:val="0"/>
          <w:numId w:val="18"/>
        </w:numPr>
        <w:overflowPunct w:val="0"/>
        <w:autoSpaceDE w:val="0"/>
        <w:autoSpaceDN w:val="0"/>
        <w:adjustRightInd w:val="0"/>
        <w:ind w:left="709" w:hanging="425"/>
        <w:contextualSpacing/>
        <w:textAlignment w:val="baseline"/>
      </w:pPr>
      <w:r w:rsidRPr="003201C9">
        <w:t>fordert eine stärkere Governance und bessere Finanzausstattung sowie eine Integration der Prioritäten der makroregionalen Strategien in die wichtigsten EU-Programme. Die lokalen Kompetenzen müssen gestärkt, Partnerschaften konsolidiert sowie die Zivilgesellschaft und junge Menschen aktiv einbezogen werden;</w:t>
      </w:r>
    </w:p>
    <w:p w14:paraId="2F7ADDD3" w14:textId="226738B8" w:rsidR="00612898" w:rsidRPr="003201C9" w:rsidRDefault="003C16C3" w:rsidP="003201C9">
      <w:pPr>
        <w:numPr>
          <w:ilvl w:val="0"/>
          <w:numId w:val="18"/>
        </w:numPr>
        <w:overflowPunct w:val="0"/>
        <w:autoSpaceDE w:val="0"/>
        <w:autoSpaceDN w:val="0"/>
        <w:adjustRightInd w:val="0"/>
        <w:ind w:left="709" w:hanging="425"/>
        <w:contextualSpacing/>
        <w:textAlignment w:val="baseline"/>
      </w:pPr>
      <w:r w:rsidRPr="003201C9">
        <w:t>ist der Ansicht, dass der neue Mehrjährige Finanzrahmen 2028-2034 Risiken für das ordnungsgemäße Funktionieren der makroregionalen Strategien birgt. Die Prioritäten in Bezug auf die makroregionalen Strategien müssen deshalb unbedingt in die Partnerschaftspläne aufgenommen werden;</w:t>
      </w:r>
    </w:p>
    <w:p w14:paraId="179CAD0A" w14:textId="6CF7AC7B" w:rsidR="00612898" w:rsidRPr="003201C9" w:rsidRDefault="00612898" w:rsidP="003201C9">
      <w:pPr>
        <w:numPr>
          <w:ilvl w:val="0"/>
          <w:numId w:val="18"/>
        </w:numPr>
        <w:overflowPunct w:val="0"/>
        <w:autoSpaceDE w:val="0"/>
        <w:autoSpaceDN w:val="0"/>
        <w:adjustRightInd w:val="0"/>
        <w:ind w:left="709" w:hanging="425"/>
        <w:contextualSpacing/>
        <w:textAlignment w:val="baseline"/>
      </w:pPr>
      <w:r w:rsidRPr="003201C9">
        <w:t>betont die Notwendigkeit einer transparenten, rechenschaftspflichtigen und korruptionsfreien Governance in den an den makroregionalen Strategien beteiligten Institutionen;</w:t>
      </w:r>
    </w:p>
    <w:p w14:paraId="70A713C0" w14:textId="77777777" w:rsidR="00612898" w:rsidRPr="003201C9" w:rsidRDefault="00612898" w:rsidP="003201C9">
      <w:pPr>
        <w:numPr>
          <w:ilvl w:val="0"/>
          <w:numId w:val="18"/>
        </w:numPr>
        <w:overflowPunct w:val="0"/>
        <w:autoSpaceDE w:val="0"/>
        <w:autoSpaceDN w:val="0"/>
        <w:adjustRightInd w:val="0"/>
        <w:ind w:left="709" w:hanging="425"/>
        <w:contextualSpacing/>
        <w:textAlignment w:val="baseline"/>
        <w:rPr>
          <w:bCs/>
          <w:iCs/>
        </w:rPr>
      </w:pPr>
      <w:r w:rsidRPr="003201C9">
        <w:t>fordert die Schaffung einer neuen Makroregion im Mittelmeerraum, um gemeinsame Herausforderungen wie Klimawandel, Migrationsströme, Energiewende sowie Nachhaltigkeit bei der Bewirtschaftung der Meere und Ozeane anzugehen.</w:t>
      </w:r>
    </w:p>
    <w:p w14:paraId="54AD92A7" w14:textId="77777777" w:rsidR="00612898" w:rsidRPr="003201C9" w:rsidRDefault="00612898" w:rsidP="003201C9">
      <w:pPr>
        <w:overflowPunct w:val="0"/>
        <w:autoSpaceDE w:val="0"/>
        <w:autoSpaceDN w:val="0"/>
        <w:adjustRightInd w:val="0"/>
        <w:ind w:left="360"/>
        <w:contextualSpacing/>
        <w:textAlignment w:val="baseline"/>
        <w:rPr>
          <w:bCs/>
          <w:iCs/>
        </w:rPr>
      </w:pPr>
    </w:p>
    <w:tbl>
      <w:tblPr>
        <w:tblStyle w:val="TableGrid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371"/>
      </w:tblGrid>
      <w:tr w:rsidR="00612898" w:rsidRPr="003201C9" w14:paraId="242A4532" w14:textId="77777777" w:rsidTr="00C04690">
        <w:tc>
          <w:tcPr>
            <w:tcW w:w="1951" w:type="dxa"/>
          </w:tcPr>
          <w:p w14:paraId="21DFEBB5" w14:textId="77777777" w:rsidR="00612898" w:rsidRPr="003201C9" w:rsidRDefault="00612898" w:rsidP="003201C9">
            <w:pPr>
              <w:overflowPunct w:val="0"/>
              <w:autoSpaceDE w:val="0"/>
              <w:autoSpaceDN w:val="0"/>
              <w:adjustRightInd w:val="0"/>
              <w:textAlignment w:val="baseline"/>
              <w:rPr>
                <w:i/>
                <w:sz w:val="22"/>
                <w:szCs w:val="22"/>
              </w:rPr>
            </w:pPr>
            <w:r w:rsidRPr="003201C9">
              <w:rPr>
                <w:b/>
                <w:i/>
                <w:sz w:val="22"/>
                <w:szCs w:val="22"/>
              </w:rPr>
              <w:t>Kontakt</w:t>
            </w:r>
          </w:p>
        </w:tc>
        <w:tc>
          <w:tcPr>
            <w:tcW w:w="7371" w:type="dxa"/>
          </w:tcPr>
          <w:p w14:paraId="26624CD5" w14:textId="0E28249F" w:rsidR="00612898" w:rsidRPr="003201C9" w:rsidRDefault="00612898" w:rsidP="003201C9">
            <w:pPr>
              <w:overflowPunct w:val="0"/>
              <w:autoSpaceDE w:val="0"/>
              <w:autoSpaceDN w:val="0"/>
              <w:adjustRightInd w:val="0"/>
              <w:textAlignment w:val="baseline"/>
              <w:rPr>
                <w:i/>
                <w:sz w:val="22"/>
                <w:szCs w:val="22"/>
              </w:rPr>
            </w:pPr>
            <w:r w:rsidRPr="003201C9">
              <w:rPr>
                <w:i/>
                <w:sz w:val="22"/>
                <w:szCs w:val="22"/>
              </w:rPr>
              <w:t xml:space="preserve">Georgios </w:t>
            </w:r>
            <w:proofErr w:type="spellStart"/>
            <w:r w:rsidRPr="003201C9">
              <w:rPr>
                <w:i/>
                <w:sz w:val="22"/>
                <w:szCs w:val="22"/>
              </w:rPr>
              <w:t>Meleas</w:t>
            </w:r>
            <w:proofErr w:type="spellEnd"/>
          </w:p>
        </w:tc>
      </w:tr>
      <w:tr w:rsidR="00612898" w:rsidRPr="003201C9" w14:paraId="169FB5DD" w14:textId="77777777" w:rsidTr="00C04690">
        <w:tc>
          <w:tcPr>
            <w:tcW w:w="1951" w:type="dxa"/>
          </w:tcPr>
          <w:p w14:paraId="04AD6363" w14:textId="77777777" w:rsidR="00612898" w:rsidRPr="003201C9" w:rsidRDefault="00612898" w:rsidP="003201C9">
            <w:pPr>
              <w:overflowPunct w:val="0"/>
              <w:autoSpaceDE w:val="0"/>
              <w:autoSpaceDN w:val="0"/>
              <w:adjustRightInd w:val="0"/>
              <w:textAlignment w:val="baseline"/>
              <w:rPr>
                <w:i/>
                <w:sz w:val="22"/>
                <w:szCs w:val="22"/>
              </w:rPr>
            </w:pPr>
            <w:r w:rsidRPr="003201C9">
              <w:rPr>
                <w:i/>
                <w:sz w:val="22"/>
                <w:szCs w:val="22"/>
              </w:rPr>
              <w:t>Tel.</w:t>
            </w:r>
          </w:p>
        </w:tc>
        <w:tc>
          <w:tcPr>
            <w:tcW w:w="7371" w:type="dxa"/>
          </w:tcPr>
          <w:p w14:paraId="0ACA86BD" w14:textId="574C92AA" w:rsidR="00612898" w:rsidRPr="003201C9" w:rsidRDefault="00612898" w:rsidP="003201C9">
            <w:pPr>
              <w:overflowPunct w:val="0"/>
              <w:autoSpaceDE w:val="0"/>
              <w:autoSpaceDN w:val="0"/>
              <w:adjustRightInd w:val="0"/>
              <w:textAlignment w:val="baseline"/>
              <w:rPr>
                <w:i/>
                <w:sz w:val="22"/>
                <w:szCs w:val="22"/>
              </w:rPr>
            </w:pPr>
            <w:r w:rsidRPr="003201C9">
              <w:rPr>
                <w:i/>
                <w:sz w:val="22"/>
                <w:szCs w:val="22"/>
              </w:rPr>
              <w:t>+32 25469795</w:t>
            </w:r>
          </w:p>
        </w:tc>
      </w:tr>
      <w:tr w:rsidR="00612898" w:rsidRPr="003201C9" w14:paraId="74BB4CF2" w14:textId="77777777" w:rsidTr="00C04690">
        <w:tc>
          <w:tcPr>
            <w:tcW w:w="1951" w:type="dxa"/>
          </w:tcPr>
          <w:p w14:paraId="0810916A" w14:textId="77777777" w:rsidR="00612898" w:rsidRPr="003201C9" w:rsidRDefault="00612898" w:rsidP="003201C9">
            <w:pPr>
              <w:overflowPunct w:val="0"/>
              <w:autoSpaceDE w:val="0"/>
              <w:autoSpaceDN w:val="0"/>
              <w:adjustRightInd w:val="0"/>
              <w:textAlignment w:val="baseline"/>
              <w:rPr>
                <w:i/>
                <w:sz w:val="22"/>
                <w:szCs w:val="22"/>
              </w:rPr>
            </w:pPr>
            <w:r w:rsidRPr="003201C9">
              <w:rPr>
                <w:i/>
                <w:sz w:val="22"/>
                <w:szCs w:val="22"/>
              </w:rPr>
              <w:t>E-Mail</w:t>
            </w:r>
          </w:p>
        </w:tc>
        <w:tc>
          <w:tcPr>
            <w:tcW w:w="7371" w:type="dxa"/>
          </w:tcPr>
          <w:p w14:paraId="7EA756D6" w14:textId="77777777" w:rsidR="00612898" w:rsidRPr="003201C9" w:rsidRDefault="000055E5" w:rsidP="003201C9">
            <w:pPr>
              <w:overflowPunct w:val="0"/>
              <w:autoSpaceDE w:val="0"/>
              <w:autoSpaceDN w:val="0"/>
              <w:adjustRightInd w:val="0"/>
              <w:textAlignment w:val="baseline"/>
              <w:rPr>
                <w:i/>
                <w:iCs/>
                <w:sz w:val="22"/>
                <w:szCs w:val="22"/>
              </w:rPr>
            </w:pPr>
            <w:hyperlink r:id="rId21" w:history="1">
              <w:r w:rsidR="00F74BC3" w:rsidRPr="003201C9">
                <w:rPr>
                  <w:i/>
                  <w:color w:val="0000FF"/>
                  <w:sz w:val="22"/>
                  <w:szCs w:val="22"/>
                  <w:u w:val="single"/>
                </w:rPr>
                <w:t>Georgios.Meleas@eesc.europa.eu</w:t>
              </w:r>
            </w:hyperlink>
          </w:p>
        </w:tc>
      </w:tr>
    </w:tbl>
    <w:p w14:paraId="4982DD96" w14:textId="77777777" w:rsidR="004D7AC0" w:rsidRPr="003201C9" w:rsidRDefault="004D7AC0" w:rsidP="003201C9">
      <w:pPr>
        <w:pStyle w:val="ListParagraph"/>
        <w:ind w:left="0"/>
      </w:pPr>
    </w:p>
    <w:p w14:paraId="4B3225FD" w14:textId="69ABDE54" w:rsidR="00C82E34" w:rsidRPr="00C04690" w:rsidRDefault="00612898" w:rsidP="00803D26">
      <w:pPr>
        <w:pStyle w:val="ListParagraph"/>
        <w:numPr>
          <w:ilvl w:val="0"/>
          <w:numId w:val="37"/>
        </w:numPr>
        <w:ind w:left="567" w:hanging="567"/>
        <w:rPr>
          <w:b/>
          <w:i/>
          <w:iCs/>
          <w:sz w:val="28"/>
          <w:szCs w:val="28"/>
        </w:rPr>
      </w:pPr>
      <w:r>
        <w:br w:type="page"/>
      </w:r>
      <w:hyperlink r:id="rId22" w:history="1">
        <w:r w:rsidRPr="00C04690">
          <w:rPr>
            <w:b/>
            <w:i/>
            <w:color w:val="0000FF"/>
            <w:sz w:val="28"/>
            <w:szCs w:val="28"/>
            <w:u w:val="single"/>
          </w:rPr>
          <w:t>Einrichtung des Europäischen Fonds für regionale Entwicklung, einschließlich für die Europäische territoriale Zusammenarbeit (Interreg), und des Kohäsionsfonds</w:t>
        </w:r>
      </w:hyperlink>
    </w:p>
    <w:p w14:paraId="5DE846E1" w14:textId="77777777" w:rsidR="00C82E34" w:rsidRPr="003201C9" w:rsidRDefault="00C82E34" w:rsidP="003201C9">
      <w:pPr>
        <w:widowControl w:val="0"/>
        <w:overflowPunct w:val="0"/>
        <w:autoSpaceDE w:val="0"/>
        <w:autoSpaceDN w:val="0"/>
        <w:adjustRightInd w:val="0"/>
        <w:ind w:left="284"/>
        <w:textAlignment w:val="baseline"/>
        <w:rPr>
          <w:b/>
          <w:i/>
          <w:iCs/>
        </w:rPr>
      </w:pPr>
    </w:p>
    <w:tbl>
      <w:tblPr>
        <w:tblStyle w:val="TableGrid2"/>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0"/>
        <w:gridCol w:w="7212"/>
      </w:tblGrid>
      <w:tr w:rsidR="00C82E34" w:rsidRPr="003201C9" w14:paraId="2D50146C" w14:textId="77777777" w:rsidTr="0036489A">
        <w:tc>
          <w:tcPr>
            <w:tcW w:w="1701" w:type="dxa"/>
          </w:tcPr>
          <w:p w14:paraId="32F41C20" w14:textId="77777777" w:rsidR="00C82E34" w:rsidRPr="003201C9" w:rsidRDefault="00C82E34" w:rsidP="003201C9">
            <w:pPr>
              <w:tabs>
                <w:tab w:val="center" w:pos="284"/>
              </w:tabs>
              <w:overflowPunct w:val="0"/>
              <w:autoSpaceDE w:val="0"/>
              <w:autoSpaceDN w:val="0"/>
              <w:adjustRightInd w:val="0"/>
              <w:ind w:left="266" w:hanging="266"/>
              <w:textAlignment w:val="baseline"/>
              <w:rPr>
                <w:b/>
                <w:sz w:val="22"/>
                <w:szCs w:val="22"/>
              </w:rPr>
            </w:pPr>
            <w:r w:rsidRPr="003201C9">
              <w:rPr>
                <w:b/>
                <w:sz w:val="22"/>
                <w:szCs w:val="22"/>
              </w:rPr>
              <w:t>Berichterstatter</w:t>
            </w:r>
          </w:p>
        </w:tc>
        <w:tc>
          <w:tcPr>
            <w:tcW w:w="7621" w:type="dxa"/>
          </w:tcPr>
          <w:p w14:paraId="297CD7E5" w14:textId="017D2306" w:rsidR="00C82E34" w:rsidRPr="003201C9" w:rsidRDefault="00C82E34" w:rsidP="003201C9">
            <w:pPr>
              <w:tabs>
                <w:tab w:val="center" w:pos="284"/>
              </w:tabs>
              <w:overflowPunct w:val="0"/>
              <w:autoSpaceDE w:val="0"/>
              <w:autoSpaceDN w:val="0"/>
              <w:adjustRightInd w:val="0"/>
              <w:ind w:left="266" w:hanging="266"/>
              <w:textAlignment w:val="baseline"/>
              <w:rPr>
                <w:sz w:val="22"/>
                <w:szCs w:val="22"/>
              </w:rPr>
            </w:pPr>
            <w:r w:rsidRPr="003201C9">
              <w:rPr>
                <w:sz w:val="22"/>
                <w:szCs w:val="22"/>
              </w:rPr>
              <w:t>David SVENTEK (Gruppe Arbeitgeber – CZ)</w:t>
            </w:r>
          </w:p>
          <w:p w14:paraId="59E7D12A" w14:textId="53E0EAA6" w:rsidR="00446882" w:rsidRPr="00C04690" w:rsidRDefault="00446882" w:rsidP="003201C9">
            <w:pPr>
              <w:tabs>
                <w:tab w:val="center" w:pos="284"/>
              </w:tabs>
              <w:overflowPunct w:val="0"/>
              <w:autoSpaceDE w:val="0"/>
              <w:autoSpaceDN w:val="0"/>
              <w:adjustRightInd w:val="0"/>
              <w:ind w:left="266" w:hanging="266"/>
              <w:textAlignment w:val="baseline"/>
              <w:rPr>
                <w:bCs/>
                <w:sz w:val="12"/>
                <w:szCs w:val="12"/>
              </w:rPr>
            </w:pPr>
          </w:p>
        </w:tc>
      </w:tr>
      <w:tr w:rsidR="00C82E34" w:rsidRPr="003201C9" w14:paraId="4B15388C" w14:textId="77777777" w:rsidTr="0036489A">
        <w:tc>
          <w:tcPr>
            <w:tcW w:w="1701" w:type="dxa"/>
          </w:tcPr>
          <w:p w14:paraId="742C36BE" w14:textId="77777777" w:rsidR="00C82E34" w:rsidRPr="003201C9" w:rsidRDefault="00C82E34" w:rsidP="003201C9">
            <w:pPr>
              <w:tabs>
                <w:tab w:val="center" w:pos="284"/>
              </w:tabs>
              <w:overflowPunct w:val="0"/>
              <w:autoSpaceDE w:val="0"/>
              <w:autoSpaceDN w:val="0"/>
              <w:adjustRightInd w:val="0"/>
              <w:ind w:left="266" w:hanging="266"/>
              <w:textAlignment w:val="baseline"/>
              <w:rPr>
                <w:b/>
                <w:sz w:val="22"/>
                <w:szCs w:val="22"/>
              </w:rPr>
            </w:pPr>
            <w:r w:rsidRPr="003201C9">
              <w:rPr>
                <w:b/>
                <w:sz w:val="22"/>
                <w:szCs w:val="22"/>
              </w:rPr>
              <w:t>Referenzdokumente</w:t>
            </w:r>
          </w:p>
        </w:tc>
        <w:tc>
          <w:tcPr>
            <w:tcW w:w="7621" w:type="dxa"/>
          </w:tcPr>
          <w:p w14:paraId="5F3D0A1D" w14:textId="77777777" w:rsidR="00C82E34" w:rsidRPr="003201C9" w:rsidRDefault="00C82E34" w:rsidP="003201C9">
            <w:pPr>
              <w:tabs>
                <w:tab w:val="center" w:pos="284"/>
              </w:tabs>
              <w:overflowPunct w:val="0"/>
              <w:autoSpaceDE w:val="0"/>
              <w:autoSpaceDN w:val="0"/>
              <w:adjustRightInd w:val="0"/>
              <w:ind w:left="266" w:hanging="266"/>
              <w:textAlignment w:val="baseline"/>
              <w:rPr>
                <w:sz w:val="22"/>
                <w:szCs w:val="22"/>
              </w:rPr>
            </w:pPr>
            <w:r w:rsidRPr="003201C9">
              <w:rPr>
                <w:sz w:val="22"/>
                <w:szCs w:val="22"/>
              </w:rPr>
              <w:t>COM(2025) 552 final</w:t>
            </w:r>
          </w:p>
          <w:p w14:paraId="26C6C1A2" w14:textId="77777777" w:rsidR="00C82E34" w:rsidRDefault="00C82E34" w:rsidP="003201C9">
            <w:pPr>
              <w:tabs>
                <w:tab w:val="center" w:pos="284"/>
              </w:tabs>
              <w:overflowPunct w:val="0"/>
              <w:autoSpaceDE w:val="0"/>
              <w:autoSpaceDN w:val="0"/>
              <w:adjustRightInd w:val="0"/>
              <w:ind w:left="266" w:hanging="266"/>
              <w:textAlignment w:val="baseline"/>
              <w:rPr>
                <w:sz w:val="22"/>
                <w:szCs w:val="22"/>
              </w:rPr>
            </w:pPr>
            <w:r w:rsidRPr="003201C9">
              <w:rPr>
                <w:sz w:val="22"/>
                <w:szCs w:val="22"/>
              </w:rPr>
              <w:t>EESC-2025-03305-00-00-AC</w:t>
            </w:r>
          </w:p>
          <w:p w14:paraId="43B9D460" w14:textId="1963DA9F" w:rsidR="00C04690" w:rsidRPr="003201C9" w:rsidRDefault="00C04690" w:rsidP="003201C9">
            <w:pPr>
              <w:tabs>
                <w:tab w:val="center" w:pos="284"/>
              </w:tabs>
              <w:overflowPunct w:val="0"/>
              <w:autoSpaceDE w:val="0"/>
              <w:autoSpaceDN w:val="0"/>
              <w:adjustRightInd w:val="0"/>
              <w:ind w:left="266" w:hanging="266"/>
              <w:textAlignment w:val="baseline"/>
              <w:rPr>
                <w:sz w:val="22"/>
                <w:szCs w:val="22"/>
              </w:rPr>
            </w:pPr>
          </w:p>
        </w:tc>
      </w:tr>
    </w:tbl>
    <w:p w14:paraId="08272C41" w14:textId="77777777" w:rsidR="00C82E34" w:rsidRPr="003201C9" w:rsidRDefault="00C82E34" w:rsidP="003201C9">
      <w:pPr>
        <w:keepNext/>
        <w:keepLines/>
        <w:tabs>
          <w:tab w:val="center" w:pos="284"/>
        </w:tabs>
        <w:overflowPunct w:val="0"/>
        <w:autoSpaceDE w:val="0"/>
        <w:autoSpaceDN w:val="0"/>
        <w:adjustRightInd w:val="0"/>
        <w:ind w:left="266" w:hanging="266"/>
        <w:textAlignment w:val="baseline"/>
        <w:rPr>
          <w:b/>
        </w:rPr>
      </w:pPr>
      <w:r w:rsidRPr="003201C9">
        <w:rPr>
          <w:b/>
        </w:rPr>
        <w:t>Kernaussagen</w:t>
      </w:r>
    </w:p>
    <w:p w14:paraId="61DEFF14" w14:textId="77777777" w:rsidR="00C2078A" w:rsidRPr="003201C9" w:rsidRDefault="00C2078A" w:rsidP="003201C9">
      <w:pPr>
        <w:keepNext/>
        <w:keepLines/>
        <w:tabs>
          <w:tab w:val="center" w:pos="284"/>
        </w:tabs>
        <w:overflowPunct w:val="0"/>
        <w:autoSpaceDE w:val="0"/>
        <w:autoSpaceDN w:val="0"/>
        <w:adjustRightInd w:val="0"/>
        <w:ind w:left="266" w:hanging="266"/>
        <w:textAlignment w:val="baseline"/>
        <w:rPr>
          <w:b/>
          <w:lang w:val="en-GB"/>
        </w:rPr>
      </w:pPr>
    </w:p>
    <w:p w14:paraId="61D96179" w14:textId="762DD5F9" w:rsidR="00C82E34" w:rsidRDefault="00C82E34" w:rsidP="003201C9">
      <w:pPr>
        <w:overflowPunct w:val="0"/>
        <w:autoSpaceDE w:val="0"/>
        <w:autoSpaceDN w:val="0"/>
        <w:adjustRightInd w:val="0"/>
        <w:textAlignment w:val="baseline"/>
      </w:pPr>
      <w:r w:rsidRPr="003201C9">
        <w:t>Der EWSA</w:t>
      </w:r>
    </w:p>
    <w:p w14:paraId="5776B375" w14:textId="77777777" w:rsidR="00C04690" w:rsidRPr="003201C9" w:rsidRDefault="00C04690" w:rsidP="003201C9">
      <w:pPr>
        <w:overflowPunct w:val="0"/>
        <w:autoSpaceDE w:val="0"/>
        <w:autoSpaceDN w:val="0"/>
        <w:adjustRightInd w:val="0"/>
        <w:textAlignment w:val="baseline"/>
        <w:rPr>
          <w:bCs/>
          <w:iCs/>
        </w:rPr>
      </w:pPr>
    </w:p>
    <w:p w14:paraId="6B7D5112" w14:textId="77777777" w:rsidR="00C82E34" w:rsidRPr="003201C9" w:rsidRDefault="00C82E34" w:rsidP="003201C9">
      <w:pPr>
        <w:numPr>
          <w:ilvl w:val="0"/>
          <w:numId w:val="19"/>
        </w:numPr>
        <w:overflowPunct w:val="0"/>
        <w:autoSpaceDE w:val="0"/>
        <w:autoSpaceDN w:val="0"/>
        <w:adjustRightInd w:val="0"/>
        <w:ind w:left="709" w:hanging="425"/>
        <w:contextualSpacing/>
        <w:textAlignment w:val="baseline"/>
      </w:pPr>
      <w:r w:rsidRPr="003201C9">
        <w:t>betont, dass eine der wichtigsten Prioritäten der europäischen Integration nach wie vor darin besteht, regionale und territoriale Unterschiede zu verringern. Der Einsatz traditioneller, bewährter und wirksamer kohäsionspolitischer Instrumente ist der richtige Weg zur Förderung nachhaltigen Wohlstands in allen Regionen der EU;</w:t>
      </w:r>
    </w:p>
    <w:p w14:paraId="419C11E1" w14:textId="77777777" w:rsidR="00C82E34" w:rsidRPr="003201C9" w:rsidRDefault="00C82E34" w:rsidP="003201C9">
      <w:pPr>
        <w:numPr>
          <w:ilvl w:val="0"/>
          <w:numId w:val="19"/>
        </w:numPr>
        <w:overflowPunct w:val="0"/>
        <w:autoSpaceDE w:val="0"/>
        <w:autoSpaceDN w:val="0"/>
        <w:adjustRightInd w:val="0"/>
        <w:ind w:left="709" w:hanging="425"/>
        <w:contextualSpacing/>
        <w:textAlignment w:val="baseline"/>
      </w:pPr>
      <w:r w:rsidRPr="003201C9">
        <w:t>empfiehlt, die Rolle des Europäischen Fonds für regionale Entwicklung (EFRE) und des Kohäsionsfonds im Rahmen des Fonds für national-regionale Partnerschaften (NRPF) zu präzisieren, und zwar nicht durch allgemeine und spezifische Ziele, sondern auch dadurch, dass in der Verordnung konkret darauf eingegangen wird; würde es begrüßen, wenn der in dieser Stellungnahme erörterte Vorschlag für eine Verordnung weiter ausgearbeitet und zumindest durch einen Anhang ergänzt würde, der Leitlinien dazu enthält, wie der EFRE und der Kohäsionsfonds wirksam in den NRPF integriert werden können;</w:t>
      </w:r>
    </w:p>
    <w:p w14:paraId="1B66C5C6" w14:textId="77777777" w:rsidR="00C82E34" w:rsidRPr="003201C9" w:rsidRDefault="00C82E34" w:rsidP="003201C9">
      <w:pPr>
        <w:numPr>
          <w:ilvl w:val="0"/>
          <w:numId w:val="19"/>
        </w:numPr>
        <w:overflowPunct w:val="0"/>
        <w:autoSpaceDE w:val="0"/>
        <w:autoSpaceDN w:val="0"/>
        <w:adjustRightInd w:val="0"/>
        <w:ind w:left="709" w:hanging="425"/>
        <w:contextualSpacing/>
        <w:textAlignment w:val="baseline"/>
      </w:pPr>
      <w:r w:rsidRPr="003201C9">
        <w:t>betont, dass die neuen Regelungen nicht dazu führen dürfen, dass der EFRE und der Kohäsionsfonds in ihrer Bedeutung oder ihren Aufgaben eingeschränkt werden, insbesondere wenn es darum geht, Regionen mit Entwicklungsrückstand und die Umstrukturierung von Industriegebieten zu unterstützen; betont ferner die Bedeutung des Partnerschaftsprinzips bei der Gestaltung künftiger Programme;</w:t>
      </w:r>
    </w:p>
    <w:p w14:paraId="50BDF906" w14:textId="77777777" w:rsidR="00C82E34" w:rsidRPr="003201C9" w:rsidRDefault="00C82E34" w:rsidP="003201C9">
      <w:pPr>
        <w:numPr>
          <w:ilvl w:val="0"/>
          <w:numId w:val="19"/>
        </w:numPr>
        <w:overflowPunct w:val="0"/>
        <w:autoSpaceDE w:val="0"/>
        <w:autoSpaceDN w:val="0"/>
        <w:adjustRightInd w:val="0"/>
        <w:ind w:left="709" w:hanging="425"/>
        <w:contextualSpacing/>
        <w:textAlignment w:val="baseline"/>
      </w:pPr>
      <w:r w:rsidRPr="003201C9">
        <w:t>stimmt dem Inhalt und der thematischen Ausrichtung des künftigen Interreg-Programms sowie dessen Synergien mit dem Programm „Europa in der Welt“ in den vorgeschlagenen konkreten Fällen zu;</w:t>
      </w:r>
    </w:p>
    <w:p w14:paraId="23072895" w14:textId="77777777" w:rsidR="00C82E34" w:rsidRPr="003201C9" w:rsidRDefault="00C82E34" w:rsidP="003201C9">
      <w:pPr>
        <w:numPr>
          <w:ilvl w:val="0"/>
          <w:numId w:val="19"/>
        </w:numPr>
        <w:overflowPunct w:val="0"/>
        <w:autoSpaceDE w:val="0"/>
        <w:autoSpaceDN w:val="0"/>
        <w:adjustRightInd w:val="0"/>
        <w:ind w:left="709" w:hanging="425"/>
        <w:contextualSpacing/>
        <w:textAlignment w:val="baseline"/>
      </w:pPr>
      <w:r w:rsidRPr="003201C9">
        <w:t>ist mit dem innovativen Ansatz des Vorschlags für die künftige Gestaltung des bestehenden Interreg-Programms allgemein einverstanden, insbesondere in Bezug auf die Annahme der Durchführungsstrukturen auf Ebene der einzelnen Kapitel des Interreg-Plans;</w:t>
      </w:r>
    </w:p>
    <w:p w14:paraId="64ACA7F4" w14:textId="77777777" w:rsidR="00C82E34" w:rsidRPr="003201C9" w:rsidRDefault="00C82E34" w:rsidP="003201C9">
      <w:pPr>
        <w:numPr>
          <w:ilvl w:val="0"/>
          <w:numId w:val="19"/>
        </w:numPr>
        <w:overflowPunct w:val="0"/>
        <w:autoSpaceDE w:val="0"/>
        <w:autoSpaceDN w:val="0"/>
        <w:adjustRightInd w:val="0"/>
        <w:ind w:left="709" w:hanging="425"/>
        <w:contextualSpacing/>
        <w:textAlignment w:val="baseline"/>
      </w:pPr>
      <w:r w:rsidRPr="003201C9">
        <w:t>weist auf die Gefahr hin, dass die einschlägigen Akteure auf regionaler grenzüberschreitender Ebene keine Einigung erzielen können, zumal der Verordnungsvorschlag Einzelheiten offenlässt; empfiehlt zudem, den Durchführungsrechtsakt unmittelbar nach Annahme der Verordnung zu erlassen;</w:t>
      </w:r>
    </w:p>
    <w:p w14:paraId="4EB434F3" w14:textId="77777777" w:rsidR="00C82E34" w:rsidRPr="003201C9" w:rsidRDefault="00C82E34" w:rsidP="003201C9">
      <w:pPr>
        <w:numPr>
          <w:ilvl w:val="0"/>
          <w:numId w:val="19"/>
        </w:numPr>
        <w:overflowPunct w:val="0"/>
        <w:autoSpaceDE w:val="0"/>
        <w:autoSpaceDN w:val="0"/>
        <w:adjustRightInd w:val="0"/>
        <w:ind w:left="709" w:hanging="425"/>
        <w:contextualSpacing/>
        <w:textAlignment w:val="baseline"/>
      </w:pPr>
      <w:r w:rsidRPr="003201C9">
        <w:t>empfiehlt weiterhin, für eine auf Ebene der Mitgliedstaaten vergleichbare Auslegung und Umsetzung der Fonds zu sorgen und sicherzustellen, dass keine erheblichen Unterschiede zwischen den Mitgliedstaaten bestehen;</w:t>
      </w:r>
    </w:p>
    <w:p w14:paraId="72602B09" w14:textId="77777777" w:rsidR="00C82E34" w:rsidRPr="003201C9" w:rsidRDefault="00C82E34" w:rsidP="003201C9">
      <w:pPr>
        <w:numPr>
          <w:ilvl w:val="0"/>
          <w:numId w:val="19"/>
        </w:numPr>
        <w:overflowPunct w:val="0"/>
        <w:autoSpaceDE w:val="0"/>
        <w:autoSpaceDN w:val="0"/>
        <w:adjustRightInd w:val="0"/>
        <w:ind w:left="709" w:hanging="425"/>
        <w:contextualSpacing/>
        <w:textAlignment w:val="baseline"/>
      </w:pPr>
      <w:r w:rsidRPr="003201C9">
        <w:t>befürwortet eine Vereinfachung der Durchführungs- und Verwaltungsverfahren im Hinblick auf eine effizientere Mittelverwendung;</w:t>
      </w:r>
    </w:p>
    <w:p w14:paraId="6E5FF386" w14:textId="77777777" w:rsidR="00C82E34" w:rsidRPr="003201C9" w:rsidRDefault="00C82E34" w:rsidP="003201C9">
      <w:pPr>
        <w:numPr>
          <w:ilvl w:val="0"/>
          <w:numId w:val="19"/>
        </w:numPr>
        <w:overflowPunct w:val="0"/>
        <w:autoSpaceDE w:val="0"/>
        <w:autoSpaceDN w:val="0"/>
        <w:adjustRightInd w:val="0"/>
        <w:ind w:left="709" w:hanging="425"/>
        <w:contextualSpacing/>
        <w:textAlignment w:val="baseline"/>
        <w:rPr>
          <w:bCs/>
          <w:iCs/>
        </w:rPr>
      </w:pPr>
      <w:r w:rsidRPr="003201C9">
        <w:lastRenderedPageBreak/>
        <w:t>begrüßt, dass der Vorschlag für eine Verordnung über den EFRE und den Kohäsionsfonds auch die Möglichkeit vorsieht, eine nachhaltige Stadtentwicklung und in diesem Rahmen integrierte Strategien für die städtische und territoriale Entwicklung zu unterstützen. Im Mittelpunkt stehen eine nachhaltige Entwicklung und die Bewältigung von Herausforderungen in den Bereichen Umwelt, Energie und Klima sowie ein fairer Übergang zu einer sauberen, klimaneutralen und widerstandsfähigen Wirtschaft, wobei die Aspekte erschwinglicher Wohnraum, Armut, kulturelles Erbe und Nutzung des Potenzials digitaler Technologien für mehr Innovation und Energieeffizienz berücksichtigt werden.</w:t>
      </w:r>
    </w:p>
    <w:p w14:paraId="63EC4849" w14:textId="77777777" w:rsidR="00056F0F" w:rsidRPr="003201C9" w:rsidRDefault="00056F0F" w:rsidP="003201C9">
      <w:pPr>
        <w:overflowPunct w:val="0"/>
        <w:autoSpaceDE w:val="0"/>
        <w:autoSpaceDN w:val="0"/>
        <w:adjustRightInd w:val="0"/>
        <w:ind w:left="284"/>
        <w:contextualSpacing/>
        <w:textAlignment w:val="baseline"/>
        <w:rPr>
          <w:bCs/>
          <w:iCs/>
        </w:rPr>
      </w:pPr>
    </w:p>
    <w:tbl>
      <w:tblPr>
        <w:tblStyle w:val="TableGrid2"/>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229"/>
      </w:tblGrid>
      <w:tr w:rsidR="00C82E34" w:rsidRPr="003201C9" w14:paraId="04833A6C" w14:textId="77777777" w:rsidTr="00C04690">
        <w:tc>
          <w:tcPr>
            <w:tcW w:w="2093" w:type="dxa"/>
          </w:tcPr>
          <w:p w14:paraId="720E543D" w14:textId="77777777" w:rsidR="00C82E34" w:rsidRPr="003201C9" w:rsidRDefault="00C82E34" w:rsidP="003201C9">
            <w:pPr>
              <w:overflowPunct w:val="0"/>
              <w:autoSpaceDE w:val="0"/>
              <w:autoSpaceDN w:val="0"/>
              <w:adjustRightInd w:val="0"/>
              <w:textAlignment w:val="baseline"/>
              <w:rPr>
                <w:i/>
                <w:sz w:val="22"/>
                <w:szCs w:val="22"/>
              </w:rPr>
            </w:pPr>
            <w:r w:rsidRPr="003201C9">
              <w:rPr>
                <w:b/>
                <w:i/>
                <w:sz w:val="22"/>
                <w:szCs w:val="22"/>
              </w:rPr>
              <w:t>Kontakt</w:t>
            </w:r>
          </w:p>
        </w:tc>
        <w:tc>
          <w:tcPr>
            <w:tcW w:w="7229" w:type="dxa"/>
          </w:tcPr>
          <w:p w14:paraId="2AC28C0B" w14:textId="5FFF53BD" w:rsidR="00C82E34" w:rsidRPr="003201C9" w:rsidRDefault="00C82E34" w:rsidP="003201C9">
            <w:pPr>
              <w:overflowPunct w:val="0"/>
              <w:autoSpaceDE w:val="0"/>
              <w:autoSpaceDN w:val="0"/>
              <w:adjustRightInd w:val="0"/>
              <w:textAlignment w:val="baseline"/>
              <w:rPr>
                <w:i/>
                <w:sz w:val="22"/>
                <w:szCs w:val="22"/>
              </w:rPr>
            </w:pPr>
            <w:r w:rsidRPr="003201C9">
              <w:rPr>
                <w:i/>
                <w:sz w:val="22"/>
                <w:szCs w:val="22"/>
              </w:rPr>
              <w:t xml:space="preserve">Georgios </w:t>
            </w:r>
            <w:proofErr w:type="spellStart"/>
            <w:r w:rsidRPr="003201C9">
              <w:rPr>
                <w:i/>
                <w:sz w:val="22"/>
                <w:szCs w:val="22"/>
              </w:rPr>
              <w:t>Meleas</w:t>
            </w:r>
            <w:proofErr w:type="spellEnd"/>
          </w:p>
        </w:tc>
      </w:tr>
      <w:tr w:rsidR="00C82E34" w:rsidRPr="003201C9" w14:paraId="06EB7C5A" w14:textId="77777777" w:rsidTr="00C04690">
        <w:tc>
          <w:tcPr>
            <w:tcW w:w="2093" w:type="dxa"/>
          </w:tcPr>
          <w:p w14:paraId="3964EC18" w14:textId="77777777" w:rsidR="00C82E34" w:rsidRPr="003201C9" w:rsidRDefault="00C82E34" w:rsidP="003201C9">
            <w:pPr>
              <w:overflowPunct w:val="0"/>
              <w:autoSpaceDE w:val="0"/>
              <w:autoSpaceDN w:val="0"/>
              <w:adjustRightInd w:val="0"/>
              <w:textAlignment w:val="baseline"/>
              <w:rPr>
                <w:i/>
                <w:sz w:val="22"/>
                <w:szCs w:val="22"/>
              </w:rPr>
            </w:pPr>
            <w:r w:rsidRPr="003201C9">
              <w:rPr>
                <w:i/>
                <w:sz w:val="22"/>
                <w:szCs w:val="22"/>
              </w:rPr>
              <w:t>Tel.</w:t>
            </w:r>
          </w:p>
        </w:tc>
        <w:tc>
          <w:tcPr>
            <w:tcW w:w="7229" w:type="dxa"/>
          </w:tcPr>
          <w:p w14:paraId="6FC22AA9" w14:textId="7577C11B" w:rsidR="00C82E34" w:rsidRPr="003201C9" w:rsidRDefault="00C82E34" w:rsidP="003201C9">
            <w:pPr>
              <w:overflowPunct w:val="0"/>
              <w:autoSpaceDE w:val="0"/>
              <w:autoSpaceDN w:val="0"/>
              <w:adjustRightInd w:val="0"/>
              <w:textAlignment w:val="baseline"/>
              <w:rPr>
                <w:i/>
                <w:sz w:val="22"/>
                <w:szCs w:val="22"/>
              </w:rPr>
            </w:pPr>
            <w:r w:rsidRPr="003201C9">
              <w:rPr>
                <w:i/>
                <w:sz w:val="22"/>
                <w:szCs w:val="22"/>
              </w:rPr>
              <w:t>+32 25469795</w:t>
            </w:r>
          </w:p>
        </w:tc>
      </w:tr>
      <w:tr w:rsidR="00C82E34" w:rsidRPr="003201C9" w14:paraId="03D8EF0B" w14:textId="77777777" w:rsidTr="00C04690">
        <w:tc>
          <w:tcPr>
            <w:tcW w:w="2093" w:type="dxa"/>
          </w:tcPr>
          <w:p w14:paraId="130E2BFD" w14:textId="77777777" w:rsidR="00C82E34" w:rsidRPr="003201C9" w:rsidRDefault="00C82E34" w:rsidP="003201C9">
            <w:pPr>
              <w:overflowPunct w:val="0"/>
              <w:autoSpaceDE w:val="0"/>
              <w:autoSpaceDN w:val="0"/>
              <w:adjustRightInd w:val="0"/>
              <w:textAlignment w:val="baseline"/>
              <w:rPr>
                <w:i/>
                <w:sz w:val="22"/>
                <w:szCs w:val="22"/>
              </w:rPr>
            </w:pPr>
            <w:r w:rsidRPr="003201C9">
              <w:rPr>
                <w:i/>
                <w:sz w:val="22"/>
                <w:szCs w:val="22"/>
              </w:rPr>
              <w:t>E-Mail</w:t>
            </w:r>
          </w:p>
        </w:tc>
        <w:tc>
          <w:tcPr>
            <w:tcW w:w="7229" w:type="dxa"/>
          </w:tcPr>
          <w:p w14:paraId="21BA5198" w14:textId="2419CAD5" w:rsidR="00D6499D" w:rsidRPr="003201C9" w:rsidRDefault="000055E5" w:rsidP="003201C9">
            <w:pPr>
              <w:overflowPunct w:val="0"/>
              <w:autoSpaceDE w:val="0"/>
              <w:autoSpaceDN w:val="0"/>
              <w:adjustRightInd w:val="0"/>
              <w:textAlignment w:val="baseline"/>
              <w:rPr>
                <w:sz w:val="22"/>
                <w:szCs w:val="22"/>
              </w:rPr>
            </w:pPr>
            <w:hyperlink r:id="rId23" w:history="1">
              <w:r w:rsidR="00F74BC3" w:rsidRPr="003201C9">
                <w:rPr>
                  <w:i/>
                  <w:color w:val="0000FF"/>
                  <w:sz w:val="22"/>
                  <w:szCs w:val="22"/>
                  <w:u w:val="single"/>
                </w:rPr>
                <w:t>Georgios.Meleas@eesc.europa.eu</w:t>
              </w:r>
            </w:hyperlink>
          </w:p>
        </w:tc>
      </w:tr>
    </w:tbl>
    <w:p w14:paraId="24A3344A" w14:textId="77777777" w:rsidR="003201C9" w:rsidRDefault="003201C9" w:rsidP="003201C9">
      <w:r>
        <w:br w:type="page"/>
      </w:r>
    </w:p>
    <w:p w14:paraId="4982DD99" w14:textId="77777777" w:rsidR="004D7AC0" w:rsidRDefault="004D7AC0" w:rsidP="003201C9">
      <w:pPr>
        <w:pStyle w:val="Heading1"/>
        <w:rPr>
          <w:b/>
        </w:rPr>
      </w:pPr>
      <w:bookmarkStart w:id="1" w:name="_Toc75527081"/>
      <w:bookmarkStart w:id="2" w:name="_Toc217289951"/>
      <w:r>
        <w:rPr>
          <w:b/>
        </w:rPr>
        <w:lastRenderedPageBreak/>
        <w:t>BESCHÄFTIGUNG, SOZIALFRAGEN, UNIONSBÜRGERSCHAFT</w:t>
      </w:r>
      <w:bookmarkEnd w:id="1"/>
      <w:bookmarkEnd w:id="2"/>
    </w:p>
    <w:p w14:paraId="0203F323" w14:textId="77777777" w:rsidR="00C24C34" w:rsidRDefault="00C24C34" w:rsidP="003201C9"/>
    <w:p w14:paraId="0D85C8AE" w14:textId="4B607989" w:rsidR="00E972B2" w:rsidRPr="00E972B2" w:rsidRDefault="000055E5" w:rsidP="003201C9">
      <w:pPr>
        <w:widowControl w:val="0"/>
        <w:numPr>
          <w:ilvl w:val="0"/>
          <w:numId w:val="6"/>
        </w:numPr>
        <w:overflowPunct w:val="0"/>
        <w:autoSpaceDE w:val="0"/>
        <w:autoSpaceDN w:val="0"/>
        <w:adjustRightInd w:val="0"/>
        <w:ind w:left="567" w:hanging="567"/>
        <w:textAlignment w:val="baseline"/>
        <w:rPr>
          <w:b/>
        </w:rPr>
      </w:pPr>
      <w:hyperlink r:id="rId24" w:history="1">
        <w:r w:rsidR="00E972B2">
          <w:rPr>
            <w:rStyle w:val="Hyperlink"/>
            <w:b/>
            <w:i/>
            <w:sz w:val="28"/>
          </w:rPr>
          <w:t>Arbeitnehmerrechte von Journalisten und Medienschaffenden als Garantie für Unabhängigkeit und wahrheitsgemäße Informationen</w:t>
        </w:r>
      </w:hyperlink>
    </w:p>
    <w:p w14:paraId="0ABA41B8" w14:textId="77777777" w:rsidR="000C7C8B" w:rsidRPr="003201C9" w:rsidRDefault="000C7C8B" w:rsidP="003201C9">
      <w:pPr>
        <w:tabs>
          <w:tab w:val="center" w:pos="284"/>
        </w:tabs>
        <w:overflowPunct w:val="0"/>
        <w:autoSpaceDE w:val="0"/>
        <w:autoSpaceDN w:val="0"/>
        <w:adjustRightInd w:val="0"/>
        <w:ind w:left="567" w:hanging="567"/>
        <w:textAlignment w:val="baseline"/>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0"/>
        <w:gridCol w:w="7070"/>
      </w:tblGrid>
      <w:tr w:rsidR="00E972B2" w:rsidRPr="003201C9" w14:paraId="7386250C" w14:textId="77777777" w:rsidTr="00C04690">
        <w:tc>
          <w:tcPr>
            <w:tcW w:w="2110" w:type="dxa"/>
          </w:tcPr>
          <w:p w14:paraId="55083F76" w14:textId="77777777" w:rsidR="00E972B2" w:rsidRPr="003201C9" w:rsidRDefault="00E972B2" w:rsidP="003201C9">
            <w:pPr>
              <w:tabs>
                <w:tab w:val="center" w:pos="284"/>
              </w:tabs>
              <w:overflowPunct w:val="0"/>
              <w:autoSpaceDE w:val="0"/>
              <w:autoSpaceDN w:val="0"/>
              <w:adjustRightInd w:val="0"/>
              <w:ind w:left="567" w:hanging="567"/>
              <w:textAlignment w:val="baseline"/>
              <w:rPr>
                <w:b/>
                <w:sz w:val="22"/>
                <w:szCs w:val="22"/>
              </w:rPr>
            </w:pPr>
            <w:r w:rsidRPr="003201C9">
              <w:rPr>
                <w:b/>
                <w:sz w:val="22"/>
                <w:szCs w:val="22"/>
              </w:rPr>
              <w:t>Berichterstatter</w:t>
            </w:r>
          </w:p>
          <w:p w14:paraId="3877742D" w14:textId="77777777" w:rsidR="00E972B2" w:rsidRPr="003201C9" w:rsidRDefault="00E972B2" w:rsidP="003201C9">
            <w:pPr>
              <w:tabs>
                <w:tab w:val="center" w:pos="284"/>
              </w:tabs>
              <w:overflowPunct w:val="0"/>
              <w:autoSpaceDE w:val="0"/>
              <w:autoSpaceDN w:val="0"/>
              <w:adjustRightInd w:val="0"/>
              <w:ind w:left="567" w:hanging="567"/>
              <w:textAlignment w:val="baseline"/>
              <w:rPr>
                <w:b/>
                <w:sz w:val="22"/>
                <w:szCs w:val="22"/>
              </w:rPr>
            </w:pPr>
            <w:r w:rsidRPr="003201C9">
              <w:rPr>
                <w:b/>
                <w:sz w:val="22"/>
                <w:szCs w:val="22"/>
              </w:rPr>
              <w:t>Ko-Berichterstatter</w:t>
            </w:r>
          </w:p>
        </w:tc>
        <w:tc>
          <w:tcPr>
            <w:tcW w:w="7070" w:type="dxa"/>
          </w:tcPr>
          <w:p w14:paraId="59B0A1D0" w14:textId="77777777" w:rsidR="00E972B2" w:rsidRPr="003201C9" w:rsidRDefault="00E972B2" w:rsidP="003201C9">
            <w:pPr>
              <w:overflowPunct w:val="0"/>
              <w:autoSpaceDE w:val="0"/>
              <w:autoSpaceDN w:val="0"/>
              <w:adjustRightInd w:val="0"/>
              <w:ind w:left="567" w:hanging="567"/>
              <w:textAlignment w:val="baseline"/>
              <w:rPr>
                <w:sz w:val="22"/>
                <w:szCs w:val="22"/>
              </w:rPr>
            </w:pPr>
            <w:r w:rsidRPr="003201C9">
              <w:rPr>
                <w:sz w:val="22"/>
                <w:szCs w:val="22"/>
              </w:rPr>
              <w:t>José Antonio MORENO DÍAZ (Gruppe Arbeitnehmer – ES)</w:t>
            </w:r>
          </w:p>
          <w:p w14:paraId="683C7CA1" w14:textId="4F234B12" w:rsidR="00E972B2" w:rsidRPr="003201C9" w:rsidRDefault="00E972B2" w:rsidP="003201C9">
            <w:pPr>
              <w:overflowPunct w:val="0"/>
              <w:autoSpaceDE w:val="0"/>
              <w:autoSpaceDN w:val="0"/>
              <w:adjustRightInd w:val="0"/>
              <w:ind w:left="567" w:hanging="567"/>
              <w:textAlignment w:val="baseline"/>
              <w:rPr>
                <w:sz w:val="22"/>
                <w:szCs w:val="22"/>
              </w:rPr>
            </w:pPr>
            <w:r w:rsidRPr="003201C9">
              <w:rPr>
                <w:sz w:val="22"/>
                <w:szCs w:val="22"/>
              </w:rPr>
              <w:t>Christian MOOS (Gruppe Organisationen der Zivilgesellschaft – DE)</w:t>
            </w:r>
          </w:p>
        </w:tc>
      </w:tr>
      <w:tr w:rsidR="00E972B2" w:rsidRPr="003201C9" w14:paraId="403DF22C" w14:textId="77777777" w:rsidTr="00C04690">
        <w:tc>
          <w:tcPr>
            <w:tcW w:w="2110" w:type="dxa"/>
            <w:vMerge w:val="restart"/>
          </w:tcPr>
          <w:p w14:paraId="7C482129" w14:textId="77777777" w:rsidR="00E972B2" w:rsidRPr="003201C9" w:rsidRDefault="00E972B2" w:rsidP="003201C9">
            <w:pPr>
              <w:tabs>
                <w:tab w:val="center" w:pos="284"/>
              </w:tabs>
              <w:overflowPunct w:val="0"/>
              <w:autoSpaceDE w:val="0"/>
              <w:autoSpaceDN w:val="0"/>
              <w:adjustRightInd w:val="0"/>
              <w:ind w:left="567" w:hanging="567"/>
              <w:textAlignment w:val="baseline"/>
              <w:rPr>
                <w:b/>
                <w:sz w:val="22"/>
                <w:szCs w:val="22"/>
              </w:rPr>
            </w:pPr>
          </w:p>
          <w:p w14:paraId="762D1FFF" w14:textId="77777777" w:rsidR="00E972B2" w:rsidRPr="003201C9" w:rsidRDefault="00E972B2" w:rsidP="003201C9">
            <w:pPr>
              <w:tabs>
                <w:tab w:val="center" w:pos="284"/>
              </w:tabs>
              <w:overflowPunct w:val="0"/>
              <w:autoSpaceDE w:val="0"/>
              <w:autoSpaceDN w:val="0"/>
              <w:adjustRightInd w:val="0"/>
              <w:ind w:left="567" w:hanging="567"/>
              <w:textAlignment w:val="baseline"/>
              <w:rPr>
                <w:b/>
                <w:sz w:val="22"/>
                <w:szCs w:val="22"/>
              </w:rPr>
            </w:pPr>
            <w:r w:rsidRPr="003201C9">
              <w:rPr>
                <w:b/>
                <w:sz w:val="22"/>
                <w:szCs w:val="22"/>
              </w:rPr>
              <w:t>Referenzdokumente</w:t>
            </w:r>
          </w:p>
        </w:tc>
        <w:tc>
          <w:tcPr>
            <w:tcW w:w="7070" w:type="dxa"/>
          </w:tcPr>
          <w:p w14:paraId="3C316E73" w14:textId="77777777" w:rsidR="00E972B2" w:rsidRPr="00C04690" w:rsidRDefault="00E972B2" w:rsidP="003201C9">
            <w:pPr>
              <w:tabs>
                <w:tab w:val="center" w:pos="284"/>
              </w:tabs>
              <w:overflowPunct w:val="0"/>
              <w:autoSpaceDE w:val="0"/>
              <w:autoSpaceDN w:val="0"/>
              <w:adjustRightInd w:val="0"/>
              <w:ind w:left="567" w:hanging="567"/>
              <w:textAlignment w:val="baseline"/>
              <w:rPr>
                <w:sz w:val="12"/>
                <w:szCs w:val="12"/>
                <w:lang w:val="en-GB"/>
              </w:rPr>
            </w:pPr>
          </w:p>
          <w:p w14:paraId="29981116" w14:textId="11CD9731" w:rsidR="00DB1B79" w:rsidRPr="003201C9" w:rsidRDefault="00DB1B79" w:rsidP="003201C9">
            <w:pPr>
              <w:tabs>
                <w:tab w:val="center" w:pos="284"/>
              </w:tabs>
              <w:overflowPunct w:val="0"/>
              <w:autoSpaceDE w:val="0"/>
              <w:autoSpaceDN w:val="0"/>
              <w:adjustRightInd w:val="0"/>
              <w:ind w:left="567" w:hanging="567"/>
              <w:textAlignment w:val="baseline"/>
              <w:rPr>
                <w:sz w:val="22"/>
                <w:szCs w:val="22"/>
              </w:rPr>
            </w:pPr>
            <w:r w:rsidRPr="003201C9">
              <w:rPr>
                <w:sz w:val="22"/>
                <w:szCs w:val="22"/>
              </w:rPr>
              <w:t>Initiativstellungnahme</w:t>
            </w:r>
          </w:p>
          <w:p w14:paraId="4F671282" w14:textId="1803C443" w:rsidR="00E972B2" w:rsidRPr="003201C9" w:rsidRDefault="00E972B2" w:rsidP="003201C9">
            <w:pPr>
              <w:tabs>
                <w:tab w:val="center" w:pos="284"/>
              </w:tabs>
              <w:overflowPunct w:val="0"/>
              <w:autoSpaceDE w:val="0"/>
              <w:autoSpaceDN w:val="0"/>
              <w:adjustRightInd w:val="0"/>
              <w:ind w:left="567" w:hanging="567"/>
              <w:textAlignment w:val="baseline"/>
              <w:rPr>
                <w:sz w:val="22"/>
                <w:szCs w:val="22"/>
              </w:rPr>
            </w:pPr>
            <w:r w:rsidRPr="003201C9">
              <w:rPr>
                <w:sz w:val="22"/>
                <w:szCs w:val="22"/>
              </w:rPr>
              <w:t>EESC-2025-01400-00-00-AC</w:t>
            </w:r>
          </w:p>
        </w:tc>
      </w:tr>
      <w:tr w:rsidR="00E972B2" w:rsidRPr="003201C9" w14:paraId="5DAEC2A3" w14:textId="77777777" w:rsidTr="00C04690">
        <w:tc>
          <w:tcPr>
            <w:tcW w:w="2110" w:type="dxa"/>
            <w:vMerge/>
          </w:tcPr>
          <w:p w14:paraId="23805FDF" w14:textId="77777777" w:rsidR="00E972B2" w:rsidRPr="003201C9" w:rsidRDefault="00E972B2" w:rsidP="003201C9">
            <w:pPr>
              <w:tabs>
                <w:tab w:val="center" w:pos="284"/>
              </w:tabs>
              <w:overflowPunct w:val="0"/>
              <w:autoSpaceDE w:val="0"/>
              <w:autoSpaceDN w:val="0"/>
              <w:adjustRightInd w:val="0"/>
              <w:ind w:left="266" w:hanging="266"/>
              <w:textAlignment w:val="baseline"/>
              <w:rPr>
                <w:b/>
                <w:sz w:val="22"/>
                <w:szCs w:val="22"/>
                <w:lang w:val="en-GB"/>
              </w:rPr>
            </w:pPr>
          </w:p>
        </w:tc>
        <w:tc>
          <w:tcPr>
            <w:tcW w:w="7070" w:type="dxa"/>
          </w:tcPr>
          <w:p w14:paraId="0EEAB858" w14:textId="77777777" w:rsidR="00E972B2" w:rsidRPr="003201C9" w:rsidRDefault="00E972B2" w:rsidP="003201C9">
            <w:pPr>
              <w:tabs>
                <w:tab w:val="center" w:pos="284"/>
              </w:tabs>
              <w:overflowPunct w:val="0"/>
              <w:autoSpaceDE w:val="0"/>
              <w:autoSpaceDN w:val="0"/>
              <w:adjustRightInd w:val="0"/>
              <w:ind w:left="266" w:hanging="266"/>
              <w:textAlignment w:val="baseline"/>
              <w:rPr>
                <w:sz w:val="22"/>
                <w:szCs w:val="22"/>
                <w:lang w:val="en-GB"/>
              </w:rPr>
            </w:pPr>
          </w:p>
        </w:tc>
      </w:tr>
    </w:tbl>
    <w:p w14:paraId="770A689E" w14:textId="77777777" w:rsidR="00C24C34" w:rsidRPr="003201C9" w:rsidRDefault="00C24C34" w:rsidP="003201C9">
      <w:pPr>
        <w:keepNext/>
        <w:keepLines/>
        <w:tabs>
          <w:tab w:val="center" w:pos="284"/>
        </w:tabs>
        <w:overflowPunct w:val="0"/>
        <w:autoSpaceDE w:val="0"/>
        <w:autoSpaceDN w:val="0"/>
        <w:adjustRightInd w:val="0"/>
        <w:ind w:left="266" w:hanging="266"/>
        <w:textAlignment w:val="baseline"/>
        <w:rPr>
          <w:b/>
          <w:lang w:val="en-GB"/>
        </w:rPr>
      </w:pPr>
    </w:p>
    <w:p w14:paraId="146DC9AC" w14:textId="5044B617" w:rsidR="00E972B2" w:rsidRPr="003201C9" w:rsidRDefault="00E972B2" w:rsidP="003201C9">
      <w:pPr>
        <w:keepNext/>
        <w:keepLines/>
        <w:tabs>
          <w:tab w:val="center" w:pos="284"/>
        </w:tabs>
        <w:overflowPunct w:val="0"/>
        <w:autoSpaceDE w:val="0"/>
        <w:autoSpaceDN w:val="0"/>
        <w:adjustRightInd w:val="0"/>
        <w:ind w:left="266" w:hanging="266"/>
        <w:textAlignment w:val="baseline"/>
        <w:rPr>
          <w:b/>
        </w:rPr>
      </w:pPr>
      <w:r w:rsidRPr="003201C9">
        <w:rPr>
          <w:b/>
        </w:rPr>
        <w:t>Kernaussagen</w:t>
      </w:r>
    </w:p>
    <w:p w14:paraId="7CEC89B2" w14:textId="77777777" w:rsidR="00C24C34" w:rsidRPr="003201C9" w:rsidRDefault="00C24C34" w:rsidP="003201C9">
      <w:pPr>
        <w:keepNext/>
        <w:keepLines/>
        <w:tabs>
          <w:tab w:val="center" w:pos="284"/>
        </w:tabs>
        <w:overflowPunct w:val="0"/>
        <w:autoSpaceDE w:val="0"/>
        <w:autoSpaceDN w:val="0"/>
        <w:adjustRightInd w:val="0"/>
        <w:ind w:left="266" w:hanging="266"/>
        <w:textAlignment w:val="baseline"/>
        <w:rPr>
          <w:b/>
          <w:lang w:val="en-GB"/>
        </w:rPr>
      </w:pPr>
    </w:p>
    <w:p w14:paraId="409C084B" w14:textId="11E1ED7F" w:rsidR="00E972B2" w:rsidRPr="003201C9" w:rsidRDefault="00E972B2" w:rsidP="003201C9">
      <w:pPr>
        <w:keepNext/>
        <w:keepLines/>
        <w:tabs>
          <w:tab w:val="center" w:pos="284"/>
        </w:tabs>
        <w:overflowPunct w:val="0"/>
        <w:autoSpaceDE w:val="0"/>
        <w:autoSpaceDN w:val="0"/>
        <w:adjustRightInd w:val="0"/>
        <w:ind w:left="266" w:hanging="266"/>
        <w:textAlignment w:val="baseline"/>
      </w:pPr>
      <w:r w:rsidRPr="003201C9">
        <w:t>Der EWSA</w:t>
      </w:r>
    </w:p>
    <w:p w14:paraId="466A1A93" w14:textId="77777777" w:rsidR="00C24C34" w:rsidRPr="003201C9" w:rsidRDefault="00C24C34" w:rsidP="003201C9">
      <w:pPr>
        <w:keepNext/>
        <w:keepLines/>
        <w:tabs>
          <w:tab w:val="center" w:pos="284"/>
        </w:tabs>
        <w:overflowPunct w:val="0"/>
        <w:autoSpaceDE w:val="0"/>
        <w:autoSpaceDN w:val="0"/>
        <w:adjustRightInd w:val="0"/>
        <w:ind w:left="266" w:hanging="266"/>
        <w:textAlignment w:val="baseline"/>
        <w:rPr>
          <w:lang w:val="en-GB"/>
        </w:rPr>
      </w:pPr>
    </w:p>
    <w:p w14:paraId="3CF6F831" w14:textId="77777777" w:rsidR="00E972B2" w:rsidRPr="003201C9" w:rsidRDefault="00E972B2" w:rsidP="003201C9">
      <w:pPr>
        <w:numPr>
          <w:ilvl w:val="1"/>
          <w:numId w:val="20"/>
        </w:numPr>
        <w:overflowPunct w:val="0"/>
        <w:autoSpaceDE w:val="0"/>
        <w:autoSpaceDN w:val="0"/>
        <w:adjustRightInd w:val="0"/>
        <w:ind w:left="709" w:hanging="425"/>
        <w:contextualSpacing/>
        <w:textAlignment w:val="baseline"/>
      </w:pPr>
      <w:bookmarkStart w:id="3" w:name="_Toc217289952"/>
      <w:r w:rsidRPr="003201C9">
        <w:t>hält es angesichts der zunehmenden Unsicherheit von Journalisten für dringend geboten, von staatlicher Seite Schutzmaßnahmen zu ergreifen, und fordert die uneingeschränkte Anwendung des Europäischen Medienfreiheitsgesetzes; fordert ferner dazu auf, zusätzlich zu den bestehenden Subventionen für unabhängige Unterstützung für Medienunternehmen zu sorgen, um die Nachhaltigkeit des europäischen Mediensektors sicherzustellen, und ruft daneben auch zu einer erheblichen Aufstockung der Mittel für den Schutz eines soliden Informationsökosystems auf;</w:t>
      </w:r>
      <w:bookmarkEnd w:id="3"/>
    </w:p>
    <w:p w14:paraId="699C4C8F" w14:textId="77777777" w:rsidR="00E972B2" w:rsidRPr="003201C9" w:rsidRDefault="00E972B2" w:rsidP="003201C9">
      <w:pPr>
        <w:numPr>
          <w:ilvl w:val="1"/>
          <w:numId w:val="20"/>
        </w:numPr>
        <w:overflowPunct w:val="0"/>
        <w:autoSpaceDE w:val="0"/>
        <w:autoSpaceDN w:val="0"/>
        <w:adjustRightInd w:val="0"/>
        <w:ind w:left="709" w:hanging="425"/>
        <w:contextualSpacing/>
        <w:textAlignment w:val="baseline"/>
        <w:rPr>
          <w:bCs/>
        </w:rPr>
      </w:pPr>
      <w:bookmarkStart w:id="4" w:name="_Toc217289953"/>
      <w:r w:rsidRPr="003201C9">
        <w:t>fordert die Europäische Kommission auf, ein ehrgeiziges Paket mit politischen Maßnahmen und Investitionen vorzulegen, um hochwertige Arbeitsplätze in der Medienbranche zu fördern; appelliert an die Regierungen der Mitgliedstaaten, den sozialen Dialog und Tarifverhandlungen für alle Journalisten, einschließlich der freien Journalisten, zu fördern, unter anderem gegebenenfalls durch die Umsetzung der Richtlinie über angemessene Mindestlöhne</w:t>
      </w:r>
      <w:r w:rsidRPr="00C04690">
        <w:rPr>
          <w:sz w:val="24"/>
          <w:szCs w:val="24"/>
          <w:vertAlign w:val="superscript"/>
          <w:lang w:val="en-GB"/>
        </w:rPr>
        <w:footnoteReference w:id="1"/>
      </w:r>
      <w:r w:rsidRPr="003201C9">
        <w:t xml:space="preserve"> und der Leitlinien zur Anwendung des Wettbewerbsrechts der Union auf Tarifverträge von Solo-Selbstständigen</w:t>
      </w:r>
      <w:r w:rsidRPr="00C04690">
        <w:rPr>
          <w:sz w:val="24"/>
          <w:szCs w:val="24"/>
          <w:vertAlign w:val="superscript"/>
          <w:lang w:val="en-GB"/>
        </w:rPr>
        <w:footnoteReference w:id="2"/>
      </w:r>
      <w:r w:rsidRPr="003201C9">
        <w:t>. Ferner werden die Europäische Kommission und die Mitgliedstaaten aufgefordert, gegen Scheinselbstständigkeit vorzugehen;</w:t>
      </w:r>
      <w:bookmarkEnd w:id="4"/>
    </w:p>
    <w:p w14:paraId="2C320535" w14:textId="77777777" w:rsidR="00E972B2" w:rsidRPr="003201C9" w:rsidRDefault="00E972B2" w:rsidP="003201C9">
      <w:pPr>
        <w:numPr>
          <w:ilvl w:val="1"/>
          <w:numId w:val="20"/>
        </w:numPr>
        <w:overflowPunct w:val="0"/>
        <w:autoSpaceDE w:val="0"/>
        <w:autoSpaceDN w:val="0"/>
        <w:adjustRightInd w:val="0"/>
        <w:ind w:left="709" w:hanging="425"/>
        <w:contextualSpacing/>
        <w:textAlignment w:val="baseline"/>
      </w:pPr>
      <w:bookmarkStart w:id="5" w:name="_Toc217289954"/>
      <w:r w:rsidRPr="003201C9">
        <w:t>ruft die Europäische Kommission dazu auf, an der Umsetzung der Empfehlung zur Gewährleistung des Schutzes, der Sicherheit und der Handlungskompetenz von Journalisten</w:t>
      </w:r>
      <w:r w:rsidRPr="00C04690">
        <w:rPr>
          <w:sz w:val="24"/>
          <w:szCs w:val="24"/>
          <w:vertAlign w:val="superscript"/>
          <w:lang w:val="en-GB"/>
        </w:rPr>
        <w:footnoteReference w:id="3"/>
      </w:r>
      <w:r w:rsidRPr="003201C9">
        <w:t xml:space="preserve"> zu arbeiten, und betont das Erfordernis einer engeren Zusammenarbeit mit Journalistenverbänden, um Strukturen für die Sicherheit von Journalisten aufzubauen. Journalisten sind in ihrer Arbeit in erheblichem Maße Stress, Burnout, Cybermobbing und digitalem Stress ausgesetzt. Es wäre sinnvoll, wenn die Kommission prüft, wie die Entschließung des Europäischen Parlaments vom 10. März 2022 umgesetzt werden kann, in der eine Richtlinie über psychosoziale Risiken gefordert wird. Der EWSA ist bereit, eine Stellungnahme zu diesem Thema auszuarbeiten</w:t>
      </w:r>
      <w:r w:rsidRPr="00C04690">
        <w:rPr>
          <w:sz w:val="24"/>
          <w:szCs w:val="24"/>
          <w:vertAlign w:val="superscript"/>
          <w:lang w:val="en-GB"/>
        </w:rPr>
        <w:footnoteReference w:id="4"/>
      </w:r>
      <w:r w:rsidRPr="003201C9">
        <w:t>;</w:t>
      </w:r>
      <w:bookmarkEnd w:id="5"/>
    </w:p>
    <w:p w14:paraId="15FE9461" w14:textId="77777777" w:rsidR="00E972B2" w:rsidRPr="003201C9" w:rsidRDefault="00E972B2" w:rsidP="003201C9">
      <w:pPr>
        <w:numPr>
          <w:ilvl w:val="1"/>
          <w:numId w:val="20"/>
        </w:numPr>
        <w:pBdr>
          <w:top w:val="nil"/>
          <w:left w:val="nil"/>
          <w:bottom w:val="nil"/>
          <w:right w:val="nil"/>
          <w:between w:val="nil"/>
        </w:pBdr>
        <w:overflowPunct w:val="0"/>
        <w:autoSpaceDE w:val="0"/>
        <w:autoSpaceDN w:val="0"/>
        <w:adjustRightInd w:val="0"/>
        <w:ind w:left="709" w:hanging="425"/>
        <w:contextualSpacing/>
        <w:textAlignment w:val="baseline"/>
      </w:pPr>
      <w:bookmarkStart w:id="6" w:name="_Toc217289955"/>
      <w:r w:rsidRPr="003201C9">
        <w:lastRenderedPageBreak/>
        <w:t>hält die Europäische Kommission an, die Anwendung des EU-Rechtsrahmens für die Nutzung von künstlicher Intelligenz (KI) zu überwachen, um Journalisten zu schützen, und ruft Journalistenverbände und Medienorganisationen auf, sich im Rahmen des sozialen Dialogs mit Fragen im Zusammenhang mit der Nutzung von KI in Redaktionen zu befassen. Er ruft ferner dazu auf, ein Finanzierungssystem für Projekte zur Entwicklung der KI-Kompetenz von Journalisten einzurichten, Möglichkeiten zu prüfen, wie europäische Journalistenschulen mitfinanziert werden könnten, und zu prüfen, ob eine finanzielle Förderung der Gehälter von Nachwuchsjournalisten während des praktischen Teils der Ausbildung bei Medienunternehmen möglich ist, die hohe Standards in Bezug auf Qualitätsjournalismus und Arbeitsbedingungen erfüllen.</w:t>
      </w:r>
      <w:bookmarkEnd w:id="6"/>
    </w:p>
    <w:p w14:paraId="628F03B6" w14:textId="77777777" w:rsidR="00E972B2" w:rsidRPr="003201C9" w:rsidRDefault="00E972B2" w:rsidP="003201C9">
      <w:pPr>
        <w:overflowPunct w:val="0"/>
        <w:autoSpaceDE w:val="0"/>
        <w:autoSpaceDN w:val="0"/>
        <w:adjustRightInd w:val="0"/>
        <w:textAlignment w:val="baseline"/>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3610"/>
      </w:tblGrid>
      <w:tr w:rsidR="00E972B2" w:rsidRPr="003201C9" w14:paraId="2A48BF49" w14:textId="77777777" w:rsidTr="00C04690">
        <w:tc>
          <w:tcPr>
            <w:tcW w:w="2093" w:type="dxa"/>
          </w:tcPr>
          <w:p w14:paraId="238E38FB" w14:textId="77777777" w:rsidR="00E972B2" w:rsidRPr="003201C9" w:rsidRDefault="00E972B2" w:rsidP="003201C9">
            <w:pPr>
              <w:overflowPunct w:val="0"/>
              <w:autoSpaceDE w:val="0"/>
              <w:autoSpaceDN w:val="0"/>
              <w:adjustRightInd w:val="0"/>
              <w:textAlignment w:val="baseline"/>
              <w:rPr>
                <w:i/>
                <w:sz w:val="22"/>
                <w:szCs w:val="22"/>
              </w:rPr>
            </w:pPr>
            <w:r w:rsidRPr="003201C9">
              <w:rPr>
                <w:b/>
                <w:i/>
                <w:sz w:val="22"/>
                <w:szCs w:val="22"/>
              </w:rPr>
              <w:t>Kontakt</w:t>
            </w:r>
          </w:p>
        </w:tc>
        <w:tc>
          <w:tcPr>
            <w:tcW w:w="3610" w:type="dxa"/>
          </w:tcPr>
          <w:p w14:paraId="222CC330" w14:textId="77777777" w:rsidR="00E972B2" w:rsidRPr="003201C9" w:rsidRDefault="00E972B2" w:rsidP="003201C9">
            <w:pPr>
              <w:overflowPunct w:val="0"/>
              <w:autoSpaceDE w:val="0"/>
              <w:autoSpaceDN w:val="0"/>
              <w:adjustRightInd w:val="0"/>
              <w:ind w:hanging="12"/>
              <w:textAlignment w:val="baseline"/>
              <w:rPr>
                <w:i/>
                <w:sz w:val="22"/>
                <w:szCs w:val="22"/>
              </w:rPr>
            </w:pPr>
            <w:r w:rsidRPr="003201C9">
              <w:rPr>
                <w:i/>
                <w:sz w:val="22"/>
                <w:szCs w:val="22"/>
              </w:rPr>
              <w:t xml:space="preserve">June </w:t>
            </w:r>
            <w:proofErr w:type="spellStart"/>
            <w:r w:rsidRPr="003201C9">
              <w:rPr>
                <w:i/>
                <w:sz w:val="22"/>
                <w:szCs w:val="22"/>
              </w:rPr>
              <w:t>Bedaton</w:t>
            </w:r>
            <w:proofErr w:type="spellEnd"/>
          </w:p>
        </w:tc>
      </w:tr>
      <w:tr w:rsidR="00E972B2" w:rsidRPr="003201C9" w14:paraId="6AAFD04B" w14:textId="77777777" w:rsidTr="00C04690">
        <w:tc>
          <w:tcPr>
            <w:tcW w:w="2093" w:type="dxa"/>
          </w:tcPr>
          <w:p w14:paraId="43DF2BDC" w14:textId="77777777" w:rsidR="00E972B2" w:rsidRPr="003201C9" w:rsidRDefault="00E972B2" w:rsidP="003201C9">
            <w:pPr>
              <w:overflowPunct w:val="0"/>
              <w:autoSpaceDE w:val="0"/>
              <w:autoSpaceDN w:val="0"/>
              <w:adjustRightInd w:val="0"/>
              <w:textAlignment w:val="baseline"/>
              <w:rPr>
                <w:i/>
                <w:sz w:val="22"/>
                <w:szCs w:val="22"/>
              </w:rPr>
            </w:pPr>
            <w:r w:rsidRPr="003201C9">
              <w:rPr>
                <w:i/>
                <w:sz w:val="22"/>
                <w:szCs w:val="22"/>
              </w:rPr>
              <w:t>Tel.</w:t>
            </w:r>
          </w:p>
        </w:tc>
        <w:tc>
          <w:tcPr>
            <w:tcW w:w="3610" w:type="dxa"/>
          </w:tcPr>
          <w:p w14:paraId="63A276AE" w14:textId="77777777" w:rsidR="00E972B2" w:rsidRPr="003201C9" w:rsidRDefault="00E972B2" w:rsidP="003201C9">
            <w:pPr>
              <w:overflowPunct w:val="0"/>
              <w:autoSpaceDE w:val="0"/>
              <w:autoSpaceDN w:val="0"/>
              <w:adjustRightInd w:val="0"/>
              <w:textAlignment w:val="baseline"/>
              <w:rPr>
                <w:i/>
                <w:sz w:val="22"/>
                <w:szCs w:val="22"/>
              </w:rPr>
            </w:pPr>
            <w:r w:rsidRPr="003201C9">
              <w:rPr>
                <w:i/>
                <w:sz w:val="22"/>
                <w:szCs w:val="22"/>
              </w:rPr>
              <w:t>+32 25468134</w:t>
            </w:r>
          </w:p>
        </w:tc>
      </w:tr>
      <w:tr w:rsidR="00E972B2" w:rsidRPr="003201C9" w14:paraId="20D34920" w14:textId="77777777" w:rsidTr="00C04690">
        <w:tc>
          <w:tcPr>
            <w:tcW w:w="2093" w:type="dxa"/>
          </w:tcPr>
          <w:p w14:paraId="75D6BA57" w14:textId="77777777" w:rsidR="00E972B2" w:rsidRPr="003201C9" w:rsidRDefault="00E972B2" w:rsidP="003201C9">
            <w:pPr>
              <w:overflowPunct w:val="0"/>
              <w:autoSpaceDE w:val="0"/>
              <w:autoSpaceDN w:val="0"/>
              <w:adjustRightInd w:val="0"/>
              <w:textAlignment w:val="baseline"/>
              <w:rPr>
                <w:i/>
                <w:sz w:val="22"/>
                <w:szCs w:val="22"/>
              </w:rPr>
            </w:pPr>
            <w:r w:rsidRPr="003201C9">
              <w:rPr>
                <w:i/>
                <w:sz w:val="22"/>
                <w:szCs w:val="22"/>
              </w:rPr>
              <w:t>E-Mail</w:t>
            </w:r>
          </w:p>
        </w:tc>
        <w:tc>
          <w:tcPr>
            <w:tcW w:w="3610" w:type="dxa"/>
          </w:tcPr>
          <w:p w14:paraId="49B7876D" w14:textId="7B81409F" w:rsidR="00E972B2" w:rsidRPr="003201C9" w:rsidRDefault="000055E5" w:rsidP="003201C9">
            <w:pPr>
              <w:overflowPunct w:val="0"/>
              <w:autoSpaceDE w:val="0"/>
              <w:autoSpaceDN w:val="0"/>
              <w:adjustRightInd w:val="0"/>
              <w:textAlignment w:val="baseline"/>
              <w:rPr>
                <w:i/>
                <w:iCs/>
                <w:sz w:val="22"/>
                <w:szCs w:val="22"/>
              </w:rPr>
            </w:pPr>
            <w:hyperlink r:id="rId25" w:history="1">
              <w:r w:rsidR="00F74BC3" w:rsidRPr="003201C9">
                <w:rPr>
                  <w:i/>
                  <w:color w:val="0000FF"/>
                  <w:sz w:val="22"/>
                  <w:szCs w:val="22"/>
                  <w:u w:val="single"/>
                </w:rPr>
                <w:t>june.bedaton@eesc.europa.eu</w:t>
              </w:r>
            </w:hyperlink>
          </w:p>
        </w:tc>
      </w:tr>
    </w:tbl>
    <w:p w14:paraId="4982DDC4" w14:textId="77777777" w:rsidR="004D7AC0" w:rsidRPr="003201C9" w:rsidRDefault="004D7AC0" w:rsidP="003201C9">
      <w:pPr>
        <w:pStyle w:val="ListParagraph"/>
        <w:ind w:left="0"/>
      </w:pPr>
    </w:p>
    <w:p w14:paraId="3BBEED3B" w14:textId="2A08F509" w:rsidR="008D0052" w:rsidRPr="008D0052" w:rsidRDefault="004D7AC0" w:rsidP="003201C9">
      <w:pPr>
        <w:widowControl w:val="0"/>
        <w:numPr>
          <w:ilvl w:val="0"/>
          <w:numId w:val="6"/>
        </w:numPr>
        <w:overflowPunct w:val="0"/>
        <w:autoSpaceDE w:val="0"/>
        <w:autoSpaceDN w:val="0"/>
        <w:adjustRightInd w:val="0"/>
        <w:ind w:left="567" w:hanging="567"/>
        <w:textAlignment w:val="baseline"/>
        <w:rPr>
          <w:b/>
        </w:rPr>
      </w:pPr>
      <w:r>
        <w:br w:type="page"/>
      </w:r>
      <w:hyperlink r:id="rId26" w:history="1">
        <w:r>
          <w:rPr>
            <w:b/>
            <w:i/>
            <w:color w:val="0000FF"/>
            <w:sz w:val="28"/>
            <w:u w:val="single"/>
          </w:rPr>
          <w:t>Die Programme „</w:t>
        </w:r>
        <w:proofErr w:type="spellStart"/>
        <w:r>
          <w:rPr>
            <w:b/>
            <w:i/>
            <w:color w:val="0000FF"/>
            <w:sz w:val="28"/>
            <w:u w:val="single"/>
          </w:rPr>
          <w:t>AgoraEU</w:t>
        </w:r>
        <w:proofErr w:type="spellEnd"/>
        <w:r>
          <w:rPr>
            <w:b/>
            <w:i/>
            <w:color w:val="0000FF"/>
            <w:sz w:val="28"/>
            <w:u w:val="single"/>
          </w:rPr>
          <w:t>“ und „Justiz“</w:t>
        </w:r>
      </w:hyperlink>
    </w:p>
    <w:p w14:paraId="269FC09C" w14:textId="77777777" w:rsidR="008D0052" w:rsidRPr="003201C9" w:rsidRDefault="008D0052" w:rsidP="003201C9">
      <w:pPr>
        <w:tabs>
          <w:tab w:val="center" w:pos="284"/>
        </w:tabs>
        <w:overflowPunct w:val="0"/>
        <w:autoSpaceDE w:val="0"/>
        <w:autoSpaceDN w:val="0"/>
        <w:adjustRightInd w:val="0"/>
        <w:ind w:left="567" w:hanging="567"/>
        <w:textAlignment w:val="baseline"/>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0"/>
        <w:gridCol w:w="6237"/>
      </w:tblGrid>
      <w:tr w:rsidR="008D0052" w:rsidRPr="003201C9" w14:paraId="439074D0" w14:textId="77777777" w:rsidTr="0036489A">
        <w:tc>
          <w:tcPr>
            <w:tcW w:w="1701" w:type="dxa"/>
          </w:tcPr>
          <w:p w14:paraId="59ACE1C9" w14:textId="77777777" w:rsidR="008D0052" w:rsidRPr="003201C9" w:rsidRDefault="008D0052" w:rsidP="003201C9">
            <w:pPr>
              <w:tabs>
                <w:tab w:val="center" w:pos="284"/>
              </w:tabs>
              <w:overflowPunct w:val="0"/>
              <w:autoSpaceDE w:val="0"/>
              <w:autoSpaceDN w:val="0"/>
              <w:adjustRightInd w:val="0"/>
              <w:ind w:left="567" w:hanging="567"/>
              <w:textAlignment w:val="baseline"/>
              <w:rPr>
                <w:b/>
                <w:sz w:val="22"/>
                <w:szCs w:val="22"/>
              </w:rPr>
            </w:pPr>
            <w:r w:rsidRPr="003201C9">
              <w:rPr>
                <w:b/>
                <w:sz w:val="22"/>
                <w:szCs w:val="22"/>
              </w:rPr>
              <w:t>Berichterstatter</w:t>
            </w:r>
          </w:p>
        </w:tc>
        <w:tc>
          <w:tcPr>
            <w:tcW w:w="6237" w:type="dxa"/>
          </w:tcPr>
          <w:p w14:paraId="585EAFF0" w14:textId="77777777" w:rsidR="008D0052" w:rsidRPr="003201C9" w:rsidRDefault="008D0052" w:rsidP="003201C9">
            <w:pPr>
              <w:overflowPunct w:val="0"/>
              <w:autoSpaceDE w:val="0"/>
              <w:autoSpaceDN w:val="0"/>
              <w:adjustRightInd w:val="0"/>
              <w:ind w:left="567" w:hanging="567"/>
              <w:textAlignment w:val="baseline"/>
              <w:rPr>
                <w:sz w:val="22"/>
                <w:szCs w:val="22"/>
              </w:rPr>
            </w:pPr>
            <w:proofErr w:type="spellStart"/>
            <w:r w:rsidRPr="003201C9">
              <w:rPr>
                <w:sz w:val="22"/>
                <w:szCs w:val="22"/>
              </w:rPr>
              <w:t>Ionuț</w:t>
            </w:r>
            <w:proofErr w:type="spellEnd"/>
            <w:r w:rsidRPr="003201C9">
              <w:rPr>
                <w:sz w:val="22"/>
                <w:szCs w:val="22"/>
              </w:rPr>
              <w:t xml:space="preserve"> SIBIAN (Gruppe Organisationen der Zivilgesellschaft – RO)</w:t>
            </w:r>
          </w:p>
        </w:tc>
      </w:tr>
      <w:tr w:rsidR="008D0052" w:rsidRPr="003201C9" w14:paraId="43DDD9C1" w14:textId="77777777" w:rsidTr="0036489A">
        <w:tc>
          <w:tcPr>
            <w:tcW w:w="1701" w:type="dxa"/>
            <w:vMerge w:val="restart"/>
          </w:tcPr>
          <w:p w14:paraId="17DE1540" w14:textId="77777777" w:rsidR="008D0052" w:rsidRPr="003201C9" w:rsidRDefault="008D0052" w:rsidP="003201C9">
            <w:pPr>
              <w:tabs>
                <w:tab w:val="center" w:pos="284"/>
              </w:tabs>
              <w:overflowPunct w:val="0"/>
              <w:autoSpaceDE w:val="0"/>
              <w:autoSpaceDN w:val="0"/>
              <w:adjustRightInd w:val="0"/>
              <w:ind w:left="567" w:hanging="567"/>
              <w:textAlignment w:val="baseline"/>
              <w:rPr>
                <w:b/>
                <w:sz w:val="22"/>
                <w:szCs w:val="22"/>
              </w:rPr>
            </w:pPr>
          </w:p>
          <w:p w14:paraId="3DE1E8E1" w14:textId="77777777" w:rsidR="008D0052" w:rsidRPr="003201C9" w:rsidRDefault="008D0052" w:rsidP="003201C9">
            <w:pPr>
              <w:tabs>
                <w:tab w:val="center" w:pos="284"/>
              </w:tabs>
              <w:overflowPunct w:val="0"/>
              <w:autoSpaceDE w:val="0"/>
              <w:autoSpaceDN w:val="0"/>
              <w:adjustRightInd w:val="0"/>
              <w:ind w:left="567" w:hanging="567"/>
              <w:textAlignment w:val="baseline"/>
              <w:rPr>
                <w:b/>
                <w:sz w:val="22"/>
                <w:szCs w:val="22"/>
              </w:rPr>
            </w:pPr>
            <w:r w:rsidRPr="003201C9">
              <w:rPr>
                <w:b/>
                <w:sz w:val="22"/>
                <w:szCs w:val="22"/>
              </w:rPr>
              <w:t>Referenzdokumente</w:t>
            </w:r>
          </w:p>
        </w:tc>
        <w:tc>
          <w:tcPr>
            <w:tcW w:w="6237" w:type="dxa"/>
          </w:tcPr>
          <w:p w14:paraId="1EAFD529" w14:textId="77777777" w:rsidR="008D0052" w:rsidRPr="00C04690" w:rsidRDefault="008D0052" w:rsidP="003201C9">
            <w:pPr>
              <w:tabs>
                <w:tab w:val="center" w:pos="284"/>
              </w:tabs>
              <w:overflowPunct w:val="0"/>
              <w:autoSpaceDE w:val="0"/>
              <w:autoSpaceDN w:val="0"/>
              <w:adjustRightInd w:val="0"/>
              <w:ind w:left="567" w:hanging="567"/>
              <w:textAlignment w:val="baseline"/>
              <w:rPr>
                <w:sz w:val="12"/>
                <w:szCs w:val="12"/>
                <w:lang w:val="pt-PT"/>
              </w:rPr>
            </w:pPr>
          </w:p>
          <w:p w14:paraId="5CB40F8B" w14:textId="72EE90C4" w:rsidR="00D6499D" w:rsidRPr="003201C9" w:rsidRDefault="008D0052" w:rsidP="003201C9">
            <w:pPr>
              <w:tabs>
                <w:tab w:val="center" w:pos="284"/>
              </w:tabs>
              <w:overflowPunct w:val="0"/>
              <w:autoSpaceDE w:val="0"/>
              <w:autoSpaceDN w:val="0"/>
              <w:adjustRightInd w:val="0"/>
              <w:ind w:left="567" w:hanging="567"/>
              <w:textAlignment w:val="baseline"/>
              <w:rPr>
                <w:sz w:val="22"/>
                <w:szCs w:val="22"/>
                <w:lang w:val="pt-PT"/>
              </w:rPr>
            </w:pPr>
            <w:r w:rsidRPr="003201C9">
              <w:rPr>
                <w:sz w:val="22"/>
                <w:szCs w:val="22"/>
                <w:lang w:val="pt-PT"/>
              </w:rPr>
              <w:t>COM(2025) 463 final</w:t>
            </w:r>
          </w:p>
          <w:p w14:paraId="1E0886B9" w14:textId="77777777" w:rsidR="008D0052" w:rsidRPr="003201C9" w:rsidRDefault="008D0052" w:rsidP="003201C9">
            <w:pPr>
              <w:tabs>
                <w:tab w:val="center" w:pos="284"/>
              </w:tabs>
              <w:overflowPunct w:val="0"/>
              <w:autoSpaceDE w:val="0"/>
              <w:autoSpaceDN w:val="0"/>
              <w:adjustRightInd w:val="0"/>
              <w:ind w:left="567" w:hanging="567"/>
              <w:textAlignment w:val="baseline"/>
              <w:rPr>
                <w:sz w:val="22"/>
                <w:szCs w:val="22"/>
                <w:lang w:val="pt-PT"/>
              </w:rPr>
            </w:pPr>
            <w:r w:rsidRPr="003201C9">
              <w:rPr>
                <w:sz w:val="22"/>
                <w:szCs w:val="22"/>
                <w:lang w:val="pt-PT"/>
              </w:rPr>
              <w:t>COM(2025) 550 final</w:t>
            </w:r>
          </w:p>
          <w:p w14:paraId="36D67FA6" w14:textId="77777777" w:rsidR="00F65006" w:rsidRPr="003201C9" w:rsidRDefault="00F65006" w:rsidP="003201C9">
            <w:pPr>
              <w:tabs>
                <w:tab w:val="center" w:pos="284"/>
              </w:tabs>
              <w:overflowPunct w:val="0"/>
              <w:autoSpaceDE w:val="0"/>
              <w:autoSpaceDN w:val="0"/>
              <w:adjustRightInd w:val="0"/>
              <w:ind w:left="567" w:hanging="567"/>
              <w:textAlignment w:val="baseline"/>
              <w:rPr>
                <w:sz w:val="22"/>
                <w:szCs w:val="22"/>
                <w:lang w:val="pt-PT"/>
              </w:rPr>
            </w:pPr>
            <w:r w:rsidRPr="003201C9">
              <w:rPr>
                <w:sz w:val="22"/>
                <w:szCs w:val="22"/>
                <w:lang w:val="pt-PT"/>
              </w:rPr>
              <w:t>EESC-2025-02823-00-00-AC</w:t>
            </w:r>
          </w:p>
          <w:p w14:paraId="53FD9F87" w14:textId="5EF766CA" w:rsidR="00AA61BE" w:rsidRPr="003201C9" w:rsidRDefault="00AA61BE" w:rsidP="003201C9">
            <w:pPr>
              <w:tabs>
                <w:tab w:val="center" w:pos="284"/>
              </w:tabs>
              <w:overflowPunct w:val="0"/>
              <w:autoSpaceDE w:val="0"/>
              <w:autoSpaceDN w:val="0"/>
              <w:adjustRightInd w:val="0"/>
              <w:ind w:left="567" w:hanging="567"/>
              <w:textAlignment w:val="baseline"/>
              <w:rPr>
                <w:sz w:val="22"/>
                <w:szCs w:val="22"/>
                <w:lang w:val="pt-PT"/>
              </w:rPr>
            </w:pPr>
          </w:p>
        </w:tc>
      </w:tr>
      <w:tr w:rsidR="008D0052" w:rsidRPr="003201C9" w14:paraId="53E4D815" w14:textId="77777777" w:rsidTr="0036489A">
        <w:tc>
          <w:tcPr>
            <w:tcW w:w="1701" w:type="dxa"/>
            <w:vMerge/>
          </w:tcPr>
          <w:p w14:paraId="30F7A78B" w14:textId="77777777" w:rsidR="008D0052" w:rsidRPr="003201C9" w:rsidRDefault="008D0052" w:rsidP="003201C9">
            <w:pPr>
              <w:tabs>
                <w:tab w:val="center" w:pos="284"/>
              </w:tabs>
              <w:overflowPunct w:val="0"/>
              <w:autoSpaceDE w:val="0"/>
              <w:autoSpaceDN w:val="0"/>
              <w:adjustRightInd w:val="0"/>
              <w:ind w:left="266" w:hanging="266"/>
              <w:textAlignment w:val="baseline"/>
              <w:rPr>
                <w:b/>
                <w:sz w:val="22"/>
                <w:szCs w:val="22"/>
                <w:lang w:val="pt-PT"/>
              </w:rPr>
            </w:pPr>
          </w:p>
        </w:tc>
        <w:tc>
          <w:tcPr>
            <w:tcW w:w="6237" w:type="dxa"/>
          </w:tcPr>
          <w:p w14:paraId="27E33E96" w14:textId="77777777" w:rsidR="008D0052" w:rsidRPr="003201C9" w:rsidRDefault="008D0052" w:rsidP="003201C9">
            <w:pPr>
              <w:tabs>
                <w:tab w:val="center" w:pos="284"/>
              </w:tabs>
              <w:overflowPunct w:val="0"/>
              <w:autoSpaceDE w:val="0"/>
              <w:autoSpaceDN w:val="0"/>
              <w:adjustRightInd w:val="0"/>
              <w:ind w:left="266" w:hanging="266"/>
              <w:textAlignment w:val="baseline"/>
              <w:rPr>
                <w:sz w:val="22"/>
                <w:szCs w:val="22"/>
                <w:lang w:val="pt-PT"/>
              </w:rPr>
            </w:pPr>
          </w:p>
        </w:tc>
      </w:tr>
    </w:tbl>
    <w:p w14:paraId="0D42846F" w14:textId="77777777" w:rsidR="008D0052" w:rsidRPr="003201C9" w:rsidRDefault="008D0052" w:rsidP="003201C9">
      <w:pPr>
        <w:keepNext/>
        <w:keepLines/>
        <w:tabs>
          <w:tab w:val="center" w:pos="284"/>
        </w:tabs>
        <w:overflowPunct w:val="0"/>
        <w:autoSpaceDE w:val="0"/>
        <w:autoSpaceDN w:val="0"/>
        <w:adjustRightInd w:val="0"/>
        <w:ind w:left="266" w:hanging="266"/>
        <w:textAlignment w:val="baseline"/>
        <w:rPr>
          <w:b/>
        </w:rPr>
      </w:pPr>
      <w:r w:rsidRPr="003201C9">
        <w:rPr>
          <w:b/>
        </w:rPr>
        <w:t>Kernaussagen</w:t>
      </w:r>
    </w:p>
    <w:p w14:paraId="4BDF51E4" w14:textId="77777777" w:rsidR="008D0052" w:rsidRPr="003201C9" w:rsidRDefault="008D0052" w:rsidP="003201C9">
      <w:pPr>
        <w:keepNext/>
        <w:keepLines/>
        <w:tabs>
          <w:tab w:val="center" w:pos="284"/>
        </w:tabs>
        <w:overflowPunct w:val="0"/>
        <w:autoSpaceDE w:val="0"/>
        <w:autoSpaceDN w:val="0"/>
        <w:adjustRightInd w:val="0"/>
        <w:ind w:left="266" w:hanging="266"/>
        <w:textAlignment w:val="baseline"/>
        <w:rPr>
          <w:b/>
          <w:lang w:val="en-GB"/>
        </w:rPr>
      </w:pPr>
    </w:p>
    <w:p w14:paraId="5155812D" w14:textId="77777777" w:rsidR="008D0052" w:rsidRPr="003201C9" w:rsidRDefault="008D0052" w:rsidP="003201C9">
      <w:pPr>
        <w:jc w:val="left"/>
        <w:rPr>
          <w:b/>
          <w:bCs/>
        </w:rPr>
      </w:pPr>
      <w:r w:rsidRPr="003201C9">
        <w:rPr>
          <w:b/>
        </w:rPr>
        <w:t>Der EWSA</w:t>
      </w:r>
    </w:p>
    <w:p w14:paraId="6CD2846B" w14:textId="77777777" w:rsidR="00F65006" w:rsidRPr="003201C9" w:rsidRDefault="00F65006" w:rsidP="003201C9">
      <w:pPr>
        <w:jc w:val="left"/>
        <w:rPr>
          <w:lang w:val="fr-BE" w:eastAsia="fr-BE"/>
        </w:rPr>
      </w:pPr>
    </w:p>
    <w:p w14:paraId="58498405" w14:textId="77777777" w:rsidR="008D0052" w:rsidRPr="003201C9" w:rsidRDefault="008D0052" w:rsidP="003201C9">
      <w:pPr>
        <w:numPr>
          <w:ilvl w:val="0"/>
          <w:numId w:val="21"/>
        </w:numPr>
        <w:tabs>
          <w:tab w:val="clear" w:pos="720"/>
        </w:tabs>
        <w:overflowPunct w:val="0"/>
        <w:autoSpaceDE w:val="0"/>
        <w:autoSpaceDN w:val="0"/>
        <w:adjustRightInd w:val="0"/>
        <w:ind w:left="709" w:hanging="425"/>
        <w:contextualSpacing/>
        <w:textAlignment w:val="baseline"/>
      </w:pPr>
      <w:r w:rsidRPr="003201C9">
        <w:t>begrüßt die Vorschläge der Kommission für die Programme „</w:t>
      </w:r>
      <w:proofErr w:type="spellStart"/>
      <w:r w:rsidRPr="003201C9">
        <w:t>AgoraEU</w:t>
      </w:r>
      <w:proofErr w:type="spellEnd"/>
      <w:r w:rsidRPr="003201C9">
        <w:t>“ und „Justiz“ und fordert das Europäische Parlament und den Rat nachdrücklich auf, die Vorschläge zu billigen, ohne die vorgeschlagene Finanzausstattung zu verringern;</w:t>
      </w:r>
    </w:p>
    <w:p w14:paraId="175AAA81" w14:textId="77777777" w:rsidR="008D0052" w:rsidRPr="003201C9" w:rsidRDefault="008D0052" w:rsidP="003201C9">
      <w:pPr>
        <w:numPr>
          <w:ilvl w:val="0"/>
          <w:numId w:val="21"/>
        </w:numPr>
        <w:tabs>
          <w:tab w:val="clear" w:pos="720"/>
        </w:tabs>
        <w:overflowPunct w:val="0"/>
        <w:autoSpaceDE w:val="0"/>
        <w:autoSpaceDN w:val="0"/>
        <w:adjustRightInd w:val="0"/>
        <w:ind w:left="709" w:hanging="425"/>
        <w:contextualSpacing/>
        <w:textAlignment w:val="baseline"/>
      </w:pPr>
      <w:r w:rsidRPr="003201C9">
        <w:t>fordert, ausdrücklich anzuerkennen, dass die Interessenvertretung ein zentraler Bestandteil der Arbeit zivilgesellschaftlicher Organisationen ist und die Beteiligung dieser Organisationen an der Politikgestaltung zur Stärkung von Demokratie und Resilienz beiträgt;</w:t>
      </w:r>
    </w:p>
    <w:p w14:paraId="0C4BE5EB" w14:textId="77777777" w:rsidR="008D0052" w:rsidRPr="003201C9" w:rsidRDefault="008D0052" w:rsidP="003201C9">
      <w:pPr>
        <w:numPr>
          <w:ilvl w:val="0"/>
          <w:numId w:val="21"/>
        </w:numPr>
        <w:tabs>
          <w:tab w:val="clear" w:pos="720"/>
        </w:tabs>
        <w:overflowPunct w:val="0"/>
        <w:autoSpaceDE w:val="0"/>
        <w:autoSpaceDN w:val="0"/>
        <w:adjustRightInd w:val="0"/>
        <w:ind w:left="709" w:hanging="425"/>
        <w:contextualSpacing/>
        <w:textAlignment w:val="baseline"/>
      </w:pPr>
      <w:r w:rsidRPr="003201C9">
        <w:t>empfiehlt, für alle Aktionsbereiche des Programms „</w:t>
      </w:r>
      <w:proofErr w:type="spellStart"/>
      <w:r w:rsidRPr="003201C9">
        <w:t>AgoraEU</w:t>
      </w:r>
      <w:proofErr w:type="spellEnd"/>
      <w:r w:rsidRPr="003201C9">
        <w:t>“ Beiträge zu den Betriebskosten vorzusehen, um die Stabilität zivilgesellschaftlicher Organisationen zu fördern, und fordert, Beiträge zu den Betriebskosten im Rahmen des Programms „Justiz“ auch für gemeinnützige Organisationen einzuführen, die ein Ziel von allgemeinem europäischen Interesse verfolgen;</w:t>
      </w:r>
    </w:p>
    <w:p w14:paraId="56C00DAF" w14:textId="77777777" w:rsidR="008D0052" w:rsidRPr="003201C9" w:rsidRDefault="008D0052" w:rsidP="003201C9">
      <w:pPr>
        <w:numPr>
          <w:ilvl w:val="0"/>
          <w:numId w:val="21"/>
        </w:numPr>
        <w:tabs>
          <w:tab w:val="clear" w:pos="720"/>
        </w:tabs>
        <w:overflowPunct w:val="0"/>
        <w:autoSpaceDE w:val="0"/>
        <w:autoSpaceDN w:val="0"/>
        <w:adjustRightInd w:val="0"/>
        <w:ind w:left="709" w:hanging="425"/>
        <w:contextualSpacing/>
        <w:textAlignment w:val="baseline"/>
      </w:pPr>
      <w:r w:rsidRPr="003201C9">
        <w:t xml:space="preserve">spricht sich dafür aus, die finanzielle Unterstützung an Dritte durch zwischengeschaltete Stellen beizubehalten, um kleinere und an der Basis tätige Organisationen zu erreichen, und fordert, dass die Unabhängigkeit zwischengeschalteter Stellen und die Vereinbarkeit ihrer Verwaltung mit der Charta der Grundrechte der Europäischen Union Hauptkriterien für ihre Auswahl sein sollten. Fordert ferner Erläuterungen im Hinblick auf </w:t>
      </w:r>
      <w:proofErr w:type="spellStart"/>
      <w:r w:rsidRPr="003201C9">
        <w:t>Kofinanzierungssätze</w:t>
      </w:r>
      <w:proofErr w:type="spellEnd"/>
      <w:r w:rsidRPr="003201C9">
        <w:t xml:space="preserve"> und schlägt für zwischengeschaltete Stellen und Endempfänger, die eine übertragene Tätigkeit durchführen, eine 100%ige EU Finanzierung vor;</w:t>
      </w:r>
    </w:p>
    <w:p w14:paraId="20D9DDF3" w14:textId="77777777" w:rsidR="008D0052" w:rsidRPr="003201C9" w:rsidRDefault="008D0052" w:rsidP="003201C9">
      <w:pPr>
        <w:numPr>
          <w:ilvl w:val="0"/>
          <w:numId w:val="21"/>
        </w:numPr>
        <w:tabs>
          <w:tab w:val="clear" w:pos="720"/>
        </w:tabs>
        <w:overflowPunct w:val="0"/>
        <w:autoSpaceDE w:val="0"/>
        <w:autoSpaceDN w:val="0"/>
        <w:adjustRightInd w:val="0"/>
        <w:ind w:left="709" w:hanging="425"/>
        <w:contextualSpacing/>
        <w:textAlignment w:val="baseline"/>
      </w:pPr>
      <w:r w:rsidRPr="003201C9">
        <w:t>stellt fest, dass die Aufgaben und Ressourcen der Kontaktstellen für das Programm „Kreatives Europa“ angepasst werden müssen, um den breiteren Anwendungsbereich des Programms „</w:t>
      </w:r>
      <w:proofErr w:type="spellStart"/>
      <w:r w:rsidRPr="003201C9">
        <w:t>AgoraEU</w:t>
      </w:r>
      <w:proofErr w:type="spellEnd"/>
      <w:r w:rsidRPr="003201C9">
        <w:t>“ im Hinblick auf Kultur, Medien und Zivilgesellschaft wirksam zu unterstützen;</w:t>
      </w:r>
    </w:p>
    <w:p w14:paraId="612471EA" w14:textId="77777777" w:rsidR="008D0052" w:rsidRPr="003201C9" w:rsidRDefault="008D0052" w:rsidP="003201C9">
      <w:pPr>
        <w:numPr>
          <w:ilvl w:val="0"/>
          <w:numId w:val="21"/>
        </w:numPr>
        <w:tabs>
          <w:tab w:val="clear" w:pos="720"/>
        </w:tabs>
        <w:overflowPunct w:val="0"/>
        <w:autoSpaceDE w:val="0"/>
        <w:autoSpaceDN w:val="0"/>
        <w:adjustRightInd w:val="0"/>
        <w:ind w:left="709" w:hanging="425"/>
        <w:contextualSpacing/>
        <w:textAlignment w:val="baseline"/>
      </w:pPr>
      <w:r w:rsidRPr="003201C9">
        <w:t>fordert Flexibilität und Schutzmaßnahmen (z. B. Indexierung, Korrekturmechanismen) bei Pauschalbeträgen und mehrjährigen Finanzhilfen, um eine finanzielle Belastung der Begünstigten zu vermeiden;</w:t>
      </w:r>
    </w:p>
    <w:p w14:paraId="4E331884" w14:textId="77777777" w:rsidR="008D0052" w:rsidRPr="003201C9" w:rsidRDefault="008D0052" w:rsidP="003201C9">
      <w:pPr>
        <w:numPr>
          <w:ilvl w:val="0"/>
          <w:numId w:val="21"/>
        </w:numPr>
        <w:tabs>
          <w:tab w:val="clear" w:pos="720"/>
        </w:tabs>
        <w:overflowPunct w:val="0"/>
        <w:autoSpaceDE w:val="0"/>
        <w:autoSpaceDN w:val="0"/>
        <w:adjustRightInd w:val="0"/>
        <w:ind w:left="709" w:hanging="425"/>
        <w:contextualSpacing/>
        <w:textAlignment w:val="baseline"/>
      </w:pPr>
      <w:r w:rsidRPr="003201C9">
        <w:t>bittet darum, genauer zu erläutern, welche Synergien zwischen dem Europäischen Fonds für Wettbewerbsfähigkeit und dem Aktionsbereich Media+ des Programms „</w:t>
      </w:r>
      <w:proofErr w:type="spellStart"/>
      <w:r w:rsidRPr="003201C9">
        <w:t>AgoraEU</w:t>
      </w:r>
      <w:proofErr w:type="spellEnd"/>
      <w:r w:rsidRPr="003201C9">
        <w:t>“ entstehen sollen, und fordert die Kommission nachdrücklich auf, Finanzhilfeempfänger miteinander zu vernetzen und einen Aktionsplan auszuarbeiten, damit die Bestimmungen über die kombinierte und kumulative Finanzierung in beiden Verordnungsvorschlägen umgesetzt werden, einschließlich gemeinsamer Aufforderungen zur Einreichung von Vorschlägen, Zusammenarbeit zwischen GD und Leistungsüberwachung;</w:t>
      </w:r>
    </w:p>
    <w:p w14:paraId="1940591F" w14:textId="77777777" w:rsidR="008D0052" w:rsidRPr="003201C9" w:rsidRDefault="008D0052" w:rsidP="003201C9">
      <w:pPr>
        <w:numPr>
          <w:ilvl w:val="0"/>
          <w:numId w:val="21"/>
        </w:numPr>
        <w:tabs>
          <w:tab w:val="clear" w:pos="720"/>
        </w:tabs>
        <w:overflowPunct w:val="0"/>
        <w:autoSpaceDE w:val="0"/>
        <w:autoSpaceDN w:val="0"/>
        <w:adjustRightInd w:val="0"/>
        <w:ind w:left="709" w:hanging="425"/>
        <w:contextualSpacing/>
        <w:textAlignment w:val="baseline"/>
      </w:pPr>
      <w:r w:rsidRPr="003201C9">
        <w:lastRenderedPageBreak/>
        <w:t>empfiehlt, den Schwerpunkt des Programms „Justiz“ auf die Rechte der Opfer und deren Zugang zur Justiz zu legen, dazu gehören Mittel für Opferschutznetze, Schulungen für Angehörige der Rechtsberufe und grenzüberschreitende Prozesskostenhilfe;</w:t>
      </w:r>
    </w:p>
    <w:p w14:paraId="54A7B395" w14:textId="1B33E20C" w:rsidR="008D0052" w:rsidRPr="003201C9" w:rsidRDefault="008D0052" w:rsidP="003201C9">
      <w:pPr>
        <w:numPr>
          <w:ilvl w:val="0"/>
          <w:numId w:val="21"/>
        </w:numPr>
        <w:tabs>
          <w:tab w:val="clear" w:pos="720"/>
        </w:tabs>
        <w:overflowPunct w:val="0"/>
        <w:autoSpaceDE w:val="0"/>
        <w:autoSpaceDN w:val="0"/>
        <w:adjustRightInd w:val="0"/>
        <w:ind w:left="709" w:hanging="425"/>
        <w:contextualSpacing/>
        <w:textAlignment w:val="baseline"/>
      </w:pPr>
      <w:r w:rsidRPr="003201C9">
        <w:t>fordert, Ungleichgewichte bei der Finanzierung innerhalb der EU, insbesondere das Ost</w:t>
      </w:r>
      <w:r w:rsidR="00803D26">
        <w:noBreakHyphen/>
      </w:r>
      <w:r w:rsidRPr="003201C9">
        <w:t>West</w:t>
      </w:r>
      <w:r w:rsidR="00803D26">
        <w:noBreakHyphen/>
      </w:r>
      <w:r w:rsidRPr="003201C9">
        <w:t>Gefälle, bei beiden Programmen anzugehen;</w:t>
      </w:r>
    </w:p>
    <w:p w14:paraId="40A1333F" w14:textId="77777777" w:rsidR="008D0052" w:rsidRPr="003201C9" w:rsidRDefault="008D0052" w:rsidP="003201C9">
      <w:pPr>
        <w:numPr>
          <w:ilvl w:val="0"/>
          <w:numId w:val="21"/>
        </w:numPr>
        <w:tabs>
          <w:tab w:val="clear" w:pos="720"/>
        </w:tabs>
        <w:overflowPunct w:val="0"/>
        <w:autoSpaceDE w:val="0"/>
        <w:autoSpaceDN w:val="0"/>
        <w:adjustRightInd w:val="0"/>
        <w:ind w:left="709" w:hanging="425"/>
        <w:contextualSpacing/>
        <w:textAlignment w:val="baseline"/>
      </w:pPr>
      <w:r w:rsidRPr="003201C9">
        <w:t>bedauert, dass die Gruppe für den Dialog mit der Zivilgesellschaft in der Verordnung zur Einrichtung des Programms „</w:t>
      </w:r>
      <w:proofErr w:type="spellStart"/>
      <w:r w:rsidRPr="003201C9">
        <w:t>AgoraEU</w:t>
      </w:r>
      <w:proofErr w:type="spellEnd"/>
      <w:r w:rsidRPr="003201C9">
        <w:t xml:space="preserve"> nicht mehr vorgesehen ist, und fordert nachdrücklich, sie wieder einzusetzen;</w:t>
      </w:r>
    </w:p>
    <w:p w14:paraId="0337C2BE" w14:textId="19DBDB72" w:rsidR="008D0052" w:rsidRPr="003201C9" w:rsidRDefault="008D0052" w:rsidP="003201C9">
      <w:pPr>
        <w:numPr>
          <w:ilvl w:val="0"/>
          <w:numId w:val="21"/>
        </w:numPr>
        <w:tabs>
          <w:tab w:val="clear" w:pos="720"/>
        </w:tabs>
        <w:overflowPunct w:val="0"/>
        <w:autoSpaceDE w:val="0"/>
        <w:autoSpaceDN w:val="0"/>
        <w:adjustRightInd w:val="0"/>
        <w:ind w:left="709" w:hanging="425"/>
        <w:contextualSpacing/>
        <w:textAlignment w:val="baseline"/>
      </w:pPr>
      <w:r w:rsidRPr="003201C9">
        <w:t>betont, dass die Wirkung der Programme davon abhängt, ob auf nationaler Ebene angemessene nationale Infrastrukturen und Finanzierungsrahmen bestehen, und schlägt vor, den Zugang zu EU</w:t>
      </w:r>
      <w:r w:rsidR="00C04690">
        <w:t>-</w:t>
      </w:r>
      <w:r w:rsidRPr="003201C9">
        <w:t>Fonds mit geteilter Mittelverwaltung davon abhängig zu machen, ob sich die Mitgliedstaaten nachweislich für die Ziele von „</w:t>
      </w:r>
      <w:proofErr w:type="spellStart"/>
      <w:r w:rsidRPr="003201C9">
        <w:t>AgoraEU</w:t>
      </w:r>
      <w:proofErr w:type="spellEnd"/>
      <w:r w:rsidRPr="003201C9">
        <w:t>“ und „Justiz“ einsetzen.</w:t>
      </w:r>
    </w:p>
    <w:p w14:paraId="1831EAE3" w14:textId="77777777" w:rsidR="00F65006" w:rsidRPr="003201C9" w:rsidRDefault="00F65006" w:rsidP="003201C9">
      <w:pPr>
        <w:overflowPunct w:val="0"/>
        <w:autoSpaceDE w:val="0"/>
        <w:autoSpaceDN w:val="0"/>
        <w:adjustRightInd w:val="0"/>
        <w:ind w:left="360"/>
        <w:textAlignment w:val="baseline"/>
        <w:rPr>
          <w:lang w:eastAsia="fr-BE"/>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3610"/>
      </w:tblGrid>
      <w:tr w:rsidR="008D0052" w:rsidRPr="003201C9" w14:paraId="02CD12AD" w14:textId="77777777" w:rsidTr="00C04690">
        <w:tc>
          <w:tcPr>
            <w:tcW w:w="2093" w:type="dxa"/>
          </w:tcPr>
          <w:p w14:paraId="0D36B81C" w14:textId="77777777" w:rsidR="008D0052" w:rsidRPr="003201C9" w:rsidRDefault="008D0052" w:rsidP="003201C9">
            <w:pPr>
              <w:overflowPunct w:val="0"/>
              <w:autoSpaceDE w:val="0"/>
              <w:autoSpaceDN w:val="0"/>
              <w:adjustRightInd w:val="0"/>
              <w:textAlignment w:val="baseline"/>
              <w:rPr>
                <w:i/>
                <w:sz w:val="22"/>
                <w:szCs w:val="22"/>
              </w:rPr>
            </w:pPr>
            <w:r w:rsidRPr="003201C9">
              <w:rPr>
                <w:b/>
                <w:i/>
                <w:sz w:val="22"/>
                <w:szCs w:val="22"/>
              </w:rPr>
              <w:t>Kontakt</w:t>
            </w:r>
          </w:p>
        </w:tc>
        <w:tc>
          <w:tcPr>
            <w:tcW w:w="3610" w:type="dxa"/>
          </w:tcPr>
          <w:p w14:paraId="0741CFC9" w14:textId="77777777" w:rsidR="008D0052" w:rsidRPr="003201C9" w:rsidRDefault="008D0052" w:rsidP="003201C9">
            <w:pPr>
              <w:overflowPunct w:val="0"/>
              <w:autoSpaceDE w:val="0"/>
              <w:autoSpaceDN w:val="0"/>
              <w:adjustRightInd w:val="0"/>
              <w:ind w:hanging="12"/>
              <w:textAlignment w:val="baseline"/>
              <w:rPr>
                <w:i/>
                <w:sz w:val="22"/>
                <w:szCs w:val="22"/>
              </w:rPr>
            </w:pPr>
            <w:r w:rsidRPr="003201C9">
              <w:rPr>
                <w:i/>
                <w:sz w:val="22"/>
                <w:szCs w:val="22"/>
              </w:rPr>
              <w:t xml:space="preserve">Alessia </w:t>
            </w:r>
            <w:proofErr w:type="spellStart"/>
            <w:r w:rsidRPr="003201C9">
              <w:rPr>
                <w:i/>
                <w:sz w:val="22"/>
                <w:szCs w:val="22"/>
              </w:rPr>
              <w:t>Cova</w:t>
            </w:r>
            <w:proofErr w:type="spellEnd"/>
          </w:p>
        </w:tc>
      </w:tr>
      <w:tr w:rsidR="008D0052" w:rsidRPr="003201C9" w14:paraId="00343FBD" w14:textId="77777777" w:rsidTr="00C04690">
        <w:tc>
          <w:tcPr>
            <w:tcW w:w="2093" w:type="dxa"/>
          </w:tcPr>
          <w:p w14:paraId="10523811" w14:textId="77777777" w:rsidR="008D0052" w:rsidRPr="003201C9" w:rsidRDefault="008D0052" w:rsidP="003201C9">
            <w:pPr>
              <w:overflowPunct w:val="0"/>
              <w:autoSpaceDE w:val="0"/>
              <w:autoSpaceDN w:val="0"/>
              <w:adjustRightInd w:val="0"/>
              <w:textAlignment w:val="baseline"/>
              <w:rPr>
                <w:i/>
                <w:sz w:val="22"/>
                <w:szCs w:val="22"/>
              </w:rPr>
            </w:pPr>
            <w:r w:rsidRPr="003201C9">
              <w:rPr>
                <w:i/>
                <w:sz w:val="22"/>
                <w:szCs w:val="22"/>
              </w:rPr>
              <w:t>Tel.</w:t>
            </w:r>
          </w:p>
        </w:tc>
        <w:tc>
          <w:tcPr>
            <w:tcW w:w="3610" w:type="dxa"/>
          </w:tcPr>
          <w:p w14:paraId="3D3DA01D" w14:textId="77777777" w:rsidR="008D0052" w:rsidRPr="003201C9" w:rsidRDefault="008D0052" w:rsidP="003201C9">
            <w:pPr>
              <w:overflowPunct w:val="0"/>
              <w:autoSpaceDE w:val="0"/>
              <w:autoSpaceDN w:val="0"/>
              <w:adjustRightInd w:val="0"/>
              <w:textAlignment w:val="baseline"/>
              <w:rPr>
                <w:i/>
                <w:sz w:val="22"/>
                <w:szCs w:val="22"/>
              </w:rPr>
            </w:pPr>
            <w:r w:rsidRPr="003201C9">
              <w:rPr>
                <w:i/>
                <w:sz w:val="22"/>
                <w:szCs w:val="22"/>
              </w:rPr>
              <w:t>+32 25469426</w:t>
            </w:r>
          </w:p>
        </w:tc>
      </w:tr>
      <w:tr w:rsidR="008D0052" w:rsidRPr="003201C9" w14:paraId="6CB55D06" w14:textId="77777777" w:rsidTr="00C04690">
        <w:tc>
          <w:tcPr>
            <w:tcW w:w="2093" w:type="dxa"/>
          </w:tcPr>
          <w:p w14:paraId="6F7DF6B2" w14:textId="77777777" w:rsidR="008D0052" w:rsidRPr="003201C9" w:rsidRDefault="008D0052" w:rsidP="003201C9">
            <w:pPr>
              <w:overflowPunct w:val="0"/>
              <w:autoSpaceDE w:val="0"/>
              <w:autoSpaceDN w:val="0"/>
              <w:adjustRightInd w:val="0"/>
              <w:textAlignment w:val="baseline"/>
              <w:rPr>
                <w:i/>
                <w:sz w:val="22"/>
                <w:szCs w:val="22"/>
              </w:rPr>
            </w:pPr>
            <w:r w:rsidRPr="003201C9">
              <w:rPr>
                <w:i/>
                <w:sz w:val="22"/>
                <w:szCs w:val="22"/>
              </w:rPr>
              <w:t>E-Mail</w:t>
            </w:r>
          </w:p>
        </w:tc>
        <w:tc>
          <w:tcPr>
            <w:tcW w:w="3610" w:type="dxa"/>
          </w:tcPr>
          <w:p w14:paraId="4E6DFDFB" w14:textId="77777777" w:rsidR="008D0052" w:rsidRPr="003201C9" w:rsidRDefault="000055E5" w:rsidP="003201C9">
            <w:pPr>
              <w:overflowPunct w:val="0"/>
              <w:autoSpaceDE w:val="0"/>
              <w:autoSpaceDN w:val="0"/>
              <w:adjustRightInd w:val="0"/>
              <w:textAlignment w:val="baseline"/>
              <w:rPr>
                <w:i/>
                <w:iCs/>
                <w:sz w:val="22"/>
                <w:szCs w:val="22"/>
              </w:rPr>
            </w:pPr>
            <w:hyperlink r:id="rId27" w:history="1">
              <w:r w:rsidR="00F74BC3" w:rsidRPr="003201C9">
                <w:rPr>
                  <w:i/>
                  <w:color w:val="0000FF"/>
                  <w:sz w:val="22"/>
                  <w:szCs w:val="22"/>
                  <w:u w:val="single"/>
                </w:rPr>
                <w:t>Alessia.Cova@eesc.europa.eu</w:t>
              </w:r>
            </w:hyperlink>
          </w:p>
        </w:tc>
      </w:tr>
    </w:tbl>
    <w:p w14:paraId="4982DDC5" w14:textId="11E11952" w:rsidR="003201C9" w:rsidRDefault="003201C9" w:rsidP="003201C9">
      <w:pPr>
        <w:jc w:val="left"/>
      </w:pPr>
    </w:p>
    <w:p w14:paraId="039519E9" w14:textId="77777777" w:rsidR="003201C9" w:rsidRDefault="003201C9" w:rsidP="003201C9">
      <w:pPr>
        <w:jc w:val="left"/>
      </w:pPr>
      <w:r>
        <w:br w:type="page"/>
      </w:r>
    </w:p>
    <w:p w14:paraId="4982DDC6" w14:textId="77777777" w:rsidR="004D7AC0" w:rsidRDefault="004D7AC0" w:rsidP="003201C9">
      <w:pPr>
        <w:pStyle w:val="Heading1"/>
        <w:rPr>
          <w:b/>
        </w:rPr>
      </w:pPr>
      <w:bookmarkStart w:id="7" w:name="_Toc24617160"/>
      <w:bookmarkStart w:id="8" w:name="_Toc75527082"/>
      <w:bookmarkStart w:id="9" w:name="_Toc217289956"/>
      <w:r>
        <w:rPr>
          <w:b/>
        </w:rPr>
        <w:lastRenderedPageBreak/>
        <w:t>VERKEHR, ENERGIE, INFRASTRUKTUREN, INFORMATIONSGESELLSCHAFT</w:t>
      </w:r>
      <w:bookmarkEnd w:id="7"/>
      <w:bookmarkEnd w:id="8"/>
      <w:bookmarkEnd w:id="9"/>
    </w:p>
    <w:p w14:paraId="4982DDC7" w14:textId="77777777" w:rsidR="004D7AC0" w:rsidRDefault="004D7AC0" w:rsidP="003201C9"/>
    <w:p w14:paraId="34EB6B62" w14:textId="6F247683" w:rsidR="00BC676C" w:rsidRPr="00BC676C" w:rsidRDefault="000055E5" w:rsidP="003201C9">
      <w:pPr>
        <w:widowControl w:val="0"/>
        <w:numPr>
          <w:ilvl w:val="0"/>
          <w:numId w:val="4"/>
        </w:numPr>
        <w:overflowPunct w:val="0"/>
        <w:autoSpaceDE w:val="0"/>
        <w:autoSpaceDN w:val="0"/>
        <w:adjustRightInd w:val="0"/>
        <w:ind w:hanging="567"/>
        <w:textAlignment w:val="baseline"/>
        <w:rPr>
          <w:sz w:val="20"/>
          <w:szCs w:val="20"/>
        </w:rPr>
      </w:pPr>
      <w:hyperlink r:id="rId28" w:history="1">
        <w:r w:rsidR="00F74BC3">
          <w:rPr>
            <w:b/>
            <w:i/>
            <w:color w:val="0000FF"/>
            <w:sz w:val="28"/>
            <w:u w:val="single"/>
          </w:rPr>
          <w:t>CO</w:t>
        </w:r>
        <w:r w:rsidR="00F74BC3">
          <w:rPr>
            <w:b/>
            <w:i/>
            <w:color w:val="0000FF"/>
            <w:sz w:val="28"/>
            <w:u w:val="single"/>
            <w:vertAlign w:val="subscript"/>
          </w:rPr>
          <w:t>2</w:t>
        </w:r>
        <w:r w:rsidR="00F74BC3">
          <w:rPr>
            <w:b/>
            <w:i/>
            <w:color w:val="0000FF"/>
            <w:sz w:val="28"/>
            <w:u w:val="single"/>
          </w:rPr>
          <w:t>-Emissionsklasse von schweren Nutzfahrzeugen mit Anhängern</w:t>
        </w:r>
      </w:hyperlink>
    </w:p>
    <w:p w14:paraId="46836B10" w14:textId="77777777" w:rsidR="00BC676C" w:rsidRPr="003201C9" w:rsidRDefault="00BC676C" w:rsidP="003201C9">
      <w:pPr>
        <w:widowControl w:val="0"/>
        <w:overflowPunct w:val="0"/>
        <w:autoSpaceDE w:val="0"/>
        <w:autoSpaceDN w:val="0"/>
        <w:adjustRightInd w:val="0"/>
        <w:ind w:left="567"/>
        <w:textAlignment w:val="baseline"/>
      </w:pPr>
    </w:p>
    <w:tbl>
      <w:tblPr>
        <w:tblStyle w:val="TableGrid5"/>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7"/>
        <w:gridCol w:w="7325"/>
      </w:tblGrid>
      <w:tr w:rsidR="00BC676C" w:rsidRPr="003201C9" w14:paraId="47E39230" w14:textId="77777777" w:rsidTr="0036489A">
        <w:tc>
          <w:tcPr>
            <w:tcW w:w="1701" w:type="dxa"/>
          </w:tcPr>
          <w:p w14:paraId="573F7BF1" w14:textId="77777777" w:rsidR="00BC676C" w:rsidRPr="003201C9" w:rsidRDefault="00BC676C" w:rsidP="003201C9">
            <w:pPr>
              <w:tabs>
                <w:tab w:val="center" w:pos="284"/>
              </w:tabs>
              <w:overflowPunct w:val="0"/>
              <w:autoSpaceDE w:val="0"/>
              <w:autoSpaceDN w:val="0"/>
              <w:adjustRightInd w:val="0"/>
              <w:ind w:left="596" w:hanging="709"/>
              <w:textAlignment w:val="baseline"/>
              <w:rPr>
                <w:b/>
                <w:sz w:val="22"/>
                <w:szCs w:val="22"/>
              </w:rPr>
            </w:pPr>
            <w:r w:rsidRPr="003201C9">
              <w:rPr>
                <w:b/>
                <w:sz w:val="22"/>
                <w:szCs w:val="22"/>
              </w:rPr>
              <w:t>Referenzdokumente</w:t>
            </w:r>
          </w:p>
        </w:tc>
        <w:tc>
          <w:tcPr>
            <w:tcW w:w="7621" w:type="dxa"/>
          </w:tcPr>
          <w:p w14:paraId="02FEC31D" w14:textId="2FEC81BF" w:rsidR="00F2608E" w:rsidRPr="003201C9" w:rsidRDefault="00F2608E" w:rsidP="003201C9">
            <w:pPr>
              <w:tabs>
                <w:tab w:val="center" w:pos="284"/>
              </w:tabs>
              <w:overflowPunct w:val="0"/>
              <w:autoSpaceDE w:val="0"/>
              <w:autoSpaceDN w:val="0"/>
              <w:adjustRightInd w:val="0"/>
              <w:ind w:left="720" w:hanging="720"/>
              <w:textAlignment w:val="baseline"/>
              <w:rPr>
                <w:bCs/>
                <w:sz w:val="22"/>
                <w:szCs w:val="22"/>
              </w:rPr>
            </w:pPr>
            <w:r w:rsidRPr="003201C9">
              <w:rPr>
                <w:sz w:val="22"/>
                <w:szCs w:val="22"/>
              </w:rPr>
              <w:t>Stellungnahme der Kategorie C</w:t>
            </w:r>
          </w:p>
          <w:p w14:paraId="3982A737" w14:textId="64E384F6" w:rsidR="00BC676C" w:rsidRPr="003201C9" w:rsidRDefault="00BC676C" w:rsidP="003201C9">
            <w:pPr>
              <w:tabs>
                <w:tab w:val="center" w:pos="284"/>
              </w:tabs>
              <w:overflowPunct w:val="0"/>
              <w:autoSpaceDE w:val="0"/>
              <w:autoSpaceDN w:val="0"/>
              <w:adjustRightInd w:val="0"/>
              <w:ind w:left="720" w:hanging="720"/>
              <w:textAlignment w:val="baseline"/>
              <w:rPr>
                <w:bCs/>
                <w:sz w:val="22"/>
                <w:szCs w:val="22"/>
              </w:rPr>
            </w:pPr>
            <w:r w:rsidRPr="003201C9">
              <w:rPr>
                <w:sz w:val="22"/>
                <w:szCs w:val="22"/>
              </w:rPr>
              <w:t xml:space="preserve">COM(2025) 589 final </w:t>
            </w:r>
          </w:p>
          <w:p w14:paraId="6455BA93" w14:textId="77777777" w:rsidR="00BC676C" w:rsidRPr="003201C9" w:rsidRDefault="00BC676C" w:rsidP="003201C9">
            <w:pPr>
              <w:tabs>
                <w:tab w:val="center" w:pos="284"/>
              </w:tabs>
              <w:overflowPunct w:val="0"/>
              <w:autoSpaceDE w:val="0"/>
              <w:autoSpaceDN w:val="0"/>
              <w:adjustRightInd w:val="0"/>
              <w:ind w:left="720" w:hanging="720"/>
              <w:textAlignment w:val="baseline"/>
              <w:rPr>
                <w:sz w:val="22"/>
                <w:szCs w:val="22"/>
              </w:rPr>
            </w:pPr>
            <w:r w:rsidRPr="003201C9">
              <w:rPr>
                <w:sz w:val="22"/>
                <w:szCs w:val="22"/>
              </w:rPr>
              <w:t>EESC-2023-03779-00-AC</w:t>
            </w:r>
          </w:p>
        </w:tc>
      </w:tr>
    </w:tbl>
    <w:p w14:paraId="006C0DCA" w14:textId="77777777" w:rsidR="00BC676C" w:rsidRPr="003201C9" w:rsidRDefault="00BC676C" w:rsidP="003201C9">
      <w:pPr>
        <w:keepNext/>
        <w:keepLines/>
        <w:tabs>
          <w:tab w:val="center" w:pos="284"/>
        </w:tabs>
        <w:overflowPunct w:val="0"/>
        <w:autoSpaceDE w:val="0"/>
        <w:autoSpaceDN w:val="0"/>
        <w:adjustRightInd w:val="0"/>
        <w:ind w:left="720" w:hanging="720"/>
        <w:textAlignment w:val="baseline"/>
        <w:rPr>
          <w:b/>
          <w:lang w:val="en-GB"/>
        </w:rPr>
      </w:pPr>
    </w:p>
    <w:p w14:paraId="4C59A366" w14:textId="77777777" w:rsidR="00BC676C" w:rsidRPr="003201C9" w:rsidRDefault="00BC676C" w:rsidP="003201C9">
      <w:pPr>
        <w:keepNext/>
        <w:keepLines/>
        <w:tabs>
          <w:tab w:val="center" w:pos="284"/>
        </w:tabs>
        <w:overflowPunct w:val="0"/>
        <w:autoSpaceDE w:val="0"/>
        <w:autoSpaceDN w:val="0"/>
        <w:adjustRightInd w:val="0"/>
        <w:ind w:left="720" w:hanging="720"/>
        <w:textAlignment w:val="baseline"/>
        <w:rPr>
          <w:b/>
        </w:rPr>
      </w:pPr>
      <w:r w:rsidRPr="003201C9">
        <w:rPr>
          <w:b/>
        </w:rPr>
        <w:t>Kernaussagen</w:t>
      </w:r>
    </w:p>
    <w:p w14:paraId="25DE4F8F" w14:textId="77777777" w:rsidR="00BC676C" w:rsidRPr="003201C9" w:rsidRDefault="00BC676C" w:rsidP="003201C9">
      <w:pPr>
        <w:keepNext/>
        <w:keepLines/>
        <w:tabs>
          <w:tab w:val="center" w:pos="284"/>
        </w:tabs>
        <w:overflowPunct w:val="0"/>
        <w:autoSpaceDE w:val="0"/>
        <w:autoSpaceDN w:val="0"/>
        <w:adjustRightInd w:val="0"/>
        <w:ind w:left="720" w:hanging="720"/>
        <w:textAlignment w:val="baseline"/>
        <w:rPr>
          <w:b/>
          <w:lang w:val="en-GB"/>
        </w:rPr>
      </w:pPr>
    </w:p>
    <w:p w14:paraId="5C9ED52C" w14:textId="77777777" w:rsidR="00BC676C" w:rsidRPr="003201C9" w:rsidRDefault="00BC676C" w:rsidP="003201C9">
      <w:pPr>
        <w:numPr>
          <w:ilvl w:val="0"/>
          <w:numId w:val="4"/>
        </w:numPr>
        <w:overflowPunct w:val="0"/>
        <w:autoSpaceDE w:val="0"/>
        <w:autoSpaceDN w:val="0"/>
        <w:adjustRightInd w:val="0"/>
        <w:ind w:left="709" w:hanging="425"/>
        <w:contextualSpacing/>
        <w:textAlignment w:val="baseline"/>
        <w:rPr>
          <w:bCs/>
          <w:iCs/>
        </w:rPr>
      </w:pPr>
      <w:r w:rsidRPr="003201C9">
        <w:t>Da sich der Ausschuss bereits in seiner Stellungnahme TEN/815 „CO</w:t>
      </w:r>
      <w:r w:rsidRPr="003201C9">
        <w:rPr>
          <w:vertAlign w:val="subscript"/>
        </w:rPr>
        <w:t>2</w:t>
      </w:r>
      <w:r w:rsidRPr="003201C9">
        <w:t>-Emissionsklasse von schweren Nutzfahrzeugen mit Anhängern“ [</w:t>
      </w:r>
      <w:hyperlink r:id="rId29" w:history="1">
        <w:r w:rsidRPr="003201C9">
          <w:rPr>
            <w:color w:val="0000FF"/>
            <w:u w:val="single"/>
          </w:rPr>
          <w:t>C/2023/874</w:t>
        </w:r>
      </w:hyperlink>
      <w:r w:rsidRPr="003201C9">
        <w:t>], verabschiedet am 20. September 2023, zum Inhalt dieses Vorschlags geäußert hat, beschloss er, von der Erarbeitung einer neuen Stellungnahme abzusehen und auf den Standpunkt zu verweisen, den er in der vorgenannten Stellungnahme vertreten hat.</w:t>
      </w:r>
    </w:p>
    <w:p w14:paraId="5464E9FA" w14:textId="77777777" w:rsidR="00BC676C" w:rsidRPr="003201C9" w:rsidRDefault="00BC676C" w:rsidP="003201C9">
      <w:pPr>
        <w:widowControl w:val="0"/>
        <w:overflowPunct w:val="0"/>
        <w:autoSpaceDE w:val="0"/>
        <w:autoSpaceDN w:val="0"/>
        <w:adjustRightInd w:val="0"/>
        <w:ind w:left="720" w:hanging="720"/>
        <w:textAlignment w:val="baseline"/>
      </w:pPr>
    </w:p>
    <w:tbl>
      <w:tblPr>
        <w:tblStyle w:val="TableGrid5"/>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371"/>
      </w:tblGrid>
      <w:tr w:rsidR="00BC676C" w:rsidRPr="003201C9" w14:paraId="63E00060" w14:textId="77777777" w:rsidTr="00C04690">
        <w:tc>
          <w:tcPr>
            <w:tcW w:w="1951" w:type="dxa"/>
          </w:tcPr>
          <w:p w14:paraId="3E70F25D" w14:textId="77777777" w:rsidR="00BC676C" w:rsidRPr="003201C9" w:rsidRDefault="00BC676C" w:rsidP="003201C9">
            <w:pPr>
              <w:overflowPunct w:val="0"/>
              <w:autoSpaceDE w:val="0"/>
              <w:autoSpaceDN w:val="0"/>
              <w:adjustRightInd w:val="0"/>
              <w:ind w:left="720" w:hanging="720"/>
              <w:textAlignment w:val="baseline"/>
              <w:rPr>
                <w:i/>
                <w:sz w:val="22"/>
                <w:szCs w:val="22"/>
              </w:rPr>
            </w:pPr>
            <w:r w:rsidRPr="003201C9">
              <w:rPr>
                <w:b/>
                <w:i/>
                <w:sz w:val="22"/>
                <w:szCs w:val="22"/>
              </w:rPr>
              <w:t>Kontakt</w:t>
            </w:r>
          </w:p>
        </w:tc>
        <w:tc>
          <w:tcPr>
            <w:tcW w:w="7371" w:type="dxa"/>
          </w:tcPr>
          <w:p w14:paraId="0E0EABC3" w14:textId="609FD13C" w:rsidR="00BC676C" w:rsidRPr="003201C9" w:rsidRDefault="00BC676C" w:rsidP="003201C9">
            <w:pPr>
              <w:overflowPunct w:val="0"/>
              <w:autoSpaceDE w:val="0"/>
              <w:autoSpaceDN w:val="0"/>
              <w:adjustRightInd w:val="0"/>
              <w:ind w:left="720" w:hanging="720"/>
              <w:textAlignment w:val="baseline"/>
              <w:rPr>
                <w:i/>
                <w:sz w:val="22"/>
                <w:szCs w:val="22"/>
              </w:rPr>
            </w:pPr>
            <w:r w:rsidRPr="003201C9">
              <w:rPr>
                <w:i/>
                <w:sz w:val="22"/>
                <w:szCs w:val="22"/>
              </w:rPr>
              <w:t xml:space="preserve">Maja </w:t>
            </w:r>
            <w:proofErr w:type="spellStart"/>
            <w:r w:rsidRPr="003201C9">
              <w:rPr>
                <w:i/>
                <w:sz w:val="22"/>
                <w:szCs w:val="22"/>
              </w:rPr>
              <w:t>Radman</w:t>
            </w:r>
            <w:proofErr w:type="spellEnd"/>
          </w:p>
        </w:tc>
      </w:tr>
      <w:tr w:rsidR="00BC676C" w:rsidRPr="003201C9" w14:paraId="10A1FE95" w14:textId="77777777" w:rsidTr="00C04690">
        <w:tc>
          <w:tcPr>
            <w:tcW w:w="1951" w:type="dxa"/>
          </w:tcPr>
          <w:p w14:paraId="237B46FB" w14:textId="77777777" w:rsidR="00BC676C" w:rsidRPr="003201C9" w:rsidRDefault="00BC676C" w:rsidP="003201C9">
            <w:pPr>
              <w:overflowPunct w:val="0"/>
              <w:autoSpaceDE w:val="0"/>
              <w:autoSpaceDN w:val="0"/>
              <w:adjustRightInd w:val="0"/>
              <w:ind w:left="720" w:hanging="720"/>
              <w:textAlignment w:val="baseline"/>
              <w:rPr>
                <w:i/>
                <w:sz w:val="22"/>
                <w:szCs w:val="22"/>
              </w:rPr>
            </w:pPr>
            <w:r w:rsidRPr="003201C9">
              <w:rPr>
                <w:i/>
                <w:sz w:val="22"/>
                <w:szCs w:val="22"/>
              </w:rPr>
              <w:t>Tel.</w:t>
            </w:r>
          </w:p>
        </w:tc>
        <w:tc>
          <w:tcPr>
            <w:tcW w:w="7371" w:type="dxa"/>
          </w:tcPr>
          <w:p w14:paraId="4B5ED86F" w14:textId="77777777" w:rsidR="00BC676C" w:rsidRPr="003201C9" w:rsidRDefault="00BC676C" w:rsidP="003201C9">
            <w:pPr>
              <w:overflowPunct w:val="0"/>
              <w:autoSpaceDE w:val="0"/>
              <w:autoSpaceDN w:val="0"/>
              <w:adjustRightInd w:val="0"/>
              <w:ind w:left="720" w:hanging="720"/>
              <w:textAlignment w:val="baseline"/>
              <w:rPr>
                <w:i/>
                <w:sz w:val="22"/>
                <w:szCs w:val="22"/>
              </w:rPr>
            </w:pPr>
            <w:r w:rsidRPr="003201C9">
              <w:rPr>
                <w:i/>
                <w:sz w:val="22"/>
                <w:szCs w:val="22"/>
              </w:rPr>
              <w:t>+32 254690</w:t>
            </w:r>
            <w:r w:rsidRPr="003201C9">
              <w:rPr>
                <w:sz w:val="22"/>
                <w:szCs w:val="22"/>
              </w:rPr>
              <w:t>51</w:t>
            </w:r>
          </w:p>
        </w:tc>
      </w:tr>
      <w:tr w:rsidR="00BC676C" w:rsidRPr="003201C9" w14:paraId="31255C9B" w14:textId="77777777" w:rsidTr="00C04690">
        <w:tc>
          <w:tcPr>
            <w:tcW w:w="1951" w:type="dxa"/>
          </w:tcPr>
          <w:p w14:paraId="31B04EF4" w14:textId="77777777" w:rsidR="00BC676C" w:rsidRPr="003201C9" w:rsidRDefault="00BC676C" w:rsidP="003201C9">
            <w:pPr>
              <w:overflowPunct w:val="0"/>
              <w:autoSpaceDE w:val="0"/>
              <w:autoSpaceDN w:val="0"/>
              <w:adjustRightInd w:val="0"/>
              <w:ind w:left="720" w:hanging="720"/>
              <w:textAlignment w:val="baseline"/>
              <w:rPr>
                <w:i/>
                <w:sz w:val="22"/>
                <w:szCs w:val="22"/>
              </w:rPr>
            </w:pPr>
            <w:r w:rsidRPr="003201C9">
              <w:rPr>
                <w:i/>
                <w:sz w:val="22"/>
                <w:szCs w:val="22"/>
              </w:rPr>
              <w:t>E-Mail</w:t>
            </w:r>
          </w:p>
        </w:tc>
        <w:tc>
          <w:tcPr>
            <w:tcW w:w="7371" w:type="dxa"/>
          </w:tcPr>
          <w:p w14:paraId="53D1C2A7" w14:textId="77777777" w:rsidR="00BC676C" w:rsidRPr="003201C9" w:rsidRDefault="000055E5" w:rsidP="003201C9">
            <w:pPr>
              <w:overflowPunct w:val="0"/>
              <w:autoSpaceDE w:val="0"/>
              <w:autoSpaceDN w:val="0"/>
              <w:adjustRightInd w:val="0"/>
              <w:ind w:left="720" w:hanging="720"/>
              <w:textAlignment w:val="baseline"/>
              <w:rPr>
                <w:i/>
                <w:sz w:val="22"/>
                <w:szCs w:val="22"/>
              </w:rPr>
            </w:pPr>
            <w:hyperlink r:id="rId30" w:history="1">
              <w:r w:rsidR="00F74BC3" w:rsidRPr="003201C9">
                <w:rPr>
                  <w:i/>
                  <w:color w:val="0000FF"/>
                  <w:sz w:val="22"/>
                  <w:szCs w:val="22"/>
                  <w:u w:val="single"/>
                </w:rPr>
                <w:t>Maja.Radman@eesc.europa.eu</w:t>
              </w:r>
            </w:hyperlink>
          </w:p>
        </w:tc>
      </w:tr>
    </w:tbl>
    <w:p w14:paraId="4982DDEF" w14:textId="77777777" w:rsidR="004D7AC0" w:rsidRPr="003201C9" w:rsidRDefault="004D7AC0" w:rsidP="003201C9">
      <w:pPr>
        <w:pStyle w:val="ListParagraph"/>
        <w:ind w:left="0"/>
      </w:pPr>
    </w:p>
    <w:p w14:paraId="4982DDF0" w14:textId="09A1E184" w:rsidR="0005334D" w:rsidRDefault="0005334D" w:rsidP="003201C9">
      <w:pPr>
        <w:jc w:val="left"/>
      </w:pPr>
      <w:r>
        <w:br w:type="page"/>
      </w:r>
    </w:p>
    <w:p w14:paraId="15C6E6D3" w14:textId="0770B780" w:rsidR="0005334D" w:rsidRPr="003201C9" w:rsidRDefault="0005334D" w:rsidP="003201C9">
      <w:pPr>
        <w:widowControl w:val="0"/>
        <w:numPr>
          <w:ilvl w:val="0"/>
          <w:numId w:val="4"/>
        </w:numPr>
        <w:overflowPunct w:val="0"/>
        <w:autoSpaceDE w:val="0"/>
        <w:autoSpaceDN w:val="0"/>
        <w:adjustRightInd w:val="0"/>
        <w:ind w:hanging="567"/>
        <w:textAlignment w:val="baseline"/>
        <w:rPr>
          <w:color w:val="0000FF"/>
          <w:sz w:val="28"/>
          <w:szCs w:val="28"/>
          <w:u w:val="single"/>
        </w:rPr>
      </w:pPr>
      <w:r w:rsidRPr="003201C9">
        <w:rPr>
          <w:b/>
          <w:i/>
          <w:sz w:val="28"/>
          <w:szCs w:val="28"/>
        </w:rPr>
        <w:lastRenderedPageBreak/>
        <w:fldChar w:fldCharType="begin"/>
      </w:r>
      <w:r w:rsidRPr="003201C9">
        <w:rPr>
          <w:b/>
          <w:i/>
          <w:sz w:val="28"/>
          <w:szCs w:val="28"/>
        </w:rPr>
        <w:instrText xml:space="preserve"> HYPERLINK "https://www.eesc.europa.eu/de/our-work/opinions-information-reports/opinions/eu-space-act" </w:instrText>
      </w:r>
      <w:r w:rsidRPr="003201C9">
        <w:rPr>
          <w:b/>
          <w:i/>
          <w:sz w:val="28"/>
          <w:szCs w:val="28"/>
        </w:rPr>
        <w:fldChar w:fldCharType="separate"/>
      </w:r>
      <w:r w:rsidRPr="003201C9">
        <w:rPr>
          <w:b/>
          <w:i/>
          <w:color w:val="0000FF"/>
          <w:sz w:val="28"/>
          <w:szCs w:val="28"/>
          <w:u w:val="single"/>
        </w:rPr>
        <w:t>EU-Weltraumgesetz</w:t>
      </w:r>
    </w:p>
    <w:p w14:paraId="0A91F32A" w14:textId="77777777" w:rsidR="0005334D" w:rsidRPr="003201C9" w:rsidRDefault="0005334D" w:rsidP="003201C9">
      <w:pPr>
        <w:tabs>
          <w:tab w:val="center" w:pos="284"/>
        </w:tabs>
        <w:overflowPunct w:val="0"/>
        <w:autoSpaceDE w:val="0"/>
        <w:autoSpaceDN w:val="0"/>
        <w:adjustRightInd w:val="0"/>
        <w:ind w:left="266" w:hanging="266"/>
        <w:textAlignment w:val="baseline"/>
        <w:rPr>
          <w:b/>
        </w:rPr>
      </w:pPr>
      <w:r w:rsidRPr="003201C9">
        <w:rPr>
          <w:b/>
          <w:i/>
          <w:sz w:val="28"/>
          <w:szCs w:val="28"/>
        </w:rPr>
        <w:fldChar w:fldCharType="end"/>
      </w: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0"/>
        <w:gridCol w:w="5387"/>
      </w:tblGrid>
      <w:tr w:rsidR="0005334D" w:rsidRPr="003201C9" w14:paraId="0F0AF7C0" w14:textId="77777777" w:rsidTr="0036489A">
        <w:tc>
          <w:tcPr>
            <w:tcW w:w="1701" w:type="dxa"/>
          </w:tcPr>
          <w:p w14:paraId="1C2A42D0" w14:textId="77777777" w:rsidR="0005334D" w:rsidRPr="003201C9" w:rsidRDefault="0005334D" w:rsidP="003201C9">
            <w:pPr>
              <w:tabs>
                <w:tab w:val="center" w:pos="284"/>
              </w:tabs>
              <w:overflowPunct w:val="0"/>
              <w:autoSpaceDE w:val="0"/>
              <w:autoSpaceDN w:val="0"/>
              <w:adjustRightInd w:val="0"/>
              <w:ind w:left="266" w:hanging="266"/>
              <w:textAlignment w:val="baseline"/>
              <w:rPr>
                <w:b/>
                <w:sz w:val="22"/>
                <w:szCs w:val="22"/>
              </w:rPr>
            </w:pPr>
            <w:r w:rsidRPr="003201C9">
              <w:rPr>
                <w:b/>
                <w:sz w:val="22"/>
                <w:szCs w:val="22"/>
              </w:rPr>
              <w:t>Berichterstatter</w:t>
            </w:r>
          </w:p>
        </w:tc>
        <w:tc>
          <w:tcPr>
            <w:tcW w:w="5387" w:type="dxa"/>
          </w:tcPr>
          <w:p w14:paraId="1C51F404" w14:textId="0A3C4CB8" w:rsidR="0005334D" w:rsidRPr="003201C9" w:rsidRDefault="0005334D" w:rsidP="003201C9">
            <w:pPr>
              <w:tabs>
                <w:tab w:val="center" w:pos="284"/>
              </w:tabs>
              <w:overflowPunct w:val="0"/>
              <w:autoSpaceDE w:val="0"/>
              <w:autoSpaceDN w:val="0"/>
              <w:adjustRightInd w:val="0"/>
              <w:ind w:left="266" w:hanging="266"/>
              <w:textAlignment w:val="baseline"/>
              <w:rPr>
                <w:sz w:val="22"/>
                <w:szCs w:val="22"/>
              </w:rPr>
            </w:pPr>
            <w:r w:rsidRPr="003201C9">
              <w:rPr>
                <w:sz w:val="22"/>
                <w:szCs w:val="22"/>
              </w:rPr>
              <w:t>Angelo PAGLIARA (Gruppe Arbeitnehmer – IT)</w:t>
            </w:r>
          </w:p>
        </w:tc>
      </w:tr>
      <w:tr w:rsidR="0005334D" w:rsidRPr="003201C9" w14:paraId="53E511CA" w14:textId="77777777" w:rsidTr="0036489A">
        <w:tc>
          <w:tcPr>
            <w:tcW w:w="7088" w:type="dxa"/>
            <w:gridSpan w:val="2"/>
          </w:tcPr>
          <w:p w14:paraId="32CF405E" w14:textId="77777777" w:rsidR="0005334D" w:rsidRPr="00C04690" w:rsidRDefault="0005334D" w:rsidP="003201C9">
            <w:pPr>
              <w:tabs>
                <w:tab w:val="center" w:pos="284"/>
              </w:tabs>
              <w:overflowPunct w:val="0"/>
              <w:autoSpaceDE w:val="0"/>
              <w:autoSpaceDN w:val="0"/>
              <w:adjustRightInd w:val="0"/>
              <w:ind w:left="266" w:hanging="266"/>
              <w:textAlignment w:val="baseline"/>
              <w:rPr>
                <w:sz w:val="12"/>
                <w:szCs w:val="12"/>
              </w:rPr>
            </w:pPr>
          </w:p>
        </w:tc>
      </w:tr>
      <w:tr w:rsidR="0005334D" w:rsidRPr="003201C9" w14:paraId="3F8991D4" w14:textId="77777777" w:rsidTr="0036489A">
        <w:tc>
          <w:tcPr>
            <w:tcW w:w="1701" w:type="dxa"/>
            <w:vMerge w:val="restart"/>
          </w:tcPr>
          <w:p w14:paraId="15E862B4" w14:textId="2D6BDD3F" w:rsidR="0005334D" w:rsidRPr="003201C9" w:rsidRDefault="0005334D" w:rsidP="003201C9">
            <w:pPr>
              <w:tabs>
                <w:tab w:val="center" w:pos="284"/>
              </w:tabs>
              <w:overflowPunct w:val="0"/>
              <w:autoSpaceDE w:val="0"/>
              <w:autoSpaceDN w:val="0"/>
              <w:adjustRightInd w:val="0"/>
              <w:ind w:left="266" w:hanging="266"/>
              <w:textAlignment w:val="baseline"/>
              <w:rPr>
                <w:b/>
                <w:sz w:val="22"/>
                <w:szCs w:val="22"/>
              </w:rPr>
            </w:pPr>
            <w:r w:rsidRPr="003201C9">
              <w:rPr>
                <w:b/>
                <w:sz w:val="22"/>
                <w:szCs w:val="22"/>
              </w:rPr>
              <w:t>Referenzdokumente</w:t>
            </w:r>
          </w:p>
        </w:tc>
        <w:tc>
          <w:tcPr>
            <w:tcW w:w="5387" w:type="dxa"/>
          </w:tcPr>
          <w:p w14:paraId="0F1F5196" w14:textId="4657F08E" w:rsidR="0005334D" w:rsidRPr="003201C9" w:rsidRDefault="0005334D" w:rsidP="003201C9">
            <w:pPr>
              <w:tabs>
                <w:tab w:val="center" w:pos="284"/>
              </w:tabs>
              <w:overflowPunct w:val="0"/>
              <w:autoSpaceDE w:val="0"/>
              <w:autoSpaceDN w:val="0"/>
              <w:adjustRightInd w:val="0"/>
              <w:ind w:left="266" w:hanging="266"/>
              <w:textAlignment w:val="baseline"/>
              <w:rPr>
                <w:sz w:val="22"/>
                <w:szCs w:val="22"/>
              </w:rPr>
            </w:pPr>
            <w:r w:rsidRPr="003201C9">
              <w:rPr>
                <w:sz w:val="22"/>
                <w:szCs w:val="22"/>
              </w:rPr>
              <w:t xml:space="preserve">COM(2025) 335 final </w:t>
            </w:r>
          </w:p>
        </w:tc>
      </w:tr>
      <w:tr w:rsidR="0005334D" w:rsidRPr="003201C9" w14:paraId="5CF8C9B4" w14:textId="77777777" w:rsidTr="0036489A">
        <w:tc>
          <w:tcPr>
            <w:tcW w:w="1701" w:type="dxa"/>
            <w:vMerge/>
          </w:tcPr>
          <w:p w14:paraId="1BAC3D8C" w14:textId="77777777" w:rsidR="0005334D" w:rsidRPr="003201C9" w:rsidRDefault="0005334D" w:rsidP="003201C9">
            <w:pPr>
              <w:tabs>
                <w:tab w:val="center" w:pos="284"/>
              </w:tabs>
              <w:overflowPunct w:val="0"/>
              <w:autoSpaceDE w:val="0"/>
              <w:autoSpaceDN w:val="0"/>
              <w:adjustRightInd w:val="0"/>
              <w:ind w:left="266" w:hanging="266"/>
              <w:textAlignment w:val="baseline"/>
              <w:rPr>
                <w:b/>
                <w:sz w:val="22"/>
                <w:szCs w:val="22"/>
              </w:rPr>
            </w:pPr>
          </w:p>
        </w:tc>
        <w:tc>
          <w:tcPr>
            <w:tcW w:w="5387" w:type="dxa"/>
          </w:tcPr>
          <w:p w14:paraId="39C1DAEF" w14:textId="77777777" w:rsidR="0005334D" w:rsidRPr="003201C9" w:rsidRDefault="0005334D" w:rsidP="003201C9">
            <w:pPr>
              <w:tabs>
                <w:tab w:val="center" w:pos="284"/>
              </w:tabs>
              <w:overflowPunct w:val="0"/>
              <w:autoSpaceDE w:val="0"/>
              <w:autoSpaceDN w:val="0"/>
              <w:adjustRightInd w:val="0"/>
              <w:ind w:left="266" w:hanging="266"/>
              <w:textAlignment w:val="baseline"/>
              <w:rPr>
                <w:sz w:val="22"/>
                <w:szCs w:val="22"/>
              </w:rPr>
            </w:pPr>
            <w:r w:rsidRPr="003201C9">
              <w:rPr>
                <w:sz w:val="22"/>
                <w:szCs w:val="22"/>
              </w:rPr>
              <w:t>EESC-2024-00225-00-00-AC</w:t>
            </w:r>
          </w:p>
        </w:tc>
      </w:tr>
    </w:tbl>
    <w:p w14:paraId="4F5EF826" w14:textId="77777777" w:rsidR="0005334D" w:rsidRPr="003201C9" w:rsidRDefault="0005334D" w:rsidP="003201C9">
      <w:pPr>
        <w:tabs>
          <w:tab w:val="center" w:pos="284"/>
        </w:tabs>
        <w:overflowPunct w:val="0"/>
        <w:autoSpaceDE w:val="0"/>
        <w:autoSpaceDN w:val="0"/>
        <w:adjustRightInd w:val="0"/>
        <w:ind w:left="266" w:hanging="266"/>
        <w:textAlignment w:val="baseline"/>
        <w:rPr>
          <w:lang w:val="en-GB"/>
        </w:rPr>
      </w:pPr>
    </w:p>
    <w:p w14:paraId="0962AA04" w14:textId="77777777" w:rsidR="0005334D" w:rsidRPr="003201C9" w:rsidRDefault="0005334D" w:rsidP="003201C9">
      <w:pPr>
        <w:keepNext/>
        <w:keepLines/>
        <w:tabs>
          <w:tab w:val="center" w:pos="284"/>
        </w:tabs>
        <w:overflowPunct w:val="0"/>
        <w:autoSpaceDE w:val="0"/>
        <w:autoSpaceDN w:val="0"/>
        <w:adjustRightInd w:val="0"/>
        <w:ind w:left="266" w:hanging="266"/>
        <w:textAlignment w:val="baseline"/>
        <w:rPr>
          <w:b/>
        </w:rPr>
      </w:pPr>
      <w:r w:rsidRPr="003201C9">
        <w:rPr>
          <w:b/>
        </w:rPr>
        <w:t>Kernaussagen</w:t>
      </w:r>
    </w:p>
    <w:p w14:paraId="2921179F" w14:textId="77777777" w:rsidR="0005334D" w:rsidRPr="003201C9" w:rsidRDefault="0005334D" w:rsidP="003201C9">
      <w:pPr>
        <w:keepNext/>
        <w:keepLines/>
        <w:tabs>
          <w:tab w:val="center" w:pos="284"/>
        </w:tabs>
        <w:overflowPunct w:val="0"/>
        <w:autoSpaceDE w:val="0"/>
        <w:autoSpaceDN w:val="0"/>
        <w:adjustRightInd w:val="0"/>
        <w:ind w:left="266" w:hanging="266"/>
        <w:textAlignment w:val="baseline"/>
        <w:rPr>
          <w:b/>
          <w:lang w:val="en-GB"/>
        </w:rPr>
      </w:pPr>
    </w:p>
    <w:p w14:paraId="75940321" w14:textId="77777777" w:rsidR="0005334D" w:rsidRPr="003201C9" w:rsidRDefault="0005334D" w:rsidP="003201C9">
      <w:pPr>
        <w:overflowPunct w:val="0"/>
        <w:autoSpaceDE w:val="0"/>
        <w:autoSpaceDN w:val="0"/>
        <w:adjustRightInd w:val="0"/>
        <w:textAlignment w:val="baseline"/>
        <w:rPr>
          <w:bCs/>
          <w:iCs/>
        </w:rPr>
      </w:pPr>
      <w:r w:rsidRPr="003201C9">
        <w:t>Der EWSA</w:t>
      </w:r>
    </w:p>
    <w:p w14:paraId="4A48F70F" w14:textId="77777777" w:rsidR="0005334D" w:rsidRPr="003201C9" w:rsidRDefault="0005334D" w:rsidP="003201C9">
      <w:pPr>
        <w:overflowPunct w:val="0"/>
        <w:autoSpaceDE w:val="0"/>
        <w:autoSpaceDN w:val="0"/>
        <w:adjustRightInd w:val="0"/>
        <w:textAlignment w:val="baseline"/>
        <w:rPr>
          <w:bCs/>
          <w:iCs/>
          <w:lang w:val="en-GB"/>
        </w:rPr>
      </w:pPr>
    </w:p>
    <w:p w14:paraId="6C3ACDD8" w14:textId="77777777" w:rsidR="0005334D" w:rsidRPr="003201C9" w:rsidRDefault="0005334D" w:rsidP="003201C9">
      <w:pPr>
        <w:numPr>
          <w:ilvl w:val="0"/>
          <w:numId w:val="22"/>
        </w:numPr>
        <w:overflowPunct w:val="0"/>
        <w:autoSpaceDE w:val="0"/>
        <w:autoSpaceDN w:val="0"/>
        <w:adjustRightInd w:val="0"/>
        <w:ind w:left="709" w:hanging="425"/>
        <w:contextualSpacing/>
        <w:textAlignment w:val="baseline"/>
      </w:pPr>
      <w:r w:rsidRPr="003201C9">
        <w:t xml:space="preserve">empfiehlt, die </w:t>
      </w:r>
      <w:r w:rsidRPr="003201C9">
        <w:rPr>
          <w:b/>
        </w:rPr>
        <w:t>öffentlichen europäischen Investitionen in die Raumfahrt</w:t>
      </w:r>
      <w:r w:rsidRPr="003201C9">
        <w:t xml:space="preserve"> umgehend strukturiert </w:t>
      </w:r>
      <w:r w:rsidRPr="003201C9">
        <w:rPr>
          <w:b/>
        </w:rPr>
        <w:t>aufzustocken und bis 2030 auf mindestens 0,2 % des BIP</w:t>
      </w:r>
      <w:r w:rsidRPr="003201C9">
        <w:t xml:space="preserve"> anzuheben;</w:t>
      </w:r>
    </w:p>
    <w:p w14:paraId="26F7B7AE" w14:textId="77777777" w:rsidR="0005334D" w:rsidRPr="003201C9" w:rsidRDefault="0005334D" w:rsidP="003201C9">
      <w:pPr>
        <w:numPr>
          <w:ilvl w:val="0"/>
          <w:numId w:val="22"/>
        </w:numPr>
        <w:overflowPunct w:val="0"/>
        <w:autoSpaceDE w:val="0"/>
        <w:autoSpaceDN w:val="0"/>
        <w:adjustRightInd w:val="0"/>
        <w:ind w:left="709" w:hanging="425"/>
        <w:contextualSpacing/>
        <w:textAlignment w:val="baseline"/>
      </w:pPr>
      <w:r w:rsidRPr="003201C9">
        <w:t xml:space="preserve">ist der Auffassung, dass </w:t>
      </w:r>
      <w:r w:rsidRPr="003201C9">
        <w:rPr>
          <w:b/>
        </w:rPr>
        <w:t>genauer ausgeführt werden sollte, inwiefern Artikel 114 des Vertrags als Rechtsgrundlage für den Binnenmarkt für weltraumgestützte Produkte, Dienste und Daten</w:t>
      </w:r>
      <w:r w:rsidRPr="003201C9">
        <w:t xml:space="preserve"> dienen kann, und dass in einer Klausel festgelegt werden sollte, dass die Bestimmungen des Weltraumgesetzes vor dem Hintergrund der internationalen Pflichten auszulegen sind, </w:t>
      </w:r>
      <w:r w:rsidRPr="003201C9">
        <w:rPr>
          <w:b/>
        </w:rPr>
        <w:t>die von den Mitgliedstaaten bereits eingegangen wurden</w:t>
      </w:r>
      <w:r w:rsidRPr="003201C9">
        <w:t>;</w:t>
      </w:r>
    </w:p>
    <w:p w14:paraId="084E4A62" w14:textId="77777777" w:rsidR="0005334D" w:rsidRPr="003201C9" w:rsidRDefault="0005334D" w:rsidP="003201C9">
      <w:pPr>
        <w:numPr>
          <w:ilvl w:val="0"/>
          <w:numId w:val="22"/>
        </w:numPr>
        <w:overflowPunct w:val="0"/>
        <w:autoSpaceDE w:val="0"/>
        <w:autoSpaceDN w:val="0"/>
        <w:adjustRightInd w:val="0"/>
        <w:ind w:left="709" w:hanging="425"/>
        <w:contextualSpacing/>
        <w:textAlignment w:val="baseline"/>
      </w:pPr>
      <w:r w:rsidRPr="003201C9">
        <w:t xml:space="preserve">empfiehlt eine Klarstellung der Gründe, </w:t>
      </w:r>
      <w:r w:rsidRPr="003201C9">
        <w:rPr>
          <w:b/>
        </w:rPr>
        <w:t>warum in Titel I nur auf das Kriterium des Niederlassungsstaats eines Betreibers</w:t>
      </w:r>
      <w:r w:rsidRPr="003201C9">
        <w:t xml:space="preserve"> oder </w:t>
      </w:r>
      <w:proofErr w:type="spellStart"/>
      <w:r w:rsidRPr="003201C9">
        <w:t>Drittlandsbetreibers</w:t>
      </w:r>
      <w:proofErr w:type="spellEnd"/>
      <w:r w:rsidRPr="003201C9">
        <w:t xml:space="preserve"> im Bereich Weltraum, nicht aber auf dessen Staatsangehörigkeit Bezug genommen wird, und empfiehlt zudem, </w:t>
      </w:r>
      <w:r w:rsidRPr="003201C9">
        <w:rPr>
          <w:b/>
        </w:rPr>
        <w:t>Artikel 6 Absatz 3 zu präzisieren und besser auf die weltraumbezogenen Rechtsvorschriften jener Mitgliedstaaten abzustimmen</w:t>
      </w:r>
      <w:r w:rsidRPr="003201C9">
        <w:t xml:space="preserve">, die genehmigungspflichtige Betreiber auf der Grundlage der Staatsangehörigkeit oder des Gebiets ermitteln, </w:t>
      </w:r>
      <w:proofErr w:type="spellStart"/>
      <w:r w:rsidRPr="003201C9">
        <w:t>in dem</w:t>
      </w:r>
      <w:proofErr w:type="spellEnd"/>
      <w:r w:rsidRPr="003201C9">
        <w:t xml:space="preserve"> sie Weltraumtätigkeiten durchführen;</w:t>
      </w:r>
    </w:p>
    <w:p w14:paraId="3E883F9C" w14:textId="77777777" w:rsidR="0005334D" w:rsidRPr="003201C9" w:rsidRDefault="0005334D" w:rsidP="003201C9">
      <w:pPr>
        <w:numPr>
          <w:ilvl w:val="0"/>
          <w:numId w:val="22"/>
        </w:numPr>
        <w:overflowPunct w:val="0"/>
        <w:autoSpaceDE w:val="0"/>
        <w:autoSpaceDN w:val="0"/>
        <w:adjustRightInd w:val="0"/>
        <w:ind w:left="709" w:hanging="425"/>
        <w:contextualSpacing/>
        <w:textAlignment w:val="baseline"/>
      </w:pPr>
      <w:r w:rsidRPr="003201C9">
        <w:t xml:space="preserve">ist der Ansicht, dass </w:t>
      </w:r>
      <w:r w:rsidRPr="003201C9">
        <w:rPr>
          <w:b/>
        </w:rPr>
        <w:t>in Titel II klargestellt werden sollte, wie die Ausnahme- und Flexibilitätsregelungen im Rahmen des Genehmigungsverfahrens funktionieren</w:t>
      </w:r>
      <w:r w:rsidRPr="003201C9">
        <w:t>, wobei auch festgelegt werden sollte, welche Fristen dafür genau gelten, inwiefern die Regelungen auch für nichtkommerzielle Missionen gelten, wie sich die Inspektionsbefugnisse der Kommission gestalten und welche operative Rolle die Europäische Weltraumorganisation und die EUSPA spielen;</w:t>
      </w:r>
    </w:p>
    <w:p w14:paraId="0BFD0B62" w14:textId="77777777" w:rsidR="0005334D" w:rsidRPr="003201C9" w:rsidRDefault="0005334D" w:rsidP="003201C9">
      <w:pPr>
        <w:numPr>
          <w:ilvl w:val="0"/>
          <w:numId w:val="22"/>
        </w:numPr>
        <w:overflowPunct w:val="0"/>
        <w:autoSpaceDE w:val="0"/>
        <w:autoSpaceDN w:val="0"/>
        <w:adjustRightInd w:val="0"/>
        <w:ind w:left="709" w:hanging="425"/>
        <w:contextualSpacing/>
        <w:textAlignment w:val="baseline"/>
      </w:pPr>
      <w:r w:rsidRPr="003201C9">
        <w:t xml:space="preserve">vertritt die Auffassung, dass genau definiert werden sollte, welche Einschränkungen gelten, </w:t>
      </w:r>
      <w:r w:rsidRPr="003201C9">
        <w:rPr>
          <w:b/>
        </w:rPr>
        <w:t>wenn Mitgliedstaaten</w:t>
      </w:r>
      <w:r w:rsidRPr="003201C9">
        <w:t xml:space="preserve"> in Bezug auf den freien Verkehr von weltraumgestützten Daten und Diensten in der Union </w:t>
      </w:r>
      <w:r w:rsidRPr="003201C9">
        <w:rPr>
          <w:b/>
        </w:rPr>
        <w:t>strengere Anforderungen festzulegen beabsichtigen</w:t>
      </w:r>
      <w:r w:rsidRPr="003201C9">
        <w:t>;</w:t>
      </w:r>
    </w:p>
    <w:p w14:paraId="05AA5B90" w14:textId="77777777" w:rsidR="0005334D" w:rsidRPr="003201C9" w:rsidRDefault="0005334D" w:rsidP="003201C9">
      <w:pPr>
        <w:numPr>
          <w:ilvl w:val="0"/>
          <w:numId w:val="22"/>
        </w:numPr>
        <w:overflowPunct w:val="0"/>
        <w:autoSpaceDE w:val="0"/>
        <w:autoSpaceDN w:val="0"/>
        <w:adjustRightInd w:val="0"/>
        <w:ind w:left="709" w:hanging="425"/>
        <w:contextualSpacing/>
        <w:textAlignment w:val="baseline"/>
      </w:pPr>
      <w:r w:rsidRPr="003201C9">
        <w:t xml:space="preserve">hebt hervor, dass die </w:t>
      </w:r>
      <w:r w:rsidRPr="003201C9">
        <w:rPr>
          <w:b/>
        </w:rPr>
        <w:t>gegenseitige Anerkennung sowie gemeinsame Regeln gestärkt</w:t>
      </w:r>
      <w:r w:rsidRPr="003201C9">
        <w:t xml:space="preserve"> werden müssen, um eine </w:t>
      </w:r>
      <w:r w:rsidRPr="003201C9">
        <w:rPr>
          <w:b/>
        </w:rPr>
        <w:t>Fragmentierung</w:t>
      </w:r>
      <w:r w:rsidRPr="003201C9">
        <w:t xml:space="preserve"> und bürokratische Hürden </w:t>
      </w:r>
      <w:r w:rsidRPr="003201C9">
        <w:rPr>
          <w:b/>
        </w:rPr>
        <w:t>zu vermeiden</w:t>
      </w:r>
      <w:r w:rsidRPr="003201C9">
        <w:t>;</w:t>
      </w:r>
    </w:p>
    <w:p w14:paraId="73875630" w14:textId="77777777" w:rsidR="0005334D" w:rsidRPr="003201C9" w:rsidRDefault="0005334D" w:rsidP="003201C9">
      <w:pPr>
        <w:numPr>
          <w:ilvl w:val="0"/>
          <w:numId w:val="22"/>
        </w:numPr>
        <w:overflowPunct w:val="0"/>
        <w:autoSpaceDE w:val="0"/>
        <w:autoSpaceDN w:val="0"/>
        <w:adjustRightInd w:val="0"/>
        <w:ind w:left="709" w:hanging="425"/>
        <w:contextualSpacing/>
        <w:textAlignment w:val="baseline"/>
      </w:pPr>
      <w:r w:rsidRPr="003201C9">
        <w:t xml:space="preserve">legt nahe, </w:t>
      </w:r>
      <w:r w:rsidRPr="003201C9">
        <w:rPr>
          <w:b/>
        </w:rPr>
        <w:t>die europäische Weltraumstrategie mit den Bestrebungen Europas nach strategischer Autonomie</w:t>
      </w:r>
      <w:r w:rsidRPr="003201C9">
        <w:t xml:space="preserve"> zu verbinden sowie zur Stärkung der jeweiligen Sektoren </w:t>
      </w:r>
      <w:r w:rsidRPr="003201C9">
        <w:rPr>
          <w:b/>
        </w:rPr>
        <w:t>ergänzende Ökosysteme und den Multiplikatoreffekt der Raumfahrtindustrie</w:t>
      </w:r>
      <w:r w:rsidRPr="003201C9">
        <w:t xml:space="preserve"> zu unterstützen;</w:t>
      </w:r>
    </w:p>
    <w:p w14:paraId="2A025617" w14:textId="77777777" w:rsidR="0005334D" w:rsidRPr="003201C9" w:rsidRDefault="0005334D" w:rsidP="003201C9">
      <w:pPr>
        <w:numPr>
          <w:ilvl w:val="0"/>
          <w:numId w:val="22"/>
        </w:numPr>
        <w:overflowPunct w:val="0"/>
        <w:autoSpaceDE w:val="0"/>
        <w:autoSpaceDN w:val="0"/>
        <w:adjustRightInd w:val="0"/>
        <w:ind w:left="709" w:hanging="425"/>
        <w:contextualSpacing/>
        <w:textAlignment w:val="baseline"/>
      </w:pPr>
      <w:r w:rsidRPr="003201C9">
        <w:t xml:space="preserve">plädiert dafür, eine </w:t>
      </w:r>
      <w:r w:rsidRPr="003201C9">
        <w:rPr>
          <w:b/>
        </w:rPr>
        <w:t>integrierte Strategie für Kompetenzen und Arbeitsplätze im Bereich Raumfahrt</w:t>
      </w:r>
      <w:r w:rsidRPr="003201C9">
        <w:t xml:space="preserve"> zu erarbeiten und eine </w:t>
      </w:r>
      <w:r w:rsidRPr="003201C9">
        <w:rPr>
          <w:b/>
        </w:rPr>
        <w:t>europäische Agenda für Raumfahrtkompetenzen</w:t>
      </w:r>
      <w:r w:rsidRPr="003201C9">
        <w:t xml:space="preserve"> anzunehmen;</w:t>
      </w:r>
    </w:p>
    <w:p w14:paraId="36AD8480" w14:textId="77777777" w:rsidR="0005334D" w:rsidRPr="003201C9" w:rsidRDefault="0005334D" w:rsidP="003201C9">
      <w:pPr>
        <w:numPr>
          <w:ilvl w:val="0"/>
          <w:numId w:val="22"/>
        </w:numPr>
        <w:overflowPunct w:val="0"/>
        <w:autoSpaceDE w:val="0"/>
        <w:autoSpaceDN w:val="0"/>
        <w:adjustRightInd w:val="0"/>
        <w:ind w:left="709" w:hanging="425"/>
        <w:contextualSpacing/>
        <w:textAlignment w:val="baseline"/>
      </w:pPr>
      <w:r w:rsidRPr="003201C9">
        <w:t xml:space="preserve">fordert, im nächsten mehrjährigen Finanzrahmen 2028-2034 angemessene Mittel für die </w:t>
      </w:r>
      <w:r w:rsidRPr="003201C9">
        <w:rPr>
          <w:b/>
        </w:rPr>
        <w:t>operative Stärkung der EUSPA</w:t>
      </w:r>
      <w:r w:rsidRPr="003201C9">
        <w:t xml:space="preserve"> vorzusehen.</w:t>
      </w:r>
    </w:p>
    <w:p w14:paraId="39C0FBAA" w14:textId="77777777" w:rsidR="0005334D" w:rsidRPr="003201C9" w:rsidRDefault="0005334D" w:rsidP="003201C9">
      <w:pPr>
        <w:widowControl w:val="0"/>
        <w:overflowPunct w:val="0"/>
        <w:autoSpaceDE w:val="0"/>
        <w:autoSpaceDN w:val="0"/>
        <w:adjustRightInd w:val="0"/>
        <w:ind w:left="709"/>
        <w:textAlignment w:val="baseline"/>
      </w:pP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4995"/>
      </w:tblGrid>
      <w:tr w:rsidR="0005334D" w:rsidRPr="003201C9" w14:paraId="2E1C4F7A" w14:textId="77777777" w:rsidTr="00C04690">
        <w:tc>
          <w:tcPr>
            <w:tcW w:w="2093" w:type="dxa"/>
          </w:tcPr>
          <w:p w14:paraId="3B838871" w14:textId="77777777" w:rsidR="0005334D" w:rsidRPr="003201C9" w:rsidRDefault="0005334D" w:rsidP="003201C9">
            <w:pPr>
              <w:keepNext/>
              <w:keepLines/>
              <w:overflowPunct w:val="0"/>
              <w:autoSpaceDE w:val="0"/>
              <w:autoSpaceDN w:val="0"/>
              <w:adjustRightInd w:val="0"/>
              <w:textAlignment w:val="baseline"/>
              <w:rPr>
                <w:i/>
                <w:sz w:val="22"/>
                <w:szCs w:val="22"/>
              </w:rPr>
            </w:pPr>
            <w:r w:rsidRPr="003201C9">
              <w:rPr>
                <w:b/>
                <w:i/>
                <w:sz w:val="22"/>
                <w:szCs w:val="22"/>
              </w:rPr>
              <w:lastRenderedPageBreak/>
              <w:t>Kontakt</w:t>
            </w:r>
          </w:p>
        </w:tc>
        <w:tc>
          <w:tcPr>
            <w:tcW w:w="4995" w:type="dxa"/>
          </w:tcPr>
          <w:p w14:paraId="40162F2B" w14:textId="77777777" w:rsidR="0005334D" w:rsidRPr="003201C9" w:rsidRDefault="0005334D" w:rsidP="003201C9">
            <w:pPr>
              <w:keepNext/>
              <w:keepLines/>
              <w:overflowPunct w:val="0"/>
              <w:autoSpaceDE w:val="0"/>
              <w:autoSpaceDN w:val="0"/>
              <w:adjustRightInd w:val="0"/>
              <w:textAlignment w:val="baseline"/>
              <w:rPr>
                <w:i/>
                <w:sz w:val="22"/>
                <w:szCs w:val="22"/>
              </w:rPr>
            </w:pPr>
            <w:r w:rsidRPr="003201C9">
              <w:rPr>
                <w:i/>
                <w:sz w:val="22"/>
                <w:szCs w:val="22"/>
              </w:rPr>
              <w:t xml:space="preserve">Giorgia </w:t>
            </w:r>
            <w:proofErr w:type="spellStart"/>
            <w:r w:rsidRPr="003201C9">
              <w:rPr>
                <w:i/>
                <w:sz w:val="22"/>
                <w:szCs w:val="22"/>
              </w:rPr>
              <w:t>Bordignon</w:t>
            </w:r>
            <w:proofErr w:type="spellEnd"/>
          </w:p>
        </w:tc>
      </w:tr>
      <w:tr w:rsidR="0005334D" w:rsidRPr="003201C9" w14:paraId="362A9B5A" w14:textId="77777777" w:rsidTr="00C04690">
        <w:tc>
          <w:tcPr>
            <w:tcW w:w="2093" w:type="dxa"/>
          </w:tcPr>
          <w:p w14:paraId="0F21C068" w14:textId="77777777" w:rsidR="0005334D" w:rsidRPr="003201C9" w:rsidRDefault="0005334D" w:rsidP="003201C9">
            <w:pPr>
              <w:keepNext/>
              <w:keepLines/>
              <w:overflowPunct w:val="0"/>
              <w:autoSpaceDE w:val="0"/>
              <w:autoSpaceDN w:val="0"/>
              <w:adjustRightInd w:val="0"/>
              <w:textAlignment w:val="baseline"/>
              <w:rPr>
                <w:i/>
                <w:sz w:val="22"/>
                <w:szCs w:val="22"/>
              </w:rPr>
            </w:pPr>
            <w:r w:rsidRPr="003201C9">
              <w:rPr>
                <w:i/>
                <w:sz w:val="22"/>
                <w:szCs w:val="22"/>
              </w:rPr>
              <w:t>Tel.</w:t>
            </w:r>
          </w:p>
        </w:tc>
        <w:tc>
          <w:tcPr>
            <w:tcW w:w="4995" w:type="dxa"/>
          </w:tcPr>
          <w:p w14:paraId="1CDF1B64" w14:textId="77777777" w:rsidR="0005334D" w:rsidRPr="003201C9" w:rsidRDefault="0005334D" w:rsidP="003201C9">
            <w:pPr>
              <w:keepNext/>
              <w:keepLines/>
              <w:overflowPunct w:val="0"/>
              <w:autoSpaceDE w:val="0"/>
              <w:autoSpaceDN w:val="0"/>
              <w:adjustRightInd w:val="0"/>
              <w:textAlignment w:val="baseline"/>
              <w:rPr>
                <w:i/>
                <w:sz w:val="22"/>
                <w:szCs w:val="22"/>
              </w:rPr>
            </w:pPr>
            <w:r w:rsidRPr="003201C9">
              <w:rPr>
                <w:i/>
                <w:sz w:val="22"/>
                <w:szCs w:val="22"/>
              </w:rPr>
              <w:t>+32 25468</w:t>
            </w:r>
            <w:r w:rsidRPr="003201C9">
              <w:rPr>
                <w:sz w:val="22"/>
                <w:szCs w:val="22"/>
              </w:rPr>
              <w:t>535</w:t>
            </w:r>
          </w:p>
        </w:tc>
      </w:tr>
      <w:tr w:rsidR="0005334D" w:rsidRPr="003201C9" w14:paraId="2C7002E1" w14:textId="77777777" w:rsidTr="00C04690">
        <w:tc>
          <w:tcPr>
            <w:tcW w:w="2093" w:type="dxa"/>
          </w:tcPr>
          <w:p w14:paraId="1B96A53D" w14:textId="36B45CE4" w:rsidR="0005334D" w:rsidRPr="003201C9" w:rsidRDefault="008C414B" w:rsidP="003201C9">
            <w:pPr>
              <w:keepNext/>
              <w:keepLines/>
              <w:overflowPunct w:val="0"/>
              <w:autoSpaceDE w:val="0"/>
              <w:autoSpaceDN w:val="0"/>
              <w:adjustRightInd w:val="0"/>
              <w:textAlignment w:val="baseline"/>
              <w:rPr>
                <w:i/>
                <w:sz w:val="22"/>
                <w:szCs w:val="22"/>
              </w:rPr>
            </w:pPr>
            <w:r w:rsidRPr="003201C9">
              <w:rPr>
                <w:i/>
                <w:sz w:val="22"/>
                <w:szCs w:val="22"/>
              </w:rPr>
              <w:t>E-Mail</w:t>
            </w:r>
          </w:p>
        </w:tc>
        <w:tc>
          <w:tcPr>
            <w:tcW w:w="4995" w:type="dxa"/>
          </w:tcPr>
          <w:p w14:paraId="7D4DCAF5" w14:textId="77777777" w:rsidR="0005334D" w:rsidRPr="003201C9" w:rsidRDefault="000055E5" w:rsidP="003201C9">
            <w:pPr>
              <w:keepNext/>
              <w:keepLines/>
              <w:overflowPunct w:val="0"/>
              <w:autoSpaceDE w:val="0"/>
              <w:autoSpaceDN w:val="0"/>
              <w:adjustRightInd w:val="0"/>
              <w:textAlignment w:val="baseline"/>
              <w:rPr>
                <w:i/>
                <w:sz w:val="22"/>
                <w:szCs w:val="22"/>
              </w:rPr>
            </w:pPr>
            <w:hyperlink r:id="rId31" w:history="1">
              <w:r w:rsidR="00F74BC3" w:rsidRPr="003201C9">
                <w:rPr>
                  <w:i/>
                  <w:color w:val="0000FF"/>
                  <w:sz w:val="22"/>
                  <w:szCs w:val="22"/>
                  <w:u w:val="single"/>
                </w:rPr>
                <w:t>GiorgiaAndrea.Bordignon@eesc.europa.eu</w:t>
              </w:r>
            </w:hyperlink>
            <w:r w:rsidR="00F74BC3" w:rsidRPr="003201C9">
              <w:rPr>
                <w:i/>
                <w:sz w:val="22"/>
                <w:szCs w:val="22"/>
              </w:rPr>
              <w:t xml:space="preserve"> </w:t>
            </w:r>
          </w:p>
        </w:tc>
      </w:tr>
    </w:tbl>
    <w:p w14:paraId="7416E75B" w14:textId="77777777" w:rsidR="00B8543B" w:rsidRPr="003201C9" w:rsidRDefault="00B8543B" w:rsidP="003201C9">
      <w:pPr>
        <w:jc w:val="left"/>
      </w:pPr>
      <w:r w:rsidRPr="003201C9">
        <w:br w:type="page"/>
      </w:r>
    </w:p>
    <w:p w14:paraId="77FAB844" w14:textId="405C607C" w:rsidR="00B8543B" w:rsidRPr="00B8543B" w:rsidRDefault="000055E5" w:rsidP="003201C9">
      <w:pPr>
        <w:widowControl w:val="0"/>
        <w:numPr>
          <w:ilvl w:val="0"/>
          <w:numId w:val="4"/>
        </w:numPr>
        <w:overflowPunct w:val="0"/>
        <w:autoSpaceDE w:val="0"/>
        <w:autoSpaceDN w:val="0"/>
        <w:adjustRightInd w:val="0"/>
        <w:ind w:hanging="567"/>
        <w:textAlignment w:val="baseline"/>
        <w:rPr>
          <w:sz w:val="20"/>
          <w:szCs w:val="20"/>
        </w:rPr>
      </w:pPr>
      <w:hyperlink r:id="rId32" w:history="1">
        <w:r w:rsidR="00F74BC3">
          <w:rPr>
            <w:b/>
            <w:i/>
            <w:color w:val="0000FF"/>
            <w:sz w:val="28"/>
            <w:u w:val="single"/>
          </w:rPr>
          <w:t>Hinweisendes Nuklearprogramm</w:t>
        </w:r>
      </w:hyperlink>
    </w:p>
    <w:p w14:paraId="687BF486" w14:textId="77777777" w:rsidR="00B8543B" w:rsidRPr="003201C9" w:rsidRDefault="00B8543B" w:rsidP="003201C9">
      <w:pPr>
        <w:tabs>
          <w:tab w:val="center" w:pos="284"/>
        </w:tabs>
        <w:overflowPunct w:val="0"/>
        <w:autoSpaceDE w:val="0"/>
        <w:autoSpaceDN w:val="0"/>
        <w:adjustRightInd w:val="0"/>
        <w:ind w:left="266" w:hanging="266"/>
        <w:textAlignment w:val="baseline"/>
        <w:rPr>
          <w:b/>
          <w:lang w:val="en-GB"/>
        </w:rPr>
      </w:pPr>
    </w:p>
    <w:tbl>
      <w:tblPr>
        <w:tblStyle w:val="TableGrid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913"/>
      </w:tblGrid>
      <w:tr w:rsidR="00B8543B" w:rsidRPr="003201C9" w14:paraId="6BF7DB04" w14:textId="77777777" w:rsidTr="003201C9">
        <w:tc>
          <w:tcPr>
            <w:tcW w:w="2376" w:type="dxa"/>
          </w:tcPr>
          <w:p w14:paraId="7660A134" w14:textId="77777777" w:rsidR="00B8543B" w:rsidRPr="003201C9" w:rsidRDefault="00B8543B" w:rsidP="003201C9">
            <w:pPr>
              <w:tabs>
                <w:tab w:val="center" w:pos="284"/>
              </w:tabs>
              <w:overflowPunct w:val="0"/>
              <w:autoSpaceDE w:val="0"/>
              <w:autoSpaceDN w:val="0"/>
              <w:adjustRightInd w:val="0"/>
              <w:ind w:left="266" w:hanging="266"/>
              <w:textAlignment w:val="baseline"/>
              <w:rPr>
                <w:b/>
                <w:sz w:val="22"/>
                <w:szCs w:val="22"/>
              </w:rPr>
            </w:pPr>
            <w:r w:rsidRPr="003201C9">
              <w:rPr>
                <w:b/>
                <w:sz w:val="22"/>
                <w:szCs w:val="22"/>
              </w:rPr>
              <w:t>Berichterstatter</w:t>
            </w:r>
          </w:p>
        </w:tc>
        <w:tc>
          <w:tcPr>
            <w:tcW w:w="6913" w:type="dxa"/>
          </w:tcPr>
          <w:p w14:paraId="741530A3" w14:textId="32EE3DBA" w:rsidR="00B8543B" w:rsidRPr="003201C9" w:rsidRDefault="00B8543B" w:rsidP="003201C9">
            <w:pPr>
              <w:tabs>
                <w:tab w:val="center" w:pos="284"/>
              </w:tabs>
              <w:overflowPunct w:val="0"/>
              <w:autoSpaceDE w:val="0"/>
              <w:autoSpaceDN w:val="0"/>
              <w:adjustRightInd w:val="0"/>
              <w:ind w:left="266" w:hanging="266"/>
              <w:textAlignment w:val="baseline"/>
              <w:rPr>
                <w:sz w:val="22"/>
                <w:szCs w:val="22"/>
              </w:rPr>
            </w:pPr>
            <w:r w:rsidRPr="003201C9">
              <w:rPr>
                <w:sz w:val="22"/>
                <w:szCs w:val="22"/>
              </w:rPr>
              <w:t>Dumitru FORNEA (Gruppe Arbeitnehmer – RO)</w:t>
            </w:r>
          </w:p>
        </w:tc>
      </w:tr>
      <w:tr w:rsidR="00B8543B" w:rsidRPr="003201C9" w14:paraId="1EF069F7" w14:textId="77777777" w:rsidTr="003201C9">
        <w:tc>
          <w:tcPr>
            <w:tcW w:w="2376" w:type="dxa"/>
          </w:tcPr>
          <w:p w14:paraId="1E9A27C2" w14:textId="77777777" w:rsidR="00B8543B" w:rsidRPr="003201C9" w:rsidRDefault="00B8543B" w:rsidP="003201C9">
            <w:pPr>
              <w:tabs>
                <w:tab w:val="center" w:pos="284"/>
              </w:tabs>
              <w:overflowPunct w:val="0"/>
              <w:autoSpaceDE w:val="0"/>
              <w:autoSpaceDN w:val="0"/>
              <w:adjustRightInd w:val="0"/>
              <w:ind w:left="266" w:hanging="266"/>
              <w:textAlignment w:val="baseline"/>
              <w:rPr>
                <w:b/>
                <w:sz w:val="22"/>
                <w:szCs w:val="22"/>
              </w:rPr>
            </w:pPr>
            <w:r w:rsidRPr="003201C9">
              <w:rPr>
                <w:b/>
                <w:sz w:val="22"/>
                <w:szCs w:val="22"/>
              </w:rPr>
              <w:t>Ko-Berichterstatterin</w:t>
            </w:r>
          </w:p>
        </w:tc>
        <w:tc>
          <w:tcPr>
            <w:tcW w:w="6913" w:type="dxa"/>
          </w:tcPr>
          <w:p w14:paraId="6C41DC74" w14:textId="78C2E9C0" w:rsidR="00B8543B" w:rsidRPr="003201C9" w:rsidRDefault="00B8543B" w:rsidP="003201C9">
            <w:pPr>
              <w:tabs>
                <w:tab w:val="center" w:pos="284"/>
              </w:tabs>
              <w:overflowPunct w:val="0"/>
              <w:autoSpaceDE w:val="0"/>
              <w:autoSpaceDN w:val="0"/>
              <w:adjustRightInd w:val="0"/>
              <w:ind w:left="266" w:hanging="266"/>
              <w:textAlignment w:val="baseline"/>
              <w:rPr>
                <w:sz w:val="22"/>
                <w:szCs w:val="22"/>
              </w:rPr>
            </w:pPr>
            <w:r w:rsidRPr="003201C9">
              <w:rPr>
                <w:sz w:val="22"/>
                <w:szCs w:val="22"/>
              </w:rPr>
              <w:t>Alena MASTANTUONO (Gruppe Arbeitgeber – CZ)</w:t>
            </w:r>
          </w:p>
          <w:p w14:paraId="1AF40855" w14:textId="47D44167" w:rsidR="00F104CA" w:rsidRPr="00C04690" w:rsidRDefault="00F104CA" w:rsidP="003201C9">
            <w:pPr>
              <w:tabs>
                <w:tab w:val="center" w:pos="284"/>
              </w:tabs>
              <w:overflowPunct w:val="0"/>
              <w:autoSpaceDE w:val="0"/>
              <w:autoSpaceDN w:val="0"/>
              <w:adjustRightInd w:val="0"/>
              <w:ind w:left="266" w:hanging="266"/>
              <w:textAlignment w:val="baseline"/>
              <w:rPr>
                <w:sz w:val="12"/>
                <w:szCs w:val="12"/>
              </w:rPr>
            </w:pPr>
          </w:p>
        </w:tc>
      </w:tr>
      <w:tr w:rsidR="00B8543B" w:rsidRPr="003201C9" w14:paraId="6C9EC1C7" w14:textId="77777777" w:rsidTr="003201C9">
        <w:tc>
          <w:tcPr>
            <w:tcW w:w="2376" w:type="dxa"/>
          </w:tcPr>
          <w:p w14:paraId="081DEE58" w14:textId="77777777" w:rsidR="00B8543B" w:rsidRPr="003201C9" w:rsidRDefault="00B8543B" w:rsidP="003201C9">
            <w:pPr>
              <w:tabs>
                <w:tab w:val="center" w:pos="284"/>
              </w:tabs>
              <w:overflowPunct w:val="0"/>
              <w:autoSpaceDE w:val="0"/>
              <w:autoSpaceDN w:val="0"/>
              <w:adjustRightInd w:val="0"/>
              <w:ind w:left="266" w:hanging="266"/>
              <w:textAlignment w:val="baseline"/>
              <w:rPr>
                <w:b/>
                <w:sz w:val="22"/>
                <w:szCs w:val="22"/>
              </w:rPr>
            </w:pPr>
            <w:r w:rsidRPr="003201C9">
              <w:rPr>
                <w:b/>
                <w:sz w:val="22"/>
                <w:szCs w:val="22"/>
              </w:rPr>
              <w:t>Referenzdokumente</w:t>
            </w:r>
          </w:p>
        </w:tc>
        <w:tc>
          <w:tcPr>
            <w:tcW w:w="6913" w:type="dxa"/>
          </w:tcPr>
          <w:p w14:paraId="7F4D4FA0" w14:textId="77777777" w:rsidR="00B8543B" w:rsidRPr="003201C9" w:rsidRDefault="00B8543B" w:rsidP="003201C9">
            <w:pPr>
              <w:tabs>
                <w:tab w:val="center" w:pos="284"/>
              </w:tabs>
              <w:overflowPunct w:val="0"/>
              <w:autoSpaceDE w:val="0"/>
              <w:autoSpaceDN w:val="0"/>
              <w:adjustRightInd w:val="0"/>
              <w:ind w:left="266" w:hanging="266"/>
              <w:textAlignment w:val="baseline"/>
              <w:rPr>
                <w:sz w:val="22"/>
                <w:szCs w:val="22"/>
              </w:rPr>
            </w:pPr>
            <w:r w:rsidRPr="003201C9">
              <w:rPr>
                <w:sz w:val="22"/>
                <w:szCs w:val="22"/>
              </w:rPr>
              <w:t>COM(2025) 315 final</w:t>
            </w:r>
          </w:p>
          <w:p w14:paraId="53F4AD07" w14:textId="77777777" w:rsidR="00B8543B" w:rsidRPr="003201C9" w:rsidRDefault="00B8543B" w:rsidP="003201C9">
            <w:pPr>
              <w:tabs>
                <w:tab w:val="center" w:pos="284"/>
              </w:tabs>
              <w:overflowPunct w:val="0"/>
              <w:autoSpaceDE w:val="0"/>
              <w:autoSpaceDN w:val="0"/>
              <w:adjustRightInd w:val="0"/>
              <w:ind w:left="266" w:hanging="266"/>
              <w:textAlignment w:val="baseline"/>
              <w:rPr>
                <w:sz w:val="22"/>
                <w:szCs w:val="22"/>
              </w:rPr>
            </w:pPr>
            <w:r w:rsidRPr="003201C9">
              <w:rPr>
                <w:sz w:val="22"/>
                <w:szCs w:val="22"/>
              </w:rPr>
              <w:t>EESC-2025-02173-00-00-AC</w:t>
            </w:r>
          </w:p>
        </w:tc>
      </w:tr>
    </w:tbl>
    <w:p w14:paraId="217CE023" w14:textId="77777777" w:rsidR="00B8543B" w:rsidRPr="003201C9" w:rsidRDefault="00B8543B" w:rsidP="003201C9">
      <w:pPr>
        <w:tabs>
          <w:tab w:val="center" w:pos="284"/>
        </w:tabs>
        <w:overflowPunct w:val="0"/>
        <w:autoSpaceDE w:val="0"/>
        <w:autoSpaceDN w:val="0"/>
        <w:adjustRightInd w:val="0"/>
        <w:ind w:left="266" w:hanging="266"/>
        <w:textAlignment w:val="baseline"/>
        <w:rPr>
          <w:lang w:val="pt-PT"/>
        </w:rPr>
      </w:pPr>
    </w:p>
    <w:p w14:paraId="4EAF6778" w14:textId="77777777" w:rsidR="00B8543B" w:rsidRPr="003201C9" w:rsidRDefault="00B8543B" w:rsidP="003201C9">
      <w:pPr>
        <w:keepNext/>
        <w:keepLines/>
        <w:tabs>
          <w:tab w:val="center" w:pos="284"/>
        </w:tabs>
        <w:overflowPunct w:val="0"/>
        <w:autoSpaceDE w:val="0"/>
        <w:autoSpaceDN w:val="0"/>
        <w:adjustRightInd w:val="0"/>
        <w:ind w:left="266" w:hanging="266"/>
        <w:textAlignment w:val="baseline"/>
        <w:rPr>
          <w:b/>
        </w:rPr>
      </w:pPr>
      <w:r w:rsidRPr="003201C9">
        <w:rPr>
          <w:b/>
        </w:rPr>
        <w:t>Kernaussagen</w:t>
      </w:r>
    </w:p>
    <w:p w14:paraId="3A214EBF" w14:textId="77777777" w:rsidR="00B8543B" w:rsidRPr="003201C9" w:rsidRDefault="00B8543B" w:rsidP="003201C9">
      <w:pPr>
        <w:keepNext/>
        <w:keepLines/>
        <w:tabs>
          <w:tab w:val="center" w:pos="284"/>
        </w:tabs>
        <w:overflowPunct w:val="0"/>
        <w:autoSpaceDE w:val="0"/>
        <w:autoSpaceDN w:val="0"/>
        <w:adjustRightInd w:val="0"/>
        <w:ind w:left="266" w:hanging="266"/>
        <w:textAlignment w:val="baseline"/>
        <w:rPr>
          <w:b/>
          <w:lang w:val="en-GB"/>
        </w:rPr>
      </w:pPr>
    </w:p>
    <w:p w14:paraId="2AD6BB4C" w14:textId="77777777" w:rsidR="00B8543B" w:rsidRPr="003201C9" w:rsidRDefault="00B8543B" w:rsidP="003201C9">
      <w:pPr>
        <w:overflowPunct w:val="0"/>
        <w:autoSpaceDE w:val="0"/>
        <w:autoSpaceDN w:val="0"/>
        <w:adjustRightInd w:val="0"/>
        <w:textAlignment w:val="baseline"/>
        <w:rPr>
          <w:bCs/>
          <w:iCs/>
        </w:rPr>
      </w:pPr>
      <w:r w:rsidRPr="003201C9">
        <w:t>Der EWSA</w:t>
      </w:r>
    </w:p>
    <w:p w14:paraId="00EA794C" w14:textId="77777777" w:rsidR="00F104CA" w:rsidRPr="003201C9" w:rsidRDefault="00F104CA" w:rsidP="003201C9">
      <w:pPr>
        <w:overflowPunct w:val="0"/>
        <w:autoSpaceDE w:val="0"/>
        <w:autoSpaceDN w:val="0"/>
        <w:adjustRightInd w:val="0"/>
        <w:textAlignment w:val="baseline"/>
        <w:rPr>
          <w:bCs/>
          <w:iCs/>
          <w:lang w:val="en-GB"/>
        </w:rPr>
      </w:pPr>
    </w:p>
    <w:p w14:paraId="0ADC1825" w14:textId="77777777" w:rsidR="00B8543B" w:rsidRPr="003201C9" w:rsidRDefault="00B8543B" w:rsidP="003201C9">
      <w:pPr>
        <w:numPr>
          <w:ilvl w:val="0"/>
          <w:numId w:val="23"/>
        </w:numPr>
        <w:overflowPunct w:val="0"/>
        <w:autoSpaceDE w:val="0"/>
        <w:autoSpaceDN w:val="0"/>
        <w:adjustRightInd w:val="0"/>
        <w:ind w:left="709" w:hanging="425"/>
        <w:contextualSpacing/>
        <w:textAlignment w:val="baseline"/>
        <w:rPr>
          <w:bCs/>
          <w:iCs/>
        </w:rPr>
      </w:pPr>
      <w:r w:rsidRPr="003201C9">
        <w:t>ist der Auffassung, dass die Kernenergie bei der Dekarbonisierung und der Konsolidierung der strategischen Autonomie des europäischen Kontinents im Energie- und Technologiebereich eine entscheidende Rolle spielt und auch weiterhin spielen wird;</w:t>
      </w:r>
    </w:p>
    <w:p w14:paraId="38970C7F" w14:textId="77777777" w:rsidR="00B8543B" w:rsidRPr="003201C9" w:rsidRDefault="00B8543B" w:rsidP="003201C9">
      <w:pPr>
        <w:numPr>
          <w:ilvl w:val="0"/>
          <w:numId w:val="23"/>
        </w:numPr>
        <w:overflowPunct w:val="0"/>
        <w:autoSpaceDE w:val="0"/>
        <w:autoSpaceDN w:val="0"/>
        <w:adjustRightInd w:val="0"/>
        <w:ind w:left="709" w:hanging="425"/>
        <w:contextualSpacing/>
        <w:textAlignment w:val="baseline"/>
        <w:rPr>
          <w:bCs/>
          <w:iCs/>
        </w:rPr>
      </w:pPr>
      <w:r w:rsidRPr="003201C9">
        <w:t>empfiehlt, dass für Investitionen in die Kernenergie dieselben Bedingungen gelten sollten wie im Fall erneuerbarer Energieträger;</w:t>
      </w:r>
    </w:p>
    <w:p w14:paraId="15C741CD" w14:textId="77777777" w:rsidR="00B8543B" w:rsidRPr="003201C9" w:rsidRDefault="00B8543B" w:rsidP="003201C9">
      <w:pPr>
        <w:numPr>
          <w:ilvl w:val="0"/>
          <w:numId w:val="23"/>
        </w:numPr>
        <w:overflowPunct w:val="0"/>
        <w:autoSpaceDE w:val="0"/>
        <w:autoSpaceDN w:val="0"/>
        <w:adjustRightInd w:val="0"/>
        <w:ind w:left="709" w:hanging="425"/>
        <w:contextualSpacing/>
        <w:textAlignment w:val="baseline"/>
        <w:rPr>
          <w:bCs/>
          <w:iCs/>
        </w:rPr>
      </w:pPr>
      <w:r w:rsidRPr="003201C9">
        <w:t>empfiehlt, durch spezifische finanzielle und regulatorische Maßnahmen, wie ein gestrafftes Beihilfeverfahren, Zugang zu Mitteln aus den EU-Kohäsionsfonds, eine nachhaltige Finanzierung, Genehmigungsverfahren und schnellere Entscheidungen auf europäischer und nationaler Ebene für die Beschleunigung der Investitionen zu sorgen;</w:t>
      </w:r>
    </w:p>
    <w:p w14:paraId="18340AE6" w14:textId="77777777" w:rsidR="00B8543B" w:rsidRPr="003201C9" w:rsidRDefault="00B8543B" w:rsidP="003201C9">
      <w:pPr>
        <w:numPr>
          <w:ilvl w:val="0"/>
          <w:numId w:val="23"/>
        </w:numPr>
        <w:overflowPunct w:val="0"/>
        <w:autoSpaceDE w:val="0"/>
        <w:autoSpaceDN w:val="0"/>
        <w:adjustRightInd w:val="0"/>
        <w:ind w:left="709" w:hanging="425"/>
        <w:contextualSpacing/>
        <w:textAlignment w:val="baseline"/>
        <w:rPr>
          <w:bCs/>
          <w:iCs/>
        </w:rPr>
      </w:pPr>
      <w:r w:rsidRPr="003201C9">
        <w:t>ist der Auffassung, dass es unerlässlich ist, über den Dialog mit der Zivilgesellschaft Vertrauen zu schaffen sowie die Eigenverantwortung und die gesellschaftliche Akzeptanz zu fördern;</w:t>
      </w:r>
    </w:p>
    <w:p w14:paraId="1F92E097" w14:textId="77777777" w:rsidR="00B8543B" w:rsidRPr="003201C9" w:rsidRDefault="00B8543B" w:rsidP="003201C9">
      <w:pPr>
        <w:numPr>
          <w:ilvl w:val="0"/>
          <w:numId w:val="23"/>
        </w:numPr>
        <w:overflowPunct w:val="0"/>
        <w:autoSpaceDE w:val="0"/>
        <w:autoSpaceDN w:val="0"/>
        <w:adjustRightInd w:val="0"/>
        <w:ind w:left="709" w:hanging="425"/>
        <w:contextualSpacing/>
        <w:textAlignment w:val="baseline"/>
        <w:rPr>
          <w:bCs/>
          <w:iCs/>
        </w:rPr>
      </w:pPr>
      <w:r w:rsidRPr="003201C9">
        <w:t>fordert, dass die Mitgliedstaaten bei Regulierungsfragen stärker zusammenarbeiten;</w:t>
      </w:r>
    </w:p>
    <w:p w14:paraId="60BEBBD3" w14:textId="77777777" w:rsidR="00B8543B" w:rsidRPr="003201C9" w:rsidRDefault="00B8543B" w:rsidP="003201C9">
      <w:pPr>
        <w:numPr>
          <w:ilvl w:val="0"/>
          <w:numId w:val="23"/>
        </w:numPr>
        <w:overflowPunct w:val="0"/>
        <w:autoSpaceDE w:val="0"/>
        <w:autoSpaceDN w:val="0"/>
        <w:adjustRightInd w:val="0"/>
        <w:ind w:left="709" w:hanging="425"/>
        <w:contextualSpacing/>
        <w:textAlignment w:val="baseline"/>
      </w:pPr>
      <w:r w:rsidRPr="003201C9">
        <w:t>empfiehlt, die Rolle der Kernenergie bei der Stabilisierung des Stromnetzes zu berücksichtigen, und fordert, dass dem hinweisenden Nuklearprogramm eine Berechnung der dank Kernenergie vermiedenen systemischen Kosten hinzugefügt wird.</w:t>
      </w:r>
    </w:p>
    <w:p w14:paraId="1038659F" w14:textId="77777777" w:rsidR="00B8543B" w:rsidRPr="003201C9" w:rsidRDefault="00B8543B" w:rsidP="003201C9">
      <w:pPr>
        <w:widowControl w:val="0"/>
        <w:overflowPunct w:val="0"/>
        <w:autoSpaceDE w:val="0"/>
        <w:autoSpaceDN w:val="0"/>
        <w:adjustRightInd w:val="0"/>
        <w:ind w:left="284" w:hanging="284"/>
        <w:textAlignment w:val="baseline"/>
      </w:pPr>
    </w:p>
    <w:tbl>
      <w:tblPr>
        <w:tblStyle w:val="TableGrid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804"/>
      </w:tblGrid>
      <w:tr w:rsidR="00B8543B" w:rsidRPr="003201C9" w14:paraId="1A87DBFF" w14:textId="77777777" w:rsidTr="00C04690">
        <w:tc>
          <w:tcPr>
            <w:tcW w:w="2376" w:type="dxa"/>
          </w:tcPr>
          <w:p w14:paraId="5E9F41AD" w14:textId="77777777" w:rsidR="00B8543B" w:rsidRPr="003201C9" w:rsidRDefault="00B8543B" w:rsidP="003201C9">
            <w:pPr>
              <w:overflowPunct w:val="0"/>
              <w:autoSpaceDE w:val="0"/>
              <w:autoSpaceDN w:val="0"/>
              <w:adjustRightInd w:val="0"/>
              <w:textAlignment w:val="baseline"/>
              <w:rPr>
                <w:i/>
                <w:sz w:val="22"/>
                <w:szCs w:val="22"/>
              </w:rPr>
            </w:pPr>
            <w:r w:rsidRPr="003201C9">
              <w:rPr>
                <w:b/>
                <w:i/>
                <w:sz w:val="22"/>
                <w:szCs w:val="22"/>
              </w:rPr>
              <w:t>Kontakt</w:t>
            </w:r>
          </w:p>
        </w:tc>
        <w:tc>
          <w:tcPr>
            <w:tcW w:w="6804" w:type="dxa"/>
          </w:tcPr>
          <w:p w14:paraId="1EA77D8A" w14:textId="6DF16979" w:rsidR="00B8543B" w:rsidRPr="003201C9" w:rsidRDefault="00B8543B" w:rsidP="003201C9">
            <w:pPr>
              <w:overflowPunct w:val="0"/>
              <w:autoSpaceDE w:val="0"/>
              <w:autoSpaceDN w:val="0"/>
              <w:adjustRightInd w:val="0"/>
              <w:textAlignment w:val="baseline"/>
              <w:rPr>
                <w:i/>
                <w:sz w:val="22"/>
                <w:szCs w:val="22"/>
              </w:rPr>
            </w:pPr>
            <w:r w:rsidRPr="003201C9">
              <w:rPr>
                <w:i/>
                <w:sz w:val="22"/>
                <w:szCs w:val="22"/>
              </w:rPr>
              <w:t xml:space="preserve">Albert </w:t>
            </w:r>
            <w:proofErr w:type="spellStart"/>
            <w:r w:rsidRPr="003201C9">
              <w:rPr>
                <w:i/>
                <w:sz w:val="22"/>
                <w:szCs w:val="22"/>
              </w:rPr>
              <w:t>Precup</w:t>
            </w:r>
            <w:proofErr w:type="spellEnd"/>
          </w:p>
        </w:tc>
      </w:tr>
      <w:tr w:rsidR="00B8543B" w:rsidRPr="003201C9" w14:paraId="3CDABFB0" w14:textId="77777777" w:rsidTr="00C04690">
        <w:tc>
          <w:tcPr>
            <w:tcW w:w="2376" w:type="dxa"/>
          </w:tcPr>
          <w:p w14:paraId="690F7657" w14:textId="77777777" w:rsidR="00B8543B" w:rsidRPr="003201C9" w:rsidRDefault="00B8543B" w:rsidP="003201C9">
            <w:pPr>
              <w:overflowPunct w:val="0"/>
              <w:autoSpaceDE w:val="0"/>
              <w:autoSpaceDN w:val="0"/>
              <w:adjustRightInd w:val="0"/>
              <w:textAlignment w:val="baseline"/>
              <w:rPr>
                <w:i/>
                <w:sz w:val="22"/>
                <w:szCs w:val="22"/>
              </w:rPr>
            </w:pPr>
            <w:r w:rsidRPr="003201C9">
              <w:rPr>
                <w:i/>
                <w:sz w:val="22"/>
                <w:szCs w:val="22"/>
              </w:rPr>
              <w:t>Tel.</w:t>
            </w:r>
          </w:p>
        </w:tc>
        <w:tc>
          <w:tcPr>
            <w:tcW w:w="6804" w:type="dxa"/>
          </w:tcPr>
          <w:p w14:paraId="113BC3FF" w14:textId="77777777" w:rsidR="00B8543B" w:rsidRPr="003201C9" w:rsidRDefault="00B8543B" w:rsidP="003201C9">
            <w:pPr>
              <w:overflowPunct w:val="0"/>
              <w:autoSpaceDE w:val="0"/>
              <w:autoSpaceDN w:val="0"/>
              <w:adjustRightInd w:val="0"/>
              <w:textAlignment w:val="baseline"/>
              <w:rPr>
                <w:i/>
                <w:sz w:val="22"/>
                <w:szCs w:val="22"/>
              </w:rPr>
            </w:pPr>
            <w:r w:rsidRPr="003201C9">
              <w:rPr>
                <w:i/>
                <w:sz w:val="22"/>
                <w:szCs w:val="22"/>
              </w:rPr>
              <w:t>+32 25469326</w:t>
            </w:r>
          </w:p>
        </w:tc>
      </w:tr>
      <w:tr w:rsidR="00B8543B" w:rsidRPr="003201C9" w14:paraId="358EB551" w14:textId="77777777" w:rsidTr="00C04690">
        <w:tc>
          <w:tcPr>
            <w:tcW w:w="2376" w:type="dxa"/>
          </w:tcPr>
          <w:p w14:paraId="2EF8A9AA" w14:textId="77777777" w:rsidR="00B8543B" w:rsidRPr="003201C9" w:rsidRDefault="00B8543B" w:rsidP="003201C9">
            <w:pPr>
              <w:overflowPunct w:val="0"/>
              <w:autoSpaceDE w:val="0"/>
              <w:autoSpaceDN w:val="0"/>
              <w:adjustRightInd w:val="0"/>
              <w:textAlignment w:val="baseline"/>
              <w:rPr>
                <w:i/>
                <w:sz w:val="22"/>
                <w:szCs w:val="22"/>
              </w:rPr>
            </w:pPr>
            <w:r w:rsidRPr="003201C9">
              <w:rPr>
                <w:i/>
                <w:sz w:val="22"/>
                <w:szCs w:val="22"/>
              </w:rPr>
              <w:t>E-Mail</w:t>
            </w:r>
          </w:p>
        </w:tc>
        <w:tc>
          <w:tcPr>
            <w:tcW w:w="6804" w:type="dxa"/>
          </w:tcPr>
          <w:p w14:paraId="1491B9B9" w14:textId="77777777" w:rsidR="00B8543B" w:rsidRPr="003201C9" w:rsidRDefault="000055E5" w:rsidP="003201C9">
            <w:pPr>
              <w:overflowPunct w:val="0"/>
              <w:autoSpaceDE w:val="0"/>
              <w:autoSpaceDN w:val="0"/>
              <w:adjustRightInd w:val="0"/>
              <w:textAlignment w:val="baseline"/>
              <w:rPr>
                <w:i/>
                <w:sz w:val="22"/>
                <w:szCs w:val="22"/>
              </w:rPr>
            </w:pPr>
            <w:hyperlink r:id="rId33" w:history="1">
              <w:r w:rsidR="00F74BC3" w:rsidRPr="003201C9">
                <w:rPr>
                  <w:i/>
                  <w:color w:val="0000FF"/>
                  <w:sz w:val="22"/>
                  <w:szCs w:val="22"/>
                  <w:u w:val="single"/>
                </w:rPr>
                <w:t>Albert.Precup@eesc.europa.eu</w:t>
              </w:r>
            </w:hyperlink>
          </w:p>
        </w:tc>
      </w:tr>
    </w:tbl>
    <w:p w14:paraId="4C06F621" w14:textId="77777777" w:rsidR="004D7AC0" w:rsidRPr="003201C9" w:rsidRDefault="004D7AC0" w:rsidP="003201C9">
      <w:pPr>
        <w:pStyle w:val="ListParagraph"/>
        <w:ind w:left="0"/>
      </w:pPr>
    </w:p>
    <w:p w14:paraId="4982DDF2" w14:textId="0D337987" w:rsidR="00BC676C" w:rsidRPr="003201C9" w:rsidRDefault="004D7AC0" w:rsidP="003201C9">
      <w:pPr>
        <w:jc w:val="left"/>
      </w:pPr>
      <w:r w:rsidRPr="003201C9">
        <w:br w:type="page"/>
      </w:r>
    </w:p>
    <w:p w14:paraId="4982DDF3" w14:textId="77777777" w:rsidR="004D7AC0" w:rsidRDefault="004D7AC0" w:rsidP="003201C9">
      <w:pPr>
        <w:pStyle w:val="Heading1"/>
        <w:rPr>
          <w:b/>
        </w:rPr>
      </w:pPr>
      <w:bookmarkStart w:id="10" w:name="_Toc75527083"/>
      <w:bookmarkStart w:id="11" w:name="_Toc217289957"/>
      <w:r>
        <w:rPr>
          <w:b/>
        </w:rPr>
        <w:lastRenderedPageBreak/>
        <w:t>BINNENMARKT, PRODUKTION, VERBRAUCH</w:t>
      </w:r>
      <w:bookmarkEnd w:id="10"/>
      <w:bookmarkEnd w:id="11"/>
    </w:p>
    <w:p w14:paraId="4982DDF4" w14:textId="77777777" w:rsidR="004D7AC0" w:rsidRDefault="004D7AC0" w:rsidP="003201C9"/>
    <w:p w14:paraId="5D547137" w14:textId="688E5B24" w:rsidR="00465162" w:rsidRPr="00465162" w:rsidRDefault="000055E5" w:rsidP="003201C9">
      <w:pPr>
        <w:widowControl w:val="0"/>
        <w:numPr>
          <w:ilvl w:val="0"/>
          <w:numId w:val="4"/>
        </w:numPr>
        <w:overflowPunct w:val="0"/>
        <w:autoSpaceDE w:val="0"/>
        <w:autoSpaceDN w:val="0"/>
        <w:adjustRightInd w:val="0"/>
        <w:ind w:hanging="567"/>
        <w:textAlignment w:val="baseline"/>
        <w:rPr>
          <w:sz w:val="20"/>
          <w:szCs w:val="20"/>
        </w:rPr>
      </w:pPr>
      <w:hyperlink r:id="rId34" w:history="1">
        <w:r w:rsidR="00F74BC3">
          <w:rPr>
            <w:b/>
            <w:i/>
            <w:color w:val="0000FF"/>
            <w:sz w:val="28"/>
            <w:u w:val="single"/>
          </w:rPr>
          <w:t>Binnenmarktstrategie</w:t>
        </w:r>
      </w:hyperlink>
    </w:p>
    <w:p w14:paraId="0B883575" w14:textId="77777777" w:rsidR="00465162" w:rsidRPr="003201C9" w:rsidRDefault="00465162" w:rsidP="003201C9">
      <w:pPr>
        <w:tabs>
          <w:tab w:val="center" w:pos="284"/>
        </w:tabs>
        <w:overflowPunct w:val="0"/>
        <w:autoSpaceDE w:val="0"/>
        <w:autoSpaceDN w:val="0"/>
        <w:adjustRightInd w:val="0"/>
        <w:ind w:left="266" w:hanging="266"/>
        <w:textAlignment w:val="baseline"/>
        <w:rPr>
          <w:b/>
          <w:lang w:val="en-GB"/>
        </w:rPr>
      </w:pPr>
    </w:p>
    <w:tbl>
      <w:tblPr>
        <w:tblStyle w:val="TableGrid8"/>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0"/>
        <w:gridCol w:w="7212"/>
      </w:tblGrid>
      <w:tr w:rsidR="00465162" w:rsidRPr="003201C9" w14:paraId="79DD90B6" w14:textId="77777777" w:rsidTr="004C1449">
        <w:tc>
          <w:tcPr>
            <w:tcW w:w="2110" w:type="dxa"/>
          </w:tcPr>
          <w:p w14:paraId="03778141" w14:textId="77777777" w:rsidR="00465162" w:rsidRPr="003201C9" w:rsidRDefault="00465162" w:rsidP="003201C9">
            <w:pPr>
              <w:tabs>
                <w:tab w:val="center" w:pos="284"/>
              </w:tabs>
              <w:overflowPunct w:val="0"/>
              <w:autoSpaceDE w:val="0"/>
              <w:autoSpaceDN w:val="0"/>
              <w:adjustRightInd w:val="0"/>
              <w:ind w:left="266" w:hanging="266"/>
              <w:textAlignment w:val="baseline"/>
              <w:rPr>
                <w:b/>
                <w:sz w:val="22"/>
                <w:szCs w:val="22"/>
              </w:rPr>
            </w:pPr>
            <w:r w:rsidRPr="003201C9">
              <w:rPr>
                <w:b/>
                <w:sz w:val="22"/>
                <w:szCs w:val="22"/>
              </w:rPr>
              <w:t>Berichterstatter</w:t>
            </w:r>
          </w:p>
        </w:tc>
        <w:tc>
          <w:tcPr>
            <w:tcW w:w="7212" w:type="dxa"/>
          </w:tcPr>
          <w:p w14:paraId="1AA6537D" w14:textId="384B5F9A" w:rsidR="00465162" w:rsidRPr="003201C9" w:rsidRDefault="00465162" w:rsidP="003201C9">
            <w:pPr>
              <w:tabs>
                <w:tab w:val="center" w:pos="284"/>
              </w:tabs>
              <w:overflowPunct w:val="0"/>
              <w:autoSpaceDE w:val="0"/>
              <w:autoSpaceDN w:val="0"/>
              <w:adjustRightInd w:val="0"/>
              <w:ind w:left="266" w:hanging="266"/>
              <w:textAlignment w:val="baseline"/>
              <w:rPr>
                <w:sz w:val="22"/>
                <w:szCs w:val="22"/>
              </w:rPr>
            </w:pPr>
            <w:r w:rsidRPr="003201C9">
              <w:rPr>
                <w:sz w:val="22"/>
                <w:szCs w:val="22"/>
              </w:rPr>
              <w:t>Emilie PROUZET (Gruppe Arbeitgeber – FR)</w:t>
            </w:r>
          </w:p>
        </w:tc>
      </w:tr>
      <w:tr w:rsidR="00465162" w:rsidRPr="003201C9" w14:paraId="60565F73" w14:textId="77777777" w:rsidTr="004C1449">
        <w:tc>
          <w:tcPr>
            <w:tcW w:w="2110" w:type="dxa"/>
          </w:tcPr>
          <w:p w14:paraId="4405A00F" w14:textId="77777777" w:rsidR="00465162" w:rsidRPr="003201C9" w:rsidRDefault="00465162" w:rsidP="003201C9">
            <w:pPr>
              <w:tabs>
                <w:tab w:val="center" w:pos="284"/>
              </w:tabs>
              <w:overflowPunct w:val="0"/>
              <w:autoSpaceDE w:val="0"/>
              <w:autoSpaceDN w:val="0"/>
              <w:adjustRightInd w:val="0"/>
              <w:ind w:left="266" w:hanging="266"/>
              <w:textAlignment w:val="baseline"/>
              <w:rPr>
                <w:b/>
                <w:sz w:val="22"/>
                <w:szCs w:val="22"/>
              </w:rPr>
            </w:pPr>
          </w:p>
        </w:tc>
        <w:tc>
          <w:tcPr>
            <w:tcW w:w="7212" w:type="dxa"/>
          </w:tcPr>
          <w:p w14:paraId="26DA48BA" w14:textId="3E9F6386" w:rsidR="00465162" w:rsidRPr="003201C9" w:rsidRDefault="00465162" w:rsidP="003201C9">
            <w:pPr>
              <w:tabs>
                <w:tab w:val="center" w:pos="284"/>
              </w:tabs>
              <w:overflowPunct w:val="0"/>
              <w:autoSpaceDE w:val="0"/>
              <w:autoSpaceDN w:val="0"/>
              <w:adjustRightInd w:val="0"/>
              <w:ind w:left="266" w:hanging="266"/>
              <w:textAlignment w:val="baseline"/>
              <w:rPr>
                <w:sz w:val="22"/>
                <w:szCs w:val="22"/>
              </w:rPr>
            </w:pPr>
            <w:r w:rsidRPr="003201C9">
              <w:rPr>
                <w:sz w:val="22"/>
                <w:szCs w:val="22"/>
              </w:rPr>
              <w:t>Angelo PAGLIARA (Gruppe Arbeitnehmer – IT)</w:t>
            </w:r>
          </w:p>
          <w:p w14:paraId="1F24C2EA" w14:textId="03B9D796" w:rsidR="00465162" w:rsidRPr="003201C9" w:rsidRDefault="00465162" w:rsidP="003201C9">
            <w:pPr>
              <w:tabs>
                <w:tab w:val="center" w:pos="284"/>
              </w:tabs>
              <w:overflowPunct w:val="0"/>
              <w:autoSpaceDE w:val="0"/>
              <w:autoSpaceDN w:val="0"/>
              <w:adjustRightInd w:val="0"/>
              <w:ind w:left="266" w:hanging="266"/>
              <w:textAlignment w:val="baseline"/>
              <w:rPr>
                <w:sz w:val="22"/>
                <w:szCs w:val="22"/>
              </w:rPr>
            </w:pPr>
            <w:r w:rsidRPr="003201C9">
              <w:rPr>
                <w:sz w:val="22"/>
                <w:szCs w:val="22"/>
              </w:rPr>
              <w:t>Giuseppe GUERINI (Gruppe Organisationen der Zivilgesellschaft – IT)</w:t>
            </w:r>
          </w:p>
        </w:tc>
      </w:tr>
      <w:tr w:rsidR="00465162" w:rsidRPr="003201C9" w14:paraId="39372820" w14:textId="77777777" w:rsidTr="004C1449">
        <w:tc>
          <w:tcPr>
            <w:tcW w:w="9322" w:type="dxa"/>
            <w:gridSpan w:val="2"/>
          </w:tcPr>
          <w:p w14:paraId="6C98B3D0" w14:textId="77777777" w:rsidR="00465162" w:rsidRPr="004C1449" w:rsidRDefault="00465162" w:rsidP="003201C9">
            <w:pPr>
              <w:tabs>
                <w:tab w:val="center" w:pos="284"/>
              </w:tabs>
              <w:overflowPunct w:val="0"/>
              <w:autoSpaceDE w:val="0"/>
              <w:autoSpaceDN w:val="0"/>
              <w:adjustRightInd w:val="0"/>
              <w:ind w:left="266" w:hanging="266"/>
              <w:textAlignment w:val="baseline"/>
              <w:rPr>
                <w:sz w:val="12"/>
                <w:szCs w:val="12"/>
              </w:rPr>
            </w:pPr>
          </w:p>
        </w:tc>
      </w:tr>
      <w:tr w:rsidR="00465162" w:rsidRPr="003201C9" w14:paraId="7C667684" w14:textId="77777777" w:rsidTr="004C1449">
        <w:tc>
          <w:tcPr>
            <w:tcW w:w="2110" w:type="dxa"/>
            <w:vMerge w:val="restart"/>
          </w:tcPr>
          <w:p w14:paraId="140B2D51" w14:textId="77777777" w:rsidR="00465162" w:rsidRPr="003201C9" w:rsidRDefault="00465162" w:rsidP="003201C9">
            <w:pPr>
              <w:tabs>
                <w:tab w:val="center" w:pos="284"/>
              </w:tabs>
              <w:overflowPunct w:val="0"/>
              <w:autoSpaceDE w:val="0"/>
              <w:autoSpaceDN w:val="0"/>
              <w:adjustRightInd w:val="0"/>
              <w:ind w:left="266" w:hanging="266"/>
              <w:textAlignment w:val="baseline"/>
              <w:rPr>
                <w:b/>
                <w:sz w:val="22"/>
                <w:szCs w:val="22"/>
              </w:rPr>
            </w:pPr>
            <w:r w:rsidRPr="003201C9">
              <w:rPr>
                <w:b/>
                <w:sz w:val="22"/>
                <w:szCs w:val="22"/>
              </w:rPr>
              <w:t>Referenzdokumente</w:t>
            </w:r>
          </w:p>
        </w:tc>
        <w:tc>
          <w:tcPr>
            <w:tcW w:w="7212" w:type="dxa"/>
          </w:tcPr>
          <w:p w14:paraId="0BD6402A" w14:textId="77777777" w:rsidR="00465162" w:rsidRPr="003201C9" w:rsidRDefault="00465162" w:rsidP="003201C9">
            <w:pPr>
              <w:tabs>
                <w:tab w:val="center" w:pos="284"/>
              </w:tabs>
              <w:overflowPunct w:val="0"/>
              <w:autoSpaceDE w:val="0"/>
              <w:autoSpaceDN w:val="0"/>
              <w:adjustRightInd w:val="0"/>
              <w:ind w:left="266" w:hanging="266"/>
              <w:textAlignment w:val="baseline"/>
              <w:rPr>
                <w:sz w:val="22"/>
                <w:szCs w:val="22"/>
              </w:rPr>
            </w:pPr>
            <w:r w:rsidRPr="003201C9">
              <w:rPr>
                <w:sz w:val="22"/>
                <w:szCs w:val="22"/>
              </w:rPr>
              <w:t>COM(2025) 500 final</w:t>
            </w:r>
          </w:p>
          <w:p w14:paraId="35684687" w14:textId="77777777" w:rsidR="00465162" w:rsidRPr="003201C9" w:rsidRDefault="00465162" w:rsidP="003201C9">
            <w:pPr>
              <w:tabs>
                <w:tab w:val="center" w:pos="284"/>
              </w:tabs>
              <w:overflowPunct w:val="0"/>
              <w:autoSpaceDE w:val="0"/>
              <w:autoSpaceDN w:val="0"/>
              <w:adjustRightInd w:val="0"/>
              <w:ind w:left="266" w:hanging="266"/>
              <w:textAlignment w:val="baseline"/>
              <w:rPr>
                <w:sz w:val="22"/>
                <w:szCs w:val="22"/>
              </w:rPr>
            </w:pPr>
            <w:r w:rsidRPr="003201C9">
              <w:rPr>
                <w:sz w:val="22"/>
                <w:szCs w:val="22"/>
              </w:rPr>
              <w:t>EESC-2025-01859-00-00-AC</w:t>
            </w:r>
          </w:p>
        </w:tc>
      </w:tr>
      <w:tr w:rsidR="00465162" w:rsidRPr="003201C9" w14:paraId="3287886F" w14:textId="77777777" w:rsidTr="004C1449">
        <w:tc>
          <w:tcPr>
            <w:tcW w:w="2110" w:type="dxa"/>
            <w:vMerge/>
          </w:tcPr>
          <w:p w14:paraId="01DD9F1E" w14:textId="77777777" w:rsidR="00465162" w:rsidRPr="003201C9" w:rsidRDefault="00465162" w:rsidP="003201C9">
            <w:pPr>
              <w:tabs>
                <w:tab w:val="center" w:pos="284"/>
              </w:tabs>
              <w:overflowPunct w:val="0"/>
              <w:autoSpaceDE w:val="0"/>
              <w:autoSpaceDN w:val="0"/>
              <w:adjustRightInd w:val="0"/>
              <w:ind w:left="266" w:hanging="266"/>
              <w:textAlignment w:val="baseline"/>
              <w:rPr>
                <w:b/>
                <w:sz w:val="22"/>
                <w:szCs w:val="22"/>
              </w:rPr>
            </w:pPr>
          </w:p>
        </w:tc>
        <w:tc>
          <w:tcPr>
            <w:tcW w:w="7212" w:type="dxa"/>
          </w:tcPr>
          <w:p w14:paraId="2E2DEA70" w14:textId="77777777" w:rsidR="00465162" w:rsidRPr="003201C9" w:rsidRDefault="00465162" w:rsidP="003201C9">
            <w:pPr>
              <w:tabs>
                <w:tab w:val="center" w:pos="284"/>
              </w:tabs>
              <w:overflowPunct w:val="0"/>
              <w:autoSpaceDE w:val="0"/>
              <w:autoSpaceDN w:val="0"/>
              <w:adjustRightInd w:val="0"/>
              <w:ind w:left="266" w:hanging="266"/>
              <w:textAlignment w:val="baseline"/>
              <w:rPr>
                <w:sz w:val="22"/>
                <w:szCs w:val="22"/>
              </w:rPr>
            </w:pPr>
          </w:p>
        </w:tc>
      </w:tr>
    </w:tbl>
    <w:p w14:paraId="1489C838" w14:textId="77777777" w:rsidR="00465162" w:rsidRPr="003201C9" w:rsidRDefault="00465162" w:rsidP="003201C9">
      <w:pPr>
        <w:keepNext/>
        <w:keepLines/>
        <w:tabs>
          <w:tab w:val="center" w:pos="284"/>
        </w:tabs>
        <w:overflowPunct w:val="0"/>
        <w:autoSpaceDE w:val="0"/>
        <w:autoSpaceDN w:val="0"/>
        <w:adjustRightInd w:val="0"/>
        <w:ind w:left="266" w:hanging="266"/>
        <w:textAlignment w:val="baseline"/>
        <w:rPr>
          <w:b/>
        </w:rPr>
      </w:pPr>
      <w:r w:rsidRPr="003201C9">
        <w:rPr>
          <w:b/>
        </w:rPr>
        <w:t>Kernaussagen</w:t>
      </w:r>
    </w:p>
    <w:p w14:paraId="04D2C12C" w14:textId="77777777" w:rsidR="00465162" w:rsidRPr="003201C9" w:rsidRDefault="00465162" w:rsidP="003201C9">
      <w:pPr>
        <w:keepNext/>
        <w:keepLines/>
        <w:tabs>
          <w:tab w:val="center" w:pos="284"/>
        </w:tabs>
        <w:overflowPunct w:val="0"/>
        <w:autoSpaceDE w:val="0"/>
        <w:autoSpaceDN w:val="0"/>
        <w:adjustRightInd w:val="0"/>
        <w:ind w:left="266" w:hanging="266"/>
        <w:textAlignment w:val="baseline"/>
        <w:rPr>
          <w:b/>
          <w:lang w:val="en-GB"/>
        </w:rPr>
      </w:pPr>
    </w:p>
    <w:p w14:paraId="24496AA3" w14:textId="77777777" w:rsidR="00465162" w:rsidRPr="003201C9" w:rsidRDefault="00465162" w:rsidP="003201C9">
      <w:pPr>
        <w:overflowPunct w:val="0"/>
        <w:autoSpaceDE w:val="0"/>
        <w:autoSpaceDN w:val="0"/>
        <w:adjustRightInd w:val="0"/>
        <w:textAlignment w:val="baseline"/>
        <w:rPr>
          <w:bCs/>
          <w:iCs/>
        </w:rPr>
      </w:pPr>
      <w:r w:rsidRPr="003201C9">
        <w:t>Der EWSA</w:t>
      </w:r>
    </w:p>
    <w:p w14:paraId="2F8CA4CA" w14:textId="77777777" w:rsidR="00465162" w:rsidRPr="003201C9" w:rsidRDefault="00465162" w:rsidP="003201C9">
      <w:pPr>
        <w:overflowPunct w:val="0"/>
        <w:autoSpaceDE w:val="0"/>
        <w:autoSpaceDN w:val="0"/>
        <w:adjustRightInd w:val="0"/>
        <w:textAlignment w:val="baseline"/>
        <w:rPr>
          <w:bCs/>
          <w:iCs/>
          <w:lang w:val="en-GB"/>
        </w:rPr>
      </w:pPr>
    </w:p>
    <w:p w14:paraId="419AAE5A" w14:textId="77777777" w:rsidR="00465162" w:rsidRPr="003201C9" w:rsidRDefault="00465162" w:rsidP="003201C9">
      <w:pPr>
        <w:numPr>
          <w:ilvl w:val="0"/>
          <w:numId w:val="24"/>
        </w:numPr>
        <w:overflowPunct w:val="0"/>
        <w:autoSpaceDE w:val="0"/>
        <w:autoSpaceDN w:val="0"/>
        <w:adjustRightInd w:val="0"/>
        <w:ind w:left="709" w:hanging="425"/>
        <w:contextualSpacing/>
        <w:textAlignment w:val="baseline"/>
        <w:rPr>
          <w:bCs/>
          <w:iCs/>
        </w:rPr>
      </w:pPr>
      <w:r w:rsidRPr="003201C9">
        <w:t>unterstützt uneingeschränkt die von der Kommission ermittelten Prioritäten, die den von den Interessenträgern ermittelten Herausforderungen entsprechen;</w:t>
      </w:r>
    </w:p>
    <w:p w14:paraId="634276BC" w14:textId="77777777" w:rsidR="00465162" w:rsidRPr="003201C9" w:rsidRDefault="00465162" w:rsidP="003201C9">
      <w:pPr>
        <w:numPr>
          <w:ilvl w:val="0"/>
          <w:numId w:val="24"/>
        </w:numPr>
        <w:overflowPunct w:val="0"/>
        <w:autoSpaceDE w:val="0"/>
        <w:autoSpaceDN w:val="0"/>
        <w:adjustRightInd w:val="0"/>
        <w:ind w:left="709" w:hanging="425"/>
        <w:contextualSpacing/>
        <w:textAlignment w:val="baseline"/>
        <w:rPr>
          <w:bCs/>
          <w:iCs/>
        </w:rPr>
      </w:pPr>
      <w:r w:rsidRPr="003201C9">
        <w:t>bekräftigt, dass die Vereinfachung der Rechtsvorschriften der uneingeschränkten Achtung der sozialen Rechte und der Arbeitnehmerrechte bedarf. Daher müssen das Europäische Parlament, die nationalen Parlamente und die Sozialpartner unbedingt bereits in der Frühphase des Gesetzgebungsverfahrens strukturell einbezogen werden;</w:t>
      </w:r>
    </w:p>
    <w:p w14:paraId="1A85E040" w14:textId="77777777" w:rsidR="00465162" w:rsidRPr="003201C9" w:rsidRDefault="00465162" w:rsidP="003201C9">
      <w:pPr>
        <w:numPr>
          <w:ilvl w:val="0"/>
          <w:numId w:val="24"/>
        </w:numPr>
        <w:overflowPunct w:val="0"/>
        <w:autoSpaceDE w:val="0"/>
        <w:autoSpaceDN w:val="0"/>
        <w:adjustRightInd w:val="0"/>
        <w:ind w:left="709" w:hanging="425"/>
        <w:contextualSpacing/>
        <w:textAlignment w:val="baseline"/>
        <w:rPr>
          <w:bCs/>
          <w:iCs/>
        </w:rPr>
      </w:pPr>
      <w:r w:rsidRPr="003201C9">
        <w:t>beabsichtigt, einen aktiveren Beitrag zur Steuerung des Binnenmarkts zu leisten, indem er unter anderem eine stärkere Rolle innerhalb der Taskforce für die Durchsetzung der Binnenmarktvorschriften (SMET) übernimmt;</w:t>
      </w:r>
    </w:p>
    <w:p w14:paraId="0DE50EC7" w14:textId="77777777" w:rsidR="00465162" w:rsidRPr="003201C9" w:rsidRDefault="00465162" w:rsidP="003201C9">
      <w:pPr>
        <w:numPr>
          <w:ilvl w:val="0"/>
          <w:numId w:val="24"/>
        </w:numPr>
        <w:overflowPunct w:val="0"/>
        <w:autoSpaceDE w:val="0"/>
        <w:autoSpaceDN w:val="0"/>
        <w:adjustRightInd w:val="0"/>
        <w:ind w:left="709" w:hanging="425"/>
        <w:contextualSpacing/>
        <w:textAlignment w:val="baseline"/>
        <w:rPr>
          <w:bCs/>
          <w:iCs/>
        </w:rPr>
      </w:pPr>
      <w:r w:rsidRPr="003201C9">
        <w:t>fordert die Kommission auf, Legislativvorschläge zur Beseitigung territorialer Versorgungsengpässe und zur Harmonisierung der Produktkennzeichnung vorzulegen;</w:t>
      </w:r>
    </w:p>
    <w:p w14:paraId="3DC83A6A" w14:textId="77777777" w:rsidR="00465162" w:rsidRPr="003201C9" w:rsidRDefault="00465162" w:rsidP="003201C9">
      <w:pPr>
        <w:numPr>
          <w:ilvl w:val="0"/>
          <w:numId w:val="24"/>
        </w:numPr>
        <w:overflowPunct w:val="0"/>
        <w:autoSpaceDE w:val="0"/>
        <w:autoSpaceDN w:val="0"/>
        <w:adjustRightInd w:val="0"/>
        <w:ind w:left="709" w:hanging="425"/>
        <w:contextualSpacing/>
        <w:textAlignment w:val="baseline"/>
        <w:rPr>
          <w:bCs/>
          <w:iCs/>
        </w:rPr>
      </w:pPr>
      <w:r w:rsidRPr="003201C9">
        <w:t>begrüßt den von der Kommission angekündigten Vorschlag für eine fakultative 28. Regelung für Unternehmen, betont jedoch, dass wirksame Schutzmaßnahmen gegen potenziellen Missbrauch erforderlich sind;</w:t>
      </w:r>
    </w:p>
    <w:p w14:paraId="52044ED1" w14:textId="77777777" w:rsidR="00465162" w:rsidRPr="003201C9" w:rsidRDefault="00465162" w:rsidP="003201C9">
      <w:pPr>
        <w:numPr>
          <w:ilvl w:val="0"/>
          <w:numId w:val="24"/>
        </w:numPr>
        <w:overflowPunct w:val="0"/>
        <w:autoSpaceDE w:val="0"/>
        <w:autoSpaceDN w:val="0"/>
        <w:adjustRightInd w:val="0"/>
        <w:ind w:left="709" w:hanging="425"/>
        <w:contextualSpacing/>
        <w:textAlignment w:val="baseline"/>
        <w:rPr>
          <w:bCs/>
          <w:iCs/>
        </w:rPr>
      </w:pPr>
      <w:r w:rsidRPr="003201C9">
        <w:t xml:space="preserve">anerkennt die Schlüsselrolle der Normung als Motor für Integration und Innovation, hebt jedoch die Grundsätze der Transparenz, der </w:t>
      </w:r>
      <w:proofErr w:type="spellStart"/>
      <w:r w:rsidRPr="003201C9">
        <w:t>Inklusivität</w:t>
      </w:r>
      <w:proofErr w:type="spellEnd"/>
      <w:r w:rsidRPr="003201C9">
        <w:t xml:space="preserve"> und der strukturierten Beteiligung hervor;</w:t>
      </w:r>
    </w:p>
    <w:p w14:paraId="4D4A10FA" w14:textId="77777777" w:rsidR="00465162" w:rsidRPr="003201C9" w:rsidRDefault="00465162" w:rsidP="003201C9">
      <w:pPr>
        <w:numPr>
          <w:ilvl w:val="0"/>
          <w:numId w:val="24"/>
        </w:numPr>
        <w:overflowPunct w:val="0"/>
        <w:autoSpaceDE w:val="0"/>
        <w:autoSpaceDN w:val="0"/>
        <w:adjustRightInd w:val="0"/>
        <w:ind w:left="709" w:hanging="425"/>
        <w:contextualSpacing/>
        <w:textAlignment w:val="baseline"/>
        <w:rPr>
          <w:bCs/>
          <w:iCs/>
        </w:rPr>
      </w:pPr>
      <w:r w:rsidRPr="003201C9">
        <w:t>befürwortet eine Vereinfachung der Anerkennung von Berufsqualifikationen, auch für Drittstaatsangehörige, betont jedoch, dass Qualifikationen klar definiert, überprüfbar und von nachgewiesener Qualität sein müssen;</w:t>
      </w:r>
    </w:p>
    <w:p w14:paraId="44855F90" w14:textId="77777777" w:rsidR="00465162" w:rsidRPr="003201C9" w:rsidRDefault="00465162" w:rsidP="003201C9">
      <w:pPr>
        <w:numPr>
          <w:ilvl w:val="0"/>
          <w:numId w:val="25"/>
        </w:numPr>
        <w:overflowPunct w:val="0"/>
        <w:autoSpaceDE w:val="0"/>
        <w:autoSpaceDN w:val="0"/>
        <w:adjustRightInd w:val="0"/>
        <w:ind w:left="709" w:hanging="425"/>
        <w:contextualSpacing/>
        <w:textAlignment w:val="baseline"/>
        <w:rPr>
          <w:bCs/>
          <w:iCs/>
        </w:rPr>
      </w:pPr>
      <w:r w:rsidRPr="003201C9">
        <w:t>befürwortet die Stärkung der Europäischen Arbeitsbehörde (ELA);</w:t>
      </w:r>
    </w:p>
    <w:p w14:paraId="36D1C1B4" w14:textId="79CF6FDB" w:rsidR="00465162" w:rsidRPr="003201C9" w:rsidRDefault="00465162" w:rsidP="003201C9">
      <w:pPr>
        <w:numPr>
          <w:ilvl w:val="0"/>
          <w:numId w:val="25"/>
        </w:numPr>
        <w:overflowPunct w:val="0"/>
        <w:autoSpaceDE w:val="0"/>
        <w:autoSpaceDN w:val="0"/>
        <w:adjustRightInd w:val="0"/>
        <w:ind w:left="709" w:hanging="425"/>
        <w:contextualSpacing/>
        <w:textAlignment w:val="baseline"/>
        <w:rPr>
          <w:bCs/>
          <w:iCs/>
        </w:rPr>
      </w:pPr>
      <w:r w:rsidRPr="003201C9">
        <w:t>fordert, den Binnenmarkt auch auf strategische Sektoren wie Energie und Finanzen auszuweiten; unterstreicht die Notwendigkeit einer inklusiven Steuerung und fordert eine Überarbeitung der Rechtsvorschriften über die öffentliche Auftragsvergabe. Gleichzeitig sollten geeignete Wege gefunden werden, um sozialen, ökologischen und innovationspolitischen Zielen Rechnung zu tragen.</w:t>
      </w:r>
    </w:p>
    <w:p w14:paraId="471E1854" w14:textId="77777777" w:rsidR="00465162" w:rsidRPr="003201C9" w:rsidRDefault="00465162" w:rsidP="003201C9">
      <w:pPr>
        <w:widowControl w:val="0"/>
        <w:overflowPunct w:val="0"/>
        <w:autoSpaceDE w:val="0"/>
        <w:autoSpaceDN w:val="0"/>
        <w:adjustRightInd w:val="0"/>
        <w:ind w:left="709"/>
        <w:textAlignment w:val="baseline"/>
      </w:pP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4995"/>
      </w:tblGrid>
      <w:tr w:rsidR="00465162" w:rsidRPr="003201C9" w14:paraId="7E653814" w14:textId="77777777" w:rsidTr="00C04690">
        <w:tc>
          <w:tcPr>
            <w:tcW w:w="2093" w:type="dxa"/>
          </w:tcPr>
          <w:p w14:paraId="6898358A" w14:textId="77777777" w:rsidR="00465162" w:rsidRPr="003201C9" w:rsidRDefault="00465162" w:rsidP="003201C9">
            <w:pPr>
              <w:overflowPunct w:val="0"/>
              <w:autoSpaceDE w:val="0"/>
              <w:autoSpaceDN w:val="0"/>
              <w:adjustRightInd w:val="0"/>
              <w:textAlignment w:val="baseline"/>
              <w:rPr>
                <w:i/>
                <w:sz w:val="22"/>
                <w:szCs w:val="22"/>
              </w:rPr>
            </w:pPr>
            <w:r w:rsidRPr="003201C9">
              <w:rPr>
                <w:b/>
                <w:i/>
                <w:sz w:val="22"/>
                <w:szCs w:val="22"/>
              </w:rPr>
              <w:t>Kontakt</w:t>
            </w:r>
          </w:p>
        </w:tc>
        <w:tc>
          <w:tcPr>
            <w:tcW w:w="4995" w:type="dxa"/>
          </w:tcPr>
          <w:p w14:paraId="324AE5F8" w14:textId="77777777" w:rsidR="00465162" w:rsidRPr="003201C9" w:rsidRDefault="00465162" w:rsidP="003201C9">
            <w:pPr>
              <w:overflowPunct w:val="0"/>
              <w:autoSpaceDE w:val="0"/>
              <w:autoSpaceDN w:val="0"/>
              <w:adjustRightInd w:val="0"/>
              <w:textAlignment w:val="baseline"/>
              <w:rPr>
                <w:i/>
                <w:sz w:val="22"/>
                <w:szCs w:val="22"/>
              </w:rPr>
            </w:pPr>
            <w:r w:rsidRPr="003201C9">
              <w:rPr>
                <w:i/>
                <w:sz w:val="22"/>
                <w:szCs w:val="22"/>
              </w:rPr>
              <w:t xml:space="preserve">Annalisa </w:t>
            </w:r>
            <w:proofErr w:type="spellStart"/>
            <w:r w:rsidRPr="003201C9">
              <w:rPr>
                <w:i/>
                <w:sz w:val="22"/>
                <w:szCs w:val="22"/>
              </w:rPr>
              <w:t>Tessarolo</w:t>
            </w:r>
            <w:proofErr w:type="spellEnd"/>
          </w:p>
        </w:tc>
      </w:tr>
      <w:tr w:rsidR="00465162" w:rsidRPr="003201C9" w14:paraId="3F0424C9" w14:textId="77777777" w:rsidTr="00C04690">
        <w:tc>
          <w:tcPr>
            <w:tcW w:w="2093" w:type="dxa"/>
          </w:tcPr>
          <w:p w14:paraId="0C254111" w14:textId="77777777" w:rsidR="00465162" w:rsidRPr="003201C9" w:rsidRDefault="00465162" w:rsidP="003201C9">
            <w:pPr>
              <w:overflowPunct w:val="0"/>
              <w:autoSpaceDE w:val="0"/>
              <w:autoSpaceDN w:val="0"/>
              <w:adjustRightInd w:val="0"/>
              <w:textAlignment w:val="baseline"/>
              <w:rPr>
                <w:i/>
                <w:sz w:val="22"/>
                <w:szCs w:val="22"/>
              </w:rPr>
            </w:pPr>
            <w:r w:rsidRPr="003201C9">
              <w:rPr>
                <w:i/>
                <w:sz w:val="22"/>
                <w:szCs w:val="22"/>
              </w:rPr>
              <w:t>Tel.</w:t>
            </w:r>
          </w:p>
        </w:tc>
        <w:tc>
          <w:tcPr>
            <w:tcW w:w="4995" w:type="dxa"/>
          </w:tcPr>
          <w:p w14:paraId="0C3DEEF0" w14:textId="77777777" w:rsidR="00465162" w:rsidRPr="003201C9" w:rsidRDefault="00465162" w:rsidP="003201C9">
            <w:pPr>
              <w:overflowPunct w:val="0"/>
              <w:autoSpaceDE w:val="0"/>
              <w:autoSpaceDN w:val="0"/>
              <w:adjustRightInd w:val="0"/>
              <w:textAlignment w:val="baseline"/>
              <w:rPr>
                <w:i/>
                <w:sz w:val="22"/>
                <w:szCs w:val="22"/>
              </w:rPr>
            </w:pPr>
            <w:r w:rsidRPr="003201C9">
              <w:rPr>
                <w:i/>
                <w:sz w:val="22"/>
                <w:szCs w:val="22"/>
              </w:rPr>
              <w:t>+ 32 25469732</w:t>
            </w:r>
          </w:p>
        </w:tc>
      </w:tr>
      <w:tr w:rsidR="00465162" w:rsidRPr="003201C9" w14:paraId="6449EA12" w14:textId="77777777" w:rsidTr="00C04690">
        <w:tc>
          <w:tcPr>
            <w:tcW w:w="2093" w:type="dxa"/>
          </w:tcPr>
          <w:p w14:paraId="1D040452" w14:textId="0B90490C" w:rsidR="00465162" w:rsidRPr="003201C9" w:rsidRDefault="00034990" w:rsidP="003201C9">
            <w:pPr>
              <w:overflowPunct w:val="0"/>
              <w:autoSpaceDE w:val="0"/>
              <w:autoSpaceDN w:val="0"/>
              <w:adjustRightInd w:val="0"/>
              <w:textAlignment w:val="baseline"/>
              <w:rPr>
                <w:i/>
                <w:sz w:val="22"/>
                <w:szCs w:val="22"/>
              </w:rPr>
            </w:pPr>
            <w:r w:rsidRPr="003201C9">
              <w:rPr>
                <w:i/>
                <w:sz w:val="22"/>
                <w:szCs w:val="22"/>
              </w:rPr>
              <w:t>E-Mail</w:t>
            </w:r>
          </w:p>
        </w:tc>
        <w:tc>
          <w:tcPr>
            <w:tcW w:w="4995" w:type="dxa"/>
          </w:tcPr>
          <w:p w14:paraId="3E267456" w14:textId="77777777" w:rsidR="00465162" w:rsidRPr="003201C9" w:rsidRDefault="000055E5" w:rsidP="003201C9">
            <w:pPr>
              <w:overflowPunct w:val="0"/>
              <w:autoSpaceDE w:val="0"/>
              <w:autoSpaceDN w:val="0"/>
              <w:adjustRightInd w:val="0"/>
              <w:textAlignment w:val="baseline"/>
              <w:rPr>
                <w:i/>
                <w:sz w:val="22"/>
                <w:szCs w:val="22"/>
              </w:rPr>
            </w:pPr>
            <w:hyperlink r:id="rId35" w:history="1">
              <w:r w:rsidR="00F74BC3" w:rsidRPr="003201C9">
                <w:rPr>
                  <w:i/>
                  <w:color w:val="0000FF"/>
                  <w:sz w:val="22"/>
                  <w:szCs w:val="22"/>
                  <w:u w:val="single"/>
                </w:rPr>
                <w:t>Annalisa.Tessarolo@eesc.europa.eu</w:t>
              </w:r>
            </w:hyperlink>
          </w:p>
        </w:tc>
      </w:tr>
    </w:tbl>
    <w:p w14:paraId="7BF91C3B" w14:textId="274B597C" w:rsidR="008A6059" w:rsidRPr="008A6059" w:rsidRDefault="00465162" w:rsidP="003201C9">
      <w:pPr>
        <w:widowControl w:val="0"/>
        <w:numPr>
          <w:ilvl w:val="0"/>
          <w:numId w:val="4"/>
        </w:numPr>
        <w:overflowPunct w:val="0"/>
        <w:autoSpaceDE w:val="0"/>
        <w:autoSpaceDN w:val="0"/>
        <w:adjustRightInd w:val="0"/>
        <w:ind w:hanging="567"/>
        <w:textAlignment w:val="baseline"/>
        <w:rPr>
          <w:sz w:val="20"/>
          <w:szCs w:val="20"/>
        </w:rPr>
      </w:pPr>
      <w:r w:rsidRPr="003201C9">
        <w:br w:type="page"/>
      </w:r>
      <w:hyperlink r:id="rId36" w:tgtFrame="_blank" w:history="1">
        <w:r>
          <w:rPr>
            <w:b/>
            <w:i/>
            <w:color w:val="0000FF"/>
            <w:sz w:val="28"/>
            <w:u w:val="single"/>
          </w:rPr>
          <w:t>Bericht über die Wettbewerbspolitik 2024</w:t>
        </w:r>
      </w:hyperlink>
    </w:p>
    <w:p w14:paraId="1EBCF21B" w14:textId="77777777" w:rsidR="008A6059" w:rsidRPr="003201C9" w:rsidRDefault="008A6059" w:rsidP="003201C9">
      <w:pPr>
        <w:tabs>
          <w:tab w:val="center" w:pos="284"/>
        </w:tabs>
        <w:overflowPunct w:val="0"/>
        <w:autoSpaceDE w:val="0"/>
        <w:autoSpaceDN w:val="0"/>
        <w:adjustRightInd w:val="0"/>
        <w:ind w:left="266" w:hanging="266"/>
        <w:textAlignment w:val="baseline"/>
        <w:rPr>
          <w:b/>
          <w:lang w:val="en-GB"/>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0"/>
        <w:gridCol w:w="5387"/>
      </w:tblGrid>
      <w:tr w:rsidR="008A6059" w:rsidRPr="003201C9" w14:paraId="2893C03B" w14:textId="77777777" w:rsidTr="0036489A">
        <w:tc>
          <w:tcPr>
            <w:tcW w:w="1701" w:type="dxa"/>
          </w:tcPr>
          <w:p w14:paraId="51A0B439" w14:textId="77777777" w:rsidR="008A6059" w:rsidRPr="003201C9" w:rsidRDefault="008A6059" w:rsidP="003201C9">
            <w:pPr>
              <w:tabs>
                <w:tab w:val="center" w:pos="284"/>
              </w:tabs>
              <w:overflowPunct w:val="0"/>
              <w:autoSpaceDE w:val="0"/>
              <w:autoSpaceDN w:val="0"/>
              <w:adjustRightInd w:val="0"/>
              <w:ind w:left="266" w:hanging="266"/>
              <w:textAlignment w:val="baseline"/>
              <w:rPr>
                <w:b/>
                <w:sz w:val="22"/>
                <w:szCs w:val="22"/>
              </w:rPr>
            </w:pPr>
            <w:r w:rsidRPr="003201C9">
              <w:rPr>
                <w:b/>
                <w:sz w:val="22"/>
                <w:szCs w:val="22"/>
              </w:rPr>
              <w:t>Berichterstatter</w:t>
            </w:r>
          </w:p>
        </w:tc>
        <w:tc>
          <w:tcPr>
            <w:tcW w:w="5387" w:type="dxa"/>
          </w:tcPr>
          <w:p w14:paraId="1D2ED450" w14:textId="10B4B8A6" w:rsidR="008A6059" w:rsidRPr="003201C9" w:rsidRDefault="008A6059" w:rsidP="003201C9">
            <w:pPr>
              <w:tabs>
                <w:tab w:val="center" w:pos="284"/>
              </w:tabs>
              <w:overflowPunct w:val="0"/>
              <w:autoSpaceDE w:val="0"/>
              <w:autoSpaceDN w:val="0"/>
              <w:adjustRightInd w:val="0"/>
              <w:ind w:left="266" w:hanging="266"/>
              <w:textAlignment w:val="baseline"/>
              <w:rPr>
                <w:sz w:val="22"/>
                <w:szCs w:val="22"/>
              </w:rPr>
            </w:pPr>
            <w:r w:rsidRPr="003201C9">
              <w:rPr>
                <w:sz w:val="22"/>
                <w:szCs w:val="22"/>
              </w:rPr>
              <w:t>Andrea MONE (Gruppe Arbeitnehmer – IT)</w:t>
            </w:r>
          </w:p>
        </w:tc>
      </w:tr>
      <w:tr w:rsidR="008A6059" w:rsidRPr="003201C9" w14:paraId="55F5B62B" w14:textId="77777777" w:rsidTr="0036489A">
        <w:tc>
          <w:tcPr>
            <w:tcW w:w="7088" w:type="dxa"/>
            <w:gridSpan w:val="2"/>
          </w:tcPr>
          <w:p w14:paraId="47424FA1" w14:textId="77777777" w:rsidR="008A6059" w:rsidRPr="004C1449" w:rsidRDefault="008A6059" w:rsidP="003201C9">
            <w:pPr>
              <w:tabs>
                <w:tab w:val="center" w:pos="284"/>
              </w:tabs>
              <w:overflowPunct w:val="0"/>
              <w:autoSpaceDE w:val="0"/>
              <w:autoSpaceDN w:val="0"/>
              <w:adjustRightInd w:val="0"/>
              <w:ind w:left="266" w:hanging="266"/>
              <w:textAlignment w:val="baseline"/>
              <w:rPr>
                <w:sz w:val="12"/>
                <w:szCs w:val="12"/>
              </w:rPr>
            </w:pPr>
          </w:p>
        </w:tc>
      </w:tr>
      <w:tr w:rsidR="008A6059" w:rsidRPr="003201C9" w14:paraId="6946E1F7" w14:textId="77777777" w:rsidTr="0036489A">
        <w:tc>
          <w:tcPr>
            <w:tcW w:w="1701" w:type="dxa"/>
            <w:vMerge w:val="restart"/>
          </w:tcPr>
          <w:p w14:paraId="4E5A71ED" w14:textId="77777777" w:rsidR="008A6059" w:rsidRPr="003201C9" w:rsidRDefault="008A6059" w:rsidP="003201C9">
            <w:pPr>
              <w:tabs>
                <w:tab w:val="center" w:pos="284"/>
              </w:tabs>
              <w:overflowPunct w:val="0"/>
              <w:autoSpaceDE w:val="0"/>
              <w:autoSpaceDN w:val="0"/>
              <w:adjustRightInd w:val="0"/>
              <w:ind w:left="266" w:hanging="266"/>
              <w:textAlignment w:val="baseline"/>
              <w:rPr>
                <w:b/>
                <w:sz w:val="22"/>
                <w:szCs w:val="22"/>
              </w:rPr>
            </w:pPr>
            <w:r w:rsidRPr="003201C9">
              <w:rPr>
                <w:b/>
                <w:sz w:val="22"/>
                <w:szCs w:val="22"/>
              </w:rPr>
              <w:t>Referenzdokumente</w:t>
            </w:r>
          </w:p>
        </w:tc>
        <w:tc>
          <w:tcPr>
            <w:tcW w:w="5387" w:type="dxa"/>
          </w:tcPr>
          <w:p w14:paraId="7ED176EC" w14:textId="77777777" w:rsidR="008A6059" w:rsidRPr="003201C9" w:rsidRDefault="008A6059" w:rsidP="003201C9">
            <w:pPr>
              <w:tabs>
                <w:tab w:val="center" w:pos="284"/>
              </w:tabs>
              <w:overflowPunct w:val="0"/>
              <w:autoSpaceDE w:val="0"/>
              <w:autoSpaceDN w:val="0"/>
              <w:adjustRightInd w:val="0"/>
              <w:ind w:left="266" w:hanging="266"/>
              <w:textAlignment w:val="baseline"/>
              <w:rPr>
                <w:sz w:val="22"/>
                <w:szCs w:val="22"/>
              </w:rPr>
            </w:pPr>
            <w:r w:rsidRPr="003201C9">
              <w:rPr>
                <w:sz w:val="22"/>
                <w:szCs w:val="22"/>
              </w:rPr>
              <w:t>COM(2025) 181 final</w:t>
            </w:r>
          </w:p>
          <w:p w14:paraId="44CC362B" w14:textId="77777777" w:rsidR="008A6059" w:rsidRPr="003201C9" w:rsidRDefault="008A6059" w:rsidP="003201C9">
            <w:pPr>
              <w:tabs>
                <w:tab w:val="center" w:pos="284"/>
              </w:tabs>
              <w:overflowPunct w:val="0"/>
              <w:autoSpaceDE w:val="0"/>
              <w:autoSpaceDN w:val="0"/>
              <w:adjustRightInd w:val="0"/>
              <w:ind w:left="266" w:hanging="266"/>
              <w:textAlignment w:val="baseline"/>
              <w:rPr>
                <w:sz w:val="22"/>
                <w:szCs w:val="22"/>
              </w:rPr>
            </w:pPr>
            <w:r w:rsidRPr="003201C9">
              <w:rPr>
                <w:sz w:val="22"/>
                <w:szCs w:val="22"/>
              </w:rPr>
              <w:t>EESC-2025-02299-00-00-AC</w:t>
            </w:r>
          </w:p>
        </w:tc>
      </w:tr>
      <w:tr w:rsidR="008A6059" w:rsidRPr="003201C9" w14:paraId="7566A6A0" w14:textId="77777777" w:rsidTr="0036489A">
        <w:tc>
          <w:tcPr>
            <w:tcW w:w="1701" w:type="dxa"/>
            <w:vMerge/>
          </w:tcPr>
          <w:p w14:paraId="5F57B278" w14:textId="77777777" w:rsidR="008A6059" w:rsidRPr="003201C9" w:rsidRDefault="008A6059" w:rsidP="003201C9">
            <w:pPr>
              <w:tabs>
                <w:tab w:val="center" w:pos="284"/>
              </w:tabs>
              <w:overflowPunct w:val="0"/>
              <w:autoSpaceDE w:val="0"/>
              <w:autoSpaceDN w:val="0"/>
              <w:adjustRightInd w:val="0"/>
              <w:ind w:left="266" w:hanging="266"/>
              <w:textAlignment w:val="baseline"/>
              <w:rPr>
                <w:b/>
                <w:sz w:val="22"/>
                <w:szCs w:val="22"/>
              </w:rPr>
            </w:pPr>
          </w:p>
        </w:tc>
        <w:tc>
          <w:tcPr>
            <w:tcW w:w="5387" w:type="dxa"/>
          </w:tcPr>
          <w:p w14:paraId="42669B75" w14:textId="77777777" w:rsidR="008A6059" w:rsidRPr="003201C9" w:rsidRDefault="008A6059" w:rsidP="003201C9">
            <w:pPr>
              <w:tabs>
                <w:tab w:val="center" w:pos="284"/>
              </w:tabs>
              <w:overflowPunct w:val="0"/>
              <w:autoSpaceDE w:val="0"/>
              <w:autoSpaceDN w:val="0"/>
              <w:adjustRightInd w:val="0"/>
              <w:ind w:left="266" w:hanging="266"/>
              <w:textAlignment w:val="baseline"/>
              <w:rPr>
                <w:sz w:val="22"/>
                <w:szCs w:val="22"/>
              </w:rPr>
            </w:pPr>
          </w:p>
        </w:tc>
      </w:tr>
    </w:tbl>
    <w:p w14:paraId="7E134121" w14:textId="77777777" w:rsidR="008A6059" w:rsidRPr="003201C9" w:rsidRDefault="008A6059" w:rsidP="003201C9">
      <w:pPr>
        <w:tabs>
          <w:tab w:val="center" w:pos="284"/>
        </w:tabs>
        <w:overflowPunct w:val="0"/>
        <w:autoSpaceDE w:val="0"/>
        <w:autoSpaceDN w:val="0"/>
        <w:adjustRightInd w:val="0"/>
        <w:ind w:left="266" w:hanging="266"/>
        <w:textAlignment w:val="baseline"/>
        <w:rPr>
          <w:lang w:val="en-GB"/>
        </w:rPr>
      </w:pPr>
    </w:p>
    <w:p w14:paraId="43B69CAE" w14:textId="77777777" w:rsidR="008A6059" w:rsidRPr="003201C9" w:rsidRDefault="008A6059" w:rsidP="003201C9">
      <w:pPr>
        <w:keepNext/>
        <w:keepLines/>
        <w:tabs>
          <w:tab w:val="center" w:pos="284"/>
        </w:tabs>
        <w:overflowPunct w:val="0"/>
        <w:autoSpaceDE w:val="0"/>
        <w:autoSpaceDN w:val="0"/>
        <w:adjustRightInd w:val="0"/>
        <w:ind w:left="266" w:hanging="266"/>
        <w:textAlignment w:val="baseline"/>
        <w:rPr>
          <w:b/>
        </w:rPr>
      </w:pPr>
      <w:r w:rsidRPr="003201C9">
        <w:rPr>
          <w:b/>
        </w:rPr>
        <w:t>Kernaussagen</w:t>
      </w:r>
    </w:p>
    <w:p w14:paraId="4FA58545" w14:textId="77777777" w:rsidR="008A6059" w:rsidRPr="003201C9" w:rsidRDefault="008A6059" w:rsidP="003201C9">
      <w:pPr>
        <w:keepNext/>
        <w:keepLines/>
        <w:tabs>
          <w:tab w:val="center" w:pos="284"/>
        </w:tabs>
        <w:overflowPunct w:val="0"/>
        <w:autoSpaceDE w:val="0"/>
        <w:autoSpaceDN w:val="0"/>
        <w:adjustRightInd w:val="0"/>
        <w:ind w:left="266" w:hanging="266"/>
        <w:textAlignment w:val="baseline"/>
        <w:rPr>
          <w:b/>
          <w:lang w:val="en-GB"/>
        </w:rPr>
      </w:pPr>
    </w:p>
    <w:p w14:paraId="1BF67B8A" w14:textId="77777777" w:rsidR="008A6059" w:rsidRPr="003201C9" w:rsidRDefault="008A6059" w:rsidP="003201C9">
      <w:pPr>
        <w:overflowPunct w:val="0"/>
        <w:autoSpaceDE w:val="0"/>
        <w:autoSpaceDN w:val="0"/>
        <w:adjustRightInd w:val="0"/>
        <w:textAlignment w:val="baseline"/>
        <w:rPr>
          <w:bCs/>
          <w:iCs/>
        </w:rPr>
      </w:pPr>
      <w:r w:rsidRPr="003201C9">
        <w:t>Der EWSA</w:t>
      </w:r>
    </w:p>
    <w:p w14:paraId="59EE1DF2" w14:textId="77777777" w:rsidR="008A6059" w:rsidRPr="003201C9" w:rsidRDefault="008A6059" w:rsidP="003201C9">
      <w:pPr>
        <w:overflowPunct w:val="0"/>
        <w:autoSpaceDE w:val="0"/>
        <w:autoSpaceDN w:val="0"/>
        <w:adjustRightInd w:val="0"/>
        <w:textAlignment w:val="baseline"/>
        <w:rPr>
          <w:bCs/>
          <w:iCs/>
          <w:lang w:val="en-GB"/>
        </w:rPr>
      </w:pPr>
    </w:p>
    <w:p w14:paraId="1EFFAB53" w14:textId="77777777" w:rsidR="008A6059" w:rsidRPr="003201C9" w:rsidRDefault="008A6059" w:rsidP="003201C9">
      <w:pPr>
        <w:numPr>
          <w:ilvl w:val="0"/>
          <w:numId w:val="26"/>
        </w:numPr>
        <w:tabs>
          <w:tab w:val="clear" w:pos="720"/>
          <w:tab w:val="num" w:pos="284"/>
        </w:tabs>
        <w:overflowPunct w:val="0"/>
        <w:autoSpaceDE w:val="0"/>
        <w:autoSpaceDN w:val="0"/>
        <w:adjustRightInd w:val="0"/>
        <w:ind w:left="709" w:hanging="425"/>
        <w:contextualSpacing/>
        <w:textAlignment w:val="baseline"/>
      </w:pPr>
      <w:r w:rsidRPr="003201C9">
        <w:t xml:space="preserve">begrüßt den </w:t>
      </w:r>
      <w:r w:rsidRPr="003201C9">
        <w:rPr>
          <w:b/>
        </w:rPr>
        <w:t>2024 von der Kommission angenommenen Ansatz für die Durchsetzung</w:t>
      </w:r>
      <w:r w:rsidRPr="003201C9">
        <w:t xml:space="preserve"> der Wettbewerbspolitik, um sie an die Digital-, Umwelt- und </w:t>
      </w:r>
      <w:proofErr w:type="spellStart"/>
      <w:r w:rsidRPr="003201C9">
        <w:t>Resilienzziele</w:t>
      </w:r>
      <w:proofErr w:type="spellEnd"/>
      <w:r w:rsidRPr="003201C9">
        <w:t xml:space="preserve"> der EU anzugleichen und dabei einen gut funktionierenden und wettbewerbsfähigen Binnenmarkt aufrechtzuerhalten;</w:t>
      </w:r>
    </w:p>
    <w:p w14:paraId="607132BD" w14:textId="77777777" w:rsidR="008A6059" w:rsidRPr="003201C9" w:rsidRDefault="008A6059" w:rsidP="003201C9">
      <w:pPr>
        <w:numPr>
          <w:ilvl w:val="0"/>
          <w:numId w:val="26"/>
        </w:numPr>
        <w:tabs>
          <w:tab w:val="clear" w:pos="720"/>
          <w:tab w:val="num" w:pos="284"/>
        </w:tabs>
        <w:overflowPunct w:val="0"/>
        <w:autoSpaceDE w:val="0"/>
        <w:autoSpaceDN w:val="0"/>
        <w:adjustRightInd w:val="0"/>
        <w:ind w:left="709" w:hanging="425"/>
        <w:contextualSpacing/>
        <w:textAlignment w:val="baseline"/>
      </w:pPr>
      <w:r w:rsidRPr="003201C9">
        <w:t xml:space="preserve">unterstützt die Bemühungen der Kommission, die </w:t>
      </w:r>
      <w:r w:rsidRPr="003201C9">
        <w:rPr>
          <w:b/>
        </w:rPr>
        <w:t>Wirksamkeit und Berechenbarkeit der Wettbewerbsregeln</w:t>
      </w:r>
      <w:r w:rsidRPr="003201C9">
        <w:t xml:space="preserve"> zu verbessern, einschließlich der Entwicklung neuer Leitlinien zu Behinderungsmissbrauch durch marktbeherrschende Stellungen, der aktualisierten Bekanntmachung über die Marktabgrenzung und verbesserter Instrumente zur Bewertung der Auswirkungen auf das Verbraucherwohl;</w:t>
      </w:r>
    </w:p>
    <w:p w14:paraId="30166AC6" w14:textId="77777777" w:rsidR="008A6059" w:rsidRPr="003201C9" w:rsidRDefault="008A6059" w:rsidP="003201C9">
      <w:pPr>
        <w:numPr>
          <w:ilvl w:val="0"/>
          <w:numId w:val="26"/>
        </w:numPr>
        <w:tabs>
          <w:tab w:val="clear" w:pos="720"/>
          <w:tab w:val="num" w:pos="284"/>
        </w:tabs>
        <w:overflowPunct w:val="0"/>
        <w:autoSpaceDE w:val="0"/>
        <w:autoSpaceDN w:val="0"/>
        <w:adjustRightInd w:val="0"/>
        <w:ind w:left="709" w:hanging="425"/>
        <w:contextualSpacing/>
        <w:textAlignment w:val="baseline"/>
      </w:pPr>
      <w:r w:rsidRPr="003201C9">
        <w:t xml:space="preserve">betont, dass die Herausforderungen des Wettbewerbs auf den </w:t>
      </w:r>
      <w:r w:rsidRPr="003201C9">
        <w:rPr>
          <w:b/>
        </w:rPr>
        <w:t>digitalen Märkten</w:t>
      </w:r>
      <w:r w:rsidRPr="003201C9">
        <w:t xml:space="preserve"> bewältigt werden müssen und fordert die Kommission auf, die Durchsetzung sowohl im Rahmen der traditionellen Wettbewerbsvorschriften als auch des Gesetzes über digitale Märkte angesichts der strukturellen Dominanz und der Marktzutrittsschranken bei plattformbasierten Geschäftsmodellen weiter zu verstärken;</w:t>
      </w:r>
    </w:p>
    <w:p w14:paraId="2C7DEA84" w14:textId="77777777" w:rsidR="008A6059" w:rsidRPr="003201C9" w:rsidRDefault="008A6059" w:rsidP="003201C9">
      <w:pPr>
        <w:numPr>
          <w:ilvl w:val="0"/>
          <w:numId w:val="26"/>
        </w:numPr>
        <w:tabs>
          <w:tab w:val="clear" w:pos="720"/>
          <w:tab w:val="num" w:pos="284"/>
        </w:tabs>
        <w:overflowPunct w:val="0"/>
        <w:autoSpaceDE w:val="0"/>
        <w:autoSpaceDN w:val="0"/>
        <w:adjustRightInd w:val="0"/>
        <w:ind w:left="709" w:hanging="425"/>
        <w:contextualSpacing/>
        <w:textAlignment w:val="baseline"/>
      </w:pPr>
      <w:r w:rsidRPr="003201C9">
        <w:t xml:space="preserve">fordert eine </w:t>
      </w:r>
      <w:r w:rsidRPr="003201C9">
        <w:rPr>
          <w:b/>
        </w:rPr>
        <w:t>stärkere Fusionskontrolle</w:t>
      </w:r>
      <w:r w:rsidRPr="003201C9">
        <w:t xml:space="preserve">, einschließlich eines Rahmens für die Prüfung von unter dem Schwellenwert liegenden Übernahmen, die den Wettbewerb beeinträchtigen können (z. B. „Killer-Übernahmen“), und tritt nachdrücklich dafür ein, die </w:t>
      </w:r>
      <w:r w:rsidRPr="003201C9">
        <w:rPr>
          <w:b/>
        </w:rPr>
        <w:t>Auswirkungen auf den Arbeitsmarkt und die Innovationsdynamik</w:t>
      </w:r>
      <w:r w:rsidRPr="003201C9">
        <w:t xml:space="preserve"> bei der Bewertung von Fusionen </w:t>
      </w:r>
      <w:r w:rsidRPr="003201C9">
        <w:rPr>
          <w:b/>
        </w:rPr>
        <w:t>stärker zu berücksichtigen</w:t>
      </w:r>
      <w:r w:rsidRPr="003201C9">
        <w:t>;</w:t>
      </w:r>
    </w:p>
    <w:p w14:paraId="47C13D78" w14:textId="77777777" w:rsidR="008A6059" w:rsidRPr="003201C9" w:rsidRDefault="008A6059" w:rsidP="003201C9">
      <w:pPr>
        <w:numPr>
          <w:ilvl w:val="0"/>
          <w:numId w:val="26"/>
        </w:numPr>
        <w:tabs>
          <w:tab w:val="clear" w:pos="720"/>
          <w:tab w:val="num" w:pos="284"/>
        </w:tabs>
        <w:overflowPunct w:val="0"/>
        <w:autoSpaceDE w:val="0"/>
        <w:autoSpaceDN w:val="0"/>
        <w:adjustRightInd w:val="0"/>
        <w:ind w:left="709" w:hanging="425"/>
        <w:contextualSpacing/>
        <w:textAlignment w:val="baseline"/>
      </w:pPr>
      <w:r w:rsidRPr="003201C9">
        <w:t xml:space="preserve">betont, dass </w:t>
      </w:r>
      <w:r w:rsidRPr="003201C9">
        <w:rPr>
          <w:b/>
        </w:rPr>
        <w:t>Vorschriften über staatliche Beihilfen</w:t>
      </w:r>
      <w:r w:rsidRPr="003201C9">
        <w:t xml:space="preserve"> – insbesondere im Zuge des neuen Rahmens für staatliche Beihilfen für den Deal für eine saubere Industrie (CISAF) und der wichtigen Vorhaben von gemeinsamem europäischem Interesse (IPCEI) – erforderlich sind, um die </w:t>
      </w:r>
      <w:r w:rsidRPr="003201C9">
        <w:rPr>
          <w:b/>
        </w:rPr>
        <w:t>grenzüberschreitende Beteiligung</w:t>
      </w:r>
      <w:r w:rsidRPr="003201C9">
        <w:t xml:space="preserve"> zu fördern, </w:t>
      </w:r>
      <w:r w:rsidRPr="003201C9">
        <w:rPr>
          <w:b/>
        </w:rPr>
        <w:t>die Fragmentierung abzubauen und strategische Investitionen zu unterstützen</w:t>
      </w:r>
      <w:r w:rsidRPr="003201C9">
        <w:t>, die für den Deal für eine saubere Industrie von wesentlicher Bedeutung sind, und gleichzeitig den Zusammenhalt und gleiche Wettbewerbsbedingungen in allen Mitgliedstaaten sicherzustellen.</w:t>
      </w:r>
    </w:p>
    <w:p w14:paraId="5B6011EA" w14:textId="77777777" w:rsidR="008A6059" w:rsidRPr="003201C9" w:rsidRDefault="008A6059" w:rsidP="003201C9">
      <w:pPr>
        <w:widowControl w:val="0"/>
        <w:overflowPunct w:val="0"/>
        <w:autoSpaceDE w:val="0"/>
        <w:autoSpaceDN w:val="0"/>
        <w:adjustRightInd w:val="0"/>
        <w:ind w:left="709"/>
        <w:textAlignment w:val="baseline"/>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4995"/>
      </w:tblGrid>
      <w:tr w:rsidR="008A6059" w:rsidRPr="003201C9" w14:paraId="60D2607C" w14:textId="77777777" w:rsidTr="004C1449">
        <w:tc>
          <w:tcPr>
            <w:tcW w:w="2093" w:type="dxa"/>
          </w:tcPr>
          <w:p w14:paraId="0F9C1860" w14:textId="77777777" w:rsidR="008A6059" w:rsidRPr="003201C9" w:rsidRDefault="008A6059" w:rsidP="003201C9">
            <w:pPr>
              <w:overflowPunct w:val="0"/>
              <w:autoSpaceDE w:val="0"/>
              <w:autoSpaceDN w:val="0"/>
              <w:adjustRightInd w:val="0"/>
              <w:textAlignment w:val="baseline"/>
              <w:rPr>
                <w:i/>
                <w:sz w:val="22"/>
                <w:szCs w:val="22"/>
              </w:rPr>
            </w:pPr>
            <w:r w:rsidRPr="003201C9">
              <w:rPr>
                <w:b/>
                <w:i/>
                <w:sz w:val="22"/>
                <w:szCs w:val="22"/>
              </w:rPr>
              <w:t>Kontakt</w:t>
            </w:r>
          </w:p>
        </w:tc>
        <w:tc>
          <w:tcPr>
            <w:tcW w:w="4995" w:type="dxa"/>
          </w:tcPr>
          <w:p w14:paraId="725FD099" w14:textId="77777777" w:rsidR="008A6059" w:rsidRPr="003201C9" w:rsidRDefault="008A6059" w:rsidP="003201C9">
            <w:pPr>
              <w:overflowPunct w:val="0"/>
              <w:autoSpaceDE w:val="0"/>
              <w:autoSpaceDN w:val="0"/>
              <w:adjustRightInd w:val="0"/>
              <w:textAlignment w:val="baseline"/>
              <w:rPr>
                <w:i/>
                <w:sz w:val="22"/>
                <w:szCs w:val="22"/>
              </w:rPr>
            </w:pPr>
            <w:r w:rsidRPr="003201C9">
              <w:rPr>
                <w:i/>
                <w:sz w:val="22"/>
                <w:szCs w:val="22"/>
              </w:rPr>
              <w:t xml:space="preserve">Silvia </w:t>
            </w:r>
            <w:proofErr w:type="spellStart"/>
            <w:r w:rsidRPr="003201C9">
              <w:rPr>
                <w:i/>
                <w:sz w:val="22"/>
                <w:szCs w:val="22"/>
              </w:rPr>
              <w:t>Staffa</w:t>
            </w:r>
            <w:proofErr w:type="spellEnd"/>
          </w:p>
        </w:tc>
      </w:tr>
      <w:tr w:rsidR="008A6059" w:rsidRPr="003201C9" w14:paraId="3BAB393F" w14:textId="77777777" w:rsidTr="004C1449">
        <w:tc>
          <w:tcPr>
            <w:tcW w:w="2093" w:type="dxa"/>
          </w:tcPr>
          <w:p w14:paraId="01CC6C43" w14:textId="77777777" w:rsidR="008A6059" w:rsidRPr="003201C9" w:rsidRDefault="008A6059" w:rsidP="003201C9">
            <w:pPr>
              <w:overflowPunct w:val="0"/>
              <w:autoSpaceDE w:val="0"/>
              <w:autoSpaceDN w:val="0"/>
              <w:adjustRightInd w:val="0"/>
              <w:textAlignment w:val="baseline"/>
              <w:rPr>
                <w:i/>
                <w:sz w:val="22"/>
                <w:szCs w:val="22"/>
              </w:rPr>
            </w:pPr>
            <w:r w:rsidRPr="003201C9">
              <w:rPr>
                <w:i/>
                <w:sz w:val="22"/>
                <w:szCs w:val="22"/>
              </w:rPr>
              <w:t>Tel.</w:t>
            </w:r>
          </w:p>
        </w:tc>
        <w:tc>
          <w:tcPr>
            <w:tcW w:w="4995" w:type="dxa"/>
          </w:tcPr>
          <w:p w14:paraId="1A61F972" w14:textId="77777777" w:rsidR="008A6059" w:rsidRPr="003201C9" w:rsidRDefault="008A6059" w:rsidP="003201C9">
            <w:pPr>
              <w:overflowPunct w:val="0"/>
              <w:autoSpaceDE w:val="0"/>
              <w:autoSpaceDN w:val="0"/>
              <w:adjustRightInd w:val="0"/>
              <w:textAlignment w:val="baseline"/>
              <w:rPr>
                <w:i/>
                <w:sz w:val="22"/>
                <w:szCs w:val="22"/>
              </w:rPr>
            </w:pPr>
            <w:r w:rsidRPr="003201C9">
              <w:rPr>
                <w:i/>
                <w:sz w:val="22"/>
                <w:szCs w:val="22"/>
              </w:rPr>
              <w:t>+ 32 25468378</w:t>
            </w:r>
          </w:p>
        </w:tc>
      </w:tr>
      <w:tr w:rsidR="008A6059" w:rsidRPr="003201C9" w14:paraId="6DC120EA" w14:textId="77777777" w:rsidTr="004C1449">
        <w:tc>
          <w:tcPr>
            <w:tcW w:w="2093" w:type="dxa"/>
          </w:tcPr>
          <w:p w14:paraId="32C00486" w14:textId="001C808A" w:rsidR="008A6059" w:rsidRPr="003201C9" w:rsidRDefault="006E6F14" w:rsidP="003201C9">
            <w:pPr>
              <w:overflowPunct w:val="0"/>
              <w:autoSpaceDE w:val="0"/>
              <w:autoSpaceDN w:val="0"/>
              <w:adjustRightInd w:val="0"/>
              <w:textAlignment w:val="baseline"/>
              <w:rPr>
                <w:i/>
                <w:sz w:val="22"/>
                <w:szCs w:val="22"/>
              </w:rPr>
            </w:pPr>
            <w:r w:rsidRPr="003201C9">
              <w:rPr>
                <w:i/>
                <w:sz w:val="22"/>
                <w:szCs w:val="22"/>
              </w:rPr>
              <w:t>E-Mail</w:t>
            </w:r>
          </w:p>
        </w:tc>
        <w:tc>
          <w:tcPr>
            <w:tcW w:w="4995" w:type="dxa"/>
          </w:tcPr>
          <w:p w14:paraId="0B7A4BF8" w14:textId="77777777" w:rsidR="008A6059" w:rsidRPr="003201C9" w:rsidRDefault="000055E5" w:rsidP="003201C9">
            <w:pPr>
              <w:overflowPunct w:val="0"/>
              <w:autoSpaceDE w:val="0"/>
              <w:autoSpaceDN w:val="0"/>
              <w:adjustRightInd w:val="0"/>
              <w:textAlignment w:val="baseline"/>
              <w:rPr>
                <w:i/>
                <w:sz w:val="22"/>
                <w:szCs w:val="22"/>
              </w:rPr>
            </w:pPr>
            <w:hyperlink r:id="rId37" w:history="1">
              <w:r w:rsidR="00F74BC3" w:rsidRPr="003201C9">
                <w:rPr>
                  <w:i/>
                  <w:color w:val="0000FF"/>
                  <w:sz w:val="22"/>
                  <w:szCs w:val="22"/>
                  <w:u w:val="single"/>
                </w:rPr>
                <w:t>Silvia.Staffa@eesc.europa.eu</w:t>
              </w:r>
            </w:hyperlink>
          </w:p>
        </w:tc>
      </w:tr>
    </w:tbl>
    <w:p w14:paraId="4982DE1D" w14:textId="77777777" w:rsidR="004D7AC0" w:rsidRPr="003201C9" w:rsidRDefault="004D7AC0" w:rsidP="003201C9">
      <w:pPr>
        <w:pStyle w:val="ListParagraph"/>
        <w:ind w:left="0"/>
      </w:pPr>
    </w:p>
    <w:p w14:paraId="4E659D6D" w14:textId="0C2068A0" w:rsidR="00685A3A" w:rsidRPr="00685A3A" w:rsidRDefault="004D7AC0" w:rsidP="003201C9">
      <w:pPr>
        <w:widowControl w:val="0"/>
        <w:numPr>
          <w:ilvl w:val="0"/>
          <w:numId w:val="4"/>
        </w:numPr>
        <w:overflowPunct w:val="0"/>
        <w:autoSpaceDE w:val="0"/>
        <w:autoSpaceDN w:val="0"/>
        <w:adjustRightInd w:val="0"/>
        <w:ind w:hanging="567"/>
        <w:textAlignment w:val="baseline"/>
        <w:rPr>
          <w:i/>
          <w:iCs/>
          <w:sz w:val="28"/>
          <w:szCs w:val="28"/>
        </w:rPr>
      </w:pPr>
      <w:r>
        <w:br w:type="page"/>
      </w:r>
      <w:hyperlink r:id="rId38" w:history="1">
        <w:r>
          <w:rPr>
            <w:b/>
            <w:i/>
            <w:color w:val="0000FF"/>
            <w:sz w:val="28"/>
            <w:u w:val="single"/>
          </w:rPr>
          <w:t>Fonds für Wettbewerbsfähigkeit</w:t>
        </w:r>
      </w:hyperlink>
    </w:p>
    <w:p w14:paraId="2B552AA7" w14:textId="77777777" w:rsidR="00685A3A" w:rsidRPr="003201C9" w:rsidRDefault="00685A3A" w:rsidP="003201C9">
      <w:pPr>
        <w:tabs>
          <w:tab w:val="center" w:pos="284"/>
        </w:tabs>
        <w:overflowPunct w:val="0"/>
        <w:autoSpaceDE w:val="0"/>
        <w:autoSpaceDN w:val="0"/>
        <w:adjustRightInd w:val="0"/>
        <w:ind w:left="266" w:hanging="266"/>
        <w:textAlignment w:val="baseline"/>
        <w:rPr>
          <w:b/>
        </w:rPr>
      </w:pPr>
    </w:p>
    <w:tbl>
      <w:tblPr>
        <w:tblStyle w:val="TableGrid10"/>
        <w:tblW w:w="49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0"/>
        <w:gridCol w:w="7069"/>
      </w:tblGrid>
      <w:tr w:rsidR="00685A3A" w:rsidRPr="003201C9" w14:paraId="5D349B8F" w14:textId="77777777" w:rsidTr="0036489A">
        <w:trPr>
          <w:trHeight w:val="406"/>
        </w:trPr>
        <w:tc>
          <w:tcPr>
            <w:tcW w:w="1108" w:type="pct"/>
          </w:tcPr>
          <w:p w14:paraId="7D52188A" w14:textId="77777777" w:rsidR="00685A3A" w:rsidRPr="003201C9" w:rsidRDefault="00685A3A" w:rsidP="003201C9">
            <w:pPr>
              <w:tabs>
                <w:tab w:val="center" w:pos="284"/>
              </w:tabs>
              <w:overflowPunct w:val="0"/>
              <w:autoSpaceDE w:val="0"/>
              <w:autoSpaceDN w:val="0"/>
              <w:adjustRightInd w:val="0"/>
              <w:ind w:left="266" w:hanging="266"/>
              <w:textAlignment w:val="baseline"/>
              <w:rPr>
                <w:b/>
                <w:sz w:val="22"/>
                <w:szCs w:val="22"/>
              </w:rPr>
            </w:pPr>
            <w:r w:rsidRPr="003201C9">
              <w:rPr>
                <w:b/>
                <w:sz w:val="22"/>
                <w:szCs w:val="22"/>
              </w:rPr>
              <w:t>Berichterstatterin</w:t>
            </w:r>
          </w:p>
        </w:tc>
        <w:tc>
          <w:tcPr>
            <w:tcW w:w="3892" w:type="pct"/>
          </w:tcPr>
          <w:p w14:paraId="51845819" w14:textId="525A6D0F" w:rsidR="00685A3A" w:rsidRPr="003201C9" w:rsidRDefault="00685A3A" w:rsidP="003201C9">
            <w:pPr>
              <w:tabs>
                <w:tab w:val="center" w:pos="0"/>
              </w:tabs>
              <w:overflowPunct w:val="0"/>
              <w:autoSpaceDE w:val="0"/>
              <w:autoSpaceDN w:val="0"/>
              <w:adjustRightInd w:val="0"/>
              <w:ind w:left="266" w:hanging="266"/>
              <w:textAlignment w:val="baseline"/>
              <w:rPr>
                <w:sz w:val="22"/>
                <w:szCs w:val="22"/>
              </w:rPr>
            </w:pPr>
            <w:r w:rsidRPr="003201C9">
              <w:rPr>
                <w:sz w:val="22"/>
                <w:szCs w:val="22"/>
              </w:rPr>
              <w:t>Milena ANGELOVA (Gruppe Arbeitgeber – BG)</w:t>
            </w:r>
          </w:p>
        </w:tc>
      </w:tr>
      <w:tr w:rsidR="00685A3A" w:rsidRPr="003201C9" w14:paraId="3F4509C4" w14:textId="77777777" w:rsidTr="0036489A">
        <w:tc>
          <w:tcPr>
            <w:tcW w:w="1108" w:type="pct"/>
          </w:tcPr>
          <w:p w14:paraId="4640AD0B" w14:textId="77777777" w:rsidR="00685A3A" w:rsidRPr="003201C9" w:rsidRDefault="00685A3A" w:rsidP="003201C9">
            <w:pPr>
              <w:tabs>
                <w:tab w:val="center" w:pos="284"/>
              </w:tabs>
              <w:overflowPunct w:val="0"/>
              <w:autoSpaceDE w:val="0"/>
              <w:autoSpaceDN w:val="0"/>
              <w:adjustRightInd w:val="0"/>
              <w:ind w:left="266" w:hanging="266"/>
              <w:textAlignment w:val="baseline"/>
              <w:rPr>
                <w:b/>
                <w:sz w:val="22"/>
                <w:szCs w:val="22"/>
              </w:rPr>
            </w:pPr>
            <w:r w:rsidRPr="003201C9">
              <w:rPr>
                <w:b/>
                <w:sz w:val="22"/>
                <w:szCs w:val="22"/>
              </w:rPr>
              <w:t>Referenzdokumente</w:t>
            </w:r>
          </w:p>
        </w:tc>
        <w:tc>
          <w:tcPr>
            <w:tcW w:w="3892" w:type="pct"/>
          </w:tcPr>
          <w:p w14:paraId="3A3B4EA5" w14:textId="6C386D40" w:rsidR="00685A3A" w:rsidRPr="003201C9" w:rsidRDefault="00685A3A" w:rsidP="003201C9">
            <w:pPr>
              <w:tabs>
                <w:tab w:val="center" w:pos="284"/>
              </w:tabs>
              <w:overflowPunct w:val="0"/>
              <w:autoSpaceDE w:val="0"/>
              <w:autoSpaceDN w:val="0"/>
              <w:adjustRightInd w:val="0"/>
              <w:ind w:left="266" w:hanging="266"/>
              <w:textAlignment w:val="baseline"/>
              <w:rPr>
                <w:sz w:val="22"/>
                <w:szCs w:val="22"/>
              </w:rPr>
            </w:pPr>
            <w:r w:rsidRPr="003201C9">
              <w:rPr>
                <w:sz w:val="22"/>
                <w:szCs w:val="22"/>
              </w:rPr>
              <w:t>COM(2025) 555 final</w:t>
            </w:r>
          </w:p>
          <w:p w14:paraId="1044ED01" w14:textId="77777777" w:rsidR="00685A3A" w:rsidRPr="003201C9" w:rsidRDefault="00685A3A" w:rsidP="003201C9">
            <w:pPr>
              <w:tabs>
                <w:tab w:val="center" w:pos="284"/>
              </w:tabs>
              <w:overflowPunct w:val="0"/>
              <w:autoSpaceDE w:val="0"/>
              <w:autoSpaceDN w:val="0"/>
              <w:adjustRightInd w:val="0"/>
              <w:ind w:left="266" w:hanging="266"/>
              <w:textAlignment w:val="baseline"/>
              <w:rPr>
                <w:sz w:val="22"/>
                <w:szCs w:val="22"/>
              </w:rPr>
            </w:pPr>
            <w:r w:rsidRPr="003201C9">
              <w:rPr>
                <w:sz w:val="22"/>
                <w:szCs w:val="22"/>
              </w:rPr>
              <w:t>EESC-2025-02576-00-00-AC</w:t>
            </w:r>
          </w:p>
        </w:tc>
      </w:tr>
    </w:tbl>
    <w:p w14:paraId="56948C34" w14:textId="77777777" w:rsidR="00685A3A" w:rsidRPr="003201C9" w:rsidRDefault="00685A3A" w:rsidP="003201C9">
      <w:pPr>
        <w:keepNext/>
        <w:keepLines/>
        <w:tabs>
          <w:tab w:val="center" w:pos="284"/>
        </w:tabs>
        <w:overflowPunct w:val="0"/>
        <w:autoSpaceDE w:val="0"/>
        <w:autoSpaceDN w:val="0"/>
        <w:adjustRightInd w:val="0"/>
        <w:ind w:left="266" w:hanging="266"/>
        <w:textAlignment w:val="baseline"/>
        <w:rPr>
          <w:b/>
          <w:lang w:val="pt-PT"/>
        </w:rPr>
      </w:pPr>
    </w:p>
    <w:p w14:paraId="1BD3853A" w14:textId="77777777" w:rsidR="00685A3A" w:rsidRPr="003201C9" w:rsidRDefault="00685A3A" w:rsidP="003201C9">
      <w:pPr>
        <w:keepNext/>
        <w:keepLines/>
        <w:tabs>
          <w:tab w:val="center" w:pos="284"/>
        </w:tabs>
        <w:overflowPunct w:val="0"/>
        <w:autoSpaceDE w:val="0"/>
        <w:autoSpaceDN w:val="0"/>
        <w:adjustRightInd w:val="0"/>
        <w:ind w:left="266" w:hanging="266"/>
        <w:textAlignment w:val="baseline"/>
        <w:rPr>
          <w:b/>
        </w:rPr>
      </w:pPr>
      <w:r w:rsidRPr="003201C9">
        <w:rPr>
          <w:b/>
        </w:rPr>
        <w:t>Kernaussagen</w:t>
      </w:r>
    </w:p>
    <w:p w14:paraId="1CAACFD9" w14:textId="77777777" w:rsidR="00685A3A" w:rsidRPr="003201C9" w:rsidRDefault="00685A3A" w:rsidP="003201C9">
      <w:pPr>
        <w:keepNext/>
        <w:keepLines/>
        <w:tabs>
          <w:tab w:val="center" w:pos="284"/>
        </w:tabs>
        <w:overflowPunct w:val="0"/>
        <w:autoSpaceDE w:val="0"/>
        <w:autoSpaceDN w:val="0"/>
        <w:adjustRightInd w:val="0"/>
        <w:ind w:left="266" w:hanging="266"/>
        <w:textAlignment w:val="baseline"/>
        <w:rPr>
          <w:bCs/>
          <w:lang w:val="en-GB"/>
        </w:rPr>
      </w:pPr>
    </w:p>
    <w:p w14:paraId="5FF48023" w14:textId="77777777" w:rsidR="00685A3A" w:rsidRPr="003201C9" w:rsidRDefault="00685A3A" w:rsidP="003201C9">
      <w:pPr>
        <w:overflowPunct w:val="0"/>
        <w:autoSpaceDE w:val="0"/>
        <w:autoSpaceDN w:val="0"/>
        <w:adjustRightInd w:val="0"/>
        <w:textAlignment w:val="baseline"/>
        <w:rPr>
          <w:bCs/>
          <w:iCs/>
        </w:rPr>
      </w:pPr>
      <w:r w:rsidRPr="003201C9">
        <w:t>Der EWSA</w:t>
      </w:r>
    </w:p>
    <w:p w14:paraId="2BFD330A" w14:textId="77777777" w:rsidR="0068013D" w:rsidRPr="003201C9" w:rsidRDefault="0068013D" w:rsidP="003201C9">
      <w:pPr>
        <w:overflowPunct w:val="0"/>
        <w:autoSpaceDE w:val="0"/>
        <w:autoSpaceDN w:val="0"/>
        <w:adjustRightInd w:val="0"/>
        <w:textAlignment w:val="baseline"/>
        <w:rPr>
          <w:bCs/>
          <w:iCs/>
          <w:lang w:val="en-GB"/>
        </w:rPr>
      </w:pPr>
    </w:p>
    <w:p w14:paraId="41E4A36B" w14:textId="77777777" w:rsidR="00685A3A" w:rsidRPr="003201C9" w:rsidRDefault="00685A3A" w:rsidP="00AE1AFC">
      <w:pPr>
        <w:numPr>
          <w:ilvl w:val="0"/>
          <w:numId w:val="27"/>
        </w:numPr>
        <w:overflowPunct w:val="0"/>
        <w:autoSpaceDE w:val="0"/>
        <w:autoSpaceDN w:val="0"/>
        <w:adjustRightInd w:val="0"/>
        <w:ind w:left="709" w:hanging="425"/>
        <w:textAlignment w:val="baseline"/>
      </w:pPr>
      <w:r w:rsidRPr="003201C9">
        <w:t xml:space="preserve">unterstützt die Einrichtung des Europäischen Fonds für Wettbewerbsfähigkeit (ECF) als Eckpfeiler des nächsten EU-Haushalts und Motor für Innovation, Resilienz und Sicherheit und betont, dass die </w:t>
      </w:r>
      <w:r w:rsidRPr="003201C9">
        <w:rPr>
          <w:b/>
        </w:rPr>
        <w:t>Mittelvergabe eng auf Nachhaltigkeit und die soziale Marktwirtschaft der EU ausgerichtet sein muss</w:t>
      </w:r>
      <w:r w:rsidRPr="003201C9">
        <w:t>;</w:t>
      </w:r>
    </w:p>
    <w:p w14:paraId="7B5E1E81" w14:textId="77777777" w:rsidR="00685A3A" w:rsidRPr="003201C9" w:rsidRDefault="00685A3A" w:rsidP="00AE1AFC">
      <w:pPr>
        <w:numPr>
          <w:ilvl w:val="0"/>
          <w:numId w:val="27"/>
        </w:numPr>
        <w:overflowPunct w:val="0"/>
        <w:autoSpaceDE w:val="0"/>
        <w:autoSpaceDN w:val="0"/>
        <w:adjustRightInd w:val="0"/>
        <w:ind w:left="709" w:hanging="425"/>
        <w:textAlignment w:val="baseline"/>
      </w:pPr>
      <w:r w:rsidRPr="003201C9">
        <w:rPr>
          <w:b/>
        </w:rPr>
        <w:t>fordert eine unionsweite, leistungsorientierte Projektauswahl</w:t>
      </w:r>
      <w:r w:rsidRPr="003201C9">
        <w:t xml:space="preserve"> mit klaren Kriterien wie Exzellenz, künftige Ausrichtung und wirtschaftliches Potenzial. Um </w:t>
      </w:r>
      <w:r w:rsidRPr="003201C9">
        <w:rPr>
          <w:b/>
        </w:rPr>
        <w:t>nationale Zugangskontrollen zu vermeiden</w:t>
      </w:r>
      <w:r w:rsidRPr="003201C9">
        <w:t>, fordert der EWSA transparente Verfahren, einen gleichberechtigten Zugang für Antragsteller in allen Mitgliedstaaten und die aktive Einbeziehung der Sozialpartner und der Zivilgesellschaft in die Steuerung;</w:t>
      </w:r>
    </w:p>
    <w:p w14:paraId="64C52483" w14:textId="77777777" w:rsidR="00685A3A" w:rsidRPr="003201C9" w:rsidRDefault="00685A3A" w:rsidP="00AE1AFC">
      <w:pPr>
        <w:numPr>
          <w:ilvl w:val="0"/>
          <w:numId w:val="27"/>
        </w:numPr>
        <w:overflowPunct w:val="0"/>
        <w:autoSpaceDE w:val="0"/>
        <w:autoSpaceDN w:val="0"/>
        <w:adjustRightInd w:val="0"/>
        <w:ind w:left="709" w:hanging="425"/>
        <w:textAlignment w:val="baseline"/>
      </w:pPr>
      <w:r w:rsidRPr="003201C9">
        <w:rPr>
          <w:b/>
        </w:rPr>
        <w:t>empfiehlt die Einführung eines „Marktreferendums“</w:t>
      </w:r>
      <w:r w:rsidRPr="003201C9">
        <w:t>, d. h. Projekte, die eine erhebliche Aufstockungen der EU anstreben (wie IPCEI oder andere Großinvestitionen), müssen zunächst einen Anteil an privatem Kapital mobilisiert haben. Ein solcher Markttest würde dazu beitragen, die Projektqualität zu sichern, die Zahl politisierter Finanzierungsentscheidungen zu verringern und die Verbindung zwischen öffentlicher Unterstützung und echter Wettbewerbsfähigkeit zu stärken;</w:t>
      </w:r>
    </w:p>
    <w:p w14:paraId="7A1693EC" w14:textId="77777777" w:rsidR="00685A3A" w:rsidRPr="003201C9" w:rsidRDefault="00685A3A" w:rsidP="00AE1AFC">
      <w:pPr>
        <w:numPr>
          <w:ilvl w:val="0"/>
          <w:numId w:val="27"/>
        </w:numPr>
        <w:overflowPunct w:val="0"/>
        <w:autoSpaceDE w:val="0"/>
        <w:autoSpaceDN w:val="0"/>
        <w:adjustRightInd w:val="0"/>
        <w:ind w:left="709" w:hanging="425"/>
        <w:textAlignment w:val="baseline"/>
      </w:pPr>
      <w:r w:rsidRPr="003201C9">
        <w:rPr>
          <w:b/>
        </w:rPr>
        <w:t>betont, dass starke Risikobewertungs- und Präventionsinstrumente erforderlich sind</w:t>
      </w:r>
      <w:r w:rsidRPr="003201C9">
        <w:t>, um sicherzustellen, dass ECF-Mittel nur für Projekte bereitgestellt werden, die die Wettbewerbsfähigkeit Europas tatsächlich verbessern und eine Wiederholung früherer Fehler in EU-Finanzierungsprogrammen vermeiden;</w:t>
      </w:r>
    </w:p>
    <w:p w14:paraId="4F35B8DF" w14:textId="2343472E" w:rsidR="00685A3A" w:rsidRDefault="00685A3A" w:rsidP="00AE1AFC">
      <w:pPr>
        <w:numPr>
          <w:ilvl w:val="0"/>
          <w:numId w:val="27"/>
        </w:numPr>
        <w:overflowPunct w:val="0"/>
        <w:autoSpaceDE w:val="0"/>
        <w:autoSpaceDN w:val="0"/>
        <w:adjustRightInd w:val="0"/>
        <w:ind w:left="709" w:hanging="425"/>
        <w:textAlignment w:val="baseline"/>
      </w:pPr>
      <w:r w:rsidRPr="003201C9">
        <w:t xml:space="preserve">betont, dass </w:t>
      </w:r>
      <w:r w:rsidRPr="003201C9">
        <w:rPr>
          <w:b/>
        </w:rPr>
        <w:t>KMU, regionale und grenzüberschreitende Innovationsökosysteme sowie Investitionen in Kompetenzen und gute Arbeit unterstützt</w:t>
      </w:r>
      <w:r w:rsidRPr="003201C9">
        <w:t xml:space="preserve"> werden und gleichzeitig die Verfahren vereinfacht und eine transparente, vorhersehbare und inklusive Governance sichergestellt werden müssen.</w:t>
      </w:r>
    </w:p>
    <w:p w14:paraId="670E80C8" w14:textId="77777777" w:rsidR="00AE1AFC" w:rsidRPr="003201C9" w:rsidRDefault="00AE1AFC" w:rsidP="00AE1AFC">
      <w:pPr>
        <w:overflowPunct w:val="0"/>
        <w:autoSpaceDE w:val="0"/>
        <w:autoSpaceDN w:val="0"/>
        <w:adjustRightInd w:val="0"/>
        <w:textAlignment w:val="baseline"/>
      </w:pPr>
    </w:p>
    <w:tbl>
      <w:tblPr>
        <w:tblStyle w:val="TableGrid10"/>
        <w:tblW w:w="213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8"/>
      </w:tblGrid>
      <w:tr w:rsidR="00AE1AFC" w:rsidRPr="003201C9" w14:paraId="1DB97510" w14:textId="77777777" w:rsidTr="00AE1AFC">
        <w:tc>
          <w:tcPr>
            <w:tcW w:w="5000" w:type="pct"/>
          </w:tcPr>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087"/>
            </w:tblGrid>
            <w:tr w:rsidR="00AE1AFC" w:rsidRPr="003201C9" w14:paraId="014CFA79" w14:textId="77777777" w:rsidTr="00AE1AFC">
              <w:tc>
                <w:tcPr>
                  <w:tcW w:w="1094" w:type="pct"/>
                </w:tcPr>
                <w:p w14:paraId="7EB958FC" w14:textId="77777777" w:rsidR="00AE1AFC" w:rsidRPr="003201C9" w:rsidRDefault="00AE1AFC" w:rsidP="003201C9">
                  <w:pPr>
                    <w:rPr>
                      <w:i/>
                    </w:rPr>
                  </w:pPr>
                  <w:r w:rsidRPr="003201C9">
                    <w:rPr>
                      <w:b/>
                      <w:i/>
                    </w:rPr>
                    <w:t>Kontakt</w:t>
                  </w:r>
                </w:p>
              </w:tc>
              <w:tc>
                <w:tcPr>
                  <w:tcW w:w="3906" w:type="pct"/>
                </w:tcPr>
                <w:p w14:paraId="2797B023" w14:textId="00679360" w:rsidR="00AE1AFC" w:rsidRPr="003201C9" w:rsidRDefault="00AE1AFC" w:rsidP="003201C9">
                  <w:pPr>
                    <w:rPr>
                      <w:i/>
                    </w:rPr>
                  </w:pPr>
                  <w:r w:rsidRPr="003201C9">
                    <w:rPr>
                      <w:i/>
                    </w:rPr>
                    <w:t xml:space="preserve">Silvia </w:t>
                  </w:r>
                  <w:proofErr w:type="spellStart"/>
                  <w:r w:rsidRPr="003201C9">
                    <w:rPr>
                      <w:i/>
                    </w:rPr>
                    <w:t>Staffa</w:t>
                  </w:r>
                  <w:proofErr w:type="spellEnd"/>
                </w:p>
              </w:tc>
            </w:tr>
            <w:tr w:rsidR="00AE1AFC" w:rsidRPr="003201C9" w14:paraId="545C7BC0" w14:textId="77777777" w:rsidTr="00AE1AFC">
              <w:tc>
                <w:tcPr>
                  <w:tcW w:w="1094" w:type="pct"/>
                </w:tcPr>
                <w:p w14:paraId="01319993" w14:textId="77777777" w:rsidR="00AE1AFC" w:rsidRPr="003201C9" w:rsidRDefault="00AE1AFC" w:rsidP="003201C9">
                  <w:pPr>
                    <w:rPr>
                      <w:i/>
                    </w:rPr>
                  </w:pPr>
                  <w:r w:rsidRPr="003201C9">
                    <w:rPr>
                      <w:i/>
                    </w:rPr>
                    <w:t>Tel.</w:t>
                  </w:r>
                </w:p>
              </w:tc>
              <w:tc>
                <w:tcPr>
                  <w:tcW w:w="3906" w:type="pct"/>
                </w:tcPr>
                <w:p w14:paraId="66DD56EC" w14:textId="77777777" w:rsidR="00AE1AFC" w:rsidRPr="003201C9" w:rsidRDefault="00AE1AFC" w:rsidP="003201C9">
                  <w:pPr>
                    <w:rPr>
                      <w:i/>
                    </w:rPr>
                  </w:pPr>
                  <w:r w:rsidRPr="003201C9">
                    <w:rPr>
                      <w:i/>
                    </w:rPr>
                    <w:t>+32 254 68378</w:t>
                  </w:r>
                </w:p>
              </w:tc>
            </w:tr>
            <w:tr w:rsidR="00AE1AFC" w:rsidRPr="003201C9" w14:paraId="4CC970C9" w14:textId="77777777" w:rsidTr="00AE1AFC">
              <w:tc>
                <w:tcPr>
                  <w:tcW w:w="1094" w:type="pct"/>
                </w:tcPr>
                <w:p w14:paraId="7B046870" w14:textId="77777777" w:rsidR="00AE1AFC" w:rsidRPr="003201C9" w:rsidRDefault="00AE1AFC" w:rsidP="003201C9">
                  <w:pPr>
                    <w:rPr>
                      <w:i/>
                    </w:rPr>
                  </w:pPr>
                  <w:r w:rsidRPr="003201C9">
                    <w:rPr>
                      <w:i/>
                    </w:rPr>
                    <w:t>E-Mail</w:t>
                  </w:r>
                </w:p>
              </w:tc>
              <w:tc>
                <w:tcPr>
                  <w:tcW w:w="3906" w:type="pct"/>
                </w:tcPr>
                <w:p w14:paraId="73277BE8" w14:textId="77777777" w:rsidR="00AE1AFC" w:rsidRPr="003201C9" w:rsidRDefault="00AE1AFC" w:rsidP="003201C9">
                  <w:pPr>
                    <w:rPr>
                      <w:i/>
                      <w:iCs/>
                    </w:rPr>
                  </w:pPr>
                  <w:hyperlink r:id="rId39" w:history="1">
                    <w:r w:rsidRPr="003201C9">
                      <w:rPr>
                        <w:rStyle w:val="Hyperlink"/>
                        <w:i/>
                      </w:rPr>
                      <w:t>Silvia.Staffa@eesc.europa.eu</w:t>
                    </w:r>
                  </w:hyperlink>
                </w:p>
              </w:tc>
            </w:tr>
          </w:tbl>
          <w:p w14:paraId="7ED801DC" w14:textId="10B65685" w:rsidR="00AE1AFC" w:rsidRPr="003201C9" w:rsidRDefault="00AE1AFC" w:rsidP="003201C9">
            <w:pPr>
              <w:overflowPunct w:val="0"/>
              <w:autoSpaceDE w:val="0"/>
              <w:autoSpaceDN w:val="0"/>
              <w:adjustRightInd w:val="0"/>
              <w:textAlignment w:val="baseline"/>
              <w:rPr>
                <w:i/>
                <w:sz w:val="22"/>
                <w:szCs w:val="22"/>
              </w:rPr>
            </w:pPr>
          </w:p>
        </w:tc>
      </w:tr>
    </w:tbl>
    <w:p w14:paraId="488199D1" w14:textId="4BC42091" w:rsidR="00685A3A" w:rsidRPr="00685A3A" w:rsidRDefault="00685A3A" w:rsidP="003201C9">
      <w:pPr>
        <w:widowControl w:val="0"/>
        <w:numPr>
          <w:ilvl w:val="0"/>
          <w:numId w:val="4"/>
        </w:numPr>
        <w:overflowPunct w:val="0"/>
        <w:autoSpaceDE w:val="0"/>
        <w:autoSpaceDN w:val="0"/>
        <w:adjustRightInd w:val="0"/>
        <w:ind w:hanging="567"/>
        <w:textAlignment w:val="baseline"/>
        <w:rPr>
          <w:sz w:val="20"/>
          <w:szCs w:val="20"/>
        </w:rPr>
      </w:pPr>
      <w:r w:rsidRPr="003201C9">
        <w:br w:type="page"/>
      </w:r>
      <w:hyperlink r:id="rId40" w:history="1">
        <w:r>
          <w:rPr>
            <w:b/>
            <w:i/>
            <w:color w:val="0000FF"/>
            <w:sz w:val="28"/>
            <w:u w:val="single"/>
          </w:rPr>
          <w:t>Überarbeitung der EU-Rechtsvorschriften für die Vergabe öffentlicher Aufträge</w:t>
        </w:r>
      </w:hyperlink>
    </w:p>
    <w:p w14:paraId="2EF6D0F3" w14:textId="77777777" w:rsidR="00685A3A" w:rsidRPr="00AE1AFC" w:rsidRDefault="00685A3A" w:rsidP="003201C9">
      <w:pPr>
        <w:tabs>
          <w:tab w:val="center" w:pos="284"/>
        </w:tabs>
        <w:overflowPunct w:val="0"/>
        <w:autoSpaceDE w:val="0"/>
        <w:autoSpaceDN w:val="0"/>
        <w:adjustRightInd w:val="0"/>
        <w:ind w:left="266" w:hanging="266"/>
        <w:textAlignment w:val="baseline"/>
        <w:rPr>
          <w:b/>
          <w:sz w:val="20"/>
          <w:szCs w:val="20"/>
        </w:rPr>
      </w:pPr>
    </w:p>
    <w:tbl>
      <w:tblPr>
        <w:tblStyle w:val="TableGrid11"/>
        <w:tblW w:w="49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4"/>
        <w:gridCol w:w="7145"/>
      </w:tblGrid>
      <w:tr w:rsidR="00685A3A" w:rsidRPr="003201C9" w14:paraId="6187CB39" w14:textId="77777777" w:rsidTr="0036489A">
        <w:trPr>
          <w:trHeight w:val="406"/>
        </w:trPr>
        <w:tc>
          <w:tcPr>
            <w:tcW w:w="1108" w:type="pct"/>
          </w:tcPr>
          <w:p w14:paraId="4DBAD4F1" w14:textId="77777777" w:rsidR="00685A3A" w:rsidRPr="003201C9" w:rsidRDefault="00685A3A" w:rsidP="003201C9">
            <w:pPr>
              <w:tabs>
                <w:tab w:val="center" w:pos="284"/>
              </w:tabs>
              <w:overflowPunct w:val="0"/>
              <w:autoSpaceDE w:val="0"/>
              <w:autoSpaceDN w:val="0"/>
              <w:adjustRightInd w:val="0"/>
              <w:ind w:left="266" w:hanging="266"/>
              <w:textAlignment w:val="baseline"/>
              <w:rPr>
                <w:b/>
                <w:sz w:val="22"/>
                <w:szCs w:val="22"/>
              </w:rPr>
            </w:pPr>
            <w:r w:rsidRPr="003201C9">
              <w:rPr>
                <w:b/>
                <w:sz w:val="22"/>
                <w:szCs w:val="22"/>
              </w:rPr>
              <w:t>Berichterstatter</w:t>
            </w:r>
          </w:p>
        </w:tc>
        <w:tc>
          <w:tcPr>
            <w:tcW w:w="3892" w:type="pct"/>
          </w:tcPr>
          <w:p w14:paraId="1387F327" w14:textId="3E223F4E" w:rsidR="00685A3A" w:rsidRPr="003201C9" w:rsidRDefault="00685A3A" w:rsidP="003201C9">
            <w:pPr>
              <w:tabs>
                <w:tab w:val="center" w:pos="0"/>
              </w:tabs>
              <w:overflowPunct w:val="0"/>
              <w:autoSpaceDE w:val="0"/>
              <w:autoSpaceDN w:val="0"/>
              <w:adjustRightInd w:val="0"/>
              <w:ind w:left="266" w:hanging="266"/>
              <w:textAlignment w:val="baseline"/>
              <w:rPr>
                <w:sz w:val="22"/>
                <w:szCs w:val="22"/>
              </w:rPr>
            </w:pPr>
            <w:r w:rsidRPr="003201C9">
              <w:rPr>
                <w:sz w:val="22"/>
                <w:szCs w:val="22"/>
              </w:rPr>
              <w:t>Philip VON BROCKDORFF (Gruppe Arbeitnehmer – MT)</w:t>
            </w:r>
          </w:p>
        </w:tc>
      </w:tr>
      <w:tr w:rsidR="00685A3A" w:rsidRPr="003201C9" w14:paraId="74E460F2" w14:textId="77777777" w:rsidTr="0036489A">
        <w:tc>
          <w:tcPr>
            <w:tcW w:w="1108" w:type="pct"/>
          </w:tcPr>
          <w:p w14:paraId="318C426B" w14:textId="77777777" w:rsidR="00685A3A" w:rsidRPr="003201C9" w:rsidRDefault="00685A3A" w:rsidP="003201C9">
            <w:pPr>
              <w:tabs>
                <w:tab w:val="center" w:pos="284"/>
              </w:tabs>
              <w:overflowPunct w:val="0"/>
              <w:autoSpaceDE w:val="0"/>
              <w:autoSpaceDN w:val="0"/>
              <w:adjustRightInd w:val="0"/>
              <w:ind w:left="266" w:hanging="266"/>
              <w:textAlignment w:val="baseline"/>
              <w:rPr>
                <w:b/>
                <w:sz w:val="22"/>
                <w:szCs w:val="22"/>
              </w:rPr>
            </w:pPr>
            <w:r w:rsidRPr="003201C9">
              <w:rPr>
                <w:b/>
                <w:sz w:val="22"/>
                <w:szCs w:val="22"/>
              </w:rPr>
              <w:t>Referenzdokument</w:t>
            </w:r>
          </w:p>
        </w:tc>
        <w:tc>
          <w:tcPr>
            <w:tcW w:w="3892" w:type="pct"/>
          </w:tcPr>
          <w:p w14:paraId="6CDCCE3F" w14:textId="74C336A8" w:rsidR="00685A3A" w:rsidRPr="003201C9" w:rsidRDefault="00685A3A" w:rsidP="003201C9">
            <w:pPr>
              <w:tabs>
                <w:tab w:val="center" w:pos="284"/>
              </w:tabs>
              <w:overflowPunct w:val="0"/>
              <w:autoSpaceDE w:val="0"/>
              <w:autoSpaceDN w:val="0"/>
              <w:adjustRightInd w:val="0"/>
              <w:ind w:left="266" w:hanging="266"/>
              <w:textAlignment w:val="baseline"/>
              <w:rPr>
                <w:sz w:val="22"/>
                <w:szCs w:val="22"/>
              </w:rPr>
            </w:pPr>
            <w:r w:rsidRPr="003201C9">
              <w:rPr>
                <w:sz w:val="22"/>
                <w:szCs w:val="22"/>
              </w:rPr>
              <w:t>Sondierungsstellungnahme auf Ersuchen der Europäischen Kommission</w:t>
            </w:r>
          </w:p>
          <w:p w14:paraId="6DE13CBF" w14:textId="77777777" w:rsidR="00685A3A" w:rsidRPr="003201C9" w:rsidRDefault="00685A3A" w:rsidP="003201C9">
            <w:pPr>
              <w:tabs>
                <w:tab w:val="center" w:pos="284"/>
              </w:tabs>
              <w:overflowPunct w:val="0"/>
              <w:autoSpaceDE w:val="0"/>
              <w:autoSpaceDN w:val="0"/>
              <w:adjustRightInd w:val="0"/>
              <w:ind w:left="266" w:hanging="266"/>
              <w:textAlignment w:val="baseline"/>
              <w:rPr>
                <w:sz w:val="22"/>
                <w:szCs w:val="22"/>
              </w:rPr>
            </w:pPr>
            <w:r w:rsidRPr="003201C9">
              <w:rPr>
                <w:sz w:val="22"/>
                <w:szCs w:val="22"/>
              </w:rPr>
              <w:t>EESC-2025-01402-00-00-AC</w:t>
            </w:r>
          </w:p>
        </w:tc>
      </w:tr>
    </w:tbl>
    <w:p w14:paraId="786823F7" w14:textId="77777777" w:rsidR="00685A3A" w:rsidRPr="00AE1AFC" w:rsidRDefault="00685A3A" w:rsidP="003201C9">
      <w:pPr>
        <w:keepNext/>
        <w:keepLines/>
        <w:tabs>
          <w:tab w:val="center" w:pos="284"/>
        </w:tabs>
        <w:overflowPunct w:val="0"/>
        <w:autoSpaceDE w:val="0"/>
        <w:autoSpaceDN w:val="0"/>
        <w:adjustRightInd w:val="0"/>
        <w:ind w:left="266" w:hanging="266"/>
        <w:textAlignment w:val="baseline"/>
        <w:rPr>
          <w:b/>
          <w:sz w:val="20"/>
          <w:szCs w:val="20"/>
          <w:lang w:val="en-GB"/>
        </w:rPr>
      </w:pPr>
    </w:p>
    <w:p w14:paraId="4E38A4E7" w14:textId="77777777" w:rsidR="00685A3A" w:rsidRPr="003201C9" w:rsidRDefault="00685A3A" w:rsidP="003201C9">
      <w:pPr>
        <w:keepNext/>
        <w:keepLines/>
        <w:tabs>
          <w:tab w:val="center" w:pos="284"/>
        </w:tabs>
        <w:overflowPunct w:val="0"/>
        <w:autoSpaceDE w:val="0"/>
        <w:autoSpaceDN w:val="0"/>
        <w:adjustRightInd w:val="0"/>
        <w:ind w:left="266" w:hanging="266"/>
        <w:textAlignment w:val="baseline"/>
        <w:rPr>
          <w:b/>
        </w:rPr>
      </w:pPr>
      <w:r w:rsidRPr="003201C9">
        <w:rPr>
          <w:b/>
        </w:rPr>
        <w:t>Kernaussagen</w:t>
      </w:r>
    </w:p>
    <w:p w14:paraId="6E1B1A97" w14:textId="77777777" w:rsidR="00685A3A" w:rsidRPr="00AE1AFC" w:rsidRDefault="00685A3A" w:rsidP="003201C9">
      <w:pPr>
        <w:keepNext/>
        <w:keepLines/>
        <w:tabs>
          <w:tab w:val="center" w:pos="284"/>
        </w:tabs>
        <w:overflowPunct w:val="0"/>
        <w:autoSpaceDE w:val="0"/>
        <w:autoSpaceDN w:val="0"/>
        <w:adjustRightInd w:val="0"/>
        <w:ind w:left="266" w:hanging="266"/>
        <w:textAlignment w:val="baseline"/>
        <w:rPr>
          <w:bCs/>
          <w:sz w:val="20"/>
          <w:szCs w:val="20"/>
          <w:lang w:val="en-GB"/>
        </w:rPr>
      </w:pPr>
    </w:p>
    <w:p w14:paraId="20D8098B" w14:textId="77777777" w:rsidR="00685A3A" w:rsidRPr="003201C9" w:rsidRDefault="00685A3A" w:rsidP="003201C9">
      <w:pPr>
        <w:overflowPunct w:val="0"/>
        <w:autoSpaceDE w:val="0"/>
        <w:autoSpaceDN w:val="0"/>
        <w:adjustRightInd w:val="0"/>
        <w:textAlignment w:val="baseline"/>
        <w:rPr>
          <w:bCs/>
          <w:iCs/>
        </w:rPr>
      </w:pPr>
      <w:r w:rsidRPr="003201C9">
        <w:t>Der EWSA</w:t>
      </w:r>
    </w:p>
    <w:p w14:paraId="70A20C64" w14:textId="77777777" w:rsidR="00665929" w:rsidRPr="00AE1AFC" w:rsidRDefault="00665929" w:rsidP="003201C9">
      <w:pPr>
        <w:overflowPunct w:val="0"/>
        <w:autoSpaceDE w:val="0"/>
        <w:autoSpaceDN w:val="0"/>
        <w:adjustRightInd w:val="0"/>
        <w:textAlignment w:val="baseline"/>
        <w:rPr>
          <w:sz w:val="20"/>
          <w:szCs w:val="20"/>
          <w:lang w:val="en-GB"/>
        </w:rPr>
      </w:pPr>
    </w:p>
    <w:p w14:paraId="1AF2E88C" w14:textId="77777777" w:rsidR="00685A3A" w:rsidRPr="003201C9" w:rsidRDefault="00685A3A" w:rsidP="00AE1AFC">
      <w:pPr>
        <w:numPr>
          <w:ilvl w:val="0"/>
          <w:numId w:val="28"/>
        </w:numPr>
        <w:overflowPunct w:val="0"/>
        <w:autoSpaceDE w:val="0"/>
        <w:autoSpaceDN w:val="0"/>
        <w:adjustRightInd w:val="0"/>
        <w:ind w:left="709" w:hanging="425"/>
        <w:contextualSpacing/>
        <w:textAlignment w:val="baseline"/>
      </w:pPr>
      <w:r w:rsidRPr="003201C9">
        <w:t>teilt die Auffassung, dass die bestehenden EU-Rechtsvorschriften überprüft werden müssen, um die Vereinfachung voranzutreiben, die Verwaltungskosten zu verringern und die weitere Harmonisierung im Binnenmarkt zu unterstützen;</w:t>
      </w:r>
    </w:p>
    <w:p w14:paraId="73D00E89" w14:textId="77777777" w:rsidR="00685A3A" w:rsidRPr="003201C9" w:rsidRDefault="00685A3A" w:rsidP="00AE1AFC">
      <w:pPr>
        <w:numPr>
          <w:ilvl w:val="0"/>
          <w:numId w:val="28"/>
        </w:numPr>
        <w:overflowPunct w:val="0"/>
        <w:autoSpaceDE w:val="0"/>
        <w:autoSpaceDN w:val="0"/>
        <w:adjustRightInd w:val="0"/>
        <w:ind w:left="709" w:hanging="425"/>
        <w:contextualSpacing/>
        <w:textAlignment w:val="baseline"/>
      </w:pPr>
      <w:r w:rsidRPr="003201C9">
        <w:t>ist der Ansicht, dass eine nachhaltige EU-Vergabepolitik so angelegt sein kann, dass sie über bloßes Reagieren auf Versagen eines Marktes hinausgeht und dadurch eine strategische und gemeinwohlorientierte Beschaffung ermöglicht, soziale, innovationsbezogene und ökologische Kriterien als gleichwertige Ziele verankert und privaten Wirtschaftsteilnehmern eine faire Teilnahme an der Vergabe öffentlicher Aufträge gewährleistet;</w:t>
      </w:r>
    </w:p>
    <w:p w14:paraId="0FCA8925" w14:textId="77777777" w:rsidR="00685A3A" w:rsidRPr="003201C9" w:rsidRDefault="00685A3A" w:rsidP="00AE1AFC">
      <w:pPr>
        <w:numPr>
          <w:ilvl w:val="0"/>
          <w:numId w:val="28"/>
        </w:numPr>
        <w:overflowPunct w:val="0"/>
        <w:autoSpaceDE w:val="0"/>
        <w:autoSpaceDN w:val="0"/>
        <w:adjustRightInd w:val="0"/>
        <w:ind w:left="709" w:hanging="425"/>
        <w:contextualSpacing/>
        <w:textAlignment w:val="baseline"/>
      </w:pPr>
      <w:r w:rsidRPr="003201C9">
        <w:t>ist der Auffassung, dass öffentliche Aufträge auf der Grundlage des wirtschaftlich günstigsten Angebots vergeben werden müssen. Indes sind dabei auch außerpreisliche Kriterien wie Qualitäts-, Innovations-, Umwelt-, Nachhaltigkeits- und soziale Aspekte, insbesondere Arbeitnehmerrechte und Tarifverträge zu berücksichtigen;</w:t>
      </w:r>
    </w:p>
    <w:p w14:paraId="67FC0F27" w14:textId="77777777" w:rsidR="00685A3A" w:rsidRPr="003201C9" w:rsidRDefault="00685A3A" w:rsidP="00AE1AFC">
      <w:pPr>
        <w:numPr>
          <w:ilvl w:val="0"/>
          <w:numId w:val="28"/>
        </w:numPr>
        <w:overflowPunct w:val="0"/>
        <w:autoSpaceDE w:val="0"/>
        <w:autoSpaceDN w:val="0"/>
        <w:adjustRightInd w:val="0"/>
        <w:ind w:left="709" w:hanging="425"/>
        <w:contextualSpacing/>
        <w:textAlignment w:val="baseline"/>
      </w:pPr>
      <w:r w:rsidRPr="003201C9">
        <w:t>ruft dazu auf, bei den Maßnahmen für Dienstleistungen von allgemeinem Interesse (DAI) einen ganzheitlichen Ansatz zu verfolgen;</w:t>
      </w:r>
    </w:p>
    <w:p w14:paraId="4BDE4CA5" w14:textId="77777777" w:rsidR="00685A3A" w:rsidRPr="003201C9" w:rsidRDefault="00685A3A" w:rsidP="00AE1AFC">
      <w:pPr>
        <w:numPr>
          <w:ilvl w:val="0"/>
          <w:numId w:val="28"/>
        </w:numPr>
        <w:overflowPunct w:val="0"/>
        <w:autoSpaceDE w:val="0"/>
        <w:autoSpaceDN w:val="0"/>
        <w:adjustRightInd w:val="0"/>
        <w:ind w:left="709" w:hanging="425"/>
        <w:contextualSpacing/>
        <w:textAlignment w:val="baseline"/>
      </w:pPr>
      <w:r w:rsidRPr="003201C9">
        <w:t>vertritt die Auffassung, dass öffentliche Aufträge nicht an Unternehmen vergeben werden sollten, die die Arbeitnehmerrechte oder für sie geltende Tarifverträge systematisch missachten;</w:t>
      </w:r>
    </w:p>
    <w:p w14:paraId="2A2F2AFD" w14:textId="77777777" w:rsidR="00685A3A" w:rsidRPr="003201C9" w:rsidRDefault="00685A3A" w:rsidP="00AE1AFC">
      <w:pPr>
        <w:numPr>
          <w:ilvl w:val="0"/>
          <w:numId w:val="28"/>
        </w:numPr>
        <w:overflowPunct w:val="0"/>
        <w:autoSpaceDE w:val="0"/>
        <w:autoSpaceDN w:val="0"/>
        <w:adjustRightInd w:val="0"/>
        <w:ind w:left="709" w:hanging="425"/>
        <w:contextualSpacing/>
        <w:textAlignment w:val="baseline"/>
      </w:pPr>
      <w:r w:rsidRPr="003201C9">
        <w:t>ist der Ansicht, dass die Möglichkeit der internen Auftragsvergabe für mehrheitlich kontrollierte juristische Personen sowie der Direktvergabe im Rahmen der Überarbeitung der EU-Vergaberichtlinien unter der Voraussetzung, dass angemessene rechtliche Kriterien eingeführt werden und die Wettbewerbsverzerrung weitestgehend ausgeschlossen ist, beibehalten werden sollte;</w:t>
      </w:r>
    </w:p>
    <w:p w14:paraId="6E90E59A" w14:textId="77777777" w:rsidR="00685A3A" w:rsidRPr="003201C9" w:rsidRDefault="00685A3A" w:rsidP="00AE1AFC">
      <w:pPr>
        <w:numPr>
          <w:ilvl w:val="0"/>
          <w:numId w:val="28"/>
        </w:numPr>
        <w:overflowPunct w:val="0"/>
        <w:autoSpaceDE w:val="0"/>
        <w:autoSpaceDN w:val="0"/>
        <w:adjustRightInd w:val="0"/>
        <w:ind w:left="709" w:hanging="425"/>
        <w:contextualSpacing/>
        <w:textAlignment w:val="baseline"/>
      </w:pPr>
      <w:r w:rsidRPr="003201C9">
        <w:t>empfiehlt, die rechtliche Verpflichtung einzuführen, die Auswirkungen der bestehenden Schwellenwerte für öffentliche Dienstleistungsaufträge zu bewerten;</w:t>
      </w:r>
    </w:p>
    <w:p w14:paraId="47C53FE7" w14:textId="77777777" w:rsidR="00685A3A" w:rsidRPr="003201C9" w:rsidRDefault="00685A3A" w:rsidP="00AE1AFC">
      <w:pPr>
        <w:numPr>
          <w:ilvl w:val="0"/>
          <w:numId w:val="28"/>
        </w:numPr>
        <w:overflowPunct w:val="0"/>
        <w:autoSpaceDE w:val="0"/>
        <w:autoSpaceDN w:val="0"/>
        <w:adjustRightInd w:val="0"/>
        <w:ind w:left="709" w:hanging="425"/>
        <w:contextualSpacing/>
        <w:textAlignment w:val="baseline"/>
      </w:pPr>
      <w:r w:rsidRPr="003201C9">
        <w:t>hält die Vergabe öffentlicher Aufträge für eine Möglichkeit, zu einem sozial gerechten, ökologisch nachhaltigen und wirtschaftlich resilienten Europa zum Wohle aller beizutragen;</w:t>
      </w:r>
    </w:p>
    <w:p w14:paraId="75315D9A" w14:textId="77777777" w:rsidR="00685A3A" w:rsidRPr="003201C9" w:rsidRDefault="00685A3A" w:rsidP="00AE1AFC">
      <w:pPr>
        <w:numPr>
          <w:ilvl w:val="0"/>
          <w:numId w:val="28"/>
        </w:numPr>
        <w:overflowPunct w:val="0"/>
        <w:autoSpaceDE w:val="0"/>
        <w:autoSpaceDN w:val="0"/>
        <w:adjustRightInd w:val="0"/>
        <w:ind w:left="709" w:hanging="425"/>
        <w:contextualSpacing/>
        <w:textAlignment w:val="baseline"/>
        <w:rPr>
          <w:rFonts w:ascii="Calibri" w:hAnsi="Calibri"/>
        </w:rPr>
      </w:pPr>
      <w:r w:rsidRPr="003201C9">
        <w:t>fordert verbindliche Preisanpassungsklauseln, um auf Änderungen der Tariflöhne und/oder arbeitsrechtlichen Vorschriften, die Inflation sowie andere die Ausführung des Auftrags beeinflussende relevante Faktoren wie Energiekosten reagieren zu können.</w:t>
      </w:r>
    </w:p>
    <w:p w14:paraId="01E0D13D" w14:textId="77777777" w:rsidR="00685A3A" w:rsidRPr="00AE1AFC" w:rsidRDefault="00685A3A" w:rsidP="003201C9">
      <w:pPr>
        <w:ind w:left="567"/>
        <w:contextualSpacing/>
        <w:rPr>
          <w:bCs/>
          <w:iCs/>
          <w:sz w:val="20"/>
          <w:szCs w:val="20"/>
          <w:lang w:eastAsia="zh-CN"/>
        </w:rPr>
      </w:pP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4"/>
        <w:gridCol w:w="7195"/>
      </w:tblGrid>
      <w:tr w:rsidR="00685A3A" w:rsidRPr="003201C9" w14:paraId="0E43841C" w14:textId="77777777" w:rsidTr="00C00F37">
        <w:tc>
          <w:tcPr>
            <w:tcW w:w="1127" w:type="pct"/>
          </w:tcPr>
          <w:p w14:paraId="28C7C10B" w14:textId="77777777" w:rsidR="00685A3A" w:rsidRPr="003201C9" w:rsidRDefault="00685A3A" w:rsidP="003201C9">
            <w:pPr>
              <w:overflowPunct w:val="0"/>
              <w:autoSpaceDE w:val="0"/>
              <w:autoSpaceDN w:val="0"/>
              <w:adjustRightInd w:val="0"/>
              <w:textAlignment w:val="baseline"/>
              <w:rPr>
                <w:i/>
                <w:sz w:val="22"/>
                <w:szCs w:val="22"/>
              </w:rPr>
            </w:pPr>
            <w:r w:rsidRPr="003201C9">
              <w:rPr>
                <w:b/>
                <w:i/>
                <w:sz w:val="22"/>
                <w:szCs w:val="22"/>
              </w:rPr>
              <w:t>Kontakt</w:t>
            </w:r>
          </w:p>
        </w:tc>
        <w:tc>
          <w:tcPr>
            <w:tcW w:w="3873" w:type="pct"/>
          </w:tcPr>
          <w:p w14:paraId="1245791A" w14:textId="77777777" w:rsidR="00685A3A" w:rsidRPr="003201C9" w:rsidRDefault="00685A3A" w:rsidP="003201C9">
            <w:pPr>
              <w:overflowPunct w:val="0"/>
              <w:autoSpaceDE w:val="0"/>
              <w:autoSpaceDN w:val="0"/>
              <w:adjustRightInd w:val="0"/>
              <w:textAlignment w:val="baseline"/>
              <w:rPr>
                <w:i/>
                <w:sz w:val="22"/>
                <w:szCs w:val="22"/>
              </w:rPr>
            </w:pPr>
            <w:r w:rsidRPr="003201C9">
              <w:rPr>
                <w:i/>
                <w:sz w:val="22"/>
                <w:szCs w:val="22"/>
              </w:rPr>
              <w:t xml:space="preserve">Annalisa </w:t>
            </w:r>
            <w:proofErr w:type="spellStart"/>
            <w:r w:rsidRPr="003201C9">
              <w:rPr>
                <w:i/>
                <w:sz w:val="22"/>
                <w:szCs w:val="22"/>
              </w:rPr>
              <w:t>Tessarolo</w:t>
            </w:r>
            <w:proofErr w:type="spellEnd"/>
          </w:p>
        </w:tc>
      </w:tr>
      <w:tr w:rsidR="00685A3A" w:rsidRPr="003201C9" w14:paraId="3DD656A6" w14:textId="77777777" w:rsidTr="00C00F37">
        <w:tc>
          <w:tcPr>
            <w:tcW w:w="1127" w:type="pct"/>
          </w:tcPr>
          <w:p w14:paraId="4F2FD959" w14:textId="77777777" w:rsidR="00685A3A" w:rsidRPr="003201C9" w:rsidRDefault="00685A3A" w:rsidP="003201C9">
            <w:pPr>
              <w:overflowPunct w:val="0"/>
              <w:autoSpaceDE w:val="0"/>
              <w:autoSpaceDN w:val="0"/>
              <w:adjustRightInd w:val="0"/>
              <w:textAlignment w:val="baseline"/>
              <w:rPr>
                <w:i/>
                <w:sz w:val="22"/>
                <w:szCs w:val="22"/>
              </w:rPr>
            </w:pPr>
            <w:r w:rsidRPr="003201C9">
              <w:rPr>
                <w:i/>
                <w:sz w:val="22"/>
                <w:szCs w:val="22"/>
              </w:rPr>
              <w:t>Tel.</w:t>
            </w:r>
          </w:p>
        </w:tc>
        <w:tc>
          <w:tcPr>
            <w:tcW w:w="3873" w:type="pct"/>
          </w:tcPr>
          <w:p w14:paraId="79B2077E" w14:textId="77777777" w:rsidR="00685A3A" w:rsidRPr="003201C9" w:rsidRDefault="00685A3A" w:rsidP="003201C9">
            <w:pPr>
              <w:overflowPunct w:val="0"/>
              <w:autoSpaceDE w:val="0"/>
              <w:autoSpaceDN w:val="0"/>
              <w:adjustRightInd w:val="0"/>
              <w:textAlignment w:val="baseline"/>
              <w:rPr>
                <w:i/>
                <w:sz w:val="22"/>
                <w:szCs w:val="22"/>
              </w:rPr>
            </w:pPr>
            <w:r w:rsidRPr="003201C9">
              <w:rPr>
                <w:i/>
                <w:sz w:val="22"/>
                <w:szCs w:val="22"/>
              </w:rPr>
              <w:t>+ 32 25469732</w:t>
            </w:r>
          </w:p>
        </w:tc>
      </w:tr>
      <w:tr w:rsidR="00685A3A" w:rsidRPr="003201C9" w14:paraId="31FFB9F3" w14:textId="77777777" w:rsidTr="00C00F37">
        <w:tc>
          <w:tcPr>
            <w:tcW w:w="1127" w:type="pct"/>
          </w:tcPr>
          <w:p w14:paraId="62C6EB1B" w14:textId="77777777" w:rsidR="00685A3A" w:rsidRPr="003201C9" w:rsidRDefault="00685A3A" w:rsidP="003201C9">
            <w:pPr>
              <w:overflowPunct w:val="0"/>
              <w:autoSpaceDE w:val="0"/>
              <w:autoSpaceDN w:val="0"/>
              <w:adjustRightInd w:val="0"/>
              <w:textAlignment w:val="baseline"/>
              <w:rPr>
                <w:i/>
                <w:sz w:val="22"/>
                <w:szCs w:val="22"/>
              </w:rPr>
            </w:pPr>
            <w:r w:rsidRPr="003201C9">
              <w:rPr>
                <w:i/>
                <w:sz w:val="22"/>
                <w:szCs w:val="22"/>
              </w:rPr>
              <w:t>E-Mail</w:t>
            </w:r>
          </w:p>
        </w:tc>
        <w:tc>
          <w:tcPr>
            <w:tcW w:w="3873" w:type="pct"/>
          </w:tcPr>
          <w:p w14:paraId="04364B9F" w14:textId="77777777" w:rsidR="00685A3A" w:rsidRPr="003201C9" w:rsidRDefault="000055E5" w:rsidP="003201C9">
            <w:pPr>
              <w:overflowPunct w:val="0"/>
              <w:autoSpaceDE w:val="0"/>
              <w:autoSpaceDN w:val="0"/>
              <w:adjustRightInd w:val="0"/>
              <w:textAlignment w:val="baseline"/>
              <w:rPr>
                <w:i/>
                <w:iCs/>
                <w:sz w:val="22"/>
                <w:szCs w:val="22"/>
              </w:rPr>
            </w:pPr>
            <w:hyperlink r:id="rId41" w:history="1">
              <w:r w:rsidR="00F74BC3" w:rsidRPr="003201C9">
                <w:rPr>
                  <w:i/>
                  <w:color w:val="0000FF"/>
                  <w:sz w:val="22"/>
                  <w:szCs w:val="22"/>
                  <w:u w:val="single"/>
                </w:rPr>
                <w:t>Annalisa.Tessarolo@eesc.europa.eu</w:t>
              </w:r>
            </w:hyperlink>
          </w:p>
        </w:tc>
      </w:tr>
    </w:tbl>
    <w:p w14:paraId="1E327181" w14:textId="77777777" w:rsidR="00685A3A" w:rsidRPr="003201C9" w:rsidRDefault="00685A3A" w:rsidP="003201C9">
      <w:r w:rsidRPr="003201C9">
        <w:br w:type="page"/>
      </w:r>
    </w:p>
    <w:p w14:paraId="4982DE1F" w14:textId="77777777" w:rsidR="004D7AC0" w:rsidRDefault="004D7AC0" w:rsidP="003201C9">
      <w:pPr>
        <w:pStyle w:val="Heading1"/>
        <w:rPr>
          <w:b/>
        </w:rPr>
      </w:pPr>
      <w:bookmarkStart w:id="12" w:name="_Toc70322234"/>
      <w:bookmarkStart w:id="13" w:name="_Toc75527084"/>
      <w:bookmarkStart w:id="14" w:name="_Toc217289958"/>
      <w:r>
        <w:rPr>
          <w:b/>
        </w:rPr>
        <w:lastRenderedPageBreak/>
        <w:t>LANDWIRTSCHAFT, LÄNDLICHE ENTWICKLUNG, UMWELT</w:t>
      </w:r>
      <w:bookmarkEnd w:id="12"/>
      <w:bookmarkEnd w:id="13"/>
      <w:bookmarkEnd w:id="14"/>
    </w:p>
    <w:p w14:paraId="4982DE20" w14:textId="77777777" w:rsidR="004D7AC0" w:rsidRDefault="004D7AC0" w:rsidP="003201C9"/>
    <w:p w14:paraId="280704BE" w14:textId="42E36B01" w:rsidR="00836765" w:rsidRPr="00836765" w:rsidRDefault="000055E5" w:rsidP="003201C9">
      <w:pPr>
        <w:widowControl w:val="0"/>
        <w:numPr>
          <w:ilvl w:val="0"/>
          <w:numId w:val="4"/>
        </w:numPr>
        <w:overflowPunct w:val="0"/>
        <w:autoSpaceDE w:val="0"/>
        <w:autoSpaceDN w:val="0"/>
        <w:adjustRightInd w:val="0"/>
        <w:ind w:hanging="567"/>
        <w:textAlignment w:val="baseline"/>
        <w:rPr>
          <w:b/>
        </w:rPr>
      </w:pPr>
      <w:hyperlink r:id="rId42" w:history="1">
        <w:r w:rsidR="00F74BC3">
          <w:rPr>
            <w:b/>
            <w:i/>
            <w:color w:val="0000FF"/>
            <w:sz w:val="28"/>
            <w:u w:val="single"/>
          </w:rPr>
          <w:t>Änderung der Entwaldungsverordnung (EU) 2023/1115</w:t>
        </w:r>
      </w:hyperlink>
      <w:r w:rsidR="00F74BC3">
        <w:rPr>
          <w:b/>
          <w:i/>
          <w:sz w:val="28"/>
        </w:rPr>
        <w:t xml:space="preserve"> </w:t>
      </w:r>
    </w:p>
    <w:p w14:paraId="32C19EBC" w14:textId="77777777" w:rsidR="00836765" w:rsidRPr="003201C9" w:rsidRDefault="00836765" w:rsidP="003201C9">
      <w:pPr>
        <w:widowControl w:val="0"/>
        <w:overflowPunct w:val="0"/>
        <w:autoSpaceDE w:val="0"/>
        <w:autoSpaceDN w:val="0"/>
        <w:adjustRightInd w:val="0"/>
        <w:ind w:left="266"/>
        <w:textAlignment w:val="baseline"/>
        <w:rPr>
          <w:b/>
          <w:lang w:val="en-GB"/>
        </w:rPr>
      </w:pPr>
    </w:p>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0"/>
        <w:gridCol w:w="7179"/>
      </w:tblGrid>
      <w:tr w:rsidR="00836765" w:rsidRPr="003201C9" w14:paraId="353187E9" w14:textId="77777777" w:rsidTr="0036489A">
        <w:tc>
          <w:tcPr>
            <w:tcW w:w="1077" w:type="pct"/>
            <w:vMerge w:val="restart"/>
          </w:tcPr>
          <w:p w14:paraId="48F35E0D" w14:textId="77777777" w:rsidR="00836765" w:rsidRPr="003201C9" w:rsidRDefault="00836765" w:rsidP="003201C9">
            <w:pPr>
              <w:tabs>
                <w:tab w:val="center" w:pos="284"/>
              </w:tabs>
              <w:overflowPunct w:val="0"/>
              <w:autoSpaceDE w:val="0"/>
              <w:autoSpaceDN w:val="0"/>
              <w:adjustRightInd w:val="0"/>
              <w:ind w:left="266" w:hanging="266"/>
              <w:textAlignment w:val="baseline"/>
              <w:rPr>
                <w:b/>
                <w:sz w:val="22"/>
                <w:szCs w:val="22"/>
              </w:rPr>
            </w:pPr>
            <w:r w:rsidRPr="003201C9">
              <w:rPr>
                <w:b/>
                <w:sz w:val="22"/>
                <w:szCs w:val="22"/>
              </w:rPr>
              <w:t>Referenzdokumente</w:t>
            </w:r>
          </w:p>
        </w:tc>
        <w:tc>
          <w:tcPr>
            <w:tcW w:w="3923" w:type="pct"/>
          </w:tcPr>
          <w:p w14:paraId="445830D4" w14:textId="19171181" w:rsidR="00B730AD" w:rsidRPr="003201C9" w:rsidRDefault="00B730AD" w:rsidP="003201C9">
            <w:pPr>
              <w:tabs>
                <w:tab w:val="center" w:pos="284"/>
              </w:tabs>
              <w:overflowPunct w:val="0"/>
              <w:autoSpaceDE w:val="0"/>
              <w:autoSpaceDN w:val="0"/>
              <w:adjustRightInd w:val="0"/>
              <w:ind w:left="266" w:right="-3091" w:hanging="266"/>
              <w:textAlignment w:val="baseline"/>
              <w:rPr>
                <w:sz w:val="22"/>
                <w:szCs w:val="22"/>
              </w:rPr>
            </w:pPr>
            <w:r w:rsidRPr="003201C9">
              <w:rPr>
                <w:sz w:val="22"/>
                <w:szCs w:val="22"/>
              </w:rPr>
              <w:t>Stellungnahme der Kategorie C</w:t>
            </w:r>
          </w:p>
          <w:p w14:paraId="3B6BE4B3" w14:textId="6F87B5D9" w:rsidR="00836765" w:rsidRPr="003201C9" w:rsidRDefault="00836765" w:rsidP="003201C9">
            <w:pPr>
              <w:tabs>
                <w:tab w:val="center" w:pos="284"/>
              </w:tabs>
              <w:overflowPunct w:val="0"/>
              <w:autoSpaceDE w:val="0"/>
              <w:autoSpaceDN w:val="0"/>
              <w:adjustRightInd w:val="0"/>
              <w:ind w:left="266" w:right="-3091" w:hanging="266"/>
              <w:textAlignment w:val="baseline"/>
              <w:rPr>
                <w:sz w:val="22"/>
                <w:szCs w:val="22"/>
              </w:rPr>
            </w:pPr>
            <w:r w:rsidRPr="003201C9">
              <w:rPr>
                <w:sz w:val="22"/>
                <w:szCs w:val="22"/>
              </w:rPr>
              <w:t>COM(2025) 652 final</w:t>
            </w:r>
          </w:p>
        </w:tc>
      </w:tr>
      <w:tr w:rsidR="00836765" w:rsidRPr="003201C9" w14:paraId="61D1A2FF" w14:textId="77777777" w:rsidTr="0036489A">
        <w:tc>
          <w:tcPr>
            <w:tcW w:w="1077" w:type="pct"/>
            <w:vMerge/>
          </w:tcPr>
          <w:p w14:paraId="4837CA2A" w14:textId="77777777" w:rsidR="00836765" w:rsidRPr="003201C9" w:rsidRDefault="00836765" w:rsidP="003201C9">
            <w:pPr>
              <w:tabs>
                <w:tab w:val="center" w:pos="284"/>
              </w:tabs>
              <w:overflowPunct w:val="0"/>
              <w:autoSpaceDE w:val="0"/>
              <w:autoSpaceDN w:val="0"/>
              <w:adjustRightInd w:val="0"/>
              <w:ind w:left="266" w:hanging="266"/>
              <w:textAlignment w:val="baseline"/>
              <w:rPr>
                <w:b/>
                <w:sz w:val="22"/>
                <w:szCs w:val="22"/>
              </w:rPr>
            </w:pPr>
          </w:p>
        </w:tc>
        <w:tc>
          <w:tcPr>
            <w:tcW w:w="3923" w:type="pct"/>
          </w:tcPr>
          <w:p w14:paraId="1F5382E7" w14:textId="77777777" w:rsidR="00836765" w:rsidRPr="003201C9" w:rsidRDefault="00836765" w:rsidP="003201C9">
            <w:pPr>
              <w:tabs>
                <w:tab w:val="center" w:pos="284"/>
              </w:tabs>
              <w:overflowPunct w:val="0"/>
              <w:autoSpaceDE w:val="0"/>
              <w:autoSpaceDN w:val="0"/>
              <w:adjustRightInd w:val="0"/>
              <w:ind w:left="266" w:right="-3091" w:hanging="266"/>
              <w:textAlignment w:val="baseline"/>
              <w:rPr>
                <w:sz w:val="22"/>
                <w:szCs w:val="22"/>
              </w:rPr>
            </w:pPr>
            <w:r w:rsidRPr="003201C9">
              <w:rPr>
                <w:sz w:val="22"/>
                <w:szCs w:val="22"/>
              </w:rPr>
              <w:t>EESC-2025-03869-00-00-AC-TRA</w:t>
            </w:r>
          </w:p>
        </w:tc>
      </w:tr>
    </w:tbl>
    <w:p w14:paraId="4266EAA0" w14:textId="77777777" w:rsidR="00836765" w:rsidRPr="003201C9" w:rsidRDefault="00836765" w:rsidP="003201C9">
      <w:pPr>
        <w:tabs>
          <w:tab w:val="center" w:pos="284"/>
        </w:tabs>
        <w:overflowPunct w:val="0"/>
        <w:autoSpaceDE w:val="0"/>
        <w:autoSpaceDN w:val="0"/>
        <w:adjustRightInd w:val="0"/>
        <w:ind w:left="266" w:hanging="266"/>
        <w:textAlignment w:val="baseline"/>
        <w:rPr>
          <w:b/>
          <w:lang w:val="en-GB"/>
        </w:rPr>
      </w:pPr>
    </w:p>
    <w:p w14:paraId="0143DBBD" w14:textId="77777777" w:rsidR="00836765" w:rsidRPr="003201C9" w:rsidRDefault="00836765" w:rsidP="003201C9">
      <w:pPr>
        <w:keepNext/>
        <w:keepLines/>
        <w:tabs>
          <w:tab w:val="center" w:pos="284"/>
        </w:tabs>
        <w:overflowPunct w:val="0"/>
        <w:autoSpaceDE w:val="0"/>
        <w:autoSpaceDN w:val="0"/>
        <w:adjustRightInd w:val="0"/>
        <w:ind w:left="266" w:hanging="266"/>
        <w:textAlignment w:val="baseline"/>
        <w:rPr>
          <w:b/>
        </w:rPr>
      </w:pPr>
      <w:r w:rsidRPr="003201C9">
        <w:rPr>
          <w:b/>
        </w:rPr>
        <w:t>Kernaussagen</w:t>
      </w:r>
    </w:p>
    <w:p w14:paraId="23518C72" w14:textId="77777777" w:rsidR="00836765" w:rsidRPr="003201C9" w:rsidRDefault="00836765" w:rsidP="003201C9">
      <w:pPr>
        <w:keepNext/>
        <w:keepLines/>
        <w:tabs>
          <w:tab w:val="center" w:pos="284"/>
        </w:tabs>
        <w:overflowPunct w:val="0"/>
        <w:autoSpaceDE w:val="0"/>
        <w:autoSpaceDN w:val="0"/>
        <w:adjustRightInd w:val="0"/>
        <w:ind w:left="266" w:hanging="266"/>
        <w:textAlignment w:val="baseline"/>
        <w:rPr>
          <w:b/>
          <w:lang w:val="en-GB"/>
        </w:rPr>
      </w:pPr>
    </w:p>
    <w:p w14:paraId="0A85C065" w14:textId="77777777" w:rsidR="00836765" w:rsidRPr="003201C9" w:rsidRDefault="00836765" w:rsidP="003201C9">
      <w:pPr>
        <w:overflowPunct w:val="0"/>
        <w:autoSpaceDE w:val="0"/>
        <w:autoSpaceDN w:val="0"/>
        <w:adjustRightInd w:val="0"/>
        <w:textAlignment w:val="baseline"/>
        <w:rPr>
          <w:bCs/>
          <w:iCs/>
        </w:rPr>
      </w:pPr>
      <w:r w:rsidRPr="003201C9">
        <w:t>Der EWSA</w:t>
      </w:r>
    </w:p>
    <w:p w14:paraId="48328C8A" w14:textId="77777777" w:rsidR="00836765" w:rsidRPr="003201C9" w:rsidRDefault="00836765" w:rsidP="003201C9">
      <w:pPr>
        <w:overflowPunct w:val="0"/>
        <w:autoSpaceDE w:val="0"/>
        <w:autoSpaceDN w:val="0"/>
        <w:adjustRightInd w:val="0"/>
        <w:textAlignment w:val="baseline"/>
        <w:rPr>
          <w:bCs/>
          <w:iCs/>
          <w:lang w:val="en-GB"/>
        </w:rPr>
      </w:pPr>
    </w:p>
    <w:p w14:paraId="564661E9" w14:textId="77777777" w:rsidR="00836765" w:rsidRPr="003201C9" w:rsidRDefault="00836765" w:rsidP="00AE1AFC">
      <w:pPr>
        <w:numPr>
          <w:ilvl w:val="0"/>
          <w:numId w:val="29"/>
        </w:numPr>
        <w:overflowPunct w:val="0"/>
        <w:autoSpaceDE w:val="0"/>
        <w:autoSpaceDN w:val="0"/>
        <w:adjustRightInd w:val="0"/>
        <w:ind w:left="709" w:hanging="425"/>
        <w:contextualSpacing/>
        <w:textAlignment w:val="baseline"/>
        <w:rPr>
          <w:bCs/>
          <w:iCs/>
        </w:rPr>
      </w:pPr>
      <w:r w:rsidRPr="003201C9">
        <w:t>hat sich bereits in seinen Stellungnahmen EESC-2024-01183-00-00-AC-TRA vom 19. September 2024</w:t>
      </w:r>
      <w:r w:rsidRPr="00191424">
        <w:rPr>
          <w:sz w:val="24"/>
          <w:szCs w:val="24"/>
          <w:vertAlign w:val="superscript"/>
          <w:lang w:val="en-GB"/>
        </w:rPr>
        <w:footnoteReference w:id="5"/>
      </w:r>
      <w:r w:rsidRPr="003201C9">
        <w:t xml:space="preserve"> und EESC-2021-05690-00-00-AC-TRA vom 23. Februar 2022</w:t>
      </w:r>
      <w:r w:rsidRPr="00191424">
        <w:rPr>
          <w:sz w:val="24"/>
          <w:szCs w:val="24"/>
          <w:vertAlign w:val="superscript"/>
          <w:lang w:val="en-GB"/>
        </w:rPr>
        <w:footnoteReference w:id="6"/>
      </w:r>
      <w:r w:rsidRPr="003201C9">
        <w:t xml:space="preserve"> zum Inhalt dieses Vorschlags geäußert und daher beschlossen, von der Erarbeitung einer neuen Stellungnahme abzusehen und auf den Standpunkt zu verweisen, den er in den vorgenannten Stellungnahmen vertreten hat.</w:t>
      </w:r>
    </w:p>
    <w:p w14:paraId="261D1073" w14:textId="77777777" w:rsidR="00836765" w:rsidRPr="00AE1AFC" w:rsidRDefault="00836765" w:rsidP="003201C9">
      <w:pPr>
        <w:widowControl w:val="0"/>
        <w:overflowPunct w:val="0"/>
        <w:autoSpaceDE w:val="0"/>
        <w:autoSpaceDN w:val="0"/>
        <w:adjustRightInd w:val="0"/>
        <w:ind w:left="709"/>
        <w:textAlignment w:val="baseline"/>
      </w:pPr>
    </w:p>
    <w:tbl>
      <w:tblPr>
        <w:tblStyle w:val="TableGrid12"/>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2"/>
        <w:gridCol w:w="7199"/>
      </w:tblGrid>
      <w:tr w:rsidR="00836765" w:rsidRPr="003201C9" w14:paraId="4FE2C2E9" w14:textId="77777777" w:rsidTr="00AE1AFC">
        <w:tc>
          <w:tcPr>
            <w:tcW w:w="1126" w:type="pct"/>
          </w:tcPr>
          <w:p w14:paraId="440CE4F1" w14:textId="77777777" w:rsidR="00836765" w:rsidRPr="003201C9" w:rsidRDefault="00836765" w:rsidP="003201C9">
            <w:pPr>
              <w:overflowPunct w:val="0"/>
              <w:autoSpaceDE w:val="0"/>
              <w:autoSpaceDN w:val="0"/>
              <w:adjustRightInd w:val="0"/>
              <w:textAlignment w:val="baseline"/>
              <w:rPr>
                <w:i/>
                <w:sz w:val="22"/>
                <w:szCs w:val="22"/>
              </w:rPr>
            </w:pPr>
            <w:r w:rsidRPr="003201C9">
              <w:rPr>
                <w:b/>
                <w:i/>
                <w:sz w:val="22"/>
                <w:szCs w:val="22"/>
              </w:rPr>
              <w:t>Kontakt</w:t>
            </w:r>
          </w:p>
        </w:tc>
        <w:tc>
          <w:tcPr>
            <w:tcW w:w="3874" w:type="pct"/>
          </w:tcPr>
          <w:p w14:paraId="3DB7D13C" w14:textId="2A0D3DD3" w:rsidR="00836765" w:rsidRPr="003201C9" w:rsidRDefault="00836765" w:rsidP="003201C9">
            <w:pPr>
              <w:overflowPunct w:val="0"/>
              <w:autoSpaceDE w:val="0"/>
              <w:autoSpaceDN w:val="0"/>
              <w:adjustRightInd w:val="0"/>
              <w:textAlignment w:val="baseline"/>
              <w:rPr>
                <w:i/>
                <w:sz w:val="22"/>
                <w:szCs w:val="22"/>
              </w:rPr>
            </w:pPr>
            <w:r w:rsidRPr="003201C9">
              <w:rPr>
                <w:i/>
                <w:sz w:val="22"/>
                <w:szCs w:val="22"/>
              </w:rPr>
              <w:t xml:space="preserve">Martine </w:t>
            </w:r>
            <w:proofErr w:type="spellStart"/>
            <w:r w:rsidRPr="003201C9">
              <w:rPr>
                <w:i/>
                <w:sz w:val="22"/>
                <w:szCs w:val="22"/>
              </w:rPr>
              <w:t>Delanoy</w:t>
            </w:r>
            <w:proofErr w:type="spellEnd"/>
          </w:p>
        </w:tc>
      </w:tr>
      <w:tr w:rsidR="00836765" w:rsidRPr="003201C9" w14:paraId="79B8361E" w14:textId="77777777" w:rsidTr="00AE1AFC">
        <w:tc>
          <w:tcPr>
            <w:tcW w:w="1126" w:type="pct"/>
          </w:tcPr>
          <w:p w14:paraId="495C55DC" w14:textId="77777777" w:rsidR="00836765" w:rsidRPr="003201C9" w:rsidRDefault="00836765" w:rsidP="003201C9">
            <w:pPr>
              <w:overflowPunct w:val="0"/>
              <w:autoSpaceDE w:val="0"/>
              <w:autoSpaceDN w:val="0"/>
              <w:adjustRightInd w:val="0"/>
              <w:textAlignment w:val="baseline"/>
              <w:rPr>
                <w:i/>
                <w:sz w:val="22"/>
                <w:szCs w:val="22"/>
              </w:rPr>
            </w:pPr>
            <w:r w:rsidRPr="003201C9">
              <w:rPr>
                <w:i/>
                <w:sz w:val="22"/>
                <w:szCs w:val="22"/>
              </w:rPr>
              <w:t>Tel.</w:t>
            </w:r>
          </w:p>
        </w:tc>
        <w:tc>
          <w:tcPr>
            <w:tcW w:w="3874" w:type="pct"/>
          </w:tcPr>
          <w:p w14:paraId="7656C45E" w14:textId="77777777" w:rsidR="00836765" w:rsidRPr="003201C9" w:rsidRDefault="00836765" w:rsidP="003201C9">
            <w:pPr>
              <w:overflowPunct w:val="0"/>
              <w:autoSpaceDE w:val="0"/>
              <w:autoSpaceDN w:val="0"/>
              <w:adjustRightInd w:val="0"/>
              <w:textAlignment w:val="baseline"/>
              <w:rPr>
                <w:i/>
                <w:sz w:val="22"/>
                <w:szCs w:val="22"/>
              </w:rPr>
            </w:pPr>
            <w:r w:rsidRPr="003201C9">
              <w:rPr>
                <w:i/>
                <w:sz w:val="22"/>
                <w:szCs w:val="22"/>
              </w:rPr>
              <w:t>+32 25469</w:t>
            </w:r>
            <w:r w:rsidRPr="003201C9">
              <w:rPr>
                <w:sz w:val="22"/>
                <w:szCs w:val="22"/>
              </w:rPr>
              <w:t>802</w:t>
            </w:r>
          </w:p>
        </w:tc>
      </w:tr>
      <w:tr w:rsidR="00836765" w:rsidRPr="003201C9" w14:paraId="24D7B260" w14:textId="77777777" w:rsidTr="00AE1AFC">
        <w:tc>
          <w:tcPr>
            <w:tcW w:w="1126" w:type="pct"/>
          </w:tcPr>
          <w:p w14:paraId="2B01135D" w14:textId="77777777" w:rsidR="00836765" w:rsidRPr="003201C9" w:rsidRDefault="00836765" w:rsidP="003201C9">
            <w:pPr>
              <w:overflowPunct w:val="0"/>
              <w:autoSpaceDE w:val="0"/>
              <w:autoSpaceDN w:val="0"/>
              <w:adjustRightInd w:val="0"/>
              <w:textAlignment w:val="baseline"/>
              <w:rPr>
                <w:i/>
                <w:sz w:val="22"/>
                <w:szCs w:val="22"/>
              </w:rPr>
            </w:pPr>
            <w:r w:rsidRPr="003201C9">
              <w:rPr>
                <w:i/>
                <w:sz w:val="22"/>
                <w:szCs w:val="22"/>
              </w:rPr>
              <w:t>E-Mail</w:t>
            </w:r>
          </w:p>
        </w:tc>
        <w:tc>
          <w:tcPr>
            <w:tcW w:w="3874" w:type="pct"/>
          </w:tcPr>
          <w:p w14:paraId="63509101" w14:textId="77777777" w:rsidR="00836765" w:rsidRPr="003201C9" w:rsidRDefault="000055E5" w:rsidP="003201C9">
            <w:pPr>
              <w:overflowPunct w:val="0"/>
              <w:autoSpaceDE w:val="0"/>
              <w:autoSpaceDN w:val="0"/>
              <w:adjustRightInd w:val="0"/>
              <w:textAlignment w:val="baseline"/>
              <w:rPr>
                <w:i/>
                <w:sz w:val="22"/>
                <w:szCs w:val="22"/>
              </w:rPr>
            </w:pPr>
            <w:hyperlink r:id="rId43" w:history="1">
              <w:r w:rsidR="00F74BC3" w:rsidRPr="003201C9">
                <w:rPr>
                  <w:i/>
                  <w:color w:val="0000FF"/>
                  <w:sz w:val="22"/>
                  <w:szCs w:val="22"/>
                  <w:u w:val="single"/>
                </w:rPr>
                <w:t>Martine.Delanoy@eesc.europa.eu</w:t>
              </w:r>
            </w:hyperlink>
          </w:p>
        </w:tc>
      </w:tr>
    </w:tbl>
    <w:p w14:paraId="7B893721" w14:textId="77777777" w:rsidR="00673B8C" w:rsidRPr="003201C9" w:rsidRDefault="00673B8C" w:rsidP="003201C9">
      <w:pPr>
        <w:jc w:val="left"/>
      </w:pPr>
    </w:p>
    <w:p w14:paraId="5314991A" w14:textId="298CCCC6" w:rsidR="000122F3" w:rsidRPr="00AE1AFC" w:rsidRDefault="007F5784" w:rsidP="00AE1AFC">
      <w:pPr>
        <w:pStyle w:val="ListParagraph"/>
        <w:widowControl w:val="0"/>
        <w:numPr>
          <w:ilvl w:val="0"/>
          <w:numId w:val="36"/>
        </w:numPr>
        <w:overflowPunct w:val="0"/>
        <w:autoSpaceDE w:val="0"/>
        <w:autoSpaceDN w:val="0"/>
        <w:adjustRightInd w:val="0"/>
        <w:ind w:left="567" w:hanging="567"/>
        <w:rPr>
          <w:sz w:val="20"/>
          <w:szCs w:val="20"/>
        </w:rPr>
      </w:pPr>
      <w:r w:rsidRPr="003201C9">
        <w:br w:type="page"/>
      </w:r>
      <w:hyperlink r:id="rId44" w:history="1">
        <w:r w:rsidRPr="00AE1AFC">
          <w:rPr>
            <w:b/>
            <w:i/>
            <w:color w:val="0000FF"/>
            <w:sz w:val="28"/>
            <w:u w:val="single"/>
          </w:rPr>
          <w:t>Überarbeitung des Katastrophenschutzverfahrens der Union</w:t>
        </w:r>
      </w:hyperlink>
    </w:p>
    <w:p w14:paraId="5842569B" w14:textId="77777777" w:rsidR="000122F3" w:rsidRPr="003201C9" w:rsidRDefault="000122F3" w:rsidP="003201C9">
      <w:pPr>
        <w:tabs>
          <w:tab w:val="center" w:pos="284"/>
        </w:tabs>
        <w:overflowPunct w:val="0"/>
        <w:autoSpaceDE w:val="0"/>
        <w:autoSpaceDN w:val="0"/>
        <w:adjustRightInd w:val="0"/>
        <w:ind w:left="266" w:hanging="266"/>
        <w:rPr>
          <w:b/>
          <w:lang w:val="en-GB"/>
        </w:rPr>
      </w:pPr>
    </w:p>
    <w:tbl>
      <w:tblPr>
        <w:tblStyle w:val="TableGrid1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0"/>
        <w:gridCol w:w="7179"/>
      </w:tblGrid>
      <w:tr w:rsidR="000122F3" w:rsidRPr="003201C9" w14:paraId="2BBA9F50" w14:textId="77777777">
        <w:tc>
          <w:tcPr>
            <w:tcW w:w="1077" w:type="pct"/>
            <w:hideMark/>
          </w:tcPr>
          <w:p w14:paraId="04016230" w14:textId="77777777" w:rsidR="000122F3" w:rsidRPr="003201C9" w:rsidRDefault="000122F3" w:rsidP="003201C9">
            <w:pPr>
              <w:tabs>
                <w:tab w:val="center" w:pos="284"/>
              </w:tabs>
              <w:overflowPunct w:val="0"/>
              <w:autoSpaceDE w:val="0"/>
              <w:autoSpaceDN w:val="0"/>
              <w:adjustRightInd w:val="0"/>
              <w:ind w:left="266" w:hanging="266"/>
              <w:rPr>
                <w:b/>
                <w:sz w:val="22"/>
                <w:szCs w:val="22"/>
              </w:rPr>
            </w:pPr>
            <w:r w:rsidRPr="003201C9">
              <w:rPr>
                <w:b/>
                <w:sz w:val="22"/>
                <w:szCs w:val="22"/>
              </w:rPr>
              <w:t>Berichterstatter</w:t>
            </w:r>
          </w:p>
        </w:tc>
        <w:tc>
          <w:tcPr>
            <w:tcW w:w="3923" w:type="pct"/>
            <w:hideMark/>
          </w:tcPr>
          <w:p w14:paraId="198FB4FA" w14:textId="073E7805" w:rsidR="000122F3" w:rsidRPr="003201C9" w:rsidRDefault="000122F3" w:rsidP="003201C9">
            <w:pPr>
              <w:tabs>
                <w:tab w:val="center" w:pos="284"/>
              </w:tabs>
              <w:overflowPunct w:val="0"/>
              <w:autoSpaceDE w:val="0"/>
              <w:autoSpaceDN w:val="0"/>
              <w:adjustRightInd w:val="0"/>
              <w:ind w:left="266" w:right="-3091" w:hanging="266"/>
              <w:rPr>
                <w:sz w:val="22"/>
                <w:szCs w:val="22"/>
              </w:rPr>
            </w:pPr>
            <w:r w:rsidRPr="003201C9">
              <w:rPr>
                <w:sz w:val="22"/>
                <w:szCs w:val="22"/>
              </w:rPr>
              <w:t>Florian MARIN (Gruppe Arbeitnehmer – RO)</w:t>
            </w:r>
          </w:p>
          <w:p w14:paraId="442071CD" w14:textId="77777777" w:rsidR="00973F68" w:rsidRPr="00AE1AFC" w:rsidRDefault="00973F68" w:rsidP="003201C9">
            <w:pPr>
              <w:tabs>
                <w:tab w:val="center" w:pos="284"/>
              </w:tabs>
              <w:overflowPunct w:val="0"/>
              <w:autoSpaceDE w:val="0"/>
              <w:autoSpaceDN w:val="0"/>
              <w:adjustRightInd w:val="0"/>
              <w:ind w:left="266" w:right="-3091" w:hanging="266"/>
              <w:rPr>
                <w:sz w:val="12"/>
                <w:szCs w:val="12"/>
              </w:rPr>
            </w:pPr>
          </w:p>
        </w:tc>
      </w:tr>
      <w:tr w:rsidR="000122F3" w:rsidRPr="003201C9" w14:paraId="0C38D82B" w14:textId="77777777">
        <w:tc>
          <w:tcPr>
            <w:tcW w:w="1077" w:type="pct"/>
            <w:hideMark/>
          </w:tcPr>
          <w:p w14:paraId="317E91BC" w14:textId="77777777" w:rsidR="000122F3" w:rsidRPr="003201C9" w:rsidRDefault="000122F3" w:rsidP="003201C9">
            <w:pPr>
              <w:tabs>
                <w:tab w:val="center" w:pos="284"/>
              </w:tabs>
              <w:overflowPunct w:val="0"/>
              <w:autoSpaceDE w:val="0"/>
              <w:autoSpaceDN w:val="0"/>
              <w:adjustRightInd w:val="0"/>
              <w:ind w:left="266" w:hanging="266"/>
              <w:rPr>
                <w:b/>
                <w:sz w:val="22"/>
                <w:szCs w:val="22"/>
              </w:rPr>
            </w:pPr>
            <w:r w:rsidRPr="003201C9">
              <w:rPr>
                <w:b/>
                <w:sz w:val="22"/>
                <w:szCs w:val="22"/>
              </w:rPr>
              <w:t>Referenzdokumente</w:t>
            </w:r>
          </w:p>
        </w:tc>
        <w:tc>
          <w:tcPr>
            <w:tcW w:w="3923" w:type="pct"/>
            <w:hideMark/>
          </w:tcPr>
          <w:p w14:paraId="19D10923" w14:textId="14D39408" w:rsidR="00973F68" w:rsidRPr="003201C9" w:rsidRDefault="00973F68" w:rsidP="003201C9">
            <w:pPr>
              <w:tabs>
                <w:tab w:val="center" w:pos="284"/>
              </w:tabs>
              <w:overflowPunct w:val="0"/>
              <w:autoSpaceDE w:val="0"/>
              <w:autoSpaceDN w:val="0"/>
              <w:adjustRightInd w:val="0"/>
              <w:ind w:left="266" w:right="-3091" w:hanging="266"/>
              <w:rPr>
                <w:sz w:val="22"/>
                <w:szCs w:val="22"/>
              </w:rPr>
            </w:pPr>
            <w:r w:rsidRPr="003201C9">
              <w:rPr>
                <w:sz w:val="22"/>
                <w:szCs w:val="22"/>
              </w:rPr>
              <w:t>COM(2025) 548 final</w:t>
            </w:r>
          </w:p>
          <w:p w14:paraId="5FA9B2AF" w14:textId="75780E7F" w:rsidR="000122F3" w:rsidRPr="003201C9" w:rsidRDefault="000122F3" w:rsidP="003201C9">
            <w:pPr>
              <w:tabs>
                <w:tab w:val="center" w:pos="284"/>
              </w:tabs>
              <w:overflowPunct w:val="0"/>
              <w:autoSpaceDE w:val="0"/>
              <w:autoSpaceDN w:val="0"/>
              <w:adjustRightInd w:val="0"/>
              <w:ind w:left="266" w:right="-3091" w:hanging="266"/>
              <w:rPr>
                <w:sz w:val="22"/>
                <w:szCs w:val="22"/>
              </w:rPr>
            </w:pPr>
            <w:r w:rsidRPr="003201C9">
              <w:rPr>
                <w:sz w:val="22"/>
                <w:szCs w:val="22"/>
              </w:rPr>
              <w:t>EESC-2025-03573-00-00-AC</w:t>
            </w:r>
          </w:p>
        </w:tc>
      </w:tr>
    </w:tbl>
    <w:p w14:paraId="7BC98F02" w14:textId="77777777" w:rsidR="000122F3" w:rsidRPr="003201C9" w:rsidRDefault="000122F3" w:rsidP="003201C9">
      <w:pPr>
        <w:tabs>
          <w:tab w:val="center" w:pos="284"/>
        </w:tabs>
        <w:overflowPunct w:val="0"/>
        <w:autoSpaceDE w:val="0"/>
        <w:autoSpaceDN w:val="0"/>
        <w:adjustRightInd w:val="0"/>
        <w:ind w:left="266" w:hanging="266"/>
        <w:rPr>
          <w:b/>
          <w:lang w:val="en-GB"/>
        </w:rPr>
      </w:pPr>
    </w:p>
    <w:p w14:paraId="7E803210" w14:textId="77777777" w:rsidR="000122F3" w:rsidRPr="003201C9" w:rsidRDefault="000122F3" w:rsidP="003201C9">
      <w:pPr>
        <w:keepNext/>
        <w:keepLines/>
        <w:tabs>
          <w:tab w:val="center" w:pos="284"/>
        </w:tabs>
        <w:overflowPunct w:val="0"/>
        <w:autoSpaceDE w:val="0"/>
        <w:autoSpaceDN w:val="0"/>
        <w:adjustRightInd w:val="0"/>
        <w:ind w:left="266" w:hanging="266"/>
        <w:rPr>
          <w:b/>
        </w:rPr>
      </w:pPr>
      <w:r w:rsidRPr="003201C9">
        <w:rPr>
          <w:b/>
        </w:rPr>
        <w:t>Kernaussagen</w:t>
      </w:r>
    </w:p>
    <w:p w14:paraId="170D9736" w14:textId="77777777" w:rsidR="000122F3" w:rsidRPr="003201C9" w:rsidRDefault="000122F3" w:rsidP="003201C9">
      <w:pPr>
        <w:keepNext/>
        <w:keepLines/>
        <w:tabs>
          <w:tab w:val="center" w:pos="284"/>
        </w:tabs>
        <w:overflowPunct w:val="0"/>
        <w:autoSpaceDE w:val="0"/>
        <w:autoSpaceDN w:val="0"/>
        <w:adjustRightInd w:val="0"/>
        <w:ind w:left="266" w:hanging="266"/>
        <w:rPr>
          <w:b/>
          <w:lang w:val="en-GB"/>
        </w:rPr>
      </w:pPr>
    </w:p>
    <w:p w14:paraId="7F6EAEC8" w14:textId="77777777" w:rsidR="000122F3" w:rsidRPr="003201C9" w:rsidRDefault="000122F3" w:rsidP="003201C9">
      <w:pPr>
        <w:overflowPunct w:val="0"/>
        <w:autoSpaceDE w:val="0"/>
        <w:autoSpaceDN w:val="0"/>
        <w:adjustRightInd w:val="0"/>
      </w:pPr>
      <w:r w:rsidRPr="003201C9">
        <w:t>Der EWSA empfiehlt,</w:t>
      </w:r>
    </w:p>
    <w:p w14:paraId="00652B16" w14:textId="77777777" w:rsidR="00D40BB6" w:rsidRPr="003201C9" w:rsidRDefault="00D40BB6" w:rsidP="003201C9">
      <w:pPr>
        <w:overflowPunct w:val="0"/>
        <w:autoSpaceDE w:val="0"/>
        <w:autoSpaceDN w:val="0"/>
        <w:adjustRightInd w:val="0"/>
        <w:rPr>
          <w:lang w:val="en-GB"/>
        </w:rPr>
      </w:pPr>
    </w:p>
    <w:p w14:paraId="54342963" w14:textId="77777777" w:rsidR="000122F3" w:rsidRPr="003201C9" w:rsidRDefault="000122F3" w:rsidP="00AE1AFC">
      <w:pPr>
        <w:widowControl w:val="0"/>
        <w:numPr>
          <w:ilvl w:val="0"/>
          <w:numId w:val="30"/>
        </w:numPr>
        <w:overflowPunct w:val="0"/>
        <w:autoSpaceDE w:val="0"/>
        <w:autoSpaceDN w:val="0"/>
        <w:adjustRightInd w:val="0"/>
        <w:ind w:left="709" w:hanging="425"/>
      </w:pPr>
      <w:r w:rsidRPr="003201C9">
        <w:rPr>
          <w:b/>
        </w:rPr>
        <w:t>einen ehrgeizigeren Ansatz</w:t>
      </w:r>
      <w:r w:rsidRPr="003201C9">
        <w:t xml:space="preserve"> in Bezug auf die Mittelausstattung für die Katastrophenvorsorge und -prävention zu verfolgen, anstatt sich in erster Linie auf die Bewältigungskapazitäten zu konzentrieren; Im Zuge der Einrichtung eines effektiven und integrierten Katastrophenschutzverfahrens der Union muss auch ein </w:t>
      </w:r>
      <w:r w:rsidRPr="003201C9">
        <w:rPr>
          <w:b/>
        </w:rPr>
        <w:t>umfassender Rahmen für Katastrophenvorsorge</w:t>
      </w:r>
      <w:r w:rsidRPr="003201C9">
        <w:t xml:space="preserve"> in der gesamten EU vorgesehen werden. Zudem muss der Fokus stärker auf die </w:t>
      </w:r>
      <w:r w:rsidRPr="003201C9">
        <w:rPr>
          <w:b/>
        </w:rPr>
        <w:t>bereichsübergreifende und grenzüberschreitende</w:t>
      </w:r>
      <w:r w:rsidRPr="003201C9">
        <w:t xml:space="preserve"> Katastrophenprävention gerichtet werden. All dies muss im Rahmen eines ganzheitlichen Risikomanagementsystems umgesetzt werden;</w:t>
      </w:r>
    </w:p>
    <w:p w14:paraId="7024A92F" w14:textId="77777777" w:rsidR="000122F3" w:rsidRPr="003201C9" w:rsidRDefault="000122F3" w:rsidP="00AE1AFC">
      <w:pPr>
        <w:widowControl w:val="0"/>
        <w:numPr>
          <w:ilvl w:val="0"/>
          <w:numId w:val="30"/>
        </w:numPr>
        <w:overflowPunct w:val="0"/>
        <w:autoSpaceDE w:val="0"/>
        <w:autoSpaceDN w:val="0"/>
        <w:adjustRightInd w:val="0"/>
        <w:ind w:left="709" w:hanging="425"/>
      </w:pPr>
      <w:r w:rsidRPr="003201C9">
        <w:t xml:space="preserve">den </w:t>
      </w:r>
      <w:r w:rsidRPr="003201C9">
        <w:rPr>
          <w:b/>
        </w:rPr>
        <w:t>Verwaltungsaufwand zu verringern</w:t>
      </w:r>
      <w:r w:rsidRPr="003201C9">
        <w:t xml:space="preserve">, Überschneidungen zu beseitigen, unzulängliche Daten- und Unterstützungssysteme aufzurüsten, die Zahl geschulter Fachkräfte aufzustocken und in interoperable Kapazitäten zu investieren, auf der Grundlage gemeinsamer Standards und Ausbildungswege bei gleichzeitiger Gewährleistung </w:t>
      </w:r>
      <w:r w:rsidRPr="003201C9">
        <w:rPr>
          <w:b/>
        </w:rPr>
        <w:t>hochwertiger Arbeitsbedingungen</w:t>
      </w:r>
      <w:r w:rsidRPr="003201C9">
        <w:t xml:space="preserve"> als Voraussetzung für die Stärkung der gesellschaftlichen Resilienz im Rahmen eines gesamtgesellschaftlichen Krisenansatzes;</w:t>
      </w:r>
    </w:p>
    <w:p w14:paraId="497B5155" w14:textId="77777777" w:rsidR="000122F3" w:rsidRPr="003201C9" w:rsidRDefault="000122F3" w:rsidP="00AE1AFC">
      <w:pPr>
        <w:widowControl w:val="0"/>
        <w:numPr>
          <w:ilvl w:val="0"/>
          <w:numId w:val="30"/>
        </w:numPr>
        <w:overflowPunct w:val="0"/>
        <w:autoSpaceDE w:val="0"/>
        <w:autoSpaceDN w:val="0"/>
        <w:adjustRightInd w:val="0"/>
        <w:ind w:left="709" w:hanging="425"/>
      </w:pPr>
      <w:r w:rsidRPr="003201C9">
        <w:t xml:space="preserve">Katastrophen und Krisen </w:t>
      </w:r>
      <w:r w:rsidRPr="003201C9">
        <w:rPr>
          <w:b/>
        </w:rPr>
        <w:t>besser zu antizipieren und zu analysieren</w:t>
      </w:r>
      <w:r w:rsidRPr="003201C9">
        <w:t xml:space="preserve"> und dabei zu berücksichtigen, welcher Zusammenhang zwischen Propaganda und Desinformation und gesteigertem psychosozialem Stress besteht;</w:t>
      </w:r>
    </w:p>
    <w:p w14:paraId="1AEBFB07" w14:textId="77777777" w:rsidR="000122F3" w:rsidRPr="003201C9" w:rsidRDefault="000122F3" w:rsidP="00AE1AFC">
      <w:pPr>
        <w:widowControl w:val="0"/>
        <w:numPr>
          <w:ilvl w:val="0"/>
          <w:numId w:val="30"/>
        </w:numPr>
        <w:overflowPunct w:val="0"/>
        <w:autoSpaceDE w:val="0"/>
        <w:autoSpaceDN w:val="0"/>
        <w:adjustRightInd w:val="0"/>
        <w:ind w:left="709" w:hanging="425"/>
      </w:pPr>
      <w:r w:rsidRPr="003201C9">
        <w:t xml:space="preserve">das Katastrophenschutzverfahren der Union durch </w:t>
      </w:r>
      <w:r w:rsidRPr="003201C9">
        <w:rPr>
          <w:b/>
        </w:rPr>
        <w:t>zusätzliche Finanzmittel</w:t>
      </w:r>
      <w:r w:rsidRPr="003201C9">
        <w:t xml:space="preserve"> zu stärken, insbesondere in Bezug auf schutzbedürftige Gruppen und Regionen, darunter die Regionen in äußerster Randlage und die Regionen in der Nähe von Kriegsgebieten;</w:t>
      </w:r>
    </w:p>
    <w:p w14:paraId="6A0A0A84" w14:textId="77777777" w:rsidR="000122F3" w:rsidRPr="003201C9" w:rsidRDefault="000122F3" w:rsidP="00AE1AFC">
      <w:pPr>
        <w:widowControl w:val="0"/>
        <w:numPr>
          <w:ilvl w:val="0"/>
          <w:numId w:val="30"/>
        </w:numPr>
        <w:overflowPunct w:val="0"/>
        <w:autoSpaceDE w:val="0"/>
        <w:autoSpaceDN w:val="0"/>
        <w:adjustRightInd w:val="0"/>
        <w:ind w:left="709" w:hanging="425"/>
      </w:pPr>
      <w:r w:rsidRPr="003201C9">
        <w:rPr>
          <w:b/>
        </w:rPr>
        <w:t>Kohärenz mit</w:t>
      </w:r>
      <w:r w:rsidRPr="003201C9">
        <w:t xml:space="preserve"> den für den Programmplanungszeitraum 2028–2034 vorgeschlagenen </w:t>
      </w:r>
      <w:r w:rsidRPr="003201C9">
        <w:rPr>
          <w:b/>
        </w:rPr>
        <w:t>nationalen und regionalen Partnerschaftsplänen</w:t>
      </w:r>
      <w:r w:rsidRPr="003201C9">
        <w:t xml:space="preserve"> sicherzustellen;</w:t>
      </w:r>
    </w:p>
    <w:p w14:paraId="1E425507" w14:textId="77777777" w:rsidR="000122F3" w:rsidRPr="003201C9" w:rsidRDefault="000122F3" w:rsidP="00AE1AFC">
      <w:pPr>
        <w:widowControl w:val="0"/>
        <w:numPr>
          <w:ilvl w:val="0"/>
          <w:numId w:val="30"/>
        </w:numPr>
        <w:overflowPunct w:val="0"/>
        <w:autoSpaceDE w:val="0"/>
        <w:autoSpaceDN w:val="0"/>
        <w:adjustRightInd w:val="0"/>
        <w:ind w:left="709" w:hanging="425"/>
      </w:pPr>
      <w:r w:rsidRPr="003201C9">
        <w:t xml:space="preserve">eine </w:t>
      </w:r>
      <w:r w:rsidRPr="003201C9">
        <w:rPr>
          <w:b/>
        </w:rPr>
        <w:t>größere Komplementarität</w:t>
      </w:r>
      <w:r w:rsidRPr="003201C9">
        <w:t xml:space="preserve"> zwischen bestehenden Instrumenten wie Sicherheitsmaßnahmen für Europa (SAFE), Europäisches Solidaritätskorps und Katastrophenschutzverfahren der Union zu fördern;</w:t>
      </w:r>
    </w:p>
    <w:p w14:paraId="71C4B6AC" w14:textId="77777777" w:rsidR="000122F3" w:rsidRPr="003201C9" w:rsidRDefault="000122F3" w:rsidP="00AE1AFC">
      <w:pPr>
        <w:widowControl w:val="0"/>
        <w:numPr>
          <w:ilvl w:val="0"/>
          <w:numId w:val="30"/>
        </w:numPr>
        <w:overflowPunct w:val="0"/>
        <w:autoSpaceDE w:val="0"/>
        <w:autoSpaceDN w:val="0"/>
        <w:adjustRightInd w:val="0"/>
        <w:ind w:left="709" w:hanging="425"/>
      </w:pPr>
      <w:r w:rsidRPr="003201C9">
        <w:t xml:space="preserve">eine ausreichende und verlässliche </w:t>
      </w:r>
      <w:r w:rsidRPr="003201C9">
        <w:rPr>
          <w:b/>
        </w:rPr>
        <w:t>Finanzierung für die Berufsfeuerwehr und medizinisches Personal</w:t>
      </w:r>
      <w:r w:rsidRPr="003201C9">
        <w:t xml:space="preserve"> sicherzustellen, um die Effizienz und rasche Reaktionsfähigkeit im Rahmen des Katastrophenschutzverfahrens der Union zu wahren; gleichzeitig sollte die Rolle der Freiwilligen gestärkt werden;</w:t>
      </w:r>
    </w:p>
    <w:p w14:paraId="22A0C91D" w14:textId="77777777" w:rsidR="000122F3" w:rsidRPr="003201C9" w:rsidRDefault="000122F3" w:rsidP="00AE1AFC">
      <w:pPr>
        <w:widowControl w:val="0"/>
        <w:numPr>
          <w:ilvl w:val="0"/>
          <w:numId w:val="30"/>
        </w:numPr>
        <w:overflowPunct w:val="0"/>
        <w:autoSpaceDE w:val="0"/>
        <w:autoSpaceDN w:val="0"/>
        <w:adjustRightInd w:val="0"/>
        <w:ind w:left="709" w:hanging="425"/>
      </w:pPr>
      <w:r w:rsidRPr="003201C9">
        <w:t xml:space="preserve">das </w:t>
      </w:r>
      <w:r w:rsidRPr="003201C9">
        <w:rPr>
          <w:b/>
        </w:rPr>
        <w:t>Katastrophenschutzverfahren der Union flexibel zu gestalten</w:t>
      </w:r>
      <w:r w:rsidRPr="003201C9">
        <w:t xml:space="preserve">, um der Vielfalt der nationalen Katastrophenmanagementsysteme Rechnung zu tragen und gleichzeitig die </w:t>
      </w:r>
      <w:r w:rsidRPr="003201C9">
        <w:rPr>
          <w:b/>
        </w:rPr>
        <w:t>grenzübergreifende Zusammenarbeit</w:t>
      </w:r>
      <w:r w:rsidRPr="003201C9">
        <w:t xml:space="preserve"> und Koordinierung im Hinblick auf eine rasche und wirksame Reaktion auf Katastrophen unter umfassender Einbeziehung der organisierten Zivilgesellschaft </w:t>
      </w:r>
      <w:r w:rsidRPr="003201C9">
        <w:rPr>
          <w:b/>
        </w:rPr>
        <w:t>sicherzustellen</w:t>
      </w:r>
      <w:r w:rsidRPr="003201C9">
        <w:t>, da Katastrophen nicht an Grenzen haltmachen;</w:t>
      </w:r>
    </w:p>
    <w:p w14:paraId="0D503548" w14:textId="77777777" w:rsidR="000122F3" w:rsidRPr="003201C9" w:rsidRDefault="000122F3" w:rsidP="00AE1AFC">
      <w:pPr>
        <w:widowControl w:val="0"/>
        <w:numPr>
          <w:ilvl w:val="0"/>
          <w:numId w:val="30"/>
        </w:numPr>
        <w:overflowPunct w:val="0"/>
        <w:autoSpaceDE w:val="0"/>
        <w:autoSpaceDN w:val="0"/>
        <w:adjustRightInd w:val="0"/>
        <w:ind w:left="709" w:hanging="425"/>
      </w:pPr>
      <w:r w:rsidRPr="003201C9">
        <w:lastRenderedPageBreak/>
        <w:t xml:space="preserve">die Vergabevorschriften anzupassen, um eine </w:t>
      </w:r>
      <w:r w:rsidRPr="003201C9">
        <w:rPr>
          <w:b/>
        </w:rPr>
        <w:t>rasche und effektive Versorgung mit wichtigen Gütern</w:t>
      </w:r>
      <w:r w:rsidRPr="003201C9">
        <w:t xml:space="preserve"> und Dienstleistungen in Krisenzeiten zu </w:t>
      </w:r>
      <w:r w:rsidRPr="003201C9">
        <w:rPr>
          <w:b/>
        </w:rPr>
        <w:t>gewährleisten</w:t>
      </w:r>
      <w:r w:rsidRPr="003201C9">
        <w:t>.</w:t>
      </w:r>
    </w:p>
    <w:p w14:paraId="5918B32B" w14:textId="77777777" w:rsidR="000122F3" w:rsidRPr="003201C9" w:rsidRDefault="000122F3" w:rsidP="00AE1AFC">
      <w:pPr>
        <w:widowControl w:val="0"/>
        <w:numPr>
          <w:ilvl w:val="0"/>
          <w:numId w:val="30"/>
        </w:numPr>
        <w:overflowPunct w:val="0"/>
        <w:autoSpaceDE w:val="0"/>
        <w:autoSpaceDN w:val="0"/>
        <w:adjustRightInd w:val="0"/>
        <w:ind w:left="709" w:hanging="425"/>
      </w:pPr>
      <w:r w:rsidRPr="003201C9">
        <w:rPr>
          <w:b/>
        </w:rPr>
        <w:t>ein standardisiertes Formular für die Katastrophenberichterstattung</w:t>
      </w:r>
      <w:r w:rsidRPr="003201C9">
        <w:t xml:space="preserve"> zu erstellen, das von allen Mitgliedstaaten zu verwenden ist.</w:t>
      </w:r>
    </w:p>
    <w:p w14:paraId="239E5250" w14:textId="77777777" w:rsidR="000122F3" w:rsidRPr="003201C9" w:rsidRDefault="000122F3" w:rsidP="003201C9">
      <w:pPr>
        <w:widowControl w:val="0"/>
        <w:overflowPunct w:val="0"/>
        <w:autoSpaceDE w:val="0"/>
        <w:autoSpaceDN w:val="0"/>
        <w:adjustRightInd w:val="0"/>
        <w:ind w:left="709"/>
      </w:pPr>
    </w:p>
    <w:tbl>
      <w:tblPr>
        <w:tblStyle w:val="TableGrid1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4"/>
        <w:gridCol w:w="7195"/>
      </w:tblGrid>
      <w:tr w:rsidR="000122F3" w:rsidRPr="003201C9" w14:paraId="315A6780" w14:textId="77777777" w:rsidTr="00AE1AFC">
        <w:tc>
          <w:tcPr>
            <w:tcW w:w="1127" w:type="pct"/>
            <w:hideMark/>
          </w:tcPr>
          <w:p w14:paraId="0BC88ACD" w14:textId="77777777" w:rsidR="000122F3" w:rsidRPr="003201C9" w:rsidRDefault="000122F3" w:rsidP="003201C9">
            <w:pPr>
              <w:overflowPunct w:val="0"/>
              <w:autoSpaceDE w:val="0"/>
              <w:autoSpaceDN w:val="0"/>
              <w:adjustRightInd w:val="0"/>
              <w:rPr>
                <w:i/>
                <w:iCs/>
                <w:sz w:val="22"/>
                <w:szCs w:val="22"/>
              </w:rPr>
            </w:pPr>
            <w:r w:rsidRPr="003201C9">
              <w:rPr>
                <w:b/>
                <w:i/>
                <w:sz w:val="22"/>
                <w:szCs w:val="22"/>
              </w:rPr>
              <w:t>Kontakt</w:t>
            </w:r>
          </w:p>
        </w:tc>
        <w:tc>
          <w:tcPr>
            <w:tcW w:w="3873" w:type="pct"/>
            <w:hideMark/>
          </w:tcPr>
          <w:p w14:paraId="278195BE" w14:textId="77777777" w:rsidR="000122F3" w:rsidRPr="003201C9" w:rsidRDefault="000122F3" w:rsidP="003201C9">
            <w:pPr>
              <w:overflowPunct w:val="0"/>
              <w:autoSpaceDE w:val="0"/>
              <w:autoSpaceDN w:val="0"/>
              <w:adjustRightInd w:val="0"/>
              <w:rPr>
                <w:i/>
                <w:iCs/>
                <w:sz w:val="22"/>
                <w:szCs w:val="22"/>
              </w:rPr>
            </w:pPr>
            <w:r w:rsidRPr="003201C9">
              <w:rPr>
                <w:i/>
                <w:sz w:val="22"/>
                <w:szCs w:val="22"/>
              </w:rPr>
              <w:t xml:space="preserve">Arturo </w:t>
            </w:r>
            <w:proofErr w:type="spellStart"/>
            <w:r w:rsidRPr="003201C9">
              <w:rPr>
                <w:i/>
                <w:sz w:val="22"/>
                <w:szCs w:val="22"/>
              </w:rPr>
              <w:t>Iniguez</w:t>
            </w:r>
            <w:proofErr w:type="spellEnd"/>
            <w:r w:rsidRPr="003201C9">
              <w:rPr>
                <w:i/>
                <w:sz w:val="22"/>
                <w:szCs w:val="22"/>
              </w:rPr>
              <w:t xml:space="preserve"> Yuste</w:t>
            </w:r>
          </w:p>
        </w:tc>
      </w:tr>
      <w:tr w:rsidR="000122F3" w:rsidRPr="003201C9" w14:paraId="326D7576" w14:textId="77777777" w:rsidTr="00AE1AFC">
        <w:tc>
          <w:tcPr>
            <w:tcW w:w="1127" w:type="pct"/>
            <w:hideMark/>
          </w:tcPr>
          <w:p w14:paraId="74416C4B" w14:textId="77777777" w:rsidR="000122F3" w:rsidRPr="003201C9" w:rsidRDefault="000122F3" w:rsidP="003201C9">
            <w:pPr>
              <w:overflowPunct w:val="0"/>
              <w:autoSpaceDE w:val="0"/>
              <w:autoSpaceDN w:val="0"/>
              <w:adjustRightInd w:val="0"/>
              <w:rPr>
                <w:i/>
                <w:sz w:val="22"/>
                <w:szCs w:val="22"/>
              </w:rPr>
            </w:pPr>
            <w:r w:rsidRPr="003201C9">
              <w:rPr>
                <w:i/>
                <w:sz w:val="22"/>
                <w:szCs w:val="22"/>
              </w:rPr>
              <w:t>Tel.</w:t>
            </w:r>
          </w:p>
        </w:tc>
        <w:tc>
          <w:tcPr>
            <w:tcW w:w="3873" w:type="pct"/>
            <w:hideMark/>
          </w:tcPr>
          <w:p w14:paraId="0CE46E70" w14:textId="77777777" w:rsidR="000122F3" w:rsidRPr="003201C9" w:rsidRDefault="000122F3" w:rsidP="003201C9">
            <w:pPr>
              <w:overflowPunct w:val="0"/>
              <w:autoSpaceDE w:val="0"/>
              <w:autoSpaceDN w:val="0"/>
              <w:adjustRightInd w:val="0"/>
              <w:rPr>
                <w:i/>
                <w:sz w:val="22"/>
                <w:szCs w:val="22"/>
              </w:rPr>
            </w:pPr>
            <w:r w:rsidRPr="003201C9">
              <w:rPr>
                <w:i/>
                <w:sz w:val="22"/>
                <w:szCs w:val="22"/>
              </w:rPr>
              <w:t>+32 25468768</w:t>
            </w:r>
          </w:p>
        </w:tc>
      </w:tr>
      <w:tr w:rsidR="000122F3" w:rsidRPr="003201C9" w14:paraId="753D0F57" w14:textId="77777777" w:rsidTr="00AE1AFC">
        <w:tc>
          <w:tcPr>
            <w:tcW w:w="1127" w:type="pct"/>
            <w:hideMark/>
          </w:tcPr>
          <w:p w14:paraId="2C40013E" w14:textId="77777777" w:rsidR="000122F3" w:rsidRPr="003201C9" w:rsidRDefault="000122F3" w:rsidP="003201C9">
            <w:pPr>
              <w:overflowPunct w:val="0"/>
              <w:autoSpaceDE w:val="0"/>
              <w:autoSpaceDN w:val="0"/>
              <w:adjustRightInd w:val="0"/>
              <w:rPr>
                <w:i/>
                <w:sz w:val="22"/>
                <w:szCs w:val="22"/>
              </w:rPr>
            </w:pPr>
            <w:r w:rsidRPr="003201C9">
              <w:rPr>
                <w:i/>
                <w:sz w:val="22"/>
                <w:szCs w:val="22"/>
              </w:rPr>
              <w:t>E-Mail</w:t>
            </w:r>
          </w:p>
        </w:tc>
        <w:tc>
          <w:tcPr>
            <w:tcW w:w="3873" w:type="pct"/>
            <w:hideMark/>
          </w:tcPr>
          <w:p w14:paraId="2E7C650A" w14:textId="77777777" w:rsidR="000122F3" w:rsidRPr="003201C9" w:rsidRDefault="000055E5" w:rsidP="003201C9">
            <w:pPr>
              <w:overflowPunct w:val="0"/>
              <w:autoSpaceDE w:val="0"/>
              <w:autoSpaceDN w:val="0"/>
              <w:adjustRightInd w:val="0"/>
              <w:rPr>
                <w:i/>
                <w:sz w:val="22"/>
                <w:szCs w:val="22"/>
              </w:rPr>
            </w:pPr>
            <w:hyperlink r:id="rId45" w:history="1">
              <w:r w:rsidR="00F74BC3" w:rsidRPr="003201C9">
                <w:rPr>
                  <w:i/>
                  <w:color w:val="0000FF"/>
                  <w:sz w:val="22"/>
                  <w:szCs w:val="22"/>
                  <w:u w:val="single"/>
                </w:rPr>
                <w:t>Arturo.Iniguez@eesc.europa.eu</w:t>
              </w:r>
            </w:hyperlink>
          </w:p>
        </w:tc>
      </w:tr>
    </w:tbl>
    <w:p w14:paraId="715DB2BD" w14:textId="599992C3" w:rsidR="00395794" w:rsidRPr="003201C9" w:rsidRDefault="00395794" w:rsidP="003201C9">
      <w:pPr>
        <w:jc w:val="left"/>
      </w:pPr>
    </w:p>
    <w:p w14:paraId="73A0193B" w14:textId="77777777" w:rsidR="00395794" w:rsidRDefault="00395794" w:rsidP="003201C9">
      <w:pPr>
        <w:jc w:val="left"/>
      </w:pPr>
      <w:r>
        <w:br w:type="page"/>
      </w:r>
    </w:p>
    <w:p w14:paraId="14026A78" w14:textId="4FAE1588" w:rsidR="007F5784" w:rsidRDefault="007F5784" w:rsidP="003201C9">
      <w:pPr>
        <w:pStyle w:val="Heading1"/>
        <w:rPr>
          <w:b/>
        </w:rPr>
      </w:pPr>
      <w:bookmarkStart w:id="15" w:name="_Toc217289959"/>
      <w:r>
        <w:rPr>
          <w:b/>
        </w:rPr>
        <w:lastRenderedPageBreak/>
        <w:t>AUẞENBEZIEHUNGEN</w:t>
      </w:r>
      <w:bookmarkEnd w:id="15"/>
    </w:p>
    <w:p w14:paraId="3BBB3E68" w14:textId="77777777" w:rsidR="007F5784" w:rsidRDefault="007F5784" w:rsidP="003201C9"/>
    <w:p w14:paraId="15F03B8E" w14:textId="19987F61" w:rsidR="00237C67" w:rsidRPr="00C62A6C" w:rsidRDefault="00237C67" w:rsidP="003201C9">
      <w:pPr>
        <w:widowControl w:val="0"/>
        <w:numPr>
          <w:ilvl w:val="0"/>
          <w:numId w:val="15"/>
        </w:numPr>
        <w:overflowPunct w:val="0"/>
        <w:autoSpaceDE w:val="0"/>
        <w:autoSpaceDN w:val="0"/>
        <w:adjustRightInd w:val="0"/>
        <w:ind w:left="567" w:hanging="567"/>
        <w:contextualSpacing/>
        <w:jc w:val="left"/>
        <w:textAlignment w:val="baseline"/>
        <w:rPr>
          <w:sz w:val="28"/>
          <w:szCs w:val="28"/>
        </w:rPr>
      </w:pPr>
      <w:r w:rsidRPr="00C62A6C">
        <w:rPr>
          <w:b/>
          <w:i/>
          <w:sz w:val="28"/>
        </w:rPr>
        <w:fldChar w:fldCharType="begin"/>
      </w:r>
      <w:r w:rsidRPr="00C62A6C">
        <w:rPr>
          <w:b/>
          <w:i/>
          <w:sz w:val="28"/>
        </w:rPr>
        <w:instrText>HYPERLINK "https://www.eesc.europa.eu/de/our-work/opinions-information-reports/opinions/european-unions-strategic-approach-black-sea-region"</w:instrText>
      </w:r>
      <w:r w:rsidRPr="00C62A6C">
        <w:rPr>
          <w:b/>
          <w:i/>
          <w:sz w:val="28"/>
        </w:rPr>
        <w:fldChar w:fldCharType="separate"/>
      </w:r>
      <w:r>
        <w:rPr>
          <w:b/>
          <w:i/>
          <w:color w:val="0000FF"/>
          <w:sz w:val="28"/>
          <w:u w:val="single"/>
        </w:rPr>
        <w:t>Der strategische Ansatz der Europäischen Union für den Schwarzmeerraum</w:t>
      </w:r>
    </w:p>
    <w:p w14:paraId="3C2969D6" w14:textId="77777777" w:rsidR="00237C67" w:rsidRPr="00237C67" w:rsidRDefault="00237C67" w:rsidP="003201C9">
      <w:pPr>
        <w:tabs>
          <w:tab w:val="center" w:pos="284"/>
        </w:tabs>
        <w:overflowPunct w:val="0"/>
        <w:autoSpaceDE w:val="0"/>
        <w:autoSpaceDN w:val="0"/>
        <w:adjustRightInd w:val="0"/>
        <w:ind w:left="266" w:hanging="266"/>
        <w:textAlignment w:val="baseline"/>
        <w:rPr>
          <w:b/>
        </w:rPr>
      </w:pPr>
      <w:r w:rsidRPr="00C62A6C">
        <w:rPr>
          <w:b/>
          <w:i/>
          <w:sz w:val="28"/>
        </w:rPr>
        <w:fldChar w:fldCharType="end"/>
      </w:r>
    </w:p>
    <w:tbl>
      <w:tblPr>
        <w:tblStyle w:val="TableGrid14"/>
        <w:tblW w:w="492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7112"/>
      </w:tblGrid>
      <w:tr w:rsidR="00237C67" w:rsidRPr="003201C9" w14:paraId="7F23DD4D" w14:textId="77777777" w:rsidTr="00C201AB">
        <w:trPr>
          <w:trHeight w:val="445"/>
        </w:trPr>
        <w:tc>
          <w:tcPr>
            <w:tcW w:w="1111" w:type="pct"/>
          </w:tcPr>
          <w:p w14:paraId="1BCE19E0" w14:textId="77777777" w:rsidR="00237C67" w:rsidRPr="003201C9" w:rsidRDefault="00237C67" w:rsidP="003201C9">
            <w:pPr>
              <w:tabs>
                <w:tab w:val="center" w:pos="284"/>
              </w:tabs>
              <w:overflowPunct w:val="0"/>
              <w:autoSpaceDE w:val="0"/>
              <w:autoSpaceDN w:val="0"/>
              <w:adjustRightInd w:val="0"/>
              <w:ind w:left="266" w:hanging="266"/>
              <w:textAlignment w:val="baseline"/>
              <w:rPr>
                <w:b/>
                <w:sz w:val="22"/>
                <w:szCs w:val="22"/>
              </w:rPr>
            </w:pPr>
            <w:r w:rsidRPr="003201C9">
              <w:rPr>
                <w:b/>
                <w:sz w:val="22"/>
                <w:szCs w:val="22"/>
              </w:rPr>
              <w:t>Berichterstatterin</w:t>
            </w:r>
          </w:p>
        </w:tc>
        <w:tc>
          <w:tcPr>
            <w:tcW w:w="3889" w:type="pct"/>
          </w:tcPr>
          <w:p w14:paraId="4CC365C4" w14:textId="0A5B6F9A" w:rsidR="00237C67" w:rsidRPr="003201C9" w:rsidRDefault="00237C67" w:rsidP="003201C9">
            <w:pPr>
              <w:tabs>
                <w:tab w:val="center" w:pos="284"/>
              </w:tabs>
              <w:overflowPunct w:val="0"/>
              <w:autoSpaceDE w:val="0"/>
              <w:autoSpaceDN w:val="0"/>
              <w:adjustRightInd w:val="0"/>
              <w:ind w:left="266" w:hanging="266"/>
              <w:textAlignment w:val="baseline"/>
              <w:rPr>
                <w:sz w:val="22"/>
                <w:szCs w:val="22"/>
              </w:rPr>
            </w:pPr>
            <w:r w:rsidRPr="003201C9">
              <w:rPr>
                <w:sz w:val="22"/>
                <w:szCs w:val="22"/>
              </w:rPr>
              <w:t>Milena ANGELOVA (Gruppe Arbeitgeber – BG)</w:t>
            </w:r>
          </w:p>
        </w:tc>
      </w:tr>
      <w:tr w:rsidR="00237C67" w:rsidRPr="003201C9" w14:paraId="1B1D2359" w14:textId="77777777" w:rsidTr="00C201AB">
        <w:tc>
          <w:tcPr>
            <w:tcW w:w="1111" w:type="pct"/>
          </w:tcPr>
          <w:p w14:paraId="1DEDCFA8" w14:textId="77777777" w:rsidR="00237C67" w:rsidRPr="003201C9" w:rsidRDefault="00237C67" w:rsidP="003201C9">
            <w:pPr>
              <w:tabs>
                <w:tab w:val="center" w:pos="284"/>
              </w:tabs>
              <w:overflowPunct w:val="0"/>
              <w:autoSpaceDE w:val="0"/>
              <w:autoSpaceDN w:val="0"/>
              <w:adjustRightInd w:val="0"/>
              <w:ind w:left="266" w:hanging="266"/>
              <w:textAlignment w:val="baseline"/>
              <w:rPr>
                <w:b/>
                <w:sz w:val="22"/>
                <w:szCs w:val="22"/>
              </w:rPr>
            </w:pPr>
            <w:r w:rsidRPr="003201C9">
              <w:rPr>
                <w:b/>
                <w:sz w:val="22"/>
                <w:szCs w:val="22"/>
              </w:rPr>
              <w:t>Referenzdokument</w:t>
            </w:r>
          </w:p>
        </w:tc>
        <w:tc>
          <w:tcPr>
            <w:tcW w:w="3889" w:type="pct"/>
          </w:tcPr>
          <w:p w14:paraId="25C8A6CE" w14:textId="16BE3594" w:rsidR="001A7442" w:rsidRPr="003201C9" w:rsidRDefault="001A7442" w:rsidP="003201C9">
            <w:pPr>
              <w:tabs>
                <w:tab w:val="center" w:pos="284"/>
              </w:tabs>
              <w:overflowPunct w:val="0"/>
              <w:autoSpaceDE w:val="0"/>
              <w:autoSpaceDN w:val="0"/>
              <w:adjustRightInd w:val="0"/>
              <w:ind w:left="266" w:hanging="266"/>
              <w:textAlignment w:val="baseline"/>
              <w:rPr>
                <w:sz w:val="22"/>
                <w:szCs w:val="22"/>
              </w:rPr>
            </w:pPr>
            <w:r w:rsidRPr="003201C9">
              <w:rPr>
                <w:sz w:val="22"/>
                <w:szCs w:val="22"/>
              </w:rPr>
              <w:t>JOIN(2025) 135 final</w:t>
            </w:r>
          </w:p>
          <w:p w14:paraId="47441D19" w14:textId="338F915F" w:rsidR="00237C67" w:rsidRPr="003201C9" w:rsidRDefault="00237C67" w:rsidP="003201C9">
            <w:pPr>
              <w:tabs>
                <w:tab w:val="center" w:pos="284"/>
              </w:tabs>
              <w:overflowPunct w:val="0"/>
              <w:autoSpaceDE w:val="0"/>
              <w:autoSpaceDN w:val="0"/>
              <w:adjustRightInd w:val="0"/>
              <w:ind w:left="266" w:hanging="266"/>
              <w:textAlignment w:val="baseline"/>
              <w:rPr>
                <w:sz w:val="22"/>
                <w:szCs w:val="22"/>
              </w:rPr>
            </w:pPr>
            <w:r w:rsidRPr="003201C9">
              <w:rPr>
                <w:sz w:val="22"/>
                <w:szCs w:val="22"/>
              </w:rPr>
              <w:t>EESC-2025-02608-00-00-AC</w:t>
            </w:r>
          </w:p>
        </w:tc>
      </w:tr>
    </w:tbl>
    <w:p w14:paraId="47E1C9F3" w14:textId="77777777" w:rsidR="00237C67" w:rsidRPr="003201C9" w:rsidRDefault="00237C67" w:rsidP="003201C9">
      <w:pPr>
        <w:keepNext/>
        <w:keepLines/>
        <w:tabs>
          <w:tab w:val="center" w:pos="284"/>
        </w:tabs>
        <w:overflowPunct w:val="0"/>
        <w:autoSpaceDE w:val="0"/>
        <w:autoSpaceDN w:val="0"/>
        <w:adjustRightInd w:val="0"/>
        <w:ind w:left="266" w:hanging="266"/>
        <w:textAlignment w:val="baseline"/>
        <w:rPr>
          <w:b/>
          <w:lang w:val="en-GB"/>
        </w:rPr>
      </w:pPr>
    </w:p>
    <w:p w14:paraId="3C0D4718" w14:textId="77777777" w:rsidR="00237C67" w:rsidRPr="003201C9" w:rsidRDefault="00237C67" w:rsidP="003201C9">
      <w:pPr>
        <w:keepNext/>
        <w:keepLines/>
        <w:tabs>
          <w:tab w:val="center" w:pos="284"/>
        </w:tabs>
        <w:overflowPunct w:val="0"/>
        <w:autoSpaceDE w:val="0"/>
        <w:autoSpaceDN w:val="0"/>
        <w:adjustRightInd w:val="0"/>
        <w:ind w:left="266" w:hanging="266"/>
        <w:textAlignment w:val="baseline"/>
        <w:rPr>
          <w:b/>
        </w:rPr>
      </w:pPr>
      <w:r w:rsidRPr="003201C9">
        <w:rPr>
          <w:b/>
        </w:rPr>
        <w:t>Kernaussagen</w:t>
      </w:r>
    </w:p>
    <w:p w14:paraId="646D390F" w14:textId="77777777" w:rsidR="00237C67" w:rsidRPr="003201C9" w:rsidRDefault="00237C67" w:rsidP="003201C9">
      <w:pPr>
        <w:keepNext/>
        <w:keepLines/>
        <w:tabs>
          <w:tab w:val="center" w:pos="284"/>
        </w:tabs>
        <w:overflowPunct w:val="0"/>
        <w:autoSpaceDE w:val="0"/>
        <w:autoSpaceDN w:val="0"/>
        <w:adjustRightInd w:val="0"/>
        <w:ind w:left="266" w:hanging="266"/>
        <w:textAlignment w:val="baseline"/>
        <w:rPr>
          <w:b/>
          <w:lang w:val="en-GB"/>
        </w:rPr>
      </w:pPr>
    </w:p>
    <w:p w14:paraId="4D32F061" w14:textId="77777777" w:rsidR="00237C67" w:rsidRPr="003201C9" w:rsidRDefault="00237C67" w:rsidP="003201C9">
      <w:pPr>
        <w:overflowPunct w:val="0"/>
        <w:autoSpaceDE w:val="0"/>
        <w:autoSpaceDN w:val="0"/>
        <w:adjustRightInd w:val="0"/>
        <w:textAlignment w:val="baseline"/>
        <w:rPr>
          <w:bCs/>
          <w:iCs/>
        </w:rPr>
      </w:pPr>
      <w:r w:rsidRPr="003201C9">
        <w:t>Der EWSA</w:t>
      </w:r>
    </w:p>
    <w:p w14:paraId="0A01AEAC" w14:textId="77777777" w:rsidR="001A7442" w:rsidRPr="003201C9" w:rsidRDefault="001A7442" w:rsidP="003201C9">
      <w:pPr>
        <w:overflowPunct w:val="0"/>
        <w:autoSpaceDE w:val="0"/>
        <w:autoSpaceDN w:val="0"/>
        <w:adjustRightInd w:val="0"/>
        <w:textAlignment w:val="baseline"/>
        <w:rPr>
          <w:bCs/>
          <w:iCs/>
          <w:lang w:val="en-GB"/>
        </w:rPr>
      </w:pPr>
    </w:p>
    <w:p w14:paraId="363CA3B6" w14:textId="77777777" w:rsidR="00237C67" w:rsidRPr="003201C9" w:rsidRDefault="00237C67" w:rsidP="00AE1AFC">
      <w:pPr>
        <w:widowControl w:val="0"/>
        <w:numPr>
          <w:ilvl w:val="0"/>
          <w:numId w:val="31"/>
        </w:numPr>
        <w:overflowPunct w:val="0"/>
        <w:autoSpaceDE w:val="0"/>
        <w:autoSpaceDN w:val="0"/>
        <w:adjustRightInd w:val="0"/>
        <w:ind w:left="709" w:hanging="425"/>
        <w:rPr>
          <w:bCs/>
          <w:iCs/>
        </w:rPr>
      </w:pPr>
      <w:r w:rsidRPr="003201C9">
        <w:t xml:space="preserve">begrüßt die </w:t>
      </w:r>
      <w:r w:rsidRPr="003201C9">
        <w:rPr>
          <w:b/>
        </w:rPr>
        <w:t>seit langem erwartete Initiative</w:t>
      </w:r>
      <w:r w:rsidRPr="003201C9">
        <w:t xml:space="preserve">, dem </w:t>
      </w:r>
      <w:r w:rsidRPr="003201C9">
        <w:rPr>
          <w:b/>
        </w:rPr>
        <w:t>Schwarzmeerraum besondere Aufmerksamkeit</w:t>
      </w:r>
      <w:r w:rsidRPr="003201C9">
        <w:t xml:space="preserve"> zu widmen und deshalb einen strategischen Ansatz der Europäischen Union vorzuschlagen, stellt jedoch fest, dass die Initiative </w:t>
      </w:r>
      <w:r w:rsidRPr="003201C9">
        <w:rPr>
          <w:b/>
        </w:rPr>
        <w:t>recht spät</w:t>
      </w:r>
      <w:r w:rsidRPr="003201C9">
        <w:t xml:space="preserve"> kommt, und fordert deshalb, </w:t>
      </w:r>
      <w:r w:rsidRPr="003201C9">
        <w:rPr>
          <w:b/>
        </w:rPr>
        <w:t>rasche und entschlossene Maßnahmen zu ihrer Umsetzung</w:t>
      </w:r>
      <w:r w:rsidRPr="003201C9">
        <w:t xml:space="preserve"> zu ergreifen und </w:t>
      </w:r>
      <w:r w:rsidRPr="003201C9">
        <w:rPr>
          <w:b/>
        </w:rPr>
        <w:t>hierfür ausreichende Ressourcen sicherzustellen</w:t>
      </w:r>
      <w:r w:rsidRPr="003201C9">
        <w:t>;</w:t>
      </w:r>
    </w:p>
    <w:p w14:paraId="4F615B3A" w14:textId="77777777" w:rsidR="00237C67" w:rsidRPr="003201C9" w:rsidRDefault="00237C67" w:rsidP="00AE1AFC">
      <w:pPr>
        <w:widowControl w:val="0"/>
        <w:numPr>
          <w:ilvl w:val="0"/>
          <w:numId w:val="31"/>
        </w:numPr>
        <w:overflowPunct w:val="0"/>
        <w:autoSpaceDE w:val="0"/>
        <w:autoSpaceDN w:val="0"/>
        <w:adjustRightInd w:val="0"/>
        <w:ind w:left="709" w:hanging="425"/>
        <w:rPr>
          <w:bCs/>
          <w:iCs/>
        </w:rPr>
      </w:pPr>
      <w:r w:rsidRPr="003201C9">
        <w:t xml:space="preserve">betont, dass </w:t>
      </w:r>
      <w:r w:rsidRPr="003201C9">
        <w:rPr>
          <w:b/>
        </w:rPr>
        <w:t>zwar alle Länder in der Region</w:t>
      </w:r>
      <w:r w:rsidRPr="003201C9">
        <w:t xml:space="preserve"> die </w:t>
      </w:r>
      <w:r w:rsidRPr="003201C9">
        <w:rPr>
          <w:b/>
        </w:rPr>
        <w:t>negativen Folgen militärischer Feindseligkeiten</w:t>
      </w:r>
      <w:r w:rsidRPr="003201C9">
        <w:t xml:space="preserve"> tragen müssen, </w:t>
      </w:r>
      <w:r w:rsidRPr="003201C9">
        <w:rPr>
          <w:b/>
        </w:rPr>
        <w:t>jedoch nicht alle im Verhältnis zu ihren Anstrengungen und erbrachten Opfern gezielte soziale und wirtschaftliche Unterstützung erhalten</w:t>
      </w:r>
      <w:r w:rsidRPr="003201C9">
        <w:t>;</w:t>
      </w:r>
    </w:p>
    <w:p w14:paraId="64F59F4D" w14:textId="77777777" w:rsidR="00237C67" w:rsidRPr="003201C9" w:rsidRDefault="00237C67" w:rsidP="00AE1AFC">
      <w:pPr>
        <w:widowControl w:val="0"/>
        <w:numPr>
          <w:ilvl w:val="0"/>
          <w:numId w:val="31"/>
        </w:numPr>
        <w:overflowPunct w:val="0"/>
        <w:autoSpaceDE w:val="0"/>
        <w:autoSpaceDN w:val="0"/>
        <w:adjustRightInd w:val="0"/>
        <w:ind w:left="709" w:hanging="425"/>
        <w:rPr>
          <w:bCs/>
          <w:iCs/>
        </w:rPr>
      </w:pPr>
      <w:r w:rsidRPr="003201C9">
        <w:t xml:space="preserve">fordert die Kommission nachdrücklich auf, in Absprache mit den EU-Mitgliedstaaten, den Schwarzmeeranrainerstaaten und allen Interessenträgern </w:t>
      </w:r>
      <w:r w:rsidRPr="003201C9">
        <w:rPr>
          <w:b/>
        </w:rPr>
        <w:t>rasch</w:t>
      </w:r>
      <w:r w:rsidRPr="003201C9">
        <w:t xml:space="preserve">, idealerweise bis Ende 2025, eine </w:t>
      </w:r>
      <w:r w:rsidRPr="003201C9">
        <w:rPr>
          <w:b/>
        </w:rPr>
        <w:t>pragmatische und angemessen finanzierte Strategie für die Entwicklung der Region auszuarbeiten</w:t>
      </w:r>
      <w:r w:rsidRPr="003201C9">
        <w:t>;</w:t>
      </w:r>
    </w:p>
    <w:p w14:paraId="3DED4801" w14:textId="77777777" w:rsidR="00237C67" w:rsidRPr="003201C9" w:rsidRDefault="00237C67" w:rsidP="00AE1AFC">
      <w:pPr>
        <w:widowControl w:val="0"/>
        <w:numPr>
          <w:ilvl w:val="0"/>
          <w:numId w:val="31"/>
        </w:numPr>
        <w:overflowPunct w:val="0"/>
        <w:autoSpaceDE w:val="0"/>
        <w:autoSpaceDN w:val="0"/>
        <w:adjustRightInd w:val="0"/>
        <w:ind w:left="709" w:hanging="425"/>
        <w:rPr>
          <w:bCs/>
          <w:iCs/>
        </w:rPr>
      </w:pPr>
      <w:r w:rsidRPr="003201C9">
        <w:t xml:space="preserve">bedauert, dass in der </w:t>
      </w:r>
      <w:r w:rsidRPr="003201C9">
        <w:rPr>
          <w:b/>
        </w:rPr>
        <w:t>bisherigen</w:t>
      </w:r>
      <w:r w:rsidRPr="003201C9">
        <w:t xml:space="preserve"> einschlägigen </w:t>
      </w:r>
      <w:r w:rsidRPr="003201C9">
        <w:rPr>
          <w:b/>
        </w:rPr>
        <w:t>EU-Strategie</w:t>
      </w:r>
      <w:r w:rsidRPr="003201C9">
        <w:t xml:space="preserve"> (der Schwarzmeersynergie aus dem Jahr 2007) die </w:t>
      </w:r>
      <w:r w:rsidRPr="003201C9">
        <w:rPr>
          <w:b/>
        </w:rPr>
        <w:t>Sicherheitsdimension</w:t>
      </w:r>
      <w:r w:rsidRPr="003201C9">
        <w:t xml:space="preserve"> nicht abgedeckt wurde, und betont, dass </w:t>
      </w:r>
      <w:r w:rsidRPr="003201C9">
        <w:rPr>
          <w:b/>
        </w:rPr>
        <w:t>die Sicherheitsinitiativen der EU im Schwarzmeerraum zu greifbaren Ergebnissen führen müssen</w:t>
      </w:r>
      <w:r w:rsidRPr="003201C9">
        <w:t>;</w:t>
      </w:r>
    </w:p>
    <w:p w14:paraId="52F031F1" w14:textId="77777777" w:rsidR="00237C67" w:rsidRPr="003201C9" w:rsidRDefault="00237C67" w:rsidP="00AE1AFC">
      <w:pPr>
        <w:widowControl w:val="0"/>
        <w:numPr>
          <w:ilvl w:val="0"/>
          <w:numId w:val="31"/>
        </w:numPr>
        <w:overflowPunct w:val="0"/>
        <w:autoSpaceDE w:val="0"/>
        <w:autoSpaceDN w:val="0"/>
        <w:adjustRightInd w:val="0"/>
        <w:ind w:left="709" w:hanging="425"/>
        <w:rPr>
          <w:bCs/>
          <w:iCs/>
        </w:rPr>
      </w:pPr>
      <w:r w:rsidRPr="003201C9">
        <w:t xml:space="preserve">betont, dass die </w:t>
      </w:r>
      <w:r w:rsidRPr="003201C9">
        <w:rPr>
          <w:b/>
        </w:rPr>
        <w:t>Verwirklichung eines dauerhaften Friedens</w:t>
      </w:r>
      <w:r w:rsidRPr="003201C9">
        <w:t xml:space="preserve"> eine </w:t>
      </w:r>
      <w:r w:rsidRPr="003201C9">
        <w:rPr>
          <w:b/>
        </w:rPr>
        <w:t>notwendige und wesentliche Voraussetzung für nachhaltige wirtschaftliche Entwicklung</w:t>
      </w:r>
      <w:r w:rsidRPr="003201C9">
        <w:t xml:space="preserve"> ist, und stellt mit Bedauern fest, dass dies in dem Dokument nicht als Ziel genannt wird;</w:t>
      </w:r>
    </w:p>
    <w:p w14:paraId="63B8D3C0" w14:textId="77777777" w:rsidR="00237C67" w:rsidRPr="003201C9" w:rsidRDefault="00237C67" w:rsidP="00AE1AFC">
      <w:pPr>
        <w:widowControl w:val="0"/>
        <w:numPr>
          <w:ilvl w:val="0"/>
          <w:numId w:val="31"/>
        </w:numPr>
        <w:overflowPunct w:val="0"/>
        <w:autoSpaceDE w:val="0"/>
        <w:autoSpaceDN w:val="0"/>
        <w:adjustRightInd w:val="0"/>
        <w:ind w:left="709" w:hanging="425"/>
        <w:rPr>
          <w:bCs/>
          <w:iCs/>
        </w:rPr>
      </w:pPr>
      <w:r w:rsidRPr="003201C9">
        <w:t xml:space="preserve">ist der Ansicht, dass </w:t>
      </w:r>
      <w:r w:rsidRPr="003201C9">
        <w:rPr>
          <w:b/>
        </w:rPr>
        <w:t>das größte Manko des strategischen Ansatzes</w:t>
      </w:r>
      <w:r w:rsidRPr="003201C9">
        <w:t xml:space="preserve"> darin besteht, dass er vollständig auf den </w:t>
      </w:r>
      <w:r w:rsidRPr="003201C9">
        <w:rPr>
          <w:b/>
        </w:rPr>
        <w:t>bestehenden Finanzinstrumenten</w:t>
      </w:r>
      <w:r w:rsidRPr="003201C9">
        <w:t xml:space="preserve"> und </w:t>
      </w:r>
      <w:r w:rsidRPr="003201C9">
        <w:rPr>
          <w:b/>
        </w:rPr>
        <w:t>Haushaltsmitteln des mehrjährigen Finanzrahmens 2021-2027</w:t>
      </w:r>
      <w:r w:rsidRPr="003201C9">
        <w:t xml:space="preserve"> beruht; fordert deshalb, dass die </w:t>
      </w:r>
      <w:r w:rsidRPr="003201C9">
        <w:rPr>
          <w:b/>
        </w:rPr>
        <w:t>Instrumente vereinfacht, konsolidiert und priorisiert</w:t>
      </w:r>
      <w:r w:rsidRPr="003201C9">
        <w:t xml:space="preserve"> werden, damit eine unmittelbare und sichtbare Wirkung erzielt wird;</w:t>
      </w:r>
    </w:p>
    <w:p w14:paraId="44A0477D" w14:textId="77777777" w:rsidR="00237C67" w:rsidRPr="003201C9" w:rsidRDefault="00237C67" w:rsidP="00AE1AFC">
      <w:pPr>
        <w:widowControl w:val="0"/>
        <w:numPr>
          <w:ilvl w:val="0"/>
          <w:numId w:val="31"/>
        </w:numPr>
        <w:overflowPunct w:val="0"/>
        <w:autoSpaceDE w:val="0"/>
        <w:autoSpaceDN w:val="0"/>
        <w:adjustRightInd w:val="0"/>
        <w:ind w:left="709" w:hanging="425"/>
        <w:rPr>
          <w:bCs/>
          <w:iCs/>
        </w:rPr>
      </w:pPr>
      <w:r w:rsidRPr="003201C9">
        <w:t xml:space="preserve">empfiehlt, eine </w:t>
      </w:r>
      <w:r w:rsidRPr="003201C9">
        <w:rPr>
          <w:b/>
        </w:rPr>
        <w:t>eingehende Folgenabschätzung aller</w:t>
      </w:r>
      <w:r w:rsidRPr="003201C9">
        <w:t xml:space="preserve"> bisher bestehenden </w:t>
      </w:r>
      <w:r w:rsidRPr="003201C9">
        <w:rPr>
          <w:b/>
        </w:rPr>
        <w:t>Instrumente</w:t>
      </w:r>
      <w:r w:rsidRPr="003201C9">
        <w:t xml:space="preserve"> durchzuführen und auf dieser Grundlage </w:t>
      </w:r>
      <w:r w:rsidRPr="003201C9">
        <w:rPr>
          <w:b/>
        </w:rPr>
        <w:t>konkretere</w:t>
      </w:r>
      <w:r w:rsidRPr="003201C9">
        <w:t xml:space="preserve"> und </w:t>
      </w:r>
      <w:r w:rsidRPr="003201C9">
        <w:rPr>
          <w:b/>
        </w:rPr>
        <w:t>klarere</w:t>
      </w:r>
      <w:r w:rsidRPr="003201C9">
        <w:t xml:space="preserve"> Zusagen in Bezug auf ihre künftige Nutzung zu formulieren;</w:t>
      </w:r>
    </w:p>
    <w:p w14:paraId="53E35EF9" w14:textId="77777777" w:rsidR="00237C67" w:rsidRPr="003201C9" w:rsidRDefault="00237C67" w:rsidP="00AE1AFC">
      <w:pPr>
        <w:widowControl w:val="0"/>
        <w:numPr>
          <w:ilvl w:val="0"/>
          <w:numId w:val="31"/>
        </w:numPr>
        <w:overflowPunct w:val="0"/>
        <w:autoSpaceDE w:val="0"/>
        <w:autoSpaceDN w:val="0"/>
        <w:adjustRightInd w:val="0"/>
        <w:ind w:left="709" w:hanging="425"/>
      </w:pPr>
      <w:r w:rsidRPr="003201C9">
        <w:t xml:space="preserve">ist der Auffassung, dass der </w:t>
      </w:r>
      <w:r w:rsidRPr="003201C9">
        <w:rPr>
          <w:b/>
        </w:rPr>
        <w:t>Bewältigung hybrider Bedrohungen</w:t>
      </w:r>
      <w:r w:rsidRPr="003201C9">
        <w:t xml:space="preserve"> und </w:t>
      </w:r>
      <w:r w:rsidRPr="003201C9">
        <w:rPr>
          <w:b/>
        </w:rPr>
        <w:t>Mängeln bei der Regierungsführung</w:t>
      </w:r>
      <w:r w:rsidRPr="003201C9">
        <w:t xml:space="preserve"> und in der öffentlichen Verwaltung mehr Aufmerksamkeit gewidmet werden sollte, da diese die regionale Stabilität untergraben können.</w:t>
      </w:r>
    </w:p>
    <w:p w14:paraId="54BF6B1F" w14:textId="77777777" w:rsidR="00237C67" w:rsidRPr="003201C9" w:rsidRDefault="00237C67" w:rsidP="003201C9">
      <w:pPr>
        <w:widowControl w:val="0"/>
        <w:overflowPunct w:val="0"/>
        <w:autoSpaceDE w:val="0"/>
        <w:autoSpaceDN w:val="0"/>
        <w:adjustRightInd w:val="0"/>
        <w:ind w:left="709"/>
        <w:textAlignment w:val="baseline"/>
      </w:pPr>
    </w:p>
    <w:tbl>
      <w:tblPr>
        <w:tblStyle w:val="TableGrid1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5"/>
        <w:gridCol w:w="7264"/>
      </w:tblGrid>
      <w:tr w:rsidR="00237C67" w:rsidRPr="003201C9" w14:paraId="500155AD" w14:textId="77777777" w:rsidTr="00C201AB">
        <w:tc>
          <w:tcPr>
            <w:tcW w:w="1090" w:type="pct"/>
          </w:tcPr>
          <w:p w14:paraId="4E7D56FB" w14:textId="77777777" w:rsidR="00237C67" w:rsidRPr="003201C9" w:rsidRDefault="00237C67" w:rsidP="003201C9">
            <w:pPr>
              <w:overflowPunct w:val="0"/>
              <w:autoSpaceDE w:val="0"/>
              <w:autoSpaceDN w:val="0"/>
              <w:adjustRightInd w:val="0"/>
              <w:textAlignment w:val="baseline"/>
              <w:rPr>
                <w:i/>
                <w:sz w:val="22"/>
                <w:szCs w:val="22"/>
              </w:rPr>
            </w:pPr>
            <w:r w:rsidRPr="003201C9">
              <w:rPr>
                <w:b/>
                <w:i/>
                <w:sz w:val="22"/>
                <w:szCs w:val="22"/>
              </w:rPr>
              <w:lastRenderedPageBreak/>
              <w:t>Kontakt</w:t>
            </w:r>
          </w:p>
        </w:tc>
        <w:tc>
          <w:tcPr>
            <w:tcW w:w="3910" w:type="pct"/>
          </w:tcPr>
          <w:p w14:paraId="397EC967" w14:textId="77777777" w:rsidR="00237C67" w:rsidRPr="003201C9" w:rsidRDefault="00237C67" w:rsidP="003201C9">
            <w:pPr>
              <w:overflowPunct w:val="0"/>
              <w:autoSpaceDE w:val="0"/>
              <w:autoSpaceDN w:val="0"/>
              <w:adjustRightInd w:val="0"/>
              <w:textAlignment w:val="baseline"/>
              <w:rPr>
                <w:i/>
                <w:iCs/>
                <w:sz w:val="22"/>
                <w:szCs w:val="22"/>
              </w:rPr>
            </w:pPr>
            <w:r w:rsidRPr="003201C9">
              <w:rPr>
                <w:sz w:val="22"/>
                <w:szCs w:val="22"/>
              </w:rPr>
              <w:t xml:space="preserve">Marie-Laurence </w:t>
            </w:r>
            <w:proofErr w:type="spellStart"/>
            <w:r w:rsidRPr="003201C9">
              <w:rPr>
                <w:sz w:val="22"/>
                <w:szCs w:val="22"/>
              </w:rPr>
              <w:t>Drillon</w:t>
            </w:r>
            <w:proofErr w:type="spellEnd"/>
          </w:p>
        </w:tc>
      </w:tr>
      <w:tr w:rsidR="00237C67" w:rsidRPr="003201C9" w14:paraId="4A4056F6" w14:textId="77777777" w:rsidTr="00C201AB">
        <w:tc>
          <w:tcPr>
            <w:tcW w:w="1090" w:type="pct"/>
          </w:tcPr>
          <w:p w14:paraId="5E409ED8" w14:textId="77777777" w:rsidR="00237C67" w:rsidRPr="003201C9" w:rsidRDefault="00237C67" w:rsidP="003201C9">
            <w:pPr>
              <w:overflowPunct w:val="0"/>
              <w:autoSpaceDE w:val="0"/>
              <w:autoSpaceDN w:val="0"/>
              <w:adjustRightInd w:val="0"/>
              <w:textAlignment w:val="baseline"/>
              <w:rPr>
                <w:i/>
                <w:sz w:val="22"/>
                <w:szCs w:val="22"/>
              </w:rPr>
            </w:pPr>
            <w:r w:rsidRPr="003201C9">
              <w:rPr>
                <w:i/>
                <w:sz w:val="22"/>
                <w:szCs w:val="22"/>
              </w:rPr>
              <w:t>Tel.</w:t>
            </w:r>
          </w:p>
        </w:tc>
        <w:tc>
          <w:tcPr>
            <w:tcW w:w="3910" w:type="pct"/>
          </w:tcPr>
          <w:p w14:paraId="701AABDE" w14:textId="70D525BC" w:rsidR="00237C67" w:rsidRPr="003201C9" w:rsidRDefault="00237C67" w:rsidP="003201C9">
            <w:pPr>
              <w:overflowPunct w:val="0"/>
              <w:autoSpaceDE w:val="0"/>
              <w:autoSpaceDN w:val="0"/>
              <w:adjustRightInd w:val="0"/>
              <w:textAlignment w:val="baseline"/>
              <w:rPr>
                <w:i/>
                <w:sz w:val="22"/>
                <w:szCs w:val="22"/>
              </w:rPr>
            </w:pPr>
            <w:r w:rsidRPr="003201C9">
              <w:rPr>
                <w:i/>
                <w:sz w:val="22"/>
                <w:szCs w:val="22"/>
              </w:rPr>
              <w:t>+32 2546 8320</w:t>
            </w:r>
          </w:p>
        </w:tc>
      </w:tr>
      <w:tr w:rsidR="00237C67" w:rsidRPr="003201C9" w14:paraId="532005DF" w14:textId="77777777" w:rsidTr="00C201AB">
        <w:tc>
          <w:tcPr>
            <w:tcW w:w="1090" w:type="pct"/>
          </w:tcPr>
          <w:p w14:paraId="21550A30" w14:textId="77777777" w:rsidR="00237C67" w:rsidRPr="003201C9" w:rsidRDefault="00237C67" w:rsidP="003201C9">
            <w:pPr>
              <w:overflowPunct w:val="0"/>
              <w:autoSpaceDE w:val="0"/>
              <w:autoSpaceDN w:val="0"/>
              <w:adjustRightInd w:val="0"/>
              <w:textAlignment w:val="baseline"/>
              <w:rPr>
                <w:i/>
                <w:sz w:val="22"/>
                <w:szCs w:val="22"/>
              </w:rPr>
            </w:pPr>
            <w:r w:rsidRPr="003201C9">
              <w:rPr>
                <w:i/>
                <w:sz w:val="22"/>
                <w:szCs w:val="22"/>
              </w:rPr>
              <w:t>E-Mail</w:t>
            </w:r>
          </w:p>
        </w:tc>
        <w:tc>
          <w:tcPr>
            <w:tcW w:w="3910" w:type="pct"/>
          </w:tcPr>
          <w:p w14:paraId="56749FB7" w14:textId="77777777" w:rsidR="00237C67" w:rsidRPr="003201C9" w:rsidRDefault="000055E5" w:rsidP="003201C9">
            <w:pPr>
              <w:overflowPunct w:val="0"/>
              <w:autoSpaceDE w:val="0"/>
              <w:autoSpaceDN w:val="0"/>
              <w:adjustRightInd w:val="0"/>
              <w:textAlignment w:val="baseline"/>
              <w:rPr>
                <w:i/>
                <w:sz w:val="22"/>
                <w:szCs w:val="22"/>
              </w:rPr>
            </w:pPr>
            <w:hyperlink r:id="rId46" w:history="1">
              <w:r w:rsidR="00F74BC3" w:rsidRPr="003201C9">
                <w:rPr>
                  <w:i/>
                  <w:color w:val="0000FF"/>
                  <w:sz w:val="22"/>
                  <w:szCs w:val="22"/>
                  <w:u w:val="single"/>
                </w:rPr>
                <w:t>Marie-Laurence.Drillon@eesc.europa.eu</w:t>
              </w:r>
            </w:hyperlink>
          </w:p>
        </w:tc>
      </w:tr>
    </w:tbl>
    <w:p w14:paraId="74D4B137" w14:textId="77777777" w:rsidR="007F5784" w:rsidRPr="003201C9" w:rsidRDefault="007F5784" w:rsidP="003201C9">
      <w:pPr>
        <w:jc w:val="left"/>
      </w:pPr>
    </w:p>
    <w:p w14:paraId="210E1333" w14:textId="1FC47D3D" w:rsidR="00C913CA" w:rsidRPr="00C913CA" w:rsidRDefault="006D2C8A" w:rsidP="003201C9">
      <w:pPr>
        <w:widowControl w:val="0"/>
        <w:numPr>
          <w:ilvl w:val="0"/>
          <w:numId w:val="4"/>
        </w:numPr>
        <w:overflowPunct w:val="0"/>
        <w:autoSpaceDE w:val="0"/>
        <w:autoSpaceDN w:val="0"/>
        <w:adjustRightInd w:val="0"/>
        <w:ind w:hanging="567"/>
        <w:textAlignment w:val="baseline"/>
        <w:rPr>
          <w:sz w:val="20"/>
          <w:szCs w:val="20"/>
        </w:rPr>
      </w:pPr>
      <w:r w:rsidRPr="003201C9">
        <w:br w:type="page"/>
      </w:r>
      <w:hyperlink r:id="rId47" w:history="1">
        <w:r>
          <w:rPr>
            <w:b/>
            <w:i/>
            <w:color w:val="0000FF"/>
            <w:sz w:val="28"/>
            <w:u w:val="single"/>
          </w:rPr>
          <w:t>„Europa in der Welt“ (Vorschlag im Rahmen des mehrjährigen Finanzrahmens)</w:t>
        </w:r>
      </w:hyperlink>
    </w:p>
    <w:p w14:paraId="340361FF" w14:textId="77777777" w:rsidR="00C913CA" w:rsidRPr="003201C9" w:rsidRDefault="00C913CA" w:rsidP="003201C9">
      <w:pPr>
        <w:tabs>
          <w:tab w:val="center" w:pos="284"/>
        </w:tabs>
        <w:overflowPunct w:val="0"/>
        <w:autoSpaceDE w:val="0"/>
        <w:autoSpaceDN w:val="0"/>
        <w:adjustRightInd w:val="0"/>
        <w:ind w:left="266" w:hanging="266"/>
        <w:textAlignment w:val="baseline"/>
        <w:rPr>
          <w:b/>
        </w:rPr>
      </w:pPr>
    </w:p>
    <w:tbl>
      <w:tblPr>
        <w:tblStyle w:val="TableGrid1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0"/>
        <w:gridCol w:w="7179"/>
      </w:tblGrid>
      <w:tr w:rsidR="00C913CA" w:rsidRPr="003201C9" w14:paraId="617F8D50" w14:textId="77777777" w:rsidTr="00C201AB">
        <w:tc>
          <w:tcPr>
            <w:tcW w:w="1077" w:type="pct"/>
          </w:tcPr>
          <w:p w14:paraId="00D33EA5" w14:textId="77777777" w:rsidR="00C913CA" w:rsidRPr="003201C9" w:rsidRDefault="00C913CA" w:rsidP="003201C9">
            <w:pPr>
              <w:tabs>
                <w:tab w:val="center" w:pos="284"/>
              </w:tabs>
              <w:overflowPunct w:val="0"/>
              <w:autoSpaceDE w:val="0"/>
              <w:autoSpaceDN w:val="0"/>
              <w:adjustRightInd w:val="0"/>
              <w:ind w:left="266" w:hanging="266"/>
              <w:textAlignment w:val="baseline"/>
              <w:rPr>
                <w:b/>
                <w:sz w:val="22"/>
                <w:szCs w:val="22"/>
              </w:rPr>
            </w:pPr>
            <w:r w:rsidRPr="003201C9">
              <w:rPr>
                <w:b/>
                <w:sz w:val="22"/>
                <w:szCs w:val="22"/>
              </w:rPr>
              <w:t>Berichterstatter</w:t>
            </w:r>
          </w:p>
        </w:tc>
        <w:tc>
          <w:tcPr>
            <w:tcW w:w="3923" w:type="pct"/>
          </w:tcPr>
          <w:p w14:paraId="4316EC99" w14:textId="50054E32" w:rsidR="00C913CA" w:rsidRPr="003201C9" w:rsidRDefault="00C913CA" w:rsidP="003201C9">
            <w:pPr>
              <w:tabs>
                <w:tab w:val="center" w:pos="284"/>
              </w:tabs>
              <w:overflowPunct w:val="0"/>
              <w:autoSpaceDE w:val="0"/>
              <w:autoSpaceDN w:val="0"/>
              <w:adjustRightInd w:val="0"/>
              <w:ind w:left="266" w:right="-3091" w:hanging="266"/>
              <w:textAlignment w:val="baseline"/>
              <w:rPr>
                <w:sz w:val="22"/>
                <w:szCs w:val="22"/>
              </w:rPr>
            </w:pPr>
            <w:r w:rsidRPr="003201C9">
              <w:rPr>
                <w:sz w:val="22"/>
                <w:szCs w:val="22"/>
              </w:rPr>
              <w:t>Mateusz SZYMAŃSKI (Gruppe Arbeitnehmer – PL)</w:t>
            </w:r>
          </w:p>
        </w:tc>
      </w:tr>
      <w:tr w:rsidR="00C913CA" w:rsidRPr="003201C9" w14:paraId="59C9D0E5" w14:textId="77777777" w:rsidTr="00C201AB">
        <w:tc>
          <w:tcPr>
            <w:tcW w:w="1077" w:type="pct"/>
          </w:tcPr>
          <w:p w14:paraId="755D124C" w14:textId="77777777" w:rsidR="00C913CA" w:rsidRPr="003201C9" w:rsidRDefault="00C913CA" w:rsidP="003201C9">
            <w:pPr>
              <w:tabs>
                <w:tab w:val="center" w:pos="284"/>
              </w:tabs>
              <w:overflowPunct w:val="0"/>
              <w:autoSpaceDE w:val="0"/>
              <w:autoSpaceDN w:val="0"/>
              <w:adjustRightInd w:val="0"/>
              <w:ind w:left="266" w:hanging="266"/>
              <w:textAlignment w:val="baseline"/>
              <w:rPr>
                <w:b/>
                <w:sz w:val="22"/>
                <w:szCs w:val="22"/>
              </w:rPr>
            </w:pPr>
            <w:r w:rsidRPr="003201C9">
              <w:rPr>
                <w:b/>
                <w:sz w:val="22"/>
                <w:szCs w:val="22"/>
              </w:rPr>
              <w:t>Ko-Berichterstatter</w:t>
            </w:r>
          </w:p>
        </w:tc>
        <w:tc>
          <w:tcPr>
            <w:tcW w:w="3923" w:type="pct"/>
          </w:tcPr>
          <w:p w14:paraId="7376BE83" w14:textId="7695C77A" w:rsidR="00C913CA" w:rsidRPr="003201C9" w:rsidRDefault="00C913CA" w:rsidP="003201C9">
            <w:pPr>
              <w:tabs>
                <w:tab w:val="center" w:pos="284"/>
              </w:tabs>
              <w:overflowPunct w:val="0"/>
              <w:autoSpaceDE w:val="0"/>
              <w:autoSpaceDN w:val="0"/>
              <w:adjustRightInd w:val="0"/>
              <w:ind w:left="266" w:right="-3091" w:hanging="266"/>
              <w:textAlignment w:val="baseline"/>
              <w:rPr>
                <w:sz w:val="22"/>
                <w:szCs w:val="22"/>
              </w:rPr>
            </w:pPr>
            <w:r w:rsidRPr="003201C9">
              <w:rPr>
                <w:sz w:val="22"/>
                <w:szCs w:val="22"/>
              </w:rPr>
              <w:t>Luca JAHIER (Gruppe Organisationen der Zivilgesellschaft – IT)</w:t>
            </w:r>
          </w:p>
          <w:p w14:paraId="0E93DE74" w14:textId="1F3DE290" w:rsidR="00515DDF" w:rsidRPr="00AE1AFC" w:rsidRDefault="00515DDF" w:rsidP="003201C9">
            <w:pPr>
              <w:tabs>
                <w:tab w:val="center" w:pos="284"/>
              </w:tabs>
              <w:overflowPunct w:val="0"/>
              <w:autoSpaceDE w:val="0"/>
              <w:autoSpaceDN w:val="0"/>
              <w:adjustRightInd w:val="0"/>
              <w:ind w:left="266" w:right="-3091" w:hanging="266"/>
              <w:textAlignment w:val="baseline"/>
              <w:rPr>
                <w:sz w:val="12"/>
                <w:szCs w:val="12"/>
              </w:rPr>
            </w:pPr>
          </w:p>
        </w:tc>
      </w:tr>
      <w:tr w:rsidR="00C913CA" w:rsidRPr="003201C9" w14:paraId="65944F45" w14:textId="77777777" w:rsidTr="00C201AB">
        <w:tc>
          <w:tcPr>
            <w:tcW w:w="1077" w:type="pct"/>
          </w:tcPr>
          <w:p w14:paraId="2E5FC958" w14:textId="77777777" w:rsidR="00C913CA" w:rsidRPr="003201C9" w:rsidRDefault="00C913CA" w:rsidP="003201C9">
            <w:pPr>
              <w:tabs>
                <w:tab w:val="center" w:pos="284"/>
              </w:tabs>
              <w:overflowPunct w:val="0"/>
              <w:autoSpaceDE w:val="0"/>
              <w:autoSpaceDN w:val="0"/>
              <w:adjustRightInd w:val="0"/>
              <w:ind w:left="266" w:hanging="266"/>
              <w:textAlignment w:val="baseline"/>
              <w:rPr>
                <w:b/>
                <w:sz w:val="22"/>
                <w:szCs w:val="22"/>
              </w:rPr>
            </w:pPr>
            <w:r w:rsidRPr="003201C9">
              <w:rPr>
                <w:b/>
                <w:sz w:val="22"/>
                <w:szCs w:val="22"/>
              </w:rPr>
              <w:t>Referenzdokumente</w:t>
            </w:r>
          </w:p>
        </w:tc>
        <w:tc>
          <w:tcPr>
            <w:tcW w:w="3923" w:type="pct"/>
          </w:tcPr>
          <w:p w14:paraId="6347258A" w14:textId="51379C47" w:rsidR="00515DDF" w:rsidRPr="003201C9" w:rsidRDefault="00515DDF" w:rsidP="003201C9">
            <w:pPr>
              <w:tabs>
                <w:tab w:val="center" w:pos="284"/>
              </w:tabs>
              <w:overflowPunct w:val="0"/>
              <w:autoSpaceDE w:val="0"/>
              <w:autoSpaceDN w:val="0"/>
              <w:adjustRightInd w:val="0"/>
              <w:ind w:left="266" w:right="-3091" w:hanging="266"/>
              <w:textAlignment w:val="baseline"/>
              <w:rPr>
                <w:sz w:val="22"/>
                <w:szCs w:val="22"/>
              </w:rPr>
            </w:pPr>
            <w:r w:rsidRPr="003201C9">
              <w:rPr>
                <w:sz w:val="22"/>
                <w:szCs w:val="22"/>
              </w:rPr>
              <w:t>COM(2025) 551 final</w:t>
            </w:r>
          </w:p>
          <w:p w14:paraId="2BBBFAE1" w14:textId="6B128210" w:rsidR="00C913CA" w:rsidRPr="003201C9" w:rsidRDefault="00C913CA" w:rsidP="003201C9">
            <w:pPr>
              <w:tabs>
                <w:tab w:val="center" w:pos="284"/>
              </w:tabs>
              <w:overflowPunct w:val="0"/>
              <w:autoSpaceDE w:val="0"/>
              <w:autoSpaceDN w:val="0"/>
              <w:adjustRightInd w:val="0"/>
              <w:ind w:left="266" w:right="-3091" w:hanging="266"/>
              <w:textAlignment w:val="baseline"/>
              <w:rPr>
                <w:sz w:val="22"/>
                <w:szCs w:val="22"/>
              </w:rPr>
            </w:pPr>
            <w:r w:rsidRPr="003201C9">
              <w:rPr>
                <w:sz w:val="22"/>
                <w:szCs w:val="22"/>
              </w:rPr>
              <w:t>EESC-2025-02605-00-00-AC</w:t>
            </w:r>
          </w:p>
        </w:tc>
      </w:tr>
    </w:tbl>
    <w:p w14:paraId="05B1F97D" w14:textId="77777777" w:rsidR="00C913CA" w:rsidRPr="003201C9" w:rsidRDefault="00C913CA" w:rsidP="003201C9">
      <w:pPr>
        <w:tabs>
          <w:tab w:val="center" w:pos="284"/>
        </w:tabs>
        <w:overflowPunct w:val="0"/>
        <w:autoSpaceDE w:val="0"/>
        <w:autoSpaceDN w:val="0"/>
        <w:adjustRightInd w:val="0"/>
        <w:ind w:left="266" w:hanging="266"/>
        <w:textAlignment w:val="baseline"/>
        <w:rPr>
          <w:b/>
          <w:lang w:val="en-GB"/>
        </w:rPr>
      </w:pPr>
    </w:p>
    <w:p w14:paraId="17BCE7B6" w14:textId="77777777" w:rsidR="00C913CA" w:rsidRPr="003201C9" w:rsidRDefault="00C913CA" w:rsidP="003201C9">
      <w:pPr>
        <w:keepNext/>
        <w:keepLines/>
        <w:tabs>
          <w:tab w:val="center" w:pos="284"/>
        </w:tabs>
        <w:overflowPunct w:val="0"/>
        <w:autoSpaceDE w:val="0"/>
        <w:autoSpaceDN w:val="0"/>
        <w:adjustRightInd w:val="0"/>
        <w:ind w:left="266" w:hanging="266"/>
        <w:textAlignment w:val="baseline"/>
        <w:rPr>
          <w:b/>
        </w:rPr>
      </w:pPr>
      <w:r w:rsidRPr="003201C9">
        <w:rPr>
          <w:b/>
        </w:rPr>
        <w:t>Kernaussagen</w:t>
      </w:r>
    </w:p>
    <w:p w14:paraId="4511E68B" w14:textId="77777777" w:rsidR="00C913CA" w:rsidRPr="003201C9" w:rsidRDefault="00C913CA" w:rsidP="003201C9">
      <w:pPr>
        <w:keepNext/>
        <w:keepLines/>
        <w:tabs>
          <w:tab w:val="center" w:pos="284"/>
        </w:tabs>
        <w:overflowPunct w:val="0"/>
        <w:autoSpaceDE w:val="0"/>
        <w:autoSpaceDN w:val="0"/>
        <w:adjustRightInd w:val="0"/>
        <w:ind w:left="266" w:hanging="266"/>
        <w:textAlignment w:val="baseline"/>
        <w:rPr>
          <w:b/>
          <w:lang w:val="en-GB"/>
        </w:rPr>
      </w:pPr>
    </w:p>
    <w:p w14:paraId="5AC62987" w14:textId="7520AB10" w:rsidR="00C913CA" w:rsidRDefault="00C913CA" w:rsidP="003201C9">
      <w:pPr>
        <w:overflowPunct w:val="0"/>
        <w:autoSpaceDE w:val="0"/>
        <w:autoSpaceDN w:val="0"/>
        <w:adjustRightInd w:val="0"/>
        <w:textAlignment w:val="baseline"/>
      </w:pPr>
      <w:r w:rsidRPr="003201C9">
        <w:t>Der EWSA</w:t>
      </w:r>
    </w:p>
    <w:p w14:paraId="014F7702" w14:textId="77777777" w:rsidR="00AE1AFC" w:rsidRPr="003201C9" w:rsidRDefault="00AE1AFC" w:rsidP="003201C9">
      <w:pPr>
        <w:overflowPunct w:val="0"/>
        <w:autoSpaceDE w:val="0"/>
        <w:autoSpaceDN w:val="0"/>
        <w:adjustRightInd w:val="0"/>
        <w:textAlignment w:val="baseline"/>
        <w:rPr>
          <w:bCs/>
          <w:iCs/>
        </w:rPr>
      </w:pPr>
    </w:p>
    <w:p w14:paraId="7F34015F" w14:textId="77777777" w:rsidR="00C913CA" w:rsidRPr="003201C9" w:rsidRDefault="00C913CA" w:rsidP="00AE1AFC">
      <w:pPr>
        <w:widowControl w:val="0"/>
        <w:numPr>
          <w:ilvl w:val="0"/>
          <w:numId w:val="32"/>
        </w:numPr>
        <w:overflowPunct w:val="0"/>
        <w:autoSpaceDE w:val="0"/>
        <w:autoSpaceDN w:val="0"/>
        <w:adjustRightInd w:val="0"/>
        <w:ind w:left="709" w:hanging="425"/>
        <w:textAlignment w:val="baseline"/>
        <w:rPr>
          <w:bCs/>
          <w:iCs/>
        </w:rPr>
      </w:pPr>
      <w:r w:rsidRPr="003201C9">
        <w:t>begrüßt den Vorschlag der Kommission zur Aufstockung der außenpolitischen Ausgaben der EU im Rahmen des kommenden mehrjährigen Finanzrahmens (MFR) mit einem Instrument „Europa in der Welt“, einschließlich einer Reserve für die Ukraine, und betrachtet diese Aufstockung sowohl für die Festigung der Rolle der EU als globaler Akteur und ihrer Werte als auch für den Aufbau der strategischen Autonomie entscheidend;</w:t>
      </w:r>
    </w:p>
    <w:p w14:paraId="092597D8" w14:textId="40148BA2" w:rsidR="00C913CA" w:rsidRPr="003201C9" w:rsidRDefault="00C913CA" w:rsidP="00AE1AFC">
      <w:pPr>
        <w:widowControl w:val="0"/>
        <w:numPr>
          <w:ilvl w:val="0"/>
          <w:numId w:val="32"/>
        </w:numPr>
        <w:overflowPunct w:val="0"/>
        <w:autoSpaceDE w:val="0"/>
        <w:autoSpaceDN w:val="0"/>
        <w:adjustRightInd w:val="0"/>
        <w:ind w:left="709" w:hanging="425"/>
        <w:textAlignment w:val="baseline"/>
        <w:rPr>
          <w:bCs/>
          <w:iCs/>
        </w:rPr>
      </w:pPr>
      <w:r w:rsidRPr="003201C9">
        <w:t xml:space="preserve">ist der Ansicht, dass die EU eine führende Rolle bei den Bemühungen um Entwicklung und humanitäre Hilfe sowie bei der Wiederbelebung des Systems der Vereinten Nationen spielen sollte, wobei die Global-Gateway-Strategie das zentrale Instrument werden sollte; </w:t>
      </w:r>
    </w:p>
    <w:p w14:paraId="023EF68A" w14:textId="0A68D0BE" w:rsidR="00C913CA" w:rsidRPr="003201C9" w:rsidRDefault="00C913CA" w:rsidP="00AE1AFC">
      <w:pPr>
        <w:widowControl w:val="0"/>
        <w:numPr>
          <w:ilvl w:val="0"/>
          <w:numId w:val="32"/>
        </w:numPr>
        <w:overflowPunct w:val="0"/>
        <w:autoSpaceDE w:val="0"/>
        <w:autoSpaceDN w:val="0"/>
        <w:adjustRightInd w:val="0"/>
        <w:ind w:left="709" w:hanging="425"/>
        <w:textAlignment w:val="baseline"/>
        <w:rPr>
          <w:bCs/>
          <w:iCs/>
        </w:rPr>
      </w:pPr>
      <w:r w:rsidRPr="003201C9">
        <w:t>verweist darauf, dass die Beratungsplattform zur Konsultierung der Zivilgesellschaft und der lokalen Gebietskörperschaften zur Umsetzung der Global-Gateway-Strategie bislang von der Entscheidungsfindung abgekoppelt ist und zu einer Fragmentierung des Dialogs geführt hat. Der EWSA fordert eine substanzielle Beteiligung, auch des EWSA und des AdR;</w:t>
      </w:r>
    </w:p>
    <w:p w14:paraId="4484C108" w14:textId="77777777" w:rsidR="00C913CA" w:rsidRPr="003201C9" w:rsidRDefault="00C913CA" w:rsidP="00AE1AFC">
      <w:pPr>
        <w:widowControl w:val="0"/>
        <w:numPr>
          <w:ilvl w:val="0"/>
          <w:numId w:val="32"/>
        </w:numPr>
        <w:overflowPunct w:val="0"/>
        <w:autoSpaceDE w:val="0"/>
        <w:autoSpaceDN w:val="0"/>
        <w:adjustRightInd w:val="0"/>
        <w:ind w:left="709" w:hanging="425"/>
        <w:textAlignment w:val="baseline"/>
        <w:rPr>
          <w:bCs/>
          <w:iCs/>
        </w:rPr>
      </w:pPr>
      <w:r w:rsidRPr="003201C9">
        <w:t>betont, wie wichtig es ist, Kohärenz zwischen Außenpolitik, Entwicklung, Handel und dem Europäischen Fonds für Wettbewerbsfähigkeit herzustellen, um eine nachhaltige Entwicklung und wirtschaftliche Widerstandsfähigkeit zu erreichen;</w:t>
      </w:r>
    </w:p>
    <w:p w14:paraId="33EE32E4" w14:textId="77777777" w:rsidR="00C913CA" w:rsidRPr="003201C9" w:rsidRDefault="00C913CA" w:rsidP="00AE1AFC">
      <w:pPr>
        <w:widowControl w:val="0"/>
        <w:numPr>
          <w:ilvl w:val="0"/>
          <w:numId w:val="32"/>
        </w:numPr>
        <w:overflowPunct w:val="0"/>
        <w:autoSpaceDE w:val="0"/>
        <w:autoSpaceDN w:val="0"/>
        <w:adjustRightInd w:val="0"/>
        <w:ind w:left="709" w:hanging="425"/>
        <w:textAlignment w:val="baseline"/>
        <w:rPr>
          <w:bCs/>
          <w:iCs/>
        </w:rPr>
      </w:pPr>
      <w:r w:rsidRPr="003201C9">
        <w:t>erwartet trotz der positiven Einschätzung der vorgeschlagene Flexibilität im Bereich der Außenpolitik die vollständige Transparenz und Rechenschaftspflicht bei der Verwendung der Mittel;</w:t>
      </w:r>
    </w:p>
    <w:p w14:paraId="54231D48" w14:textId="77777777" w:rsidR="00C913CA" w:rsidRPr="003201C9" w:rsidRDefault="00C913CA" w:rsidP="00AE1AFC">
      <w:pPr>
        <w:widowControl w:val="0"/>
        <w:numPr>
          <w:ilvl w:val="0"/>
          <w:numId w:val="32"/>
        </w:numPr>
        <w:overflowPunct w:val="0"/>
        <w:autoSpaceDE w:val="0"/>
        <w:autoSpaceDN w:val="0"/>
        <w:adjustRightInd w:val="0"/>
        <w:ind w:left="709" w:hanging="425"/>
        <w:textAlignment w:val="baseline"/>
        <w:rPr>
          <w:bCs/>
          <w:iCs/>
        </w:rPr>
      </w:pPr>
      <w:r w:rsidRPr="003201C9">
        <w:t xml:space="preserve">fordert die Ausweitung des Ungleichheitsmarkers der Kommission auf Global Gateway Projekte; </w:t>
      </w:r>
    </w:p>
    <w:p w14:paraId="622745CB" w14:textId="77777777" w:rsidR="00C913CA" w:rsidRPr="003201C9" w:rsidRDefault="00C913CA" w:rsidP="00AE1AFC">
      <w:pPr>
        <w:widowControl w:val="0"/>
        <w:numPr>
          <w:ilvl w:val="0"/>
          <w:numId w:val="32"/>
        </w:numPr>
        <w:overflowPunct w:val="0"/>
        <w:autoSpaceDE w:val="0"/>
        <w:autoSpaceDN w:val="0"/>
        <w:adjustRightInd w:val="0"/>
        <w:ind w:left="709" w:hanging="425"/>
        <w:textAlignment w:val="baseline"/>
        <w:rPr>
          <w:bCs/>
          <w:iCs/>
        </w:rPr>
      </w:pPr>
      <w:r w:rsidRPr="003201C9">
        <w:t xml:space="preserve">erwartet, dass bestehende Gremien wie Plattformen der Zivilgesellschaft intensiver in die Pflege der Beziehungen zu Organisationen in Partnerländern eingebunden werden; </w:t>
      </w:r>
    </w:p>
    <w:p w14:paraId="17AD7981" w14:textId="77777777" w:rsidR="00C913CA" w:rsidRPr="003201C9" w:rsidRDefault="00C913CA" w:rsidP="00AE1AFC">
      <w:pPr>
        <w:widowControl w:val="0"/>
        <w:numPr>
          <w:ilvl w:val="0"/>
          <w:numId w:val="32"/>
        </w:numPr>
        <w:overflowPunct w:val="0"/>
        <w:autoSpaceDE w:val="0"/>
        <w:autoSpaceDN w:val="0"/>
        <w:adjustRightInd w:val="0"/>
        <w:ind w:left="709" w:hanging="425"/>
        <w:textAlignment w:val="baseline"/>
        <w:rPr>
          <w:bCs/>
          <w:iCs/>
        </w:rPr>
      </w:pPr>
      <w:r w:rsidRPr="003201C9">
        <w:t>unterstützt alle Bestrebungen zur Vergrößerung des Wohlstands und der Sicherheit in unserer Nachbarschaft und damit auch innerhalb der EU und unterstützt eine weitere Erweiterung der Union;</w:t>
      </w:r>
    </w:p>
    <w:p w14:paraId="751B0DE5" w14:textId="77777777" w:rsidR="00C913CA" w:rsidRPr="003201C9" w:rsidRDefault="00C913CA" w:rsidP="00AE1AFC">
      <w:pPr>
        <w:widowControl w:val="0"/>
        <w:numPr>
          <w:ilvl w:val="0"/>
          <w:numId w:val="32"/>
        </w:numPr>
        <w:overflowPunct w:val="0"/>
        <w:autoSpaceDE w:val="0"/>
        <w:autoSpaceDN w:val="0"/>
        <w:adjustRightInd w:val="0"/>
        <w:ind w:left="709" w:hanging="425"/>
        <w:textAlignment w:val="baseline"/>
        <w:rPr>
          <w:bCs/>
          <w:iCs/>
        </w:rPr>
      </w:pPr>
      <w:r w:rsidRPr="003201C9">
        <w:t>betont, dass Organisationen der Zivilgesellschaft, vor allem im Sinne einer Stärkung der Demokratie, des zivilgesellschaftlichen Raums und der Gleichstellung der Geschlechter, eine zuverlässige und stabile Finanzierung benötigen;</w:t>
      </w:r>
    </w:p>
    <w:p w14:paraId="29F107B3" w14:textId="77777777" w:rsidR="00C913CA" w:rsidRPr="003201C9" w:rsidRDefault="00C913CA" w:rsidP="00AE1AFC">
      <w:pPr>
        <w:widowControl w:val="0"/>
        <w:numPr>
          <w:ilvl w:val="0"/>
          <w:numId w:val="32"/>
        </w:numPr>
        <w:overflowPunct w:val="0"/>
        <w:autoSpaceDE w:val="0"/>
        <w:autoSpaceDN w:val="0"/>
        <w:adjustRightInd w:val="0"/>
        <w:ind w:left="709" w:hanging="425"/>
        <w:textAlignment w:val="baseline"/>
        <w:rPr>
          <w:bCs/>
          <w:iCs/>
        </w:rPr>
      </w:pPr>
      <w:r w:rsidRPr="003201C9">
        <w:t>geht davon aus, dass die Ziele im Zusammenhang mit der wirtschaftlichen Zusammenarbeit und dem Unternehmertum mit ambitionierten Zielen in den Bereichen Soziales, Menschenrechte und Umwelt einhergehen;</w:t>
      </w:r>
    </w:p>
    <w:p w14:paraId="1EC11B19" w14:textId="77777777" w:rsidR="00C913CA" w:rsidRPr="003201C9" w:rsidRDefault="00C913CA" w:rsidP="00BB55DF">
      <w:pPr>
        <w:keepNext/>
        <w:keepLines/>
        <w:widowControl w:val="0"/>
        <w:numPr>
          <w:ilvl w:val="0"/>
          <w:numId w:val="32"/>
        </w:numPr>
        <w:overflowPunct w:val="0"/>
        <w:autoSpaceDE w:val="0"/>
        <w:autoSpaceDN w:val="0"/>
        <w:adjustRightInd w:val="0"/>
        <w:ind w:left="709" w:hanging="425"/>
        <w:textAlignment w:val="baseline"/>
        <w:rPr>
          <w:bCs/>
          <w:iCs/>
        </w:rPr>
      </w:pPr>
      <w:r w:rsidRPr="003201C9">
        <w:lastRenderedPageBreak/>
        <w:t>spricht sich gegen den Ansatz aus, im Rahmen der Migrationspolitik Zahlungen auszusetzen, und betont, dass zur Umsetzung der erklärten Ziele positive Anreize erforderlich sind.</w:t>
      </w:r>
    </w:p>
    <w:p w14:paraId="713942FB" w14:textId="77777777" w:rsidR="00C913CA" w:rsidRPr="003201C9" w:rsidRDefault="00C913CA" w:rsidP="003201C9">
      <w:pPr>
        <w:widowControl w:val="0"/>
        <w:overflowPunct w:val="0"/>
        <w:autoSpaceDE w:val="0"/>
        <w:autoSpaceDN w:val="0"/>
        <w:adjustRightInd w:val="0"/>
        <w:ind w:left="709"/>
        <w:textAlignment w:val="baseline"/>
      </w:pPr>
    </w:p>
    <w:tbl>
      <w:tblPr>
        <w:tblStyle w:val="TableGrid15"/>
        <w:tblW w:w="21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7"/>
      </w:tblGrid>
      <w:tr w:rsidR="00AE1AFC" w:rsidRPr="003201C9" w14:paraId="430D0F1E" w14:textId="77777777" w:rsidTr="00AE1AFC">
        <w:tc>
          <w:tcPr>
            <w:tcW w:w="5000" w:type="pct"/>
          </w:tcPr>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6947"/>
            </w:tblGrid>
            <w:tr w:rsidR="00AE1AFC" w:rsidRPr="003201C9" w14:paraId="566687C9" w14:textId="77777777" w:rsidTr="00AE1AFC">
              <w:tc>
                <w:tcPr>
                  <w:tcW w:w="1111" w:type="pct"/>
                </w:tcPr>
                <w:p w14:paraId="5EE88CD7" w14:textId="77777777" w:rsidR="00AE1AFC" w:rsidRPr="003201C9" w:rsidRDefault="00AE1AFC" w:rsidP="003201C9">
                  <w:pPr>
                    <w:ind w:hanging="78"/>
                    <w:rPr>
                      <w:i/>
                    </w:rPr>
                  </w:pPr>
                  <w:r w:rsidRPr="003201C9">
                    <w:rPr>
                      <w:b/>
                      <w:i/>
                    </w:rPr>
                    <w:t>Kontakt</w:t>
                  </w:r>
                </w:p>
              </w:tc>
              <w:tc>
                <w:tcPr>
                  <w:tcW w:w="3889" w:type="pct"/>
                </w:tcPr>
                <w:p w14:paraId="1A70046D" w14:textId="77777777" w:rsidR="00AE1AFC" w:rsidRPr="003201C9" w:rsidRDefault="00AE1AFC" w:rsidP="003201C9">
                  <w:pPr>
                    <w:ind w:hanging="78"/>
                    <w:rPr>
                      <w:i/>
                    </w:rPr>
                  </w:pPr>
                  <w:r w:rsidRPr="003201C9">
                    <w:rPr>
                      <w:i/>
                    </w:rPr>
                    <w:t xml:space="preserve">Daniele Vitali </w:t>
                  </w:r>
                </w:p>
              </w:tc>
            </w:tr>
            <w:tr w:rsidR="00AE1AFC" w:rsidRPr="003201C9" w14:paraId="6A2E51F7" w14:textId="77777777" w:rsidTr="00AE1AFC">
              <w:tc>
                <w:tcPr>
                  <w:tcW w:w="1111" w:type="pct"/>
                </w:tcPr>
                <w:p w14:paraId="36742115" w14:textId="77777777" w:rsidR="00AE1AFC" w:rsidRPr="003201C9" w:rsidRDefault="00AE1AFC" w:rsidP="003201C9">
                  <w:pPr>
                    <w:ind w:hanging="78"/>
                    <w:rPr>
                      <w:i/>
                    </w:rPr>
                  </w:pPr>
                  <w:r w:rsidRPr="003201C9">
                    <w:rPr>
                      <w:i/>
                    </w:rPr>
                    <w:t>Tel.</w:t>
                  </w:r>
                </w:p>
              </w:tc>
              <w:tc>
                <w:tcPr>
                  <w:tcW w:w="3889" w:type="pct"/>
                </w:tcPr>
                <w:p w14:paraId="2025EE29" w14:textId="2C5781A0" w:rsidR="00AE1AFC" w:rsidRPr="003201C9" w:rsidRDefault="00AE1AFC" w:rsidP="003201C9">
                  <w:pPr>
                    <w:ind w:hanging="78"/>
                    <w:rPr>
                      <w:i/>
                    </w:rPr>
                  </w:pPr>
                  <w:r w:rsidRPr="003201C9">
                    <w:rPr>
                      <w:i/>
                    </w:rPr>
                    <w:t>+32 25468817</w:t>
                  </w:r>
                </w:p>
              </w:tc>
            </w:tr>
            <w:tr w:rsidR="00AE1AFC" w:rsidRPr="003201C9" w14:paraId="40EB0530" w14:textId="77777777" w:rsidTr="00AE1AFC">
              <w:tc>
                <w:tcPr>
                  <w:tcW w:w="1111" w:type="pct"/>
                </w:tcPr>
                <w:p w14:paraId="0E0B5DFB" w14:textId="77777777" w:rsidR="00AE1AFC" w:rsidRPr="003201C9" w:rsidRDefault="00AE1AFC" w:rsidP="003201C9">
                  <w:pPr>
                    <w:ind w:hanging="78"/>
                    <w:rPr>
                      <w:i/>
                    </w:rPr>
                  </w:pPr>
                  <w:r w:rsidRPr="003201C9">
                    <w:rPr>
                      <w:i/>
                    </w:rPr>
                    <w:t>E-Mail</w:t>
                  </w:r>
                </w:p>
              </w:tc>
              <w:tc>
                <w:tcPr>
                  <w:tcW w:w="3889" w:type="pct"/>
                </w:tcPr>
                <w:p w14:paraId="65211337" w14:textId="77777777" w:rsidR="00AE1AFC" w:rsidRPr="003201C9" w:rsidRDefault="00AE1AFC" w:rsidP="003201C9">
                  <w:pPr>
                    <w:ind w:hanging="78"/>
                    <w:rPr>
                      <w:i/>
                    </w:rPr>
                  </w:pPr>
                  <w:hyperlink r:id="rId48" w:history="1">
                    <w:r w:rsidRPr="003201C9">
                      <w:rPr>
                        <w:rStyle w:val="Hyperlink"/>
                        <w:i/>
                      </w:rPr>
                      <w:t>Daniele.Vitali@eesc.europa.eu</w:t>
                    </w:r>
                  </w:hyperlink>
                </w:p>
              </w:tc>
            </w:tr>
          </w:tbl>
          <w:p w14:paraId="3CCB7A2A" w14:textId="391432AF" w:rsidR="00AE1AFC" w:rsidRPr="003201C9" w:rsidRDefault="00AE1AFC" w:rsidP="003201C9">
            <w:pPr>
              <w:overflowPunct w:val="0"/>
              <w:autoSpaceDE w:val="0"/>
              <w:autoSpaceDN w:val="0"/>
              <w:adjustRightInd w:val="0"/>
              <w:textAlignment w:val="baseline"/>
              <w:rPr>
                <w:i/>
                <w:sz w:val="22"/>
                <w:szCs w:val="22"/>
              </w:rPr>
            </w:pPr>
          </w:p>
        </w:tc>
      </w:tr>
      <w:tr w:rsidR="00AE1AFC" w:rsidRPr="00C913CA" w14:paraId="6C24B983" w14:textId="77777777" w:rsidTr="00AE1AFC">
        <w:tc>
          <w:tcPr>
            <w:tcW w:w="5000" w:type="pct"/>
          </w:tcPr>
          <w:p w14:paraId="6709C358" w14:textId="56E9347F" w:rsidR="00AE1AFC" w:rsidRPr="00C913CA" w:rsidRDefault="00AE1AFC" w:rsidP="003201C9">
            <w:pPr>
              <w:overflowPunct w:val="0"/>
              <w:autoSpaceDE w:val="0"/>
              <w:autoSpaceDN w:val="0"/>
              <w:adjustRightInd w:val="0"/>
              <w:textAlignment w:val="baseline"/>
              <w:rPr>
                <w:i/>
              </w:rPr>
            </w:pPr>
          </w:p>
        </w:tc>
      </w:tr>
    </w:tbl>
    <w:p w14:paraId="0D67EAE9" w14:textId="1879C98B" w:rsidR="004503DC" w:rsidRPr="004503DC" w:rsidRDefault="00C913CA" w:rsidP="003201C9">
      <w:pPr>
        <w:widowControl w:val="0"/>
        <w:numPr>
          <w:ilvl w:val="0"/>
          <w:numId w:val="4"/>
        </w:numPr>
        <w:overflowPunct w:val="0"/>
        <w:autoSpaceDE w:val="0"/>
        <w:autoSpaceDN w:val="0"/>
        <w:adjustRightInd w:val="0"/>
        <w:ind w:hanging="567"/>
        <w:textAlignment w:val="baseline"/>
        <w:rPr>
          <w:sz w:val="20"/>
          <w:szCs w:val="20"/>
        </w:rPr>
      </w:pPr>
      <w:r>
        <w:br w:type="page"/>
      </w:r>
      <w:hyperlink r:id="rId49" w:history="1">
        <w:r>
          <w:rPr>
            <w:b/>
            <w:i/>
            <w:color w:val="0000FF"/>
            <w:sz w:val="28"/>
            <w:u w:val="single"/>
          </w:rPr>
          <w:t>Ein vorhersehbarer und gemeinsamer europäischer Weg in die Zukunft für die Ukrainerinnen und Ukrainer in der EU</w:t>
        </w:r>
      </w:hyperlink>
    </w:p>
    <w:p w14:paraId="66ABB207" w14:textId="77777777" w:rsidR="004503DC" w:rsidRPr="003201C9" w:rsidRDefault="004503DC" w:rsidP="003201C9">
      <w:pPr>
        <w:tabs>
          <w:tab w:val="center" w:pos="284"/>
        </w:tabs>
        <w:overflowPunct w:val="0"/>
        <w:autoSpaceDE w:val="0"/>
        <w:autoSpaceDN w:val="0"/>
        <w:adjustRightInd w:val="0"/>
        <w:ind w:left="266" w:hanging="266"/>
        <w:textAlignment w:val="baseline"/>
        <w:rPr>
          <w:b/>
        </w:rPr>
      </w:pPr>
    </w:p>
    <w:tbl>
      <w:tblPr>
        <w:tblStyle w:val="TableGrid1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0"/>
        <w:gridCol w:w="7179"/>
      </w:tblGrid>
      <w:tr w:rsidR="004503DC" w:rsidRPr="003201C9" w14:paraId="6E6B74AA" w14:textId="77777777" w:rsidTr="00C201AB">
        <w:tc>
          <w:tcPr>
            <w:tcW w:w="1077" w:type="pct"/>
          </w:tcPr>
          <w:p w14:paraId="63D99806" w14:textId="38606AFB" w:rsidR="004503DC" w:rsidRPr="003201C9" w:rsidRDefault="004503DC" w:rsidP="003201C9">
            <w:pPr>
              <w:tabs>
                <w:tab w:val="center" w:pos="284"/>
              </w:tabs>
              <w:overflowPunct w:val="0"/>
              <w:autoSpaceDE w:val="0"/>
              <w:autoSpaceDN w:val="0"/>
              <w:adjustRightInd w:val="0"/>
              <w:ind w:left="266" w:hanging="266"/>
              <w:textAlignment w:val="baseline"/>
              <w:rPr>
                <w:b/>
                <w:sz w:val="22"/>
                <w:szCs w:val="22"/>
              </w:rPr>
            </w:pPr>
            <w:r w:rsidRPr="003201C9">
              <w:rPr>
                <w:b/>
                <w:sz w:val="22"/>
                <w:szCs w:val="22"/>
              </w:rPr>
              <w:t>Berichterstatter</w:t>
            </w:r>
          </w:p>
        </w:tc>
        <w:tc>
          <w:tcPr>
            <w:tcW w:w="3923" w:type="pct"/>
          </w:tcPr>
          <w:p w14:paraId="2DAA0415" w14:textId="1B2B62CA" w:rsidR="006559C7" w:rsidRPr="003201C9" w:rsidRDefault="004503DC" w:rsidP="003201C9">
            <w:pPr>
              <w:tabs>
                <w:tab w:val="center" w:pos="284"/>
              </w:tabs>
              <w:overflowPunct w:val="0"/>
              <w:autoSpaceDE w:val="0"/>
              <w:autoSpaceDN w:val="0"/>
              <w:adjustRightInd w:val="0"/>
              <w:ind w:left="266" w:right="-3091" w:hanging="266"/>
              <w:textAlignment w:val="baseline"/>
              <w:rPr>
                <w:sz w:val="22"/>
                <w:szCs w:val="22"/>
              </w:rPr>
            </w:pPr>
            <w:r w:rsidRPr="003201C9">
              <w:rPr>
                <w:sz w:val="22"/>
                <w:szCs w:val="22"/>
              </w:rPr>
              <w:t>Mateusz SZYMAŃSKI (Gruppe Arbeitnehmer – PL)</w:t>
            </w:r>
          </w:p>
        </w:tc>
      </w:tr>
      <w:tr w:rsidR="004503DC" w:rsidRPr="003201C9" w14:paraId="712EFFED" w14:textId="77777777" w:rsidTr="00C201AB">
        <w:tc>
          <w:tcPr>
            <w:tcW w:w="1077" w:type="pct"/>
          </w:tcPr>
          <w:p w14:paraId="2B679233" w14:textId="77777777" w:rsidR="004503DC" w:rsidRPr="003201C9" w:rsidRDefault="004503DC" w:rsidP="003201C9">
            <w:pPr>
              <w:tabs>
                <w:tab w:val="center" w:pos="284"/>
              </w:tabs>
              <w:overflowPunct w:val="0"/>
              <w:autoSpaceDE w:val="0"/>
              <w:autoSpaceDN w:val="0"/>
              <w:adjustRightInd w:val="0"/>
              <w:ind w:left="266" w:hanging="266"/>
              <w:textAlignment w:val="baseline"/>
              <w:rPr>
                <w:b/>
                <w:sz w:val="22"/>
                <w:szCs w:val="22"/>
              </w:rPr>
            </w:pPr>
            <w:r w:rsidRPr="003201C9">
              <w:rPr>
                <w:b/>
                <w:sz w:val="22"/>
                <w:szCs w:val="22"/>
              </w:rPr>
              <w:t>Ko-Berichterstatter</w:t>
            </w:r>
          </w:p>
        </w:tc>
        <w:tc>
          <w:tcPr>
            <w:tcW w:w="3923" w:type="pct"/>
          </w:tcPr>
          <w:p w14:paraId="38932FB0" w14:textId="77777777" w:rsidR="004503DC" w:rsidRPr="003201C9" w:rsidRDefault="004503DC" w:rsidP="003201C9">
            <w:pPr>
              <w:tabs>
                <w:tab w:val="center" w:pos="284"/>
              </w:tabs>
              <w:overflowPunct w:val="0"/>
              <w:autoSpaceDE w:val="0"/>
              <w:autoSpaceDN w:val="0"/>
              <w:adjustRightInd w:val="0"/>
              <w:ind w:left="266" w:right="-3091" w:hanging="266"/>
              <w:textAlignment w:val="baseline"/>
              <w:rPr>
                <w:sz w:val="22"/>
                <w:szCs w:val="22"/>
              </w:rPr>
            </w:pPr>
            <w:r w:rsidRPr="003201C9">
              <w:rPr>
                <w:sz w:val="22"/>
                <w:szCs w:val="22"/>
              </w:rPr>
              <w:t>Krzysztof BALON (Gruppe Organisationen der Zivilgesellschaft – PL)</w:t>
            </w:r>
          </w:p>
          <w:p w14:paraId="3F606C7E" w14:textId="77777777" w:rsidR="00F733BE" w:rsidRPr="00AE1AFC" w:rsidRDefault="00F733BE" w:rsidP="003201C9">
            <w:pPr>
              <w:tabs>
                <w:tab w:val="center" w:pos="284"/>
              </w:tabs>
              <w:overflowPunct w:val="0"/>
              <w:autoSpaceDE w:val="0"/>
              <w:autoSpaceDN w:val="0"/>
              <w:adjustRightInd w:val="0"/>
              <w:ind w:left="266" w:right="-3091" w:hanging="266"/>
              <w:textAlignment w:val="baseline"/>
              <w:rPr>
                <w:sz w:val="12"/>
                <w:szCs w:val="12"/>
              </w:rPr>
            </w:pPr>
          </w:p>
        </w:tc>
      </w:tr>
      <w:tr w:rsidR="004503DC" w:rsidRPr="003201C9" w14:paraId="1E0B600C" w14:textId="77777777" w:rsidTr="00C201AB">
        <w:tc>
          <w:tcPr>
            <w:tcW w:w="1077" w:type="pct"/>
          </w:tcPr>
          <w:p w14:paraId="331D255A" w14:textId="77777777" w:rsidR="004503DC" w:rsidRPr="003201C9" w:rsidRDefault="004503DC" w:rsidP="003201C9">
            <w:pPr>
              <w:tabs>
                <w:tab w:val="center" w:pos="284"/>
              </w:tabs>
              <w:overflowPunct w:val="0"/>
              <w:autoSpaceDE w:val="0"/>
              <w:autoSpaceDN w:val="0"/>
              <w:adjustRightInd w:val="0"/>
              <w:ind w:left="266" w:hanging="266"/>
              <w:textAlignment w:val="baseline"/>
              <w:rPr>
                <w:b/>
                <w:sz w:val="22"/>
                <w:szCs w:val="22"/>
              </w:rPr>
            </w:pPr>
            <w:r w:rsidRPr="003201C9">
              <w:rPr>
                <w:b/>
                <w:sz w:val="22"/>
                <w:szCs w:val="22"/>
              </w:rPr>
              <w:t>Referenzdokumente</w:t>
            </w:r>
          </w:p>
        </w:tc>
        <w:tc>
          <w:tcPr>
            <w:tcW w:w="3923" w:type="pct"/>
          </w:tcPr>
          <w:p w14:paraId="2C22F4DD" w14:textId="16761502" w:rsidR="00F733BE" w:rsidRPr="003201C9" w:rsidRDefault="00F733BE" w:rsidP="003201C9">
            <w:pPr>
              <w:tabs>
                <w:tab w:val="center" w:pos="284"/>
              </w:tabs>
              <w:overflowPunct w:val="0"/>
              <w:autoSpaceDE w:val="0"/>
              <w:autoSpaceDN w:val="0"/>
              <w:adjustRightInd w:val="0"/>
              <w:ind w:left="266" w:right="-3091" w:hanging="266"/>
              <w:textAlignment w:val="baseline"/>
              <w:rPr>
                <w:sz w:val="22"/>
                <w:szCs w:val="22"/>
              </w:rPr>
            </w:pPr>
            <w:r w:rsidRPr="003201C9">
              <w:rPr>
                <w:sz w:val="22"/>
                <w:szCs w:val="22"/>
              </w:rPr>
              <w:t>COM(2025) 649 final</w:t>
            </w:r>
          </w:p>
          <w:p w14:paraId="002ECA16" w14:textId="7A871AFA" w:rsidR="004503DC" w:rsidRPr="003201C9" w:rsidRDefault="004503DC" w:rsidP="003201C9">
            <w:pPr>
              <w:tabs>
                <w:tab w:val="center" w:pos="284"/>
              </w:tabs>
              <w:overflowPunct w:val="0"/>
              <w:autoSpaceDE w:val="0"/>
              <w:autoSpaceDN w:val="0"/>
              <w:adjustRightInd w:val="0"/>
              <w:ind w:left="266" w:right="-3091" w:hanging="266"/>
              <w:textAlignment w:val="baseline"/>
              <w:rPr>
                <w:sz w:val="22"/>
                <w:szCs w:val="22"/>
              </w:rPr>
            </w:pPr>
            <w:r w:rsidRPr="003201C9">
              <w:rPr>
                <w:sz w:val="22"/>
                <w:szCs w:val="22"/>
              </w:rPr>
              <w:t>EESC-2025-02613-00-00-AC</w:t>
            </w:r>
          </w:p>
        </w:tc>
      </w:tr>
    </w:tbl>
    <w:p w14:paraId="35706CBA" w14:textId="77777777" w:rsidR="004503DC" w:rsidRPr="003201C9" w:rsidRDefault="004503DC" w:rsidP="003201C9">
      <w:pPr>
        <w:tabs>
          <w:tab w:val="center" w:pos="284"/>
        </w:tabs>
        <w:overflowPunct w:val="0"/>
        <w:autoSpaceDE w:val="0"/>
        <w:autoSpaceDN w:val="0"/>
        <w:adjustRightInd w:val="0"/>
        <w:ind w:left="266" w:hanging="266"/>
        <w:textAlignment w:val="baseline"/>
        <w:rPr>
          <w:b/>
          <w:lang w:val="en-GB"/>
        </w:rPr>
      </w:pPr>
    </w:p>
    <w:p w14:paraId="3507DE8F" w14:textId="77777777" w:rsidR="004503DC" w:rsidRPr="003201C9" w:rsidRDefault="004503DC" w:rsidP="003201C9">
      <w:pPr>
        <w:keepNext/>
        <w:keepLines/>
        <w:tabs>
          <w:tab w:val="center" w:pos="284"/>
        </w:tabs>
        <w:overflowPunct w:val="0"/>
        <w:autoSpaceDE w:val="0"/>
        <w:autoSpaceDN w:val="0"/>
        <w:adjustRightInd w:val="0"/>
        <w:ind w:left="266" w:hanging="266"/>
        <w:textAlignment w:val="baseline"/>
        <w:rPr>
          <w:b/>
        </w:rPr>
      </w:pPr>
      <w:r w:rsidRPr="003201C9">
        <w:rPr>
          <w:b/>
        </w:rPr>
        <w:t>Kernaussagen</w:t>
      </w:r>
    </w:p>
    <w:p w14:paraId="09F1D644" w14:textId="77777777" w:rsidR="004503DC" w:rsidRPr="003201C9" w:rsidRDefault="004503DC" w:rsidP="003201C9">
      <w:pPr>
        <w:keepNext/>
        <w:keepLines/>
        <w:tabs>
          <w:tab w:val="center" w:pos="284"/>
        </w:tabs>
        <w:overflowPunct w:val="0"/>
        <w:autoSpaceDE w:val="0"/>
        <w:autoSpaceDN w:val="0"/>
        <w:adjustRightInd w:val="0"/>
        <w:ind w:left="266" w:hanging="266"/>
        <w:textAlignment w:val="baseline"/>
        <w:rPr>
          <w:b/>
          <w:lang w:val="en-GB"/>
        </w:rPr>
      </w:pPr>
    </w:p>
    <w:p w14:paraId="1DB598AA" w14:textId="77777777" w:rsidR="004503DC" w:rsidRPr="003201C9" w:rsidRDefault="004503DC" w:rsidP="003201C9">
      <w:pPr>
        <w:overflowPunct w:val="0"/>
        <w:autoSpaceDE w:val="0"/>
        <w:autoSpaceDN w:val="0"/>
        <w:adjustRightInd w:val="0"/>
        <w:textAlignment w:val="baseline"/>
        <w:rPr>
          <w:bCs/>
          <w:iCs/>
        </w:rPr>
      </w:pPr>
      <w:r w:rsidRPr="003201C9">
        <w:t>Der EWSA</w:t>
      </w:r>
    </w:p>
    <w:p w14:paraId="446A35DC" w14:textId="77777777" w:rsidR="00F733BE" w:rsidRPr="003201C9" w:rsidRDefault="00F733BE" w:rsidP="003201C9">
      <w:pPr>
        <w:overflowPunct w:val="0"/>
        <w:autoSpaceDE w:val="0"/>
        <w:autoSpaceDN w:val="0"/>
        <w:adjustRightInd w:val="0"/>
        <w:textAlignment w:val="baseline"/>
        <w:rPr>
          <w:bCs/>
          <w:iCs/>
          <w:lang w:val="en-GB"/>
        </w:rPr>
      </w:pPr>
    </w:p>
    <w:p w14:paraId="5AAE80CE" w14:textId="77777777" w:rsidR="004503DC" w:rsidRPr="003201C9" w:rsidRDefault="004503DC" w:rsidP="00AE1AFC">
      <w:pPr>
        <w:widowControl w:val="0"/>
        <w:numPr>
          <w:ilvl w:val="0"/>
          <w:numId w:val="33"/>
        </w:numPr>
        <w:overflowPunct w:val="0"/>
        <w:autoSpaceDE w:val="0"/>
        <w:autoSpaceDN w:val="0"/>
        <w:adjustRightInd w:val="0"/>
        <w:ind w:left="709" w:hanging="425"/>
        <w:textAlignment w:val="baseline"/>
        <w:rPr>
          <w:bCs/>
          <w:iCs/>
        </w:rPr>
      </w:pPr>
      <w:r w:rsidRPr="003201C9">
        <w:t>bekräftigt seine Solidarität mit dem ukrainischen Volk und erinnert daran, dass die Aggression Russlands gegen die Ukraine dazu geführt hat, dass Millionen von Ukrainerinnen und Ukrainern vor der Gefahr geflohen sind; hebt die Rolle hervor, die Organisationen der Zivilgesellschaft am Höhepunkt des Zustroms von Vertriebenen aus der Ukraine gespielt haben;</w:t>
      </w:r>
    </w:p>
    <w:p w14:paraId="739050E0" w14:textId="77777777" w:rsidR="004503DC" w:rsidRPr="003201C9" w:rsidRDefault="004503DC" w:rsidP="00AE1AFC">
      <w:pPr>
        <w:widowControl w:val="0"/>
        <w:numPr>
          <w:ilvl w:val="0"/>
          <w:numId w:val="33"/>
        </w:numPr>
        <w:overflowPunct w:val="0"/>
        <w:autoSpaceDE w:val="0"/>
        <w:autoSpaceDN w:val="0"/>
        <w:adjustRightInd w:val="0"/>
        <w:ind w:left="709" w:hanging="425"/>
        <w:textAlignment w:val="baseline"/>
        <w:rPr>
          <w:bCs/>
          <w:iCs/>
        </w:rPr>
      </w:pPr>
      <w:r w:rsidRPr="003201C9">
        <w:t>stellt fest, dass sich der vorübergehende Schutz als vorteilhafte Lösung für Vertriebene aus der Ukraine erwiesen hat, da die Voraussetzungen für eine Rückkehr in die Ukraine aufgrund der anhaltenden Aggression noch nicht gegeben sind, und begrüßt den Beschluss, den vorübergehenden Schutz um einen weiteren Zeitraum zu verlängern;</w:t>
      </w:r>
    </w:p>
    <w:p w14:paraId="027B8CC0" w14:textId="77777777" w:rsidR="004503DC" w:rsidRPr="003201C9" w:rsidRDefault="004503DC" w:rsidP="00AE1AFC">
      <w:pPr>
        <w:widowControl w:val="0"/>
        <w:numPr>
          <w:ilvl w:val="0"/>
          <w:numId w:val="33"/>
        </w:numPr>
        <w:overflowPunct w:val="0"/>
        <w:autoSpaceDE w:val="0"/>
        <w:autoSpaceDN w:val="0"/>
        <w:adjustRightInd w:val="0"/>
        <w:ind w:left="709" w:hanging="425"/>
        <w:textAlignment w:val="baseline"/>
        <w:rPr>
          <w:bCs/>
          <w:iCs/>
        </w:rPr>
      </w:pPr>
      <w:r w:rsidRPr="003201C9">
        <w:t>unterstreicht die Notwendigkeit einer langfristigen Perspektive für Personen, die vorübergehenden Schutz genießen, und fordert die Kommission und die Mitgliedstaaten auf, Maßnahmen zu ergreifen, um einen einfachen Übergang zu einer dauerhafteren Aufenthaltsbasis und eine schrittweise Beendigung des vorübergehenden Schutzes zu ermöglichen;</w:t>
      </w:r>
    </w:p>
    <w:p w14:paraId="58D36077" w14:textId="77777777" w:rsidR="004503DC" w:rsidRPr="003201C9" w:rsidRDefault="004503DC" w:rsidP="00AE1AFC">
      <w:pPr>
        <w:widowControl w:val="0"/>
        <w:numPr>
          <w:ilvl w:val="0"/>
          <w:numId w:val="33"/>
        </w:numPr>
        <w:overflowPunct w:val="0"/>
        <w:autoSpaceDE w:val="0"/>
        <w:autoSpaceDN w:val="0"/>
        <w:adjustRightInd w:val="0"/>
        <w:ind w:left="709" w:hanging="425"/>
        <w:textAlignment w:val="baseline"/>
        <w:rPr>
          <w:bCs/>
          <w:iCs/>
        </w:rPr>
      </w:pPr>
      <w:r w:rsidRPr="003201C9">
        <w:t>weist darauf hin, dass die Situation im Zusammenhang mit der Ankunft von Menschen aus der Ukraine in der EU den Druck auf die öffentlichen Dienstleistungssysteme der Mitgliedstaaten erhöht hat, und betont, dass die Investitionen in hochwertige Dienstleistungen von allgemeinem Interesse, einschließlich Wohnraum, erhöht werden müssen, und diese Dienstleistungen allen Menschen, die sich rechtmäßig in der EU aufhalten, gleichberechtigt zur Verfügung stehen sollten;</w:t>
      </w:r>
    </w:p>
    <w:p w14:paraId="40289059" w14:textId="77777777" w:rsidR="004503DC" w:rsidRPr="003201C9" w:rsidRDefault="004503DC" w:rsidP="00AE1AFC">
      <w:pPr>
        <w:widowControl w:val="0"/>
        <w:numPr>
          <w:ilvl w:val="0"/>
          <w:numId w:val="33"/>
        </w:numPr>
        <w:overflowPunct w:val="0"/>
        <w:autoSpaceDE w:val="0"/>
        <w:autoSpaceDN w:val="0"/>
        <w:adjustRightInd w:val="0"/>
        <w:ind w:left="709" w:hanging="425"/>
        <w:textAlignment w:val="baseline"/>
      </w:pPr>
      <w:r w:rsidRPr="003201C9">
        <w:t>weist ferner darauf hin, dass Anstrengungen unternommen werden sollten, um die erfolgreiche Integration der Ukrainerinnen und Ukrainer in die EU durch Sprachkurse, die Unterstützung lokaler Gemeinschaftsinitiativen, die Bildung ukrainischer Kinder in den Mitgliedstaaten sowie die Bekämpfung von Desinformation und nachrichtendienstlichen Aktivitäten Russlands ebenso wie durch ihre Einbeziehung in die an ihren Wohnorten tätigen Organisationen sicherzustellen;</w:t>
      </w:r>
    </w:p>
    <w:p w14:paraId="6F366C03" w14:textId="77777777" w:rsidR="004503DC" w:rsidRPr="003201C9" w:rsidRDefault="004503DC" w:rsidP="00AE1AFC">
      <w:pPr>
        <w:widowControl w:val="0"/>
        <w:numPr>
          <w:ilvl w:val="0"/>
          <w:numId w:val="33"/>
        </w:numPr>
        <w:overflowPunct w:val="0"/>
        <w:autoSpaceDE w:val="0"/>
        <w:autoSpaceDN w:val="0"/>
        <w:adjustRightInd w:val="0"/>
        <w:ind w:left="709" w:hanging="425"/>
        <w:textAlignment w:val="baseline"/>
      </w:pPr>
      <w:r w:rsidRPr="003201C9">
        <w:t>betont, wie wichtig es ist, faire Arbeitsbedingungen für Ukrainerinnen und Ukrainer sowohl innerhalb der EU als auch in der Ukraine zu schaffen, wobei von den Mitgliedstaaten erwartet wird, dass sie gegen Ausbeutung und Ungleichbehandlung von Ukrainern in der Arbeitswelt vorgehen, und von der ukrainischen Regierung, dass sie im Dialog mit den Sozialpartnern wieder günstige Bedingungen für Arbeitnehmer und gewerkschaftliche Aktivitäten schafft.</w:t>
      </w:r>
    </w:p>
    <w:p w14:paraId="15DAAC73" w14:textId="77777777" w:rsidR="004503DC" w:rsidRPr="003201C9" w:rsidRDefault="004503DC" w:rsidP="003201C9">
      <w:pPr>
        <w:widowControl w:val="0"/>
        <w:overflowPunct w:val="0"/>
        <w:autoSpaceDE w:val="0"/>
        <w:autoSpaceDN w:val="0"/>
        <w:adjustRightInd w:val="0"/>
        <w:ind w:left="709"/>
        <w:textAlignment w:val="baseline"/>
      </w:pPr>
    </w:p>
    <w:tbl>
      <w:tblPr>
        <w:tblStyle w:val="TableGrid1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4"/>
        <w:gridCol w:w="7195"/>
      </w:tblGrid>
      <w:tr w:rsidR="004503DC" w:rsidRPr="003201C9" w14:paraId="0C28C241" w14:textId="77777777" w:rsidTr="00AE1AFC">
        <w:tc>
          <w:tcPr>
            <w:tcW w:w="1127" w:type="pct"/>
          </w:tcPr>
          <w:p w14:paraId="011666E9" w14:textId="77777777" w:rsidR="004503DC" w:rsidRPr="003201C9" w:rsidRDefault="004503DC" w:rsidP="003201C9">
            <w:pPr>
              <w:overflowPunct w:val="0"/>
              <w:autoSpaceDE w:val="0"/>
              <w:autoSpaceDN w:val="0"/>
              <w:adjustRightInd w:val="0"/>
              <w:textAlignment w:val="baseline"/>
              <w:rPr>
                <w:i/>
                <w:sz w:val="22"/>
                <w:szCs w:val="22"/>
              </w:rPr>
            </w:pPr>
            <w:r w:rsidRPr="003201C9">
              <w:rPr>
                <w:b/>
                <w:i/>
                <w:sz w:val="22"/>
                <w:szCs w:val="22"/>
              </w:rPr>
              <w:lastRenderedPageBreak/>
              <w:t>Kontakt</w:t>
            </w:r>
          </w:p>
        </w:tc>
        <w:tc>
          <w:tcPr>
            <w:tcW w:w="3873" w:type="pct"/>
          </w:tcPr>
          <w:p w14:paraId="5376B5C9" w14:textId="1E39C147" w:rsidR="004503DC" w:rsidRPr="003201C9" w:rsidRDefault="004503DC" w:rsidP="003201C9">
            <w:pPr>
              <w:overflowPunct w:val="0"/>
              <w:autoSpaceDE w:val="0"/>
              <w:autoSpaceDN w:val="0"/>
              <w:adjustRightInd w:val="0"/>
              <w:textAlignment w:val="baseline"/>
              <w:rPr>
                <w:i/>
                <w:sz w:val="22"/>
                <w:szCs w:val="22"/>
              </w:rPr>
            </w:pPr>
            <w:proofErr w:type="spellStart"/>
            <w:r w:rsidRPr="003201C9">
              <w:rPr>
                <w:i/>
                <w:sz w:val="22"/>
                <w:szCs w:val="22"/>
              </w:rPr>
              <w:t>Katarína</w:t>
            </w:r>
            <w:proofErr w:type="spellEnd"/>
            <w:r w:rsidRPr="003201C9">
              <w:rPr>
                <w:i/>
                <w:sz w:val="22"/>
                <w:szCs w:val="22"/>
              </w:rPr>
              <w:t xml:space="preserve"> </w:t>
            </w:r>
            <w:proofErr w:type="spellStart"/>
            <w:r w:rsidRPr="003201C9">
              <w:rPr>
                <w:i/>
                <w:sz w:val="22"/>
                <w:szCs w:val="22"/>
              </w:rPr>
              <w:t>Grzeszczyk</w:t>
            </w:r>
            <w:proofErr w:type="spellEnd"/>
            <w:r w:rsidRPr="003201C9">
              <w:rPr>
                <w:i/>
                <w:sz w:val="22"/>
                <w:szCs w:val="22"/>
              </w:rPr>
              <w:t xml:space="preserve"> </w:t>
            </w:r>
            <w:proofErr w:type="spellStart"/>
            <w:r w:rsidRPr="003201C9">
              <w:rPr>
                <w:i/>
                <w:sz w:val="22"/>
                <w:szCs w:val="22"/>
              </w:rPr>
              <w:t>Albrechtová</w:t>
            </w:r>
            <w:proofErr w:type="spellEnd"/>
          </w:p>
        </w:tc>
      </w:tr>
      <w:tr w:rsidR="004503DC" w:rsidRPr="003201C9" w14:paraId="3DF91CE1" w14:textId="77777777" w:rsidTr="00AE1AFC">
        <w:tc>
          <w:tcPr>
            <w:tcW w:w="1127" w:type="pct"/>
          </w:tcPr>
          <w:p w14:paraId="12B0FB94" w14:textId="77777777" w:rsidR="004503DC" w:rsidRPr="003201C9" w:rsidRDefault="004503DC" w:rsidP="003201C9">
            <w:pPr>
              <w:overflowPunct w:val="0"/>
              <w:autoSpaceDE w:val="0"/>
              <w:autoSpaceDN w:val="0"/>
              <w:adjustRightInd w:val="0"/>
              <w:textAlignment w:val="baseline"/>
              <w:rPr>
                <w:i/>
                <w:sz w:val="22"/>
                <w:szCs w:val="22"/>
              </w:rPr>
            </w:pPr>
            <w:r w:rsidRPr="003201C9">
              <w:rPr>
                <w:i/>
                <w:sz w:val="22"/>
                <w:szCs w:val="22"/>
              </w:rPr>
              <w:t>Tel.</w:t>
            </w:r>
          </w:p>
        </w:tc>
        <w:tc>
          <w:tcPr>
            <w:tcW w:w="3873" w:type="pct"/>
          </w:tcPr>
          <w:p w14:paraId="2AB00694" w14:textId="77777777" w:rsidR="004503DC" w:rsidRPr="003201C9" w:rsidRDefault="004503DC" w:rsidP="003201C9">
            <w:pPr>
              <w:overflowPunct w:val="0"/>
              <w:autoSpaceDE w:val="0"/>
              <w:autoSpaceDN w:val="0"/>
              <w:adjustRightInd w:val="0"/>
              <w:textAlignment w:val="baseline"/>
              <w:rPr>
                <w:i/>
                <w:sz w:val="22"/>
                <w:szCs w:val="22"/>
              </w:rPr>
            </w:pPr>
            <w:r w:rsidRPr="003201C9">
              <w:rPr>
                <w:i/>
                <w:sz w:val="22"/>
                <w:szCs w:val="22"/>
              </w:rPr>
              <w:t>+32 25469460</w:t>
            </w:r>
          </w:p>
        </w:tc>
      </w:tr>
      <w:tr w:rsidR="004503DC" w:rsidRPr="003201C9" w14:paraId="704DFCB6" w14:textId="77777777" w:rsidTr="00AE1AFC">
        <w:tc>
          <w:tcPr>
            <w:tcW w:w="1127" w:type="pct"/>
          </w:tcPr>
          <w:p w14:paraId="18D5B7A9" w14:textId="77777777" w:rsidR="004503DC" w:rsidRPr="003201C9" w:rsidRDefault="004503DC" w:rsidP="003201C9">
            <w:pPr>
              <w:overflowPunct w:val="0"/>
              <w:autoSpaceDE w:val="0"/>
              <w:autoSpaceDN w:val="0"/>
              <w:adjustRightInd w:val="0"/>
              <w:textAlignment w:val="baseline"/>
              <w:rPr>
                <w:i/>
                <w:sz w:val="22"/>
                <w:szCs w:val="22"/>
              </w:rPr>
            </w:pPr>
            <w:r w:rsidRPr="003201C9">
              <w:rPr>
                <w:i/>
                <w:sz w:val="22"/>
                <w:szCs w:val="22"/>
              </w:rPr>
              <w:t>E-Mail</w:t>
            </w:r>
          </w:p>
        </w:tc>
        <w:tc>
          <w:tcPr>
            <w:tcW w:w="3873" w:type="pct"/>
          </w:tcPr>
          <w:p w14:paraId="59F392A7" w14:textId="77777777" w:rsidR="004503DC" w:rsidRPr="003201C9" w:rsidRDefault="000055E5" w:rsidP="003201C9">
            <w:pPr>
              <w:overflowPunct w:val="0"/>
              <w:autoSpaceDE w:val="0"/>
              <w:autoSpaceDN w:val="0"/>
              <w:adjustRightInd w:val="0"/>
              <w:textAlignment w:val="baseline"/>
              <w:rPr>
                <w:i/>
                <w:sz w:val="22"/>
                <w:szCs w:val="22"/>
              </w:rPr>
            </w:pPr>
            <w:hyperlink r:id="rId50" w:history="1">
              <w:r w:rsidR="00F74BC3" w:rsidRPr="003201C9">
                <w:rPr>
                  <w:i/>
                  <w:color w:val="0000FF"/>
                  <w:sz w:val="22"/>
                  <w:szCs w:val="22"/>
                  <w:u w:val="single"/>
                </w:rPr>
                <w:t>Katarina.Albrechtova@eesc.europa.eu</w:t>
              </w:r>
            </w:hyperlink>
            <w:r w:rsidR="00F74BC3" w:rsidRPr="003201C9">
              <w:rPr>
                <w:i/>
                <w:sz w:val="22"/>
                <w:szCs w:val="22"/>
              </w:rPr>
              <w:t xml:space="preserve"> </w:t>
            </w:r>
          </w:p>
        </w:tc>
      </w:tr>
    </w:tbl>
    <w:p w14:paraId="4464305F" w14:textId="38E0F292" w:rsidR="004503DC" w:rsidRPr="003201C9" w:rsidRDefault="004503DC" w:rsidP="003201C9">
      <w:pPr>
        <w:jc w:val="left"/>
      </w:pPr>
    </w:p>
    <w:p w14:paraId="28C69286" w14:textId="77777777" w:rsidR="004503DC" w:rsidRPr="003201C9" w:rsidRDefault="004503DC" w:rsidP="003201C9">
      <w:pPr>
        <w:jc w:val="left"/>
      </w:pPr>
      <w:r w:rsidRPr="003201C9">
        <w:br w:type="page"/>
      </w:r>
    </w:p>
    <w:p w14:paraId="528C73AA" w14:textId="46DE726B" w:rsidR="006D2C8A" w:rsidRPr="006D2C8A" w:rsidRDefault="006D2C8A" w:rsidP="003201C9">
      <w:pPr>
        <w:pStyle w:val="Heading1"/>
        <w:rPr>
          <w:b/>
        </w:rPr>
      </w:pPr>
      <w:bookmarkStart w:id="16" w:name="_Toc217289960"/>
      <w:r>
        <w:rPr>
          <w:b/>
          <w:color w:val="222A35" w:themeColor="text2" w:themeShade="80"/>
        </w:rPr>
        <w:lastRenderedPageBreak/>
        <w:t>BERATENDE KOMMISSION FÜR DEN INDUSTRIELLEN WANDEL</w:t>
      </w:r>
      <w:bookmarkEnd w:id="16"/>
    </w:p>
    <w:p w14:paraId="713E272F" w14:textId="77777777" w:rsidR="006D2C8A" w:rsidRDefault="006D2C8A" w:rsidP="003201C9"/>
    <w:p w14:paraId="7383D97E" w14:textId="13359D4F" w:rsidR="00ED76AC" w:rsidRPr="00ED76AC" w:rsidRDefault="000055E5" w:rsidP="003201C9">
      <w:pPr>
        <w:widowControl w:val="0"/>
        <w:numPr>
          <w:ilvl w:val="0"/>
          <w:numId w:val="16"/>
        </w:numPr>
        <w:overflowPunct w:val="0"/>
        <w:autoSpaceDE w:val="0"/>
        <w:autoSpaceDN w:val="0"/>
        <w:adjustRightInd w:val="0"/>
        <w:ind w:hanging="567"/>
        <w:rPr>
          <w:sz w:val="20"/>
          <w:szCs w:val="20"/>
        </w:rPr>
      </w:pPr>
      <w:hyperlink r:id="rId51" w:history="1">
        <w:r w:rsidR="00F74BC3">
          <w:rPr>
            <w:b/>
            <w:i/>
            <w:color w:val="0000FF"/>
            <w:sz w:val="28"/>
            <w:u w:val="single"/>
          </w:rPr>
          <w:t>Erschließung des Potenzials dauerhafter Werkstoffe in der Kreislaufwirtschaft der EU</w:t>
        </w:r>
      </w:hyperlink>
    </w:p>
    <w:p w14:paraId="243BA033" w14:textId="77777777" w:rsidR="00ED76AC" w:rsidRPr="003201C9" w:rsidRDefault="00ED76AC" w:rsidP="003201C9">
      <w:pPr>
        <w:widowControl w:val="0"/>
        <w:overflowPunct w:val="0"/>
        <w:autoSpaceDE w:val="0"/>
        <w:autoSpaceDN w:val="0"/>
        <w:adjustRightInd w:val="0"/>
        <w:ind w:left="567"/>
      </w:pPr>
    </w:p>
    <w:tbl>
      <w:tblPr>
        <w:tblStyle w:val="TableGrid17"/>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4"/>
        <w:gridCol w:w="7195"/>
      </w:tblGrid>
      <w:tr w:rsidR="00ED76AC" w:rsidRPr="003201C9" w14:paraId="3E004ABC" w14:textId="77777777" w:rsidTr="00AE1AFC">
        <w:tc>
          <w:tcPr>
            <w:tcW w:w="1127" w:type="pct"/>
            <w:hideMark/>
          </w:tcPr>
          <w:p w14:paraId="1E7D8DE2" w14:textId="77777777" w:rsidR="00ED76AC" w:rsidRPr="003201C9" w:rsidRDefault="00ED76AC" w:rsidP="003201C9">
            <w:pPr>
              <w:tabs>
                <w:tab w:val="center" w:pos="284"/>
              </w:tabs>
              <w:overflowPunct w:val="0"/>
              <w:autoSpaceDE w:val="0"/>
              <w:autoSpaceDN w:val="0"/>
              <w:adjustRightInd w:val="0"/>
              <w:ind w:left="266" w:hanging="266"/>
              <w:rPr>
                <w:b/>
                <w:sz w:val="22"/>
                <w:szCs w:val="22"/>
              </w:rPr>
            </w:pPr>
            <w:r w:rsidRPr="003201C9">
              <w:rPr>
                <w:b/>
                <w:sz w:val="22"/>
                <w:szCs w:val="22"/>
              </w:rPr>
              <w:t>Berichterstatter</w:t>
            </w:r>
          </w:p>
        </w:tc>
        <w:tc>
          <w:tcPr>
            <w:tcW w:w="3873" w:type="pct"/>
            <w:hideMark/>
          </w:tcPr>
          <w:p w14:paraId="51B8EA45" w14:textId="77777777" w:rsidR="00ED76AC" w:rsidRPr="003201C9" w:rsidRDefault="00ED76AC" w:rsidP="003201C9">
            <w:pPr>
              <w:tabs>
                <w:tab w:val="center" w:pos="284"/>
              </w:tabs>
              <w:overflowPunct w:val="0"/>
              <w:autoSpaceDE w:val="0"/>
              <w:autoSpaceDN w:val="0"/>
              <w:adjustRightInd w:val="0"/>
              <w:ind w:left="266" w:right="-3091" w:hanging="266"/>
              <w:rPr>
                <w:sz w:val="22"/>
                <w:szCs w:val="22"/>
              </w:rPr>
            </w:pPr>
            <w:r w:rsidRPr="003201C9">
              <w:rPr>
                <w:sz w:val="22"/>
                <w:szCs w:val="22"/>
              </w:rPr>
              <w:t>Andrea MONE (Gruppe Arbeitnehmer – IT)</w:t>
            </w:r>
          </w:p>
        </w:tc>
      </w:tr>
      <w:tr w:rsidR="00ED76AC" w:rsidRPr="003201C9" w14:paraId="21F71A9D" w14:textId="77777777" w:rsidTr="00AE1AFC">
        <w:tc>
          <w:tcPr>
            <w:tcW w:w="1127" w:type="pct"/>
            <w:hideMark/>
          </w:tcPr>
          <w:p w14:paraId="2C3FD6D4" w14:textId="77777777" w:rsidR="00ED76AC" w:rsidRPr="003201C9" w:rsidRDefault="00ED76AC" w:rsidP="003201C9">
            <w:pPr>
              <w:tabs>
                <w:tab w:val="center" w:pos="284"/>
              </w:tabs>
              <w:overflowPunct w:val="0"/>
              <w:autoSpaceDE w:val="0"/>
              <w:autoSpaceDN w:val="0"/>
              <w:adjustRightInd w:val="0"/>
              <w:ind w:left="266" w:hanging="266"/>
              <w:rPr>
                <w:b/>
                <w:sz w:val="22"/>
                <w:szCs w:val="22"/>
              </w:rPr>
            </w:pPr>
            <w:r w:rsidRPr="003201C9">
              <w:rPr>
                <w:b/>
                <w:sz w:val="22"/>
                <w:szCs w:val="22"/>
              </w:rPr>
              <w:t>Ko-Berichterstatter</w:t>
            </w:r>
          </w:p>
        </w:tc>
        <w:tc>
          <w:tcPr>
            <w:tcW w:w="3873" w:type="pct"/>
            <w:hideMark/>
          </w:tcPr>
          <w:p w14:paraId="1CE8569E" w14:textId="77777777" w:rsidR="00ED76AC" w:rsidRPr="003201C9" w:rsidRDefault="00ED76AC" w:rsidP="003201C9">
            <w:pPr>
              <w:tabs>
                <w:tab w:val="center" w:pos="284"/>
              </w:tabs>
              <w:overflowPunct w:val="0"/>
              <w:autoSpaceDE w:val="0"/>
              <w:autoSpaceDN w:val="0"/>
              <w:adjustRightInd w:val="0"/>
              <w:ind w:left="266" w:right="-3091" w:hanging="266"/>
              <w:rPr>
                <w:sz w:val="22"/>
                <w:szCs w:val="22"/>
              </w:rPr>
            </w:pPr>
            <w:r w:rsidRPr="003201C9">
              <w:rPr>
                <w:sz w:val="22"/>
                <w:szCs w:val="22"/>
              </w:rPr>
              <w:t>Michal PINTÉR (Gruppe Arbeitgeber – SK)</w:t>
            </w:r>
          </w:p>
          <w:p w14:paraId="28215643" w14:textId="77777777" w:rsidR="00707689" w:rsidRPr="00AE1AFC" w:rsidRDefault="00707689" w:rsidP="003201C9">
            <w:pPr>
              <w:tabs>
                <w:tab w:val="center" w:pos="284"/>
              </w:tabs>
              <w:overflowPunct w:val="0"/>
              <w:autoSpaceDE w:val="0"/>
              <w:autoSpaceDN w:val="0"/>
              <w:adjustRightInd w:val="0"/>
              <w:ind w:left="266" w:right="-3091" w:hanging="266"/>
              <w:rPr>
                <w:sz w:val="12"/>
                <w:szCs w:val="12"/>
              </w:rPr>
            </w:pPr>
          </w:p>
        </w:tc>
      </w:tr>
      <w:tr w:rsidR="00ED76AC" w:rsidRPr="003201C9" w14:paraId="19833206" w14:textId="77777777" w:rsidTr="00AE1AFC">
        <w:tc>
          <w:tcPr>
            <w:tcW w:w="1127" w:type="pct"/>
            <w:hideMark/>
          </w:tcPr>
          <w:p w14:paraId="1FC4BD72" w14:textId="77777777" w:rsidR="00ED76AC" w:rsidRPr="003201C9" w:rsidRDefault="00ED76AC" w:rsidP="003201C9">
            <w:pPr>
              <w:tabs>
                <w:tab w:val="center" w:pos="284"/>
              </w:tabs>
              <w:overflowPunct w:val="0"/>
              <w:autoSpaceDE w:val="0"/>
              <w:autoSpaceDN w:val="0"/>
              <w:adjustRightInd w:val="0"/>
              <w:ind w:left="266" w:hanging="266"/>
              <w:rPr>
                <w:b/>
                <w:sz w:val="22"/>
                <w:szCs w:val="22"/>
              </w:rPr>
            </w:pPr>
            <w:r w:rsidRPr="003201C9">
              <w:rPr>
                <w:b/>
                <w:sz w:val="22"/>
                <w:szCs w:val="22"/>
              </w:rPr>
              <w:t>Referenzdokument</w:t>
            </w:r>
          </w:p>
        </w:tc>
        <w:tc>
          <w:tcPr>
            <w:tcW w:w="3873" w:type="pct"/>
            <w:hideMark/>
          </w:tcPr>
          <w:p w14:paraId="340633E9" w14:textId="2162F333" w:rsidR="00707689" w:rsidRPr="003201C9" w:rsidRDefault="00707689" w:rsidP="003201C9">
            <w:pPr>
              <w:tabs>
                <w:tab w:val="center" w:pos="284"/>
              </w:tabs>
              <w:overflowPunct w:val="0"/>
              <w:autoSpaceDE w:val="0"/>
              <w:autoSpaceDN w:val="0"/>
              <w:adjustRightInd w:val="0"/>
              <w:ind w:left="266" w:right="-3091" w:hanging="266"/>
              <w:rPr>
                <w:sz w:val="22"/>
                <w:szCs w:val="22"/>
              </w:rPr>
            </w:pPr>
            <w:r w:rsidRPr="003201C9">
              <w:rPr>
                <w:sz w:val="22"/>
                <w:szCs w:val="22"/>
              </w:rPr>
              <w:t>Initiativstellungnahme</w:t>
            </w:r>
          </w:p>
          <w:p w14:paraId="59A49208" w14:textId="5D1970B8" w:rsidR="00ED76AC" w:rsidRPr="003201C9" w:rsidRDefault="00ED76AC" w:rsidP="003201C9">
            <w:pPr>
              <w:tabs>
                <w:tab w:val="center" w:pos="284"/>
              </w:tabs>
              <w:overflowPunct w:val="0"/>
              <w:autoSpaceDE w:val="0"/>
              <w:autoSpaceDN w:val="0"/>
              <w:adjustRightInd w:val="0"/>
              <w:ind w:left="266" w:right="-3091" w:hanging="266"/>
              <w:rPr>
                <w:sz w:val="22"/>
                <w:szCs w:val="22"/>
              </w:rPr>
            </w:pPr>
            <w:r w:rsidRPr="003201C9">
              <w:rPr>
                <w:sz w:val="22"/>
                <w:szCs w:val="22"/>
              </w:rPr>
              <w:t>EESC-2025-02364-00-00-AC</w:t>
            </w:r>
          </w:p>
        </w:tc>
      </w:tr>
    </w:tbl>
    <w:p w14:paraId="5922BFFC" w14:textId="77777777" w:rsidR="00ED76AC" w:rsidRPr="003201C9" w:rsidRDefault="00ED76AC" w:rsidP="003201C9">
      <w:pPr>
        <w:tabs>
          <w:tab w:val="center" w:pos="284"/>
        </w:tabs>
        <w:overflowPunct w:val="0"/>
        <w:autoSpaceDE w:val="0"/>
        <w:autoSpaceDN w:val="0"/>
        <w:adjustRightInd w:val="0"/>
        <w:ind w:left="266" w:hanging="266"/>
        <w:rPr>
          <w:b/>
          <w:lang w:val="en-GB"/>
        </w:rPr>
      </w:pPr>
    </w:p>
    <w:p w14:paraId="252BFC0B" w14:textId="77777777" w:rsidR="00ED76AC" w:rsidRPr="003201C9" w:rsidRDefault="00ED76AC" w:rsidP="003201C9">
      <w:pPr>
        <w:keepNext/>
        <w:keepLines/>
        <w:tabs>
          <w:tab w:val="center" w:pos="284"/>
        </w:tabs>
        <w:overflowPunct w:val="0"/>
        <w:autoSpaceDE w:val="0"/>
        <w:autoSpaceDN w:val="0"/>
        <w:adjustRightInd w:val="0"/>
        <w:ind w:left="266" w:hanging="266"/>
        <w:rPr>
          <w:b/>
        </w:rPr>
      </w:pPr>
      <w:r w:rsidRPr="003201C9">
        <w:rPr>
          <w:b/>
        </w:rPr>
        <w:t>Kernaussagen</w:t>
      </w:r>
    </w:p>
    <w:p w14:paraId="2370EF24" w14:textId="77777777" w:rsidR="00ED76AC" w:rsidRPr="003201C9" w:rsidRDefault="00ED76AC" w:rsidP="003201C9">
      <w:pPr>
        <w:keepNext/>
        <w:keepLines/>
        <w:tabs>
          <w:tab w:val="center" w:pos="284"/>
        </w:tabs>
        <w:overflowPunct w:val="0"/>
        <w:autoSpaceDE w:val="0"/>
        <w:autoSpaceDN w:val="0"/>
        <w:adjustRightInd w:val="0"/>
        <w:ind w:left="266" w:hanging="266"/>
        <w:rPr>
          <w:b/>
          <w:lang w:val="en-GB"/>
        </w:rPr>
      </w:pPr>
    </w:p>
    <w:p w14:paraId="3E92F3F2" w14:textId="09C0E531" w:rsidR="00ED76AC" w:rsidRDefault="00ED76AC" w:rsidP="003201C9">
      <w:pPr>
        <w:overflowPunct w:val="0"/>
        <w:autoSpaceDE w:val="0"/>
        <w:autoSpaceDN w:val="0"/>
        <w:adjustRightInd w:val="0"/>
      </w:pPr>
      <w:r w:rsidRPr="003201C9">
        <w:t>Der EWSA</w:t>
      </w:r>
    </w:p>
    <w:p w14:paraId="48254F4F" w14:textId="77777777" w:rsidR="00AE1AFC" w:rsidRPr="003201C9" w:rsidRDefault="00AE1AFC" w:rsidP="003201C9">
      <w:pPr>
        <w:overflowPunct w:val="0"/>
        <w:autoSpaceDE w:val="0"/>
        <w:autoSpaceDN w:val="0"/>
        <w:adjustRightInd w:val="0"/>
        <w:rPr>
          <w:bCs/>
          <w:iCs/>
        </w:rPr>
      </w:pPr>
    </w:p>
    <w:p w14:paraId="26A569C6" w14:textId="77777777" w:rsidR="00ED76AC" w:rsidRPr="003201C9" w:rsidRDefault="00ED76AC" w:rsidP="00AE1AFC">
      <w:pPr>
        <w:widowControl w:val="0"/>
        <w:numPr>
          <w:ilvl w:val="0"/>
          <w:numId w:val="34"/>
        </w:numPr>
        <w:overflowPunct w:val="0"/>
        <w:autoSpaceDE w:val="0"/>
        <w:autoSpaceDN w:val="0"/>
        <w:adjustRightInd w:val="0"/>
        <w:ind w:left="709" w:hanging="425"/>
        <w:textAlignment w:val="baseline"/>
      </w:pPr>
      <w:r w:rsidRPr="003201C9">
        <w:rPr>
          <w:b/>
        </w:rPr>
        <w:t>anerkennt die entscheidende Rolle dauerhafter Werkstoffe</w:t>
      </w:r>
      <w:r w:rsidRPr="003201C9">
        <w:t xml:space="preserve"> für eine echte Kreislaufwirtschaft, insbesondere bei Verpackungen, und fordert </w:t>
      </w:r>
      <w:r w:rsidRPr="003201C9">
        <w:rPr>
          <w:b/>
        </w:rPr>
        <w:t>ihre ausdrückliche Anerkennung in den EU-Rechtsvorschriften</w:t>
      </w:r>
      <w:r w:rsidRPr="003201C9">
        <w:t>;</w:t>
      </w:r>
    </w:p>
    <w:p w14:paraId="32D7A91F" w14:textId="77777777" w:rsidR="00ED76AC" w:rsidRPr="003201C9" w:rsidRDefault="00ED76AC" w:rsidP="00AE1AFC">
      <w:pPr>
        <w:widowControl w:val="0"/>
        <w:numPr>
          <w:ilvl w:val="0"/>
          <w:numId w:val="34"/>
        </w:numPr>
        <w:overflowPunct w:val="0"/>
        <w:autoSpaceDE w:val="0"/>
        <w:autoSpaceDN w:val="0"/>
        <w:adjustRightInd w:val="0"/>
        <w:ind w:left="709" w:hanging="425"/>
        <w:textAlignment w:val="baseline"/>
      </w:pPr>
      <w:r w:rsidRPr="003201C9">
        <w:rPr>
          <w:b/>
        </w:rPr>
        <w:t>unterstützt das Ziel der EU, bei der getrennten Sammlung von Verpackungsabfällen bis 2030 einen Anteil von 90 % zu erreichen</w:t>
      </w:r>
      <w:r w:rsidRPr="003201C9">
        <w:t>, und betont, dass fortschrittliche und gut finanzierte Sammel-, Sortier- und hochwertige Recyclingsysteme unerlässlich sind, um möglichst viele Werkstoffe zu erhalten und ein geschlossenes Recycling für dauerhafte Werkstoffe zu ermöglichen;</w:t>
      </w:r>
    </w:p>
    <w:p w14:paraId="167FDC16" w14:textId="77777777" w:rsidR="00ED76AC" w:rsidRPr="003201C9" w:rsidRDefault="00ED76AC" w:rsidP="00AE1AFC">
      <w:pPr>
        <w:widowControl w:val="0"/>
        <w:numPr>
          <w:ilvl w:val="0"/>
          <w:numId w:val="34"/>
        </w:numPr>
        <w:overflowPunct w:val="0"/>
        <w:autoSpaceDE w:val="0"/>
        <w:autoSpaceDN w:val="0"/>
        <w:adjustRightInd w:val="0"/>
        <w:ind w:left="709" w:hanging="425"/>
        <w:textAlignment w:val="baseline"/>
      </w:pPr>
      <w:r w:rsidRPr="003201C9">
        <w:rPr>
          <w:b/>
        </w:rPr>
        <w:t>fordert die Stärkung und Harmonisierung der Systeme der erweiterten Herstellerverantwortung</w:t>
      </w:r>
      <w:r w:rsidRPr="003201C9">
        <w:t xml:space="preserve"> in allen Mitgliedstaaten. Dazu gehören die Durchsetzung </w:t>
      </w:r>
      <w:r w:rsidRPr="003201C9">
        <w:rPr>
          <w:b/>
        </w:rPr>
        <w:t>umweltbezogen gestaffelter Gebühren auf der Grundlage transparenter und kohärenter Kriterien</w:t>
      </w:r>
      <w:r w:rsidRPr="003201C9">
        <w:t xml:space="preserve">, verhältnismäßige Gebührenstrukturen und die </w:t>
      </w:r>
      <w:r w:rsidRPr="003201C9">
        <w:rPr>
          <w:b/>
        </w:rPr>
        <w:t>Zweckbindung der Einnahmen aus der erweiterten Herstellerverantwortung</w:t>
      </w:r>
      <w:r w:rsidRPr="003201C9">
        <w:t xml:space="preserve"> für Reinvestitionen in denselben Werkstoffstrom;</w:t>
      </w:r>
    </w:p>
    <w:p w14:paraId="422AF8F5" w14:textId="77777777" w:rsidR="00ED76AC" w:rsidRPr="003201C9" w:rsidRDefault="00ED76AC" w:rsidP="00AE1AFC">
      <w:pPr>
        <w:widowControl w:val="0"/>
        <w:numPr>
          <w:ilvl w:val="0"/>
          <w:numId w:val="34"/>
        </w:numPr>
        <w:overflowPunct w:val="0"/>
        <w:autoSpaceDE w:val="0"/>
        <w:autoSpaceDN w:val="0"/>
        <w:adjustRightInd w:val="0"/>
        <w:ind w:left="709" w:hanging="425"/>
        <w:textAlignment w:val="baseline"/>
      </w:pPr>
      <w:r w:rsidRPr="003201C9">
        <w:rPr>
          <w:b/>
        </w:rPr>
        <w:t>stellt fest, dass Investitionen</w:t>
      </w:r>
      <w:r w:rsidRPr="003201C9">
        <w:t xml:space="preserve"> in moderne Infrastrukturen für die getrennte Sammlung, die Sortierung und das Recycling von Verpackungsabfall </w:t>
      </w:r>
      <w:r w:rsidRPr="003201C9">
        <w:rPr>
          <w:b/>
        </w:rPr>
        <w:t>Vorrang haben müssen</w:t>
      </w:r>
      <w:r w:rsidRPr="003201C9">
        <w:t xml:space="preserve">; betont, dass sich die </w:t>
      </w:r>
      <w:r w:rsidRPr="003201C9">
        <w:rPr>
          <w:b/>
        </w:rPr>
        <w:t>zusätzliche Unterstützung auf weniger leistungsstarke Regionen oder Regionen mit begrenzter Investitionskapazität konzentrieren sollte</w:t>
      </w:r>
      <w:r w:rsidRPr="003201C9">
        <w:t>, um sicherzustellen, dass alle Mitgliedstaaten die Ziele der Kreislaufwirtschaft erreichen können;</w:t>
      </w:r>
    </w:p>
    <w:p w14:paraId="059D94FE" w14:textId="77777777" w:rsidR="00ED76AC" w:rsidRPr="003201C9" w:rsidRDefault="00ED76AC" w:rsidP="00AE1AFC">
      <w:pPr>
        <w:widowControl w:val="0"/>
        <w:numPr>
          <w:ilvl w:val="0"/>
          <w:numId w:val="34"/>
        </w:numPr>
        <w:overflowPunct w:val="0"/>
        <w:autoSpaceDE w:val="0"/>
        <w:autoSpaceDN w:val="0"/>
        <w:adjustRightInd w:val="0"/>
        <w:ind w:left="709" w:hanging="425"/>
        <w:textAlignment w:val="baseline"/>
      </w:pPr>
      <w:r w:rsidRPr="003201C9">
        <w:rPr>
          <w:b/>
        </w:rPr>
        <w:t>empfiehlt eine umfassende EU-weite Bewertung des Recyclingverhaltens der Bürgerinnen und Bürger</w:t>
      </w:r>
      <w:r w:rsidRPr="003201C9">
        <w:t>, um Lücken, Hindernisse und bewährte Verfahren zu ermitteln. Auf der Grundlage dieser Bewertung fordert der EWSA Maßnahmen zur stärkeren Beteiligung der Verbraucher an der getrennten Sammlung von Verpackungsabfällen und erkennt an, dass die Mülltrennung in den Haushalten der wesentliche erste Schritt für ein wirksames Recycling ist;</w:t>
      </w:r>
    </w:p>
    <w:p w14:paraId="09697A6A" w14:textId="77777777" w:rsidR="00ED76AC" w:rsidRPr="003201C9" w:rsidRDefault="00ED76AC" w:rsidP="00AE1AFC">
      <w:pPr>
        <w:widowControl w:val="0"/>
        <w:numPr>
          <w:ilvl w:val="0"/>
          <w:numId w:val="34"/>
        </w:numPr>
        <w:overflowPunct w:val="0"/>
        <w:autoSpaceDE w:val="0"/>
        <w:autoSpaceDN w:val="0"/>
        <w:adjustRightInd w:val="0"/>
        <w:ind w:left="709" w:hanging="425"/>
        <w:textAlignment w:val="baseline"/>
      </w:pPr>
      <w:r w:rsidRPr="003201C9">
        <w:rPr>
          <w:b/>
        </w:rPr>
        <w:t>betont die Bedeutung eines sozial nachhaltigen Übergangs</w:t>
      </w:r>
      <w:r w:rsidRPr="003201C9">
        <w:t xml:space="preserve"> zu einer Kreislaufwirtschaft und fordert nachdrücklich eine frühzeitige Antizipation der Auswirkungen auf den Arbeitsmarkt; fordert einen garantierten Zugang zu </w:t>
      </w:r>
      <w:r w:rsidRPr="003201C9">
        <w:rPr>
          <w:b/>
        </w:rPr>
        <w:t>Weiterbildungs- und Umschulungsmöglichkeiten</w:t>
      </w:r>
      <w:r w:rsidRPr="003201C9">
        <w:t>, um reibungslose Arbeitsplatzwechsel zu unterstützen, damit Arbeitnehmer in vollem Umfang an der entstehenden Kreislaufwirtschaft teilhaben und von ihr profitieren können;</w:t>
      </w:r>
    </w:p>
    <w:p w14:paraId="2E89F971" w14:textId="77777777" w:rsidR="00ED76AC" w:rsidRPr="003201C9" w:rsidRDefault="00ED76AC" w:rsidP="00AE1AFC">
      <w:pPr>
        <w:widowControl w:val="0"/>
        <w:numPr>
          <w:ilvl w:val="0"/>
          <w:numId w:val="34"/>
        </w:numPr>
        <w:overflowPunct w:val="0"/>
        <w:autoSpaceDE w:val="0"/>
        <w:autoSpaceDN w:val="0"/>
        <w:adjustRightInd w:val="0"/>
        <w:ind w:left="709" w:hanging="425"/>
        <w:textAlignment w:val="baseline"/>
      </w:pPr>
      <w:r w:rsidRPr="003201C9">
        <w:rPr>
          <w:b/>
        </w:rPr>
        <w:lastRenderedPageBreak/>
        <w:t>spricht sich für einen stärkeren sozialen Dialog und Tarifverhandlungen auf allen Ebenen aus</w:t>
      </w:r>
      <w:r w:rsidRPr="003201C9">
        <w:t>, und zwar auch in Unternehmen, um sicherzustellen, dass die Arbeitnehmer informiert, konsultiert und in die Umstellung auf kreislauforientierte Geschäftsmodelle einbezogen werden.</w:t>
      </w:r>
    </w:p>
    <w:p w14:paraId="7E334215" w14:textId="77777777" w:rsidR="00ED76AC" w:rsidRPr="003201C9" w:rsidRDefault="00ED76AC" w:rsidP="003201C9">
      <w:pPr>
        <w:ind w:left="284" w:hanging="284"/>
        <w:rPr>
          <w:lang w:eastAsia="en-GB"/>
        </w:rPr>
      </w:pPr>
    </w:p>
    <w:tbl>
      <w:tblPr>
        <w:tblStyle w:val="TableGrid17"/>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4"/>
        <w:gridCol w:w="7195"/>
      </w:tblGrid>
      <w:tr w:rsidR="00ED76AC" w:rsidRPr="003201C9" w14:paraId="412ADC26" w14:textId="77777777" w:rsidTr="00AE1AFC">
        <w:tc>
          <w:tcPr>
            <w:tcW w:w="1127" w:type="pct"/>
            <w:hideMark/>
          </w:tcPr>
          <w:p w14:paraId="0F7B1E43" w14:textId="77777777" w:rsidR="00ED76AC" w:rsidRPr="003201C9" w:rsidRDefault="00ED76AC" w:rsidP="003201C9">
            <w:pPr>
              <w:overflowPunct w:val="0"/>
              <w:autoSpaceDE w:val="0"/>
              <w:autoSpaceDN w:val="0"/>
              <w:adjustRightInd w:val="0"/>
              <w:rPr>
                <w:i/>
                <w:sz w:val="22"/>
                <w:szCs w:val="22"/>
              </w:rPr>
            </w:pPr>
            <w:r w:rsidRPr="003201C9">
              <w:rPr>
                <w:b/>
                <w:i/>
                <w:sz w:val="22"/>
                <w:szCs w:val="22"/>
              </w:rPr>
              <w:t>Kontakt</w:t>
            </w:r>
          </w:p>
        </w:tc>
        <w:tc>
          <w:tcPr>
            <w:tcW w:w="3873" w:type="pct"/>
            <w:hideMark/>
          </w:tcPr>
          <w:p w14:paraId="0144A2EC" w14:textId="10811451" w:rsidR="00ED76AC" w:rsidRPr="003201C9" w:rsidRDefault="00ED76AC" w:rsidP="003201C9">
            <w:pPr>
              <w:overflowPunct w:val="0"/>
              <w:autoSpaceDE w:val="0"/>
              <w:autoSpaceDN w:val="0"/>
              <w:adjustRightInd w:val="0"/>
              <w:rPr>
                <w:i/>
                <w:sz w:val="22"/>
                <w:szCs w:val="22"/>
              </w:rPr>
            </w:pPr>
            <w:r w:rsidRPr="003201C9">
              <w:rPr>
                <w:i/>
                <w:sz w:val="22"/>
                <w:szCs w:val="22"/>
              </w:rPr>
              <w:t xml:space="preserve">Adam </w:t>
            </w:r>
            <w:proofErr w:type="spellStart"/>
            <w:r w:rsidRPr="003201C9">
              <w:rPr>
                <w:i/>
                <w:sz w:val="22"/>
                <w:szCs w:val="22"/>
              </w:rPr>
              <w:t>Dorywalski</w:t>
            </w:r>
            <w:proofErr w:type="spellEnd"/>
          </w:p>
        </w:tc>
      </w:tr>
      <w:tr w:rsidR="00ED76AC" w:rsidRPr="003201C9" w14:paraId="7414D71C" w14:textId="77777777" w:rsidTr="00AE1AFC">
        <w:tc>
          <w:tcPr>
            <w:tcW w:w="1127" w:type="pct"/>
            <w:hideMark/>
          </w:tcPr>
          <w:p w14:paraId="244C8249" w14:textId="77777777" w:rsidR="00ED76AC" w:rsidRPr="003201C9" w:rsidRDefault="00ED76AC" w:rsidP="003201C9">
            <w:pPr>
              <w:overflowPunct w:val="0"/>
              <w:autoSpaceDE w:val="0"/>
              <w:autoSpaceDN w:val="0"/>
              <w:adjustRightInd w:val="0"/>
              <w:rPr>
                <w:i/>
                <w:sz w:val="22"/>
                <w:szCs w:val="22"/>
              </w:rPr>
            </w:pPr>
            <w:r w:rsidRPr="003201C9">
              <w:rPr>
                <w:i/>
                <w:sz w:val="22"/>
                <w:szCs w:val="22"/>
              </w:rPr>
              <w:t>Tel.</w:t>
            </w:r>
          </w:p>
        </w:tc>
        <w:tc>
          <w:tcPr>
            <w:tcW w:w="3873" w:type="pct"/>
            <w:hideMark/>
          </w:tcPr>
          <w:p w14:paraId="262EFFB7" w14:textId="66B13D8A" w:rsidR="00ED76AC" w:rsidRPr="003201C9" w:rsidRDefault="00ED76AC" w:rsidP="003201C9">
            <w:pPr>
              <w:overflowPunct w:val="0"/>
              <w:autoSpaceDE w:val="0"/>
              <w:autoSpaceDN w:val="0"/>
              <w:adjustRightInd w:val="0"/>
              <w:rPr>
                <w:i/>
                <w:sz w:val="22"/>
                <w:szCs w:val="22"/>
              </w:rPr>
            </w:pPr>
            <w:r w:rsidRPr="003201C9">
              <w:rPr>
                <w:i/>
                <w:sz w:val="22"/>
                <w:szCs w:val="22"/>
              </w:rPr>
              <w:t>+32 25469397</w:t>
            </w:r>
          </w:p>
        </w:tc>
      </w:tr>
      <w:tr w:rsidR="00ED76AC" w:rsidRPr="003201C9" w14:paraId="760698CC" w14:textId="77777777" w:rsidTr="00AE1AFC">
        <w:tc>
          <w:tcPr>
            <w:tcW w:w="1127" w:type="pct"/>
            <w:hideMark/>
          </w:tcPr>
          <w:p w14:paraId="5E8D3FE3" w14:textId="77777777" w:rsidR="00ED76AC" w:rsidRPr="003201C9" w:rsidRDefault="00ED76AC" w:rsidP="003201C9">
            <w:pPr>
              <w:overflowPunct w:val="0"/>
              <w:autoSpaceDE w:val="0"/>
              <w:autoSpaceDN w:val="0"/>
              <w:adjustRightInd w:val="0"/>
              <w:rPr>
                <w:i/>
                <w:sz w:val="22"/>
                <w:szCs w:val="22"/>
              </w:rPr>
            </w:pPr>
            <w:r w:rsidRPr="003201C9">
              <w:rPr>
                <w:i/>
                <w:sz w:val="22"/>
                <w:szCs w:val="22"/>
              </w:rPr>
              <w:t>E-Mail</w:t>
            </w:r>
          </w:p>
        </w:tc>
        <w:tc>
          <w:tcPr>
            <w:tcW w:w="3873" w:type="pct"/>
            <w:hideMark/>
          </w:tcPr>
          <w:p w14:paraId="6BD8C4E6" w14:textId="77777777" w:rsidR="00ED76AC" w:rsidRPr="003201C9" w:rsidRDefault="000055E5" w:rsidP="003201C9">
            <w:pPr>
              <w:overflowPunct w:val="0"/>
              <w:autoSpaceDE w:val="0"/>
              <w:autoSpaceDN w:val="0"/>
              <w:adjustRightInd w:val="0"/>
              <w:rPr>
                <w:i/>
                <w:sz w:val="22"/>
                <w:szCs w:val="22"/>
              </w:rPr>
            </w:pPr>
            <w:hyperlink r:id="rId52" w:history="1">
              <w:r w:rsidR="00F74BC3" w:rsidRPr="003201C9">
                <w:rPr>
                  <w:i/>
                  <w:color w:val="0000FF"/>
                  <w:sz w:val="22"/>
                  <w:szCs w:val="22"/>
                  <w:u w:val="single"/>
                </w:rPr>
                <w:t>Adam.Dorywalski@eesc.europa.eu</w:t>
              </w:r>
            </w:hyperlink>
          </w:p>
        </w:tc>
      </w:tr>
    </w:tbl>
    <w:p w14:paraId="0FA13A3E" w14:textId="309D4ADD" w:rsidR="00ED76AC" w:rsidRPr="003201C9" w:rsidRDefault="00ED76AC" w:rsidP="003201C9">
      <w:pPr>
        <w:jc w:val="left"/>
      </w:pPr>
    </w:p>
    <w:p w14:paraId="1D4DBE8E" w14:textId="77777777" w:rsidR="00ED76AC" w:rsidRDefault="00ED76AC" w:rsidP="003201C9">
      <w:pPr>
        <w:jc w:val="left"/>
      </w:pPr>
      <w:r>
        <w:br w:type="page"/>
      </w:r>
    </w:p>
    <w:p w14:paraId="1EC58FCD" w14:textId="735BFB6C" w:rsidR="009F1AE3" w:rsidRPr="009F1AE3" w:rsidRDefault="000055E5" w:rsidP="003201C9">
      <w:pPr>
        <w:widowControl w:val="0"/>
        <w:numPr>
          <w:ilvl w:val="0"/>
          <w:numId w:val="4"/>
        </w:numPr>
        <w:overflowPunct w:val="0"/>
        <w:autoSpaceDE w:val="0"/>
        <w:autoSpaceDN w:val="0"/>
        <w:adjustRightInd w:val="0"/>
        <w:ind w:hanging="567"/>
        <w:textAlignment w:val="baseline"/>
        <w:rPr>
          <w:sz w:val="20"/>
          <w:szCs w:val="20"/>
        </w:rPr>
      </w:pPr>
      <w:hyperlink r:id="rId53" w:history="1">
        <w:r w:rsidR="009F1AE3">
          <w:rPr>
            <w:b/>
            <w:i/>
            <w:color w:val="0000FF"/>
            <w:sz w:val="28"/>
            <w:u w:val="single"/>
          </w:rPr>
          <w:t>Gewerbliche Genossenschaften: ein Werkzeug für die Bewältigung der Herausforderung inklusiver und nachhaltiger Wettbewerbsfähigkeit</w:t>
        </w:r>
      </w:hyperlink>
      <w:r w:rsidR="009F1AE3">
        <w:rPr>
          <w:b/>
          <w:i/>
          <w:sz w:val="28"/>
        </w:rPr>
        <w:t xml:space="preserve"> </w:t>
      </w:r>
    </w:p>
    <w:p w14:paraId="1C2A6159" w14:textId="77777777" w:rsidR="009F1AE3" w:rsidRPr="003201C9" w:rsidRDefault="009F1AE3" w:rsidP="003201C9">
      <w:pPr>
        <w:tabs>
          <w:tab w:val="center" w:pos="284"/>
        </w:tabs>
        <w:overflowPunct w:val="0"/>
        <w:autoSpaceDE w:val="0"/>
        <w:autoSpaceDN w:val="0"/>
        <w:adjustRightInd w:val="0"/>
        <w:ind w:left="266" w:hanging="266"/>
        <w:textAlignment w:val="baseline"/>
        <w:rPr>
          <w:b/>
        </w:rPr>
      </w:pPr>
    </w:p>
    <w:tbl>
      <w:tblPr>
        <w:tblStyle w:val="TableGrid1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0"/>
        <w:gridCol w:w="7179"/>
      </w:tblGrid>
      <w:tr w:rsidR="009F1AE3" w:rsidRPr="003201C9" w14:paraId="0D01F4D7" w14:textId="77777777" w:rsidTr="007C5DD5">
        <w:tc>
          <w:tcPr>
            <w:tcW w:w="1077" w:type="pct"/>
          </w:tcPr>
          <w:p w14:paraId="20E55DD0" w14:textId="77777777" w:rsidR="009F1AE3" w:rsidRPr="003201C9" w:rsidRDefault="009F1AE3" w:rsidP="003201C9">
            <w:pPr>
              <w:tabs>
                <w:tab w:val="center" w:pos="284"/>
              </w:tabs>
              <w:overflowPunct w:val="0"/>
              <w:autoSpaceDE w:val="0"/>
              <w:autoSpaceDN w:val="0"/>
              <w:adjustRightInd w:val="0"/>
              <w:ind w:left="266" w:hanging="266"/>
              <w:textAlignment w:val="baseline"/>
              <w:rPr>
                <w:b/>
                <w:sz w:val="22"/>
                <w:szCs w:val="22"/>
              </w:rPr>
            </w:pPr>
            <w:r w:rsidRPr="003201C9">
              <w:rPr>
                <w:b/>
                <w:sz w:val="22"/>
                <w:szCs w:val="22"/>
              </w:rPr>
              <w:t>Berichterstatter</w:t>
            </w:r>
          </w:p>
        </w:tc>
        <w:tc>
          <w:tcPr>
            <w:tcW w:w="3923" w:type="pct"/>
          </w:tcPr>
          <w:p w14:paraId="1A4CBD2C" w14:textId="77777777" w:rsidR="009F1AE3" w:rsidRPr="003201C9" w:rsidRDefault="009F1AE3" w:rsidP="003201C9">
            <w:pPr>
              <w:tabs>
                <w:tab w:val="center" w:pos="284"/>
              </w:tabs>
              <w:overflowPunct w:val="0"/>
              <w:autoSpaceDE w:val="0"/>
              <w:autoSpaceDN w:val="0"/>
              <w:adjustRightInd w:val="0"/>
              <w:ind w:left="266" w:right="-3091" w:hanging="266"/>
              <w:textAlignment w:val="baseline"/>
              <w:rPr>
                <w:sz w:val="22"/>
                <w:szCs w:val="22"/>
              </w:rPr>
            </w:pPr>
            <w:r w:rsidRPr="003201C9">
              <w:rPr>
                <w:sz w:val="22"/>
                <w:szCs w:val="22"/>
              </w:rPr>
              <w:t>Giuseppe GUERINI (Gruppe Organisationen der Zivilgesellschaft – IT)</w:t>
            </w:r>
          </w:p>
        </w:tc>
      </w:tr>
      <w:tr w:rsidR="009F1AE3" w:rsidRPr="003201C9" w14:paraId="33F2C2EB" w14:textId="77777777" w:rsidTr="007C5DD5">
        <w:tc>
          <w:tcPr>
            <w:tcW w:w="1077" w:type="pct"/>
          </w:tcPr>
          <w:p w14:paraId="1F1A83E5" w14:textId="77777777" w:rsidR="009F1AE3" w:rsidRPr="003201C9" w:rsidRDefault="009F1AE3" w:rsidP="003201C9">
            <w:pPr>
              <w:tabs>
                <w:tab w:val="center" w:pos="284"/>
              </w:tabs>
              <w:overflowPunct w:val="0"/>
              <w:autoSpaceDE w:val="0"/>
              <w:autoSpaceDN w:val="0"/>
              <w:adjustRightInd w:val="0"/>
              <w:ind w:left="266" w:hanging="266"/>
              <w:textAlignment w:val="baseline"/>
              <w:rPr>
                <w:b/>
                <w:sz w:val="22"/>
                <w:szCs w:val="22"/>
              </w:rPr>
            </w:pPr>
            <w:r w:rsidRPr="003201C9">
              <w:rPr>
                <w:b/>
                <w:sz w:val="22"/>
                <w:szCs w:val="22"/>
              </w:rPr>
              <w:t>Ko-Berichterstatter</w:t>
            </w:r>
          </w:p>
        </w:tc>
        <w:tc>
          <w:tcPr>
            <w:tcW w:w="3923" w:type="pct"/>
          </w:tcPr>
          <w:p w14:paraId="33B4BB5B" w14:textId="77777777" w:rsidR="009F1AE3" w:rsidRPr="003201C9" w:rsidRDefault="009F1AE3" w:rsidP="003201C9">
            <w:pPr>
              <w:tabs>
                <w:tab w:val="center" w:pos="284"/>
              </w:tabs>
              <w:overflowPunct w:val="0"/>
              <w:autoSpaceDE w:val="0"/>
              <w:autoSpaceDN w:val="0"/>
              <w:adjustRightInd w:val="0"/>
              <w:ind w:left="266" w:right="-3091" w:hanging="266"/>
              <w:textAlignment w:val="baseline"/>
              <w:rPr>
                <w:sz w:val="22"/>
                <w:szCs w:val="22"/>
              </w:rPr>
            </w:pPr>
            <w:r w:rsidRPr="003201C9">
              <w:rPr>
                <w:sz w:val="22"/>
                <w:szCs w:val="22"/>
              </w:rPr>
              <w:t>Michal PINTÉR (Gruppe Arbeitgeber – SK)</w:t>
            </w:r>
          </w:p>
          <w:p w14:paraId="5742ACF9" w14:textId="77777777" w:rsidR="005A2512" w:rsidRPr="00AE1AFC" w:rsidRDefault="005A2512" w:rsidP="003201C9">
            <w:pPr>
              <w:tabs>
                <w:tab w:val="center" w:pos="284"/>
              </w:tabs>
              <w:overflowPunct w:val="0"/>
              <w:autoSpaceDE w:val="0"/>
              <w:autoSpaceDN w:val="0"/>
              <w:adjustRightInd w:val="0"/>
              <w:ind w:left="266" w:right="-3091" w:hanging="266"/>
              <w:textAlignment w:val="baseline"/>
              <w:rPr>
                <w:sz w:val="12"/>
                <w:szCs w:val="12"/>
              </w:rPr>
            </w:pPr>
          </w:p>
        </w:tc>
      </w:tr>
      <w:tr w:rsidR="009F1AE3" w:rsidRPr="003201C9" w14:paraId="7859888A" w14:textId="77777777" w:rsidTr="007C5DD5">
        <w:tc>
          <w:tcPr>
            <w:tcW w:w="1077" w:type="pct"/>
          </w:tcPr>
          <w:p w14:paraId="032C91E2" w14:textId="77777777" w:rsidR="009F1AE3" w:rsidRPr="003201C9" w:rsidRDefault="009F1AE3" w:rsidP="003201C9">
            <w:pPr>
              <w:tabs>
                <w:tab w:val="center" w:pos="284"/>
              </w:tabs>
              <w:overflowPunct w:val="0"/>
              <w:autoSpaceDE w:val="0"/>
              <w:autoSpaceDN w:val="0"/>
              <w:adjustRightInd w:val="0"/>
              <w:ind w:left="266" w:hanging="266"/>
              <w:textAlignment w:val="baseline"/>
              <w:rPr>
                <w:b/>
                <w:sz w:val="22"/>
                <w:szCs w:val="22"/>
              </w:rPr>
            </w:pPr>
            <w:r w:rsidRPr="003201C9">
              <w:rPr>
                <w:b/>
                <w:sz w:val="22"/>
                <w:szCs w:val="22"/>
              </w:rPr>
              <w:t>Referenzdokumente</w:t>
            </w:r>
          </w:p>
        </w:tc>
        <w:tc>
          <w:tcPr>
            <w:tcW w:w="3923" w:type="pct"/>
          </w:tcPr>
          <w:p w14:paraId="0B0CF888" w14:textId="0BC5D656" w:rsidR="005A2512" w:rsidRPr="003201C9" w:rsidRDefault="005A2512" w:rsidP="003201C9">
            <w:pPr>
              <w:tabs>
                <w:tab w:val="center" w:pos="284"/>
              </w:tabs>
              <w:overflowPunct w:val="0"/>
              <w:autoSpaceDE w:val="0"/>
              <w:autoSpaceDN w:val="0"/>
              <w:adjustRightInd w:val="0"/>
              <w:ind w:left="266" w:right="-3091" w:hanging="266"/>
              <w:textAlignment w:val="baseline"/>
              <w:rPr>
                <w:sz w:val="22"/>
                <w:szCs w:val="22"/>
              </w:rPr>
            </w:pPr>
            <w:r w:rsidRPr="003201C9">
              <w:rPr>
                <w:sz w:val="22"/>
                <w:szCs w:val="22"/>
              </w:rPr>
              <w:t>Initiativstellungnahme</w:t>
            </w:r>
          </w:p>
          <w:p w14:paraId="5FE53CC7" w14:textId="075CB809" w:rsidR="009F1AE3" w:rsidRPr="003201C9" w:rsidRDefault="009F1AE3" w:rsidP="003201C9">
            <w:pPr>
              <w:tabs>
                <w:tab w:val="center" w:pos="284"/>
              </w:tabs>
              <w:overflowPunct w:val="0"/>
              <w:autoSpaceDE w:val="0"/>
              <w:autoSpaceDN w:val="0"/>
              <w:adjustRightInd w:val="0"/>
              <w:ind w:left="266" w:right="-3091" w:hanging="266"/>
              <w:textAlignment w:val="baseline"/>
              <w:rPr>
                <w:sz w:val="22"/>
                <w:szCs w:val="22"/>
              </w:rPr>
            </w:pPr>
            <w:r w:rsidRPr="003201C9">
              <w:rPr>
                <w:sz w:val="22"/>
                <w:szCs w:val="22"/>
              </w:rPr>
              <w:t>EESC-2025-01083-00-00-AC</w:t>
            </w:r>
          </w:p>
        </w:tc>
      </w:tr>
    </w:tbl>
    <w:p w14:paraId="1DD81CB5" w14:textId="77777777" w:rsidR="009F1AE3" w:rsidRPr="00AE1AFC" w:rsidRDefault="009F1AE3" w:rsidP="003201C9">
      <w:pPr>
        <w:tabs>
          <w:tab w:val="center" w:pos="284"/>
        </w:tabs>
        <w:overflowPunct w:val="0"/>
        <w:autoSpaceDE w:val="0"/>
        <w:autoSpaceDN w:val="0"/>
        <w:adjustRightInd w:val="0"/>
        <w:ind w:left="266" w:hanging="266"/>
        <w:textAlignment w:val="baseline"/>
        <w:rPr>
          <w:b/>
          <w:sz w:val="20"/>
          <w:szCs w:val="20"/>
          <w:lang w:val="en-GB"/>
        </w:rPr>
      </w:pPr>
    </w:p>
    <w:p w14:paraId="06D207ED" w14:textId="77777777" w:rsidR="009F1AE3" w:rsidRPr="003201C9" w:rsidRDefault="009F1AE3" w:rsidP="003201C9">
      <w:pPr>
        <w:keepNext/>
        <w:keepLines/>
        <w:tabs>
          <w:tab w:val="center" w:pos="284"/>
        </w:tabs>
        <w:overflowPunct w:val="0"/>
        <w:autoSpaceDE w:val="0"/>
        <w:autoSpaceDN w:val="0"/>
        <w:adjustRightInd w:val="0"/>
        <w:ind w:left="266" w:hanging="266"/>
        <w:textAlignment w:val="baseline"/>
        <w:rPr>
          <w:b/>
        </w:rPr>
      </w:pPr>
      <w:r w:rsidRPr="003201C9">
        <w:rPr>
          <w:b/>
        </w:rPr>
        <w:t>Kernaussagen</w:t>
      </w:r>
    </w:p>
    <w:p w14:paraId="4286BD1B" w14:textId="77777777" w:rsidR="009F1AE3" w:rsidRPr="00AE1AFC" w:rsidRDefault="009F1AE3" w:rsidP="003201C9">
      <w:pPr>
        <w:keepNext/>
        <w:keepLines/>
        <w:tabs>
          <w:tab w:val="center" w:pos="284"/>
        </w:tabs>
        <w:overflowPunct w:val="0"/>
        <w:autoSpaceDE w:val="0"/>
        <w:autoSpaceDN w:val="0"/>
        <w:adjustRightInd w:val="0"/>
        <w:ind w:left="266" w:hanging="266"/>
        <w:textAlignment w:val="baseline"/>
        <w:rPr>
          <w:b/>
          <w:sz w:val="20"/>
          <w:szCs w:val="20"/>
          <w:lang w:val="en-GB"/>
        </w:rPr>
      </w:pPr>
    </w:p>
    <w:p w14:paraId="46117C84" w14:textId="77777777" w:rsidR="009F1AE3" w:rsidRPr="003201C9" w:rsidRDefault="009F1AE3" w:rsidP="003201C9">
      <w:pPr>
        <w:overflowPunct w:val="0"/>
        <w:autoSpaceDE w:val="0"/>
        <w:autoSpaceDN w:val="0"/>
        <w:adjustRightInd w:val="0"/>
        <w:textAlignment w:val="baseline"/>
        <w:rPr>
          <w:bCs/>
          <w:iCs/>
        </w:rPr>
      </w:pPr>
      <w:r w:rsidRPr="003201C9">
        <w:t>Der EWSA</w:t>
      </w:r>
    </w:p>
    <w:p w14:paraId="6845B3DF" w14:textId="77777777" w:rsidR="007B326F" w:rsidRPr="00AE1AFC" w:rsidRDefault="007B326F" w:rsidP="003201C9">
      <w:pPr>
        <w:overflowPunct w:val="0"/>
        <w:autoSpaceDE w:val="0"/>
        <w:autoSpaceDN w:val="0"/>
        <w:adjustRightInd w:val="0"/>
        <w:textAlignment w:val="baseline"/>
        <w:rPr>
          <w:bCs/>
          <w:iCs/>
          <w:sz w:val="20"/>
          <w:szCs w:val="20"/>
          <w:lang w:val="en-GB"/>
        </w:rPr>
      </w:pPr>
    </w:p>
    <w:p w14:paraId="27E2A746" w14:textId="77777777" w:rsidR="009F1AE3" w:rsidRPr="003201C9" w:rsidRDefault="009F1AE3" w:rsidP="00AE1AFC">
      <w:pPr>
        <w:widowControl w:val="0"/>
        <w:numPr>
          <w:ilvl w:val="0"/>
          <w:numId w:val="35"/>
        </w:numPr>
        <w:overflowPunct w:val="0"/>
        <w:autoSpaceDE w:val="0"/>
        <w:autoSpaceDN w:val="0"/>
        <w:adjustRightInd w:val="0"/>
        <w:ind w:left="709" w:hanging="425"/>
        <w:textAlignment w:val="baseline"/>
        <w:rPr>
          <w:bCs/>
          <w:iCs/>
        </w:rPr>
      </w:pPr>
      <w:r w:rsidRPr="003201C9">
        <w:t xml:space="preserve">weist darauf hin, dass die Vereinten Nationen das Jahr 2025 zum Internationalen Jahr der Genossenschaften erklärt und </w:t>
      </w:r>
      <w:proofErr w:type="spellStart"/>
      <w:r w:rsidRPr="003201C9">
        <w:t>Cooperatives</w:t>
      </w:r>
      <w:proofErr w:type="spellEnd"/>
      <w:r w:rsidRPr="003201C9">
        <w:t xml:space="preserve"> </w:t>
      </w:r>
      <w:proofErr w:type="spellStart"/>
      <w:r w:rsidRPr="003201C9">
        <w:t>Build</w:t>
      </w:r>
      <w:proofErr w:type="spellEnd"/>
      <w:r w:rsidRPr="003201C9">
        <w:t xml:space="preserve"> a </w:t>
      </w:r>
      <w:proofErr w:type="spellStart"/>
      <w:r w:rsidRPr="003201C9">
        <w:t>Better</w:t>
      </w:r>
      <w:proofErr w:type="spellEnd"/>
      <w:r w:rsidRPr="003201C9">
        <w:t xml:space="preserve"> World (Genossenschaften schaffen eine bessere Welt) als Motto für dieses Themenjahr gewählt haben. Dies ist ein Beleg für die wachsende internationale Wertschätzung für die Genossenschaften in allen Branchen;</w:t>
      </w:r>
    </w:p>
    <w:p w14:paraId="3D3801AB" w14:textId="77777777" w:rsidR="009F1AE3" w:rsidRPr="003201C9" w:rsidRDefault="009F1AE3" w:rsidP="00AE1AFC">
      <w:pPr>
        <w:widowControl w:val="0"/>
        <w:numPr>
          <w:ilvl w:val="0"/>
          <w:numId w:val="35"/>
        </w:numPr>
        <w:overflowPunct w:val="0"/>
        <w:autoSpaceDE w:val="0"/>
        <w:autoSpaceDN w:val="0"/>
        <w:adjustRightInd w:val="0"/>
        <w:ind w:left="709" w:hanging="425"/>
        <w:textAlignment w:val="baseline"/>
        <w:rPr>
          <w:bCs/>
          <w:iCs/>
        </w:rPr>
      </w:pPr>
      <w:r w:rsidRPr="003201C9">
        <w:t>empfiehlt, Wissen über genossenschaftliches Unternehmertum in die allgemeine unternehmerische und berufliche Bildung aufzunehmen, u. a. durch Sensibilisierungskampagnen und Workshops für Finanzinstitute und Chancen im Rahmen von Erasmus+;</w:t>
      </w:r>
    </w:p>
    <w:p w14:paraId="28A4E3C6" w14:textId="77777777" w:rsidR="009F1AE3" w:rsidRPr="003201C9" w:rsidRDefault="009F1AE3" w:rsidP="00AE1AFC">
      <w:pPr>
        <w:widowControl w:val="0"/>
        <w:numPr>
          <w:ilvl w:val="0"/>
          <w:numId w:val="35"/>
        </w:numPr>
        <w:overflowPunct w:val="0"/>
        <w:autoSpaceDE w:val="0"/>
        <w:autoSpaceDN w:val="0"/>
        <w:adjustRightInd w:val="0"/>
        <w:ind w:left="709" w:hanging="425"/>
        <w:textAlignment w:val="baseline"/>
        <w:rPr>
          <w:bCs/>
          <w:iCs/>
        </w:rPr>
      </w:pPr>
      <w:r w:rsidRPr="003201C9">
        <w:t>hält es für wichtig, Genossenschaften bei Start-up-Unternehmen und Jungunternehmern zu fördern;</w:t>
      </w:r>
    </w:p>
    <w:p w14:paraId="58C2F6EC" w14:textId="77777777" w:rsidR="009F1AE3" w:rsidRPr="003201C9" w:rsidRDefault="009F1AE3" w:rsidP="00AE1AFC">
      <w:pPr>
        <w:widowControl w:val="0"/>
        <w:numPr>
          <w:ilvl w:val="0"/>
          <w:numId w:val="35"/>
        </w:numPr>
        <w:overflowPunct w:val="0"/>
        <w:autoSpaceDE w:val="0"/>
        <w:autoSpaceDN w:val="0"/>
        <w:adjustRightInd w:val="0"/>
        <w:ind w:left="709" w:hanging="425"/>
        <w:textAlignment w:val="baseline"/>
        <w:rPr>
          <w:bCs/>
          <w:iCs/>
        </w:rPr>
      </w:pPr>
      <w:r w:rsidRPr="003201C9">
        <w:t>fordert die Anerkennung gewerblicher Genossenschaften als wichtige Triebkräfte der Wirtschaft und gezielte finanzielle Anreize der EU, Mitgliedstaaten und Regionen (Steuervergünstigungen, Zuschüsse, zinsgünstige Finanzierung) für Industriesymbiosen und Kreislaufwirtschaft;</w:t>
      </w:r>
    </w:p>
    <w:p w14:paraId="4A87AD53" w14:textId="77777777" w:rsidR="009F1AE3" w:rsidRPr="003201C9" w:rsidRDefault="009F1AE3" w:rsidP="00AE1AFC">
      <w:pPr>
        <w:widowControl w:val="0"/>
        <w:numPr>
          <w:ilvl w:val="0"/>
          <w:numId w:val="35"/>
        </w:numPr>
        <w:overflowPunct w:val="0"/>
        <w:autoSpaceDE w:val="0"/>
        <w:autoSpaceDN w:val="0"/>
        <w:adjustRightInd w:val="0"/>
        <w:ind w:left="709" w:hanging="425"/>
        <w:textAlignment w:val="baseline"/>
        <w:rPr>
          <w:bCs/>
          <w:iCs/>
        </w:rPr>
      </w:pPr>
      <w:r w:rsidRPr="003201C9">
        <w:t>empfiehlt Investitionen in gemeinsame Gewerbegebiete, Öko-Industriegebiete und genossenschaftliche Plattformen für den Wissensaustausch, damit Genossenschaften günstige Bedingungen für die Ansiedlung und die nachhaltige industrielle Produktion vorfinden;</w:t>
      </w:r>
    </w:p>
    <w:p w14:paraId="52113114" w14:textId="77777777" w:rsidR="009F1AE3" w:rsidRPr="003201C9" w:rsidRDefault="009F1AE3" w:rsidP="00AE1AFC">
      <w:pPr>
        <w:widowControl w:val="0"/>
        <w:numPr>
          <w:ilvl w:val="0"/>
          <w:numId w:val="35"/>
        </w:numPr>
        <w:overflowPunct w:val="0"/>
        <w:autoSpaceDE w:val="0"/>
        <w:autoSpaceDN w:val="0"/>
        <w:adjustRightInd w:val="0"/>
        <w:ind w:left="709" w:hanging="425"/>
        <w:textAlignment w:val="baseline"/>
        <w:rPr>
          <w:bCs/>
          <w:iCs/>
        </w:rPr>
      </w:pPr>
      <w:r w:rsidRPr="003201C9">
        <w:t>fordert die Aufnahme genossenschaftsspezifischer politischer Maßnahmen in die kohäsionspolitischen Programme der EU und in die regionalen Entwicklungspläne, wobei genossenschaftlichen Initiativen zur Stärkung der regionalen Resilienz und Nachhaltigkeit Vorrang einzuräumen ist;</w:t>
      </w:r>
    </w:p>
    <w:p w14:paraId="7894A3A1" w14:textId="77777777" w:rsidR="009F1AE3" w:rsidRPr="003201C9" w:rsidRDefault="009F1AE3" w:rsidP="00AE1AFC">
      <w:pPr>
        <w:widowControl w:val="0"/>
        <w:numPr>
          <w:ilvl w:val="0"/>
          <w:numId w:val="35"/>
        </w:numPr>
        <w:overflowPunct w:val="0"/>
        <w:autoSpaceDE w:val="0"/>
        <w:autoSpaceDN w:val="0"/>
        <w:adjustRightInd w:val="0"/>
        <w:ind w:left="709" w:hanging="425"/>
        <w:textAlignment w:val="baseline"/>
        <w:rPr>
          <w:bCs/>
          <w:iCs/>
        </w:rPr>
      </w:pPr>
      <w:r w:rsidRPr="003201C9">
        <w:t>verweist auf die wachsende strategische Bedeutung datenbasierter Genossenschaften und fordert die EU und die Mitgliedstaaten auf, genossenschaftliche Initiativen für die Verwaltung und den Austausch von Daten zu unterstützen;</w:t>
      </w:r>
    </w:p>
    <w:p w14:paraId="79564FBF" w14:textId="2AC94D21" w:rsidR="009F1AE3" w:rsidRPr="003201C9" w:rsidRDefault="009F1AE3" w:rsidP="00AE1AFC">
      <w:pPr>
        <w:widowControl w:val="0"/>
        <w:numPr>
          <w:ilvl w:val="0"/>
          <w:numId w:val="35"/>
        </w:numPr>
        <w:overflowPunct w:val="0"/>
        <w:autoSpaceDE w:val="0"/>
        <w:autoSpaceDN w:val="0"/>
        <w:adjustRightInd w:val="0"/>
        <w:ind w:left="709" w:hanging="425"/>
        <w:textAlignment w:val="baseline"/>
        <w:rPr>
          <w:bCs/>
          <w:iCs/>
        </w:rPr>
      </w:pPr>
      <w:r w:rsidRPr="003201C9">
        <w:t>hebt den deutlichen Mehrwert des genossenschaftlichen Modells hervor, da damit demokratische Unternehmensführung, die gerechte Verteilung des Wohlstands und ein starkes gemeinschaftliches Engagement sowie eine ausgeprägte Anpassungsfähigkeit gefördert werden, was die strategische Autonomie der EU stärkt.</w:t>
      </w:r>
    </w:p>
    <w:p w14:paraId="12471B63" w14:textId="77777777" w:rsidR="009F1AE3" w:rsidRPr="00AE1AFC" w:rsidRDefault="009F1AE3" w:rsidP="003201C9">
      <w:pPr>
        <w:widowControl w:val="0"/>
        <w:overflowPunct w:val="0"/>
        <w:autoSpaceDE w:val="0"/>
        <w:autoSpaceDN w:val="0"/>
        <w:adjustRightInd w:val="0"/>
        <w:ind w:left="709"/>
        <w:textAlignment w:val="baseline"/>
        <w:rPr>
          <w:sz w:val="20"/>
          <w:szCs w:val="20"/>
        </w:rPr>
      </w:pPr>
    </w:p>
    <w:tbl>
      <w:tblPr>
        <w:tblStyle w:val="TableGrid1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4"/>
        <w:gridCol w:w="7195"/>
      </w:tblGrid>
      <w:tr w:rsidR="009F1AE3" w:rsidRPr="003201C9" w14:paraId="23DAFD40" w14:textId="77777777" w:rsidTr="00AE1AFC">
        <w:tc>
          <w:tcPr>
            <w:tcW w:w="1127" w:type="pct"/>
          </w:tcPr>
          <w:p w14:paraId="4CF24E66" w14:textId="77777777" w:rsidR="009F1AE3" w:rsidRPr="003201C9" w:rsidRDefault="009F1AE3" w:rsidP="003201C9">
            <w:pPr>
              <w:overflowPunct w:val="0"/>
              <w:autoSpaceDE w:val="0"/>
              <w:autoSpaceDN w:val="0"/>
              <w:adjustRightInd w:val="0"/>
              <w:textAlignment w:val="baseline"/>
              <w:rPr>
                <w:i/>
                <w:sz w:val="22"/>
                <w:szCs w:val="22"/>
              </w:rPr>
            </w:pPr>
            <w:r w:rsidRPr="003201C9">
              <w:rPr>
                <w:b/>
                <w:i/>
                <w:sz w:val="22"/>
                <w:szCs w:val="22"/>
              </w:rPr>
              <w:t>Kontakt</w:t>
            </w:r>
          </w:p>
        </w:tc>
        <w:tc>
          <w:tcPr>
            <w:tcW w:w="3873" w:type="pct"/>
          </w:tcPr>
          <w:p w14:paraId="06B68A0E" w14:textId="546486E8" w:rsidR="009F1AE3" w:rsidRPr="003201C9" w:rsidRDefault="009F1AE3" w:rsidP="003201C9">
            <w:pPr>
              <w:overflowPunct w:val="0"/>
              <w:autoSpaceDE w:val="0"/>
              <w:autoSpaceDN w:val="0"/>
              <w:adjustRightInd w:val="0"/>
              <w:textAlignment w:val="baseline"/>
              <w:rPr>
                <w:i/>
                <w:sz w:val="22"/>
                <w:szCs w:val="22"/>
              </w:rPr>
            </w:pPr>
            <w:r w:rsidRPr="003201C9">
              <w:rPr>
                <w:i/>
                <w:sz w:val="22"/>
                <w:szCs w:val="22"/>
              </w:rPr>
              <w:t xml:space="preserve">Adam </w:t>
            </w:r>
            <w:proofErr w:type="spellStart"/>
            <w:r w:rsidRPr="003201C9">
              <w:rPr>
                <w:i/>
                <w:sz w:val="22"/>
                <w:szCs w:val="22"/>
              </w:rPr>
              <w:t>Dorywalski</w:t>
            </w:r>
            <w:proofErr w:type="spellEnd"/>
          </w:p>
        </w:tc>
      </w:tr>
      <w:tr w:rsidR="009F1AE3" w:rsidRPr="003201C9" w14:paraId="7AF1CC27" w14:textId="77777777" w:rsidTr="00AE1AFC">
        <w:tc>
          <w:tcPr>
            <w:tcW w:w="1127" w:type="pct"/>
          </w:tcPr>
          <w:p w14:paraId="233242A3" w14:textId="77777777" w:rsidR="009F1AE3" w:rsidRPr="003201C9" w:rsidRDefault="009F1AE3" w:rsidP="003201C9">
            <w:pPr>
              <w:overflowPunct w:val="0"/>
              <w:autoSpaceDE w:val="0"/>
              <w:autoSpaceDN w:val="0"/>
              <w:adjustRightInd w:val="0"/>
              <w:textAlignment w:val="baseline"/>
              <w:rPr>
                <w:i/>
                <w:sz w:val="22"/>
                <w:szCs w:val="22"/>
              </w:rPr>
            </w:pPr>
            <w:r w:rsidRPr="003201C9">
              <w:rPr>
                <w:i/>
                <w:sz w:val="22"/>
                <w:szCs w:val="22"/>
              </w:rPr>
              <w:t>Tel.</w:t>
            </w:r>
          </w:p>
        </w:tc>
        <w:tc>
          <w:tcPr>
            <w:tcW w:w="3873" w:type="pct"/>
          </w:tcPr>
          <w:p w14:paraId="5A333E81" w14:textId="77777777" w:rsidR="009F1AE3" w:rsidRPr="003201C9" w:rsidRDefault="009F1AE3" w:rsidP="003201C9">
            <w:pPr>
              <w:overflowPunct w:val="0"/>
              <w:autoSpaceDE w:val="0"/>
              <w:autoSpaceDN w:val="0"/>
              <w:adjustRightInd w:val="0"/>
              <w:textAlignment w:val="baseline"/>
              <w:rPr>
                <w:i/>
                <w:sz w:val="22"/>
                <w:szCs w:val="22"/>
              </w:rPr>
            </w:pPr>
            <w:r w:rsidRPr="003201C9">
              <w:rPr>
                <w:i/>
                <w:sz w:val="22"/>
                <w:szCs w:val="22"/>
              </w:rPr>
              <w:t>+32 25469397</w:t>
            </w:r>
          </w:p>
        </w:tc>
      </w:tr>
      <w:tr w:rsidR="009F1AE3" w:rsidRPr="003201C9" w14:paraId="7ABF5273" w14:textId="77777777" w:rsidTr="00AE1AFC">
        <w:tc>
          <w:tcPr>
            <w:tcW w:w="1127" w:type="pct"/>
          </w:tcPr>
          <w:p w14:paraId="2931E696" w14:textId="77777777" w:rsidR="009F1AE3" w:rsidRPr="003201C9" w:rsidRDefault="009F1AE3" w:rsidP="003201C9">
            <w:pPr>
              <w:overflowPunct w:val="0"/>
              <w:autoSpaceDE w:val="0"/>
              <w:autoSpaceDN w:val="0"/>
              <w:adjustRightInd w:val="0"/>
              <w:textAlignment w:val="baseline"/>
              <w:rPr>
                <w:i/>
                <w:sz w:val="22"/>
                <w:szCs w:val="22"/>
              </w:rPr>
            </w:pPr>
            <w:r w:rsidRPr="003201C9">
              <w:rPr>
                <w:i/>
                <w:sz w:val="22"/>
                <w:szCs w:val="22"/>
              </w:rPr>
              <w:t>E-Mail</w:t>
            </w:r>
          </w:p>
        </w:tc>
        <w:tc>
          <w:tcPr>
            <w:tcW w:w="3873" w:type="pct"/>
          </w:tcPr>
          <w:p w14:paraId="7A67CA0D" w14:textId="77777777" w:rsidR="009F1AE3" w:rsidRPr="003201C9" w:rsidRDefault="000055E5" w:rsidP="003201C9">
            <w:pPr>
              <w:overflowPunct w:val="0"/>
              <w:autoSpaceDE w:val="0"/>
              <w:autoSpaceDN w:val="0"/>
              <w:adjustRightInd w:val="0"/>
              <w:textAlignment w:val="baseline"/>
              <w:rPr>
                <w:i/>
                <w:sz w:val="22"/>
                <w:szCs w:val="22"/>
              </w:rPr>
            </w:pPr>
            <w:hyperlink r:id="rId54" w:history="1">
              <w:r w:rsidR="00F74BC3" w:rsidRPr="003201C9">
                <w:rPr>
                  <w:i/>
                  <w:color w:val="0000FF"/>
                  <w:sz w:val="22"/>
                  <w:szCs w:val="22"/>
                  <w:u w:val="single"/>
                </w:rPr>
                <w:t>Adam.Dorywalski@eesc.europa.eu</w:t>
              </w:r>
            </w:hyperlink>
          </w:p>
        </w:tc>
      </w:tr>
    </w:tbl>
    <w:p w14:paraId="2E28EF19" w14:textId="3B368787" w:rsidR="000D394D" w:rsidRPr="003201C9" w:rsidRDefault="00EB462E" w:rsidP="00054C58">
      <w:pPr>
        <w:spacing w:after="160" w:line="259" w:lineRule="auto"/>
        <w:jc w:val="center"/>
      </w:pPr>
      <w:r w:rsidRPr="003201C9">
        <w:t>______________</w:t>
      </w:r>
    </w:p>
    <w:sectPr w:rsidR="000D394D" w:rsidRPr="003201C9" w:rsidSect="00EE6F0B">
      <w:headerReference w:type="even" r:id="rId55"/>
      <w:headerReference w:type="default" r:id="rId56"/>
      <w:footerReference w:type="even" r:id="rId57"/>
      <w:footerReference w:type="default" r:id="rId58"/>
      <w:headerReference w:type="first" r:id="rId59"/>
      <w:footerReference w:type="first" r:id="rId60"/>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183ED" w14:textId="77777777" w:rsidR="007068C8" w:rsidRDefault="007068C8" w:rsidP="00B518C9">
      <w:pPr>
        <w:spacing w:line="240" w:lineRule="auto"/>
      </w:pPr>
      <w:r>
        <w:separator/>
      </w:r>
    </w:p>
  </w:endnote>
  <w:endnote w:type="continuationSeparator" w:id="0">
    <w:p w14:paraId="2DEC234A" w14:textId="77777777" w:rsidR="007068C8" w:rsidRDefault="007068C8"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90286" w14:textId="77777777" w:rsidR="00BA2A2C" w:rsidRPr="00EE6F0B" w:rsidRDefault="00BA2A2C" w:rsidP="00EE6F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3129FCBE" w:rsidR="00B518C9" w:rsidRPr="00EE6F0B" w:rsidRDefault="00EE6F0B" w:rsidP="00EE6F0B">
    <w:pPr>
      <w:pStyle w:val="Footer"/>
    </w:pPr>
    <w:r>
      <w:t xml:space="preserve">EESC-2025-03552-00-00-TCD-TRA (EN) </w:t>
    </w:r>
    <w:r>
      <w:fldChar w:fldCharType="begin"/>
    </w:r>
    <w:r>
      <w:instrText xml:space="preserve"> PAGE  \* Arabic  \* MERGEFORMAT </w:instrText>
    </w:r>
    <w:r>
      <w:fldChar w:fldCharType="separate"/>
    </w:r>
    <w:r w:rsidR="008541DE">
      <w:t>1</w:t>
    </w:r>
    <w:r>
      <w:fldChar w:fldCharType="end"/>
    </w:r>
    <w:r>
      <w:t>/</w:t>
    </w:r>
    <w:fldSimple w:instr=" NUMPAGES ">
      <w:r w:rsidR="008541DE">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E05A" w14:textId="77777777" w:rsidR="00BA2A2C" w:rsidRPr="00EE6F0B" w:rsidRDefault="00BA2A2C" w:rsidP="00EE6F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A5BF5" w14:textId="77777777" w:rsidR="00EE6F0B" w:rsidRPr="00EE6F0B" w:rsidRDefault="00EE6F0B" w:rsidP="00EE6F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1AE1F" w14:textId="4BF61E79" w:rsidR="00EE6F0B" w:rsidRPr="00EE6F0B" w:rsidRDefault="00EE6F0B" w:rsidP="00EE6F0B">
    <w:pPr>
      <w:pStyle w:val="Footer"/>
    </w:pPr>
    <w:r>
      <w:t xml:space="preserve">EESC-2025-03552-00-00-TCD-TRA (EN) </w:t>
    </w:r>
    <w:r>
      <w:fldChar w:fldCharType="begin"/>
    </w:r>
    <w:r>
      <w:instrText xml:space="preserve"> PAGE  \* Arabic  \* MERGEFORMAT </w:instrText>
    </w:r>
    <w:r>
      <w:fldChar w:fldCharType="separate"/>
    </w:r>
    <w:r w:rsidR="008541DE">
      <w:t>16</w:t>
    </w:r>
    <w:r>
      <w:fldChar w:fldCharType="end"/>
    </w:r>
    <w:r>
      <w:t>/</w:t>
    </w:r>
    <w:fldSimple w:instr=" NUMPAGES ">
      <w:r w:rsidR="008541DE">
        <w:t>16</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AA5D8" w14:textId="77777777" w:rsidR="00EE6F0B" w:rsidRPr="00EE6F0B" w:rsidRDefault="00EE6F0B" w:rsidP="00EE6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FB7AD" w14:textId="77777777" w:rsidR="007068C8" w:rsidRDefault="007068C8" w:rsidP="00B518C9">
      <w:pPr>
        <w:spacing w:line="240" w:lineRule="auto"/>
      </w:pPr>
      <w:r>
        <w:separator/>
      </w:r>
    </w:p>
  </w:footnote>
  <w:footnote w:type="continuationSeparator" w:id="0">
    <w:p w14:paraId="1C004BEA" w14:textId="77777777" w:rsidR="007068C8" w:rsidRDefault="007068C8" w:rsidP="00B518C9">
      <w:pPr>
        <w:spacing w:line="240" w:lineRule="auto"/>
      </w:pPr>
      <w:r>
        <w:continuationSeparator/>
      </w:r>
    </w:p>
  </w:footnote>
  <w:footnote w:id="1">
    <w:p w14:paraId="64A91302" w14:textId="77777777" w:rsidR="00E972B2" w:rsidRDefault="00E972B2" w:rsidP="00E972B2">
      <w:pPr>
        <w:keepLines/>
        <w:spacing w:after="60" w:line="240" w:lineRule="auto"/>
        <w:ind w:left="567" w:hanging="567"/>
        <w:rPr>
          <w:sz w:val="16"/>
          <w:szCs w:val="16"/>
        </w:rPr>
      </w:pPr>
      <w:r>
        <w:rPr>
          <w:rStyle w:val="FootnoteReference"/>
        </w:rPr>
        <w:footnoteRef/>
      </w:r>
      <w:r>
        <w:rPr>
          <w:sz w:val="16"/>
        </w:rPr>
        <w:tab/>
      </w:r>
      <w:hyperlink r:id="rId1">
        <w:r>
          <w:rPr>
            <w:color w:val="0000FF"/>
            <w:sz w:val="16"/>
            <w:u w:val="single"/>
          </w:rPr>
          <w:t>https://eur-lex.europa.eu/legal-content/DE/TXT/?uri=legissum:4623532</w:t>
        </w:r>
      </w:hyperlink>
      <w:r>
        <w:rPr>
          <w:sz w:val="16"/>
        </w:rPr>
        <w:t>.</w:t>
      </w:r>
    </w:p>
  </w:footnote>
  <w:footnote w:id="2">
    <w:p w14:paraId="454B3162" w14:textId="77777777" w:rsidR="00E972B2" w:rsidRPr="00ED3E39" w:rsidRDefault="00E972B2" w:rsidP="00E972B2">
      <w:pPr>
        <w:keepLines/>
        <w:spacing w:after="60" w:line="240" w:lineRule="auto"/>
        <w:ind w:left="567" w:hanging="567"/>
      </w:pPr>
      <w:r>
        <w:rPr>
          <w:rStyle w:val="FootnoteReference"/>
        </w:rPr>
        <w:footnoteRef/>
      </w:r>
      <w:r>
        <w:rPr>
          <w:sz w:val="16"/>
        </w:rPr>
        <w:tab/>
      </w:r>
      <w:hyperlink r:id="rId2">
        <w:r>
          <w:rPr>
            <w:color w:val="0000FF"/>
            <w:sz w:val="16"/>
            <w:u w:val="single"/>
          </w:rPr>
          <w:t>https://eur-lex.europa.eu/legal-content/DE/TXT/?uri=CELEX%3A52022XC0930%2802%29</w:t>
        </w:r>
      </w:hyperlink>
      <w:r>
        <w:rPr>
          <w:sz w:val="16"/>
        </w:rPr>
        <w:t>.</w:t>
      </w:r>
    </w:p>
  </w:footnote>
  <w:footnote w:id="3">
    <w:p w14:paraId="70B24787" w14:textId="77777777" w:rsidR="00E972B2" w:rsidRPr="0023267D" w:rsidRDefault="00E972B2" w:rsidP="00E972B2">
      <w:pPr>
        <w:keepLines/>
        <w:spacing w:after="60" w:line="240" w:lineRule="auto"/>
        <w:ind w:left="567" w:hanging="567"/>
        <w:rPr>
          <w:color w:val="0000FF"/>
          <w:sz w:val="16"/>
          <w:szCs w:val="16"/>
        </w:rPr>
      </w:pPr>
      <w:r>
        <w:rPr>
          <w:rStyle w:val="FootnoteReference"/>
        </w:rPr>
        <w:footnoteRef/>
      </w:r>
      <w:r>
        <w:rPr>
          <w:sz w:val="16"/>
        </w:rPr>
        <w:tab/>
      </w:r>
      <w:hyperlink r:id="rId3">
        <w:r>
          <w:rPr>
            <w:color w:val="0000FF"/>
            <w:sz w:val="16"/>
            <w:u w:val="single"/>
          </w:rPr>
          <w:t>https://digital-strategy.ec.europa.eu/de/library/recommendation-protection-safety-and-empowerment-journalists</w:t>
        </w:r>
      </w:hyperlink>
    </w:p>
  </w:footnote>
  <w:footnote w:id="4">
    <w:p w14:paraId="026EF876" w14:textId="77777777" w:rsidR="00E972B2" w:rsidRPr="00054D1E" w:rsidRDefault="00E972B2" w:rsidP="00E972B2">
      <w:pPr>
        <w:keepLines/>
        <w:spacing w:after="60" w:line="240" w:lineRule="auto"/>
        <w:ind w:left="567" w:hanging="567"/>
        <w:rPr>
          <w:lang w:val="fi-FI"/>
        </w:rPr>
      </w:pPr>
      <w:r>
        <w:rPr>
          <w:rStyle w:val="FootnoteReference"/>
        </w:rPr>
        <w:footnoteRef/>
      </w:r>
      <w:r w:rsidRPr="00054D1E">
        <w:rPr>
          <w:lang w:val="fi-FI"/>
        </w:rPr>
        <w:tab/>
      </w:r>
      <w:proofErr w:type="spellStart"/>
      <w:r w:rsidRPr="00054D1E">
        <w:rPr>
          <w:sz w:val="16"/>
          <w:lang w:val="fi-FI"/>
        </w:rPr>
        <w:t>ABl.</w:t>
      </w:r>
      <w:proofErr w:type="spellEnd"/>
      <w:r w:rsidRPr="00054D1E">
        <w:rPr>
          <w:sz w:val="16"/>
          <w:lang w:val="fi-FI"/>
        </w:rPr>
        <w:t xml:space="preserve"> C, C/2025/114, 10.1.2025, ELI: </w:t>
      </w:r>
      <w:hyperlink r:id="rId4" w:history="1">
        <w:r w:rsidRPr="00054D1E">
          <w:rPr>
            <w:rStyle w:val="Hyperlink"/>
            <w:sz w:val="16"/>
            <w:lang w:val="fi-FI"/>
          </w:rPr>
          <w:t>http://data.europa.eu/eli/C/2025/114/oj</w:t>
        </w:r>
      </w:hyperlink>
      <w:r w:rsidRPr="00054D1E">
        <w:rPr>
          <w:lang w:val="fi-FI"/>
        </w:rPr>
        <w:t>.</w:t>
      </w:r>
    </w:p>
  </w:footnote>
  <w:footnote w:id="5">
    <w:p w14:paraId="01E2CCA5" w14:textId="77777777" w:rsidR="00836765" w:rsidRPr="00360DD3" w:rsidRDefault="00836765" w:rsidP="00836765">
      <w:pPr>
        <w:pStyle w:val="FootnoteText"/>
      </w:pPr>
      <w:r>
        <w:rPr>
          <w:rStyle w:val="FootnoteReference"/>
        </w:rPr>
        <w:footnoteRef/>
      </w:r>
      <w:r>
        <w:tab/>
        <w:t>Initiativstellungnahme des EWSA „</w:t>
      </w:r>
      <w:hyperlink r:id="rId5" w:anchor=":~:text=The%20only%20reliable%20way%20to%20preserve%20the%20rainforests%20is%20through" w:history="1">
        <w:r>
          <w:rPr>
            <w:rStyle w:val="Hyperlink"/>
          </w:rPr>
          <w:t>Entwaldung im Amazonas-Regenwald – Auswirkungen auf den Klimawandel und die globale Umwelt, Folgen für Unternehmen, Arbeitnehmer und Bevölkerung</w:t>
        </w:r>
      </w:hyperlink>
      <w:r>
        <w:t xml:space="preserve">“, </w:t>
      </w:r>
      <w:hyperlink r:id="rId6" w:history="1">
        <w:proofErr w:type="spellStart"/>
        <w:r>
          <w:rPr>
            <w:rStyle w:val="Hyperlink"/>
          </w:rPr>
          <w:t>ABl.</w:t>
        </w:r>
        <w:proofErr w:type="spellEnd"/>
        <w:r>
          <w:rPr>
            <w:rStyle w:val="Hyperlink"/>
          </w:rPr>
          <w:t> C/2024/6882, 28.11.2024</w:t>
        </w:r>
      </w:hyperlink>
      <w:r>
        <w:t>.</w:t>
      </w:r>
    </w:p>
  </w:footnote>
  <w:footnote w:id="6">
    <w:p w14:paraId="74D17928" w14:textId="77777777" w:rsidR="00836765" w:rsidRPr="00360DD3" w:rsidRDefault="00836765" w:rsidP="00836765">
      <w:pPr>
        <w:pStyle w:val="FootnoteText"/>
      </w:pPr>
      <w:r>
        <w:rPr>
          <w:rStyle w:val="FootnoteReference"/>
        </w:rPr>
        <w:footnoteRef/>
      </w:r>
      <w:r>
        <w:tab/>
        <w:t xml:space="preserve">Stellungnahme des EWSA </w:t>
      </w:r>
      <w:hyperlink r:id="rId7" w:history="1">
        <w:r>
          <w:rPr>
            <w:rStyle w:val="Hyperlink"/>
            <w:i/>
          </w:rPr>
          <w:t>Minderung des Risikos der Entwaldung und Waldschädigung im Zusammenhang mit Produkten, die in der EU in Verkehr gebracht werden</w:t>
        </w:r>
      </w:hyperlink>
      <w:r>
        <w:t xml:space="preserve">, </w:t>
      </w:r>
      <w:hyperlink r:id="rId8" w:history="1">
        <w:proofErr w:type="spellStart"/>
        <w:r>
          <w:rPr>
            <w:rStyle w:val="Hyperlink"/>
          </w:rPr>
          <w:t>ABl.</w:t>
        </w:r>
        <w:proofErr w:type="spellEnd"/>
        <w:r>
          <w:rPr>
            <w:rStyle w:val="Hyperlink"/>
          </w:rPr>
          <w:t xml:space="preserve"> C 275 vom 18.7.2022, S. 88</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234A7" w14:textId="77777777" w:rsidR="00BA2A2C" w:rsidRPr="00EE6F0B" w:rsidRDefault="00BA2A2C" w:rsidP="00EE6F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DE50" w14:textId="6A64B190" w:rsidR="00BA2A2C" w:rsidRPr="00EE6F0B" w:rsidRDefault="00BA2A2C" w:rsidP="00EE6F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B0F6F" w14:textId="77777777" w:rsidR="00BA2A2C" w:rsidRPr="00EE6F0B" w:rsidRDefault="00BA2A2C" w:rsidP="00EE6F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AC11B" w14:textId="77777777" w:rsidR="00EE6F0B" w:rsidRPr="00EE6F0B" w:rsidRDefault="00EE6F0B" w:rsidP="00EE6F0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0CF56" w14:textId="041A1C85" w:rsidR="00EE6F0B" w:rsidRPr="00EE6F0B" w:rsidRDefault="00EE6F0B" w:rsidP="00EE6F0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F285E" w14:textId="77777777" w:rsidR="00EE6F0B" w:rsidRPr="00EE6F0B" w:rsidRDefault="00EE6F0B" w:rsidP="00EE6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325EAA9A"/>
    <w:lvl w:ilvl="0">
      <w:numFmt w:val="decimal"/>
      <w:lvlText w:val="*"/>
      <w:lvlJc w:val="left"/>
    </w:lvl>
  </w:abstractNum>
  <w:abstractNum w:abstractNumId="2" w15:restartNumberingAfterBreak="0">
    <w:nsid w:val="01AD6BFB"/>
    <w:multiLevelType w:val="hybridMultilevel"/>
    <w:tmpl w:val="8DE8923A"/>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 w15:restartNumberingAfterBreak="0">
    <w:nsid w:val="0C6E7E92"/>
    <w:multiLevelType w:val="hybridMultilevel"/>
    <w:tmpl w:val="D852615C"/>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 w15:restartNumberingAfterBreak="0">
    <w:nsid w:val="0DCC6D92"/>
    <w:multiLevelType w:val="hybridMultilevel"/>
    <w:tmpl w:val="78524922"/>
    <w:lvl w:ilvl="0" w:tplc="DC66C2E6">
      <w:start w:val="1"/>
      <w:numFmt w:val="bullet"/>
      <w:lvlText w:val=""/>
      <w:lvlJc w:val="left"/>
      <w:pPr>
        <w:ind w:left="1287"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805E4A"/>
    <w:multiLevelType w:val="hybridMultilevel"/>
    <w:tmpl w:val="0E9A9FEC"/>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52A281C"/>
    <w:multiLevelType w:val="multilevel"/>
    <w:tmpl w:val="DC36A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596CA9"/>
    <w:multiLevelType w:val="hybridMultilevel"/>
    <w:tmpl w:val="A2A65726"/>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8" w15:restartNumberingAfterBreak="0">
    <w:nsid w:val="176B0C2D"/>
    <w:multiLevelType w:val="hybridMultilevel"/>
    <w:tmpl w:val="EA30BBB2"/>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0E64D01"/>
    <w:multiLevelType w:val="multilevel"/>
    <w:tmpl w:val="E362D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3E3335"/>
    <w:multiLevelType w:val="hybridMultilevel"/>
    <w:tmpl w:val="6742EDEA"/>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1" w15:restartNumberingAfterBreak="0">
    <w:nsid w:val="24187467"/>
    <w:multiLevelType w:val="hybridMultilevel"/>
    <w:tmpl w:val="73644BDA"/>
    <w:lvl w:ilvl="0" w:tplc="8E864B0C">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50909E3"/>
    <w:multiLevelType w:val="hybridMultilevel"/>
    <w:tmpl w:val="FC481F60"/>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3" w15:restartNumberingAfterBreak="0">
    <w:nsid w:val="26F77B86"/>
    <w:multiLevelType w:val="hybridMultilevel"/>
    <w:tmpl w:val="2D10471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4" w15:restartNumberingAfterBreak="0">
    <w:nsid w:val="2AD155A9"/>
    <w:multiLevelType w:val="hybridMultilevel"/>
    <w:tmpl w:val="F09C53E4"/>
    <w:lvl w:ilvl="0" w:tplc="DDE088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CC0C48"/>
    <w:multiLevelType w:val="hybridMultilevel"/>
    <w:tmpl w:val="30EC54EA"/>
    <w:lvl w:ilvl="0" w:tplc="20000001">
      <w:start w:val="1"/>
      <w:numFmt w:val="bullet"/>
      <w:lvlText w:val=""/>
      <w:lvlJc w:val="left"/>
      <w:pPr>
        <w:ind w:left="720" w:hanging="360"/>
      </w:pPr>
      <w:rPr>
        <w:rFonts w:ascii="Symbol" w:hAnsi="Symbol" w:hint="default"/>
      </w:rPr>
    </w:lvl>
    <w:lvl w:ilvl="1" w:tplc="C7D4BED2">
      <w:start w:val="1"/>
      <w:numFmt w:val="lowerLetter"/>
      <w:lvlText w:val="%2."/>
      <w:lvlJc w:val="left"/>
      <w:pPr>
        <w:ind w:left="1440" w:hanging="360"/>
      </w:pPr>
    </w:lvl>
    <w:lvl w:ilvl="2" w:tplc="EDDA7C24">
      <w:start w:val="1"/>
      <w:numFmt w:val="lowerRoman"/>
      <w:lvlText w:val="%3."/>
      <w:lvlJc w:val="right"/>
      <w:pPr>
        <w:ind w:left="2160" w:hanging="180"/>
      </w:pPr>
    </w:lvl>
    <w:lvl w:ilvl="3" w:tplc="D6D8B25C">
      <w:start w:val="1"/>
      <w:numFmt w:val="decimal"/>
      <w:lvlText w:val="%4."/>
      <w:lvlJc w:val="left"/>
      <w:pPr>
        <w:ind w:left="2880" w:hanging="360"/>
      </w:pPr>
    </w:lvl>
    <w:lvl w:ilvl="4" w:tplc="15BC3358">
      <w:start w:val="1"/>
      <w:numFmt w:val="lowerLetter"/>
      <w:lvlText w:val="%5."/>
      <w:lvlJc w:val="left"/>
      <w:pPr>
        <w:ind w:left="3600" w:hanging="360"/>
      </w:pPr>
    </w:lvl>
    <w:lvl w:ilvl="5" w:tplc="286291C8">
      <w:start w:val="1"/>
      <w:numFmt w:val="lowerRoman"/>
      <w:lvlText w:val="%6."/>
      <w:lvlJc w:val="right"/>
      <w:pPr>
        <w:ind w:left="4320" w:hanging="180"/>
      </w:pPr>
    </w:lvl>
    <w:lvl w:ilvl="6" w:tplc="18BA1814">
      <w:start w:val="1"/>
      <w:numFmt w:val="decimal"/>
      <w:lvlText w:val="%7."/>
      <w:lvlJc w:val="left"/>
      <w:pPr>
        <w:ind w:left="5040" w:hanging="360"/>
      </w:pPr>
    </w:lvl>
    <w:lvl w:ilvl="7" w:tplc="288E5478">
      <w:start w:val="1"/>
      <w:numFmt w:val="lowerLetter"/>
      <w:lvlText w:val="%8."/>
      <w:lvlJc w:val="left"/>
      <w:pPr>
        <w:ind w:left="5760" w:hanging="360"/>
      </w:pPr>
    </w:lvl>
    <w:lvl w:ilvl="8" w:tplc="FE92EFCA">
      <w:start w:val="1"/>
      <w:numFmt w:val="lowerRoman"/>
      <w:lvlText w:val="%9."/>
      <w:lvlJc w:val="right"/>
      <w:pPr>
        <w:ind w:left="6480" w:hanging="180"/>
      </w:pPr>
    </w:lvl>
  </w:abstractNum>
  <w:abstractNum w:abstractNumId="16" w15:restartNumberingAfterBreak="0">
    <w:nsid w:val="3ACE296A"/>
    <w:multiLevelType w:val="hybridMultilevel"/>
    <w:tmpl w:val="474C91D2"/>
    <w:lvl w:ilvl="0" w:tplc="DDE088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277714"/>
    <w:multiLevelType w:val="multilevel"/>
    <w:tmpl w:val="CEC6278C"/>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8" w15:restartNumberingAfterBreak="0">
    <w:nsid w:val="40BB0637"/>
    <w:multiLevelType w:val="multilevel"/>
    <w:tmpl w:val="D5C0BC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327BE6"/>
    <w:multiLevelType w:val="hybridMultilevel"/>
    <w:tmpl w:val="8EA829E0"/>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3221321"/>
    <w:multiLevelType w:val="hybridMultilevel"/>
    <w:tmpl w:val="401829F8"/>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57C72E15"/>
    <w:multiLevelType w:val="hybridMultilevel"/>
    <w:tmpl w:val="49D4986E"/>
    <w:lvl w:ilvl="0" w:tplc="04090001">
      <w:start w:val="1"/>
      <w:numFmt w:val="bullet"/>
      <w:lvlText w:val=""/>
      <w:lvlJc w:val="left"/>
      <w:pPr>
        <w:ind w:left="720" w:hanging="360"/>
      </w:pPr>
      <w:rPr>
        <w:rFonts w:ascii="Symbol" w:hAnsi="Symbol" w:hint="default"/>
      </w:rPr>
    </w:lvl>
    <w:lvl w:ilvl="1" w:tplc="4394E770">
      <w:start w:val="1"/>
      <w:numFmt w:val="lowerLetter"/>
      <w:lvlText w:val="%2."/>
      <w:lvlJc w:val="left"/>
      <w:pPr>
        <w:ind w:left="1440" w:hanging="360"/>
      </w:pPr>
    </w:lvl>
    <w:lvl w:ilvl="2" w:tplc="48F2FBB0">
      <w:start w:val="1"/>
      <w:numFmt w:val="lowerRoman"/>
      <w:lvlText w:val="%3."/>
      <w:lvlJc w:val="right"/>
      <w:pPr>
        <w:ind w:left="2160" w:hanging="180"/>
      </w:pPr>
    </w:lvl>
    <w:lvl w:ilvl="3" w:tplc="194A9B02">
      <w:start w:val="1"/>
      <w:numFmt w:val="decimal"/>
      <w:lvlText w:val="%4."/>
      <w:lvlJc w:val="left"/>
      <w:pPr>
        <w:ind w:left="2880" w:hanging="360"/>
      </w:pPr>
    </w:lvl>
    <w:lvl w:ilvl="4" w:tplc="10E6AFD6">
      <w:start w:val="1"/>
      <w:numFmt w:val="lowerLetter"/>
      <w:lvlText w:val="%5."/>
      <w:lvlJc w:val="left"/>
      <w:pPr>
        <w:ind w:left="3600" w:hanging="360"/>
      </w:pPr>
    </w:lvl>
    <w:lvl w:ilvl="5" w:tplc="59546A76">
      <w:start w:val="1"/>
      <w:numFmt w:val="lowerRoman"/>
      <w:lvlText w:val="%6."/>
      <w:lvlJc w:val="right"/>
      <w:pPr>
        <w:ind w:left="4320" w:hanging="180"/>
      </w:pPr>
    </w:lvl>
    <w:lvl w:ilvl="6" w:tplc="B28879B6">
      <w:start w:val="1"/>
      <w:numFmt w:val="decimal"/>
      <w:lvlText w:val="%7."/>
      <w:lvlJc w:val="left"/>
      <w:pPr>
        <w:ind w:left="5040" w:hanging="360"/>
      </w:pPr>
    </w:lvl>
    <w:lvl w:ilvl="7" w:tplc="C930E540">
      <w:start w:val="1"/>
      <w:numFmt w:val="lowerLetter"/>
      <w:lvlText w:val="%8."/>
      <w:lvlJc w:val="left"/>
      <w:pPr>
        <w:ind w:left="5760" w:hanging="360"/>
      </w:pPr>
    </w:lvl>
    <w:lvl w:ilvl="8" w:tplc="766A47CC">
      <w:start w:val="1"/>
      <w:numFmt w:val="lowerRoman"/>
      <w:lvlText w:val="%9."/>
      <w:lvlJc w:val="right"/>
      <w:pPr>
        <w:ind w:left="6480" w:hanging="180"/>
      </w:pPr>
    </w:lvl>
  </w:abstractNum>
  <w:abstractNum w:abstractNumId="22" w15:restartNumberingAfterBreak="0">
    <w:nsid w:val="5E0A6BF8"/>
    <w:multiLevelType w:val="hybridMultilevel"/>
    <w:tmpl w:val="9A2AC15E"/>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5EB34897"/>
    <w:multiLevelType w:val="hybridMultilevel"/>
    <w:tmpl w:val="2DF20D56"/>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4" w15:restartNumberingAfterBreak="0">
    <w:nsid w:val="646E239B"/>
    <w:multiLevelType w:val="hybridMultilevel"/>
    <w:tmpl w:val="4378B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5F1DCB"/>
    <w:multiLevelType w:val="hybridMultilevel"/>
    <w:tmpl w:val="5F1059D2"/>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26"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7" w15:restartNumberingAfterBreak="0">
    <w:nsid w:val="6B3767B2"/>
    <w:multiLevelType w:val="hybridMultilevel"/>
    <w:tmpl w:val="CF9ADD5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8" w15:restartNumberingAfterBreak="0">
    <w:nsid w:val="6D051B82"/>
    <w:multiLevelType w:val="hybridMultilevel"/>
    <w:tmpl w:val="06A2BD0C"/>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9" w15:restartNumberingAfterBreak="0">
    <w:nsid w:val="6D790D12"/>
    <w:multiLevelType w:val="hybridMultilevel"/>
    <w:tmpl w:val="A63CD1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70D15217"/>
    <w:multiLevelType w:val="hybridMultilevel"/>
    <w:tmpl w:val="87E613C6"/>
    <w:lvl w:ilvl="0" w:tplc="DC66C2E6">
      <w:start w:val="1"/>
      <w:numFmt w:val="bullet"/>
      <w:lvlText w:val=""/>
      <w:lvlJc w:val="left"/>
      <w:pPr>
        <w:ind w:left="1287" w:hanging="360"/>
      </w:pPr>
      <w:rPr>
        <w:rFonts w:ascii="Symbol" w:hAnsi="Symbol" w:hint="default"/>
        <w:sz w:val="28"/>
        <w:szCs w:val="2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72BC55E4"/>
    <w:multiLevelType w:val="multilevel"/>
    <w:tmpl w:val="3FF64D9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105596"/>
    <w:multiLevelType w:val="hybridMultilevel"/>
    <w:tmpl w:val="3730B994"/>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num w:numId="1">
    <w:abstractNumId w:val="0"/>
  </w:num>
  <w:num w:numId="2">
    <w:abstractNumId w:val="26"/>
  </w:num>
  <w:num w:numId="3">
    <w:abstractNumId w:val="32"/>
  </w:num>
  <w:num w:numId="4">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5">
    <w:abstractNumId w:val="27"/>
  </w:num>
  <w:num w:numId="6">
    <w:abstractNumId w:val="1"/>
    <w:lvlOverride w:ilvl="0">
      <w:lvl w:ilvl="0">
        <w:start w:val="1"/>
        <w:numFmt w:val="bullet"/>
        <w:lvlText w:val=""/>
        <w:lvlJc w:val="left"/>
        <w:pPr>
          <w:ind w:left="720" w:hanging="360"/>
        </w:pPr>
        <w:rPr>
          <w:rFonts w:ascii="Symbol" w:hAnsi="Symbol" w:hint="default"/>
          <w:color w:val="auto"/>
          <w:sz w:val="28"/>
          <w:szCs w:val="28"/>
        </w:rPr>
      </w:lvl>
    </w:lvlOverride>
  </w:num>
  <w:num w:numId="7">
    <w:abstractNumId w:val="9"/>
  </w:num>
  <w:num w:numId="8">
    <w:abstractNumId w:val="6"/>
  </w:num>
  <w:num w:numId="9">
    <w:abstractNumId w:val="29"/>
  </w:num>
  <w:num w:numId="10">
    <w:abstractNumId w:val="14"/>
  </w:num>
  <w:num w:numId="11">
    <w:abstractNumId w:val="16"/>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4"/>
  </w:num>
  <w:num w:numId="15">
    <w:abstractNumId w:val="25"/>
  </w:num>
  <w:num w:numId="16">
    <w:abstractNumId w:val="1"/>
    <w:lvlOverride w:ilvl="0">
      <w:lvl w:ilvl="0">
        <w:numFmt w:val="bullet"/>
        <w:lvlText w:val=""/>
        <w:legacy w:legacy="1" w:legacySpace="0" w:legacyIndent="283"/>
        <w:lvlJc w:val="left"/>
        <w:pPr>
          <w:ind w:left="567" w:hanging="283"/>
        </w:pPr>
        <w:rPr>
          <w:rFonts w:ascii="Symbol" w:hAnsi="Symbol" w:hint="default"/>
          <w:color w:val="auto"/>
        </w:rPr>
      </w:lvl>
    </w:lvlOverride>
  </w:num>
  <w:num w:numId="17">
    <w:abstractNumId w:val="15"/>
  </w:num>
  <w:num w:numId="18">
    <w:abstractNumId w:val="8"/>
  </w:num>
  <w:num w:numId="19">
    <w:abstractNumId w:val="5"/>
  </w:num>
  <w:num w:numId="20">
    <w:abstractNumId w:val="17"/>
  </w:num>
  <w:num w:numId="21">
    <w:abstractNumId w:val="31"/>
  </w:num>
  <w:num w:numId="22">
    <w:abstractNumId w:val="13"/>
  </w:num>
  <w:num w:numId="23">
    <w:abstractNumId w:val="33"/>
  </w:num>
  <w:num w:numId="24">
    <w:abstractNumId w:val="28"/>
  </w:num>
  <w:num w:numId="25">
    <w:abstractNumId w:val="2"/>
  </w:num>
  <w:num w:numId="26">
    <w:abstractNumId w:val="18"/>
  </w:num>
  <w:num w:numId="27">
    <w:abstractNumId w:val="19"/>
  </w:num>
  <w:num w:numId="28">
    <w:abstractNumId w:val="20"/>
  </w:num>
  <w:num w:numId="29">
    <w:abstractNumId w:val="3"/>
  </w:num>
  <w:num w:numId="30">
    <w:abstractNumId w:val="11"/>
  </w:num>
  <w:num w:numId="31">
    <w:abstractNumId w:val="22"/>
  </w:num>
  <w:num w:numId="32">
    <w:abstractNumId w:val="10"/>
  </w:num>
  <w:num w:numId="33">
    <w:abstractNumId w:val="7"/>
  </w:num>
  <w:num w:numId="34">
    <w:abstractNumId w:val="23"/>
  </w:num>
  <w:num w:numId="35">
    <w:abstractNumId w:val="12"/>
  </w:num>
  <w:num w:numId="36">
    <w:abstractNumId w:val="30"/>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55E5"/>
    <w:rsid w:val="00010A4D"/>
    <w:rsid w:val="000122F3"/>
    <w:rsid w:val="00034990"/>
    <w:rsid w:val="0005334D"/>
    <w:rsid w:val="00054433"/>
    <w:rsid w:val="00054C58"/>
    <w:rsid w:val="00054D1E"/>
    <w:rsid w:val="00056F0F"/>
    <w:rsid w:val="00063DFF"/>
    <w:rsid w:val="00085AF6"/>
    <w:rsid w:val="000A1597"/>
    <w:rsid w:val="000C7C8B"/>
    <w:rsid w:val="000D394D"/>
    <w:rsid w:val="000E7346"/>
    <w:rsid w:val="001307DF"/>
    <w:rsid w:val="00145DF7"/>
    <w:rsid w:val="00186CF8"/>
    <w:rsid w:val="00191424"/>
    <w:rsid w:val="00194E7D"/>
    <w:rsid w:val="001A7442"/>
    <w:rsid w:val="001E391D"/>
    <w:rsid w:val="00237C67"/>
    <w:rsid w:val="002A5636"/>
    <w:rsid w:val="002B0636"/>
    <w:rsid w:val="002B5AEF"/>
    <w:rsid w:val="002B7981"/>
    <w:rsid w:val="002D3663"/>
    <w:rsid w:val="003066BE"/>
    <w:rsid w:val="003201C9"/>
    <w:rsid w:val="003227CC"/>
    <w:rsid w:val="00326313"/>
    <w:rsid w:val="00340927"/>
    <w:rsid w:val="00366C6A"/>
    <w:rsid w:val="00381A92"/>
    <w:rsid w:val="00384191"/>
    <w:rsid w:val="00395794"/>
    <w:rsid w:val="003C16C3"/>
    <w:rsid w:val="003D4EDF"/>
    <w:rsid w:val="003F190C"/>
    <w:rsid w:val="003F326D"/>
    <w:rsid w:val="003F79EF"/>
    <w:rsid w:val="0040402B"/>
    <w:rsid w:val="0043191A"/>
    <w:rsid w:val="00446882"/>
    <w:rsid w:val="004503DC"/>
    <w:rsid w:val="00463600"/>
    <w:rsid w:val="00465162"/>
    <w:rsid w:val="004A5CD7"/>
    <w:rsid w:val="004A6CE5"/>
    <w:rsid w:val="004C1449"/>
    <w:rsid w:val="004D7AC0"/>
    <w:rsid w:val="004E64BE"/>
    <w:rsid w:val="00505C80"/>
    <w:rsid w:val="00515DDF"/>
    <w:rsid w:val="00532089"/>
    <w:rsid w:val="00537F29"/>
    <w:rsid w:val="005650A9"/>
    <w:rsid w:val="00586B4B"/>
    <w:rsid w:val="00591A62"/>
    <w:rsid w:val="00593110"/>
    <w:rsid w:val="005A0BDA"/>
    <w:rsid w:val="005A2512"/>
    <w:rsid w:val="005B225E"/>
    <w:rsid w:val="005B6DD4"/>
    <w:rsid w:val="005E7651"/>
    <w:rsid w:val="00601DF4"/>
    <w:rsid w:val="00612898"/>
    <w:rsid w:val="00625CA3"/>
    <w:rsid w:val="00635AF7"/>
    <w:rsid w:val="00641262"/>
    <w:rsid w:val="006559C7"/>
    <w:rsid w:val="00665929"/>
    <w:rsid w:val="00673B8C"/>
    <w:rsid w:val="0068013D"/>
    <w:rsid w:val="00685A3A"/>
    <w:rsid w:val="006D249E"/>
    <w:rsid w:val="006D2C8A"/>
    <w:rsid w:val="006D2D64"/>
    <w:rsid w:val="006E6F14"/>
    <w:rsid w:val="007068C8"/>
    <w:rsid w:val="00707689"/>
    <w:rsid w:val="0072769B"/>
    <w:rsid w:val="00740A23"/>
    <w:rsid w:val="007417EF"/>
    <w:rsid w:val="00754027"/>
    <w:rsid w:val="00766B1A"/>
    <w:rsid w:val="0076787A"/>
    <w:rsid w:val="0077724B"/>
    <w:rsid w:val="007B245D"/>
    <w:rsid w:val="007B326F"/>
    <w:rsid w:val="007F5784"/>
    <w:rsid w:val="00802750"/>
    <w:rsid w:val="00803D26"/>
    <w:rsid w:val="00803D75"/>
    <w:rsid w:val="0080647A"/>
    <w:rsid w:val="00811D4F"/>
    <w:rsid w:val="00836765"/>
    <w:rsid w:val="00845F24"/>
    <w:rsid w:val="008541DE"/>
    <w:rsid w:val="00871818"/>
    <w:rsid w:val="0088219D"/>
    <w:rsid w:val="00896BC8"/>
    <w:rsid w:val="008A27AD"/>
    <w:rsid w:val="008A6059"/>
    <w:rsid w:val="008C414B"/>
    <w:rsid w:val="008D0052"/>
    <w:rsid w:val="009041AE"/>
    <w:rsid w:val="00926A3C"/>
    <w:rsid w:val="00946B15"/>
    <w:rsid w:val="009679E7"/>
    <w:rsid w:val="00973F68"/>
    <w:rsid w:val="009D29FC"/>
    <w:rsid w:val="009E1915"/>
    <w:rsid w:val="009E4148"/>
    <w:rsid w:val="009F1AE3"/>
    <w:rsid w:val="00A20E9D"/>
    <w:rsid w:val="00A23E40"/>
    <w:rsid w:val="00A272B2"/>
    <w:rsid w:val="00A44608"/>
    <w:rsid w:val="00A50553"/>
    <w:rsid w:val="00A51688"/>
    <w:rsid w:val="00A96C92"/>
    <w:rsid w:val="00AA61BE"/>
    <w:rsid w:val="00AE1AFC"/>
    <w:rsid w:val="00B203DA"/>
    <w:rsid w:val="00B3176C"/>
    <w:rsid w:val="00B518C9"/>
    <w:rsid w:val="00B730AD"/>
    <w:rsid w:val="00B8543B"/>
    <w:rsid w:val="00B94F6D"/>
    <w:rsid w:val="00BA2A2C"/>
    <w:rsid w:val="00BB55DF"/>
    <w:rsid w:val="00BC676C"/>
    <w:rsid w:val="00BE54B3"/>
    <w:rsid w:val="00BF235F"/>
    <w:rsid w:val="00C008B4"/>
    <w:rsid w:val="00C00F37"/>
    <w:rsid w:val="00C04690"/>
    <w:rsid w:val="00C1207D"/>
    <w:rsid w:val="00C17ABD"/>
    <w:rsid w:val="00C2078A"/>
    <w:rsid w:val="00C24C34"/>
    <w:rsid w:val="00C26C67"/>
    <w:rsid w:val="00C61F36"/>
    <w:rsid w:val="00C62A6C"/>
    <w:rsid w:val="00C7741D"/>
    <w:rsid w:val="00C821A5"/>
    <w:rsid w:val="00C82E34"/>
    <w:rsid w:val="00C913CA"/>
    <w:rsid w:val="00CC18D0"/>
    <w:rsid w:val="00D07777"/>
    <w:rsid w:val="00D40BB6"/>
    <w:rsid w:val="00D43613"/>
    <w:rsid w:val="00D6499D"/>
    <w:rsid w:val="00D7076A"/>
    <w:rsid w:val="00D81F5E"/>
    <w:rsid w:val="00D92269"/>
    <w:rsid w:val="00DB1B79"/>
    <w:rsid w:val="00DE176A"/>
    <w:rsid w:val="00DF03F8"/>
    <w:rsid w:val="00E00A6B"/>
    <w:rsid w:val="00E13363"/>
    <w:rsid w:val="00E22D43"/>
    <w:rsid w:val="00E77899"/>
    <w:rsid w:val="00E82D3E"/>
    <w:rsid w:val="00E95CBE"/>
    <w:rsid w:val="00E972B2"/>
    <w:rsid w:val="00EA023B"/>
    <w:rsid w:val="00EB462E"/>
    <w:rsid w:val="00ED76AC"/>
    <w:rsid w:val="00EE6F0B"/>
    <w:rsid w:val="00EF2BEB"/>
    <w:rsid w:val="00F104CA"/>
    <w:rsid w:val="00F2608E"/>
    <w:rsid w:val="00F26C84"/>
    <w:rsid w:val="00F41BE1"/>
    <w:rsid w:val="00F65006"/>
    <w:rsid w:val="00F733BE"/>
    <w:rsid w:val="00F73CD8"/>
    <w:rsid w:val="00F74BC3"/>
    <w:rsid w:val="00F83C17"/>
    <w:rsid w:val="00F96D7F"/>
    <w:rsid w:val="00FC43EF"/>
    <w:rsid w:val="00FC456F"/>
    <w:rsid w:val="00FE5F71"/>
    <w:rsid w:val="00FF3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2D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Footnote symbol"/>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054D1E"/>
    <w:pPr>
      <w:tabs>
        <w:tab w:val="left" w:pos="440"/>
        <w:tab w:val="right" w:leader="dot" w:pos="9063"/>
      </w:tabs>
      <w:spacing w:after="100"/>
      <w:ind w:left="426" w:hanging="426"/>
    </w:pPr>
  </w:style>
  <w:style w:type="character" w:styleId="FollowedHyperlink">
    <w:name w:val="FollowedHyperlink"/>
    <w:basedOn w:val="DefaultParagraphFont"/>
    <w:uiPriority w:val="99"/>
    <w:semiHidden/>
    <w:unhideWhenUsed/>
    <w:rsid w:val="00B518C9"/>
    <w:rPr>
      <w:color w:val="954F72" w:themeColor="followedHyperlink"/>
      <w:u w:val="single"/>
    </w:rPr>
  </w:style>
  <w:style w:type="table" w:customStyle="1" w:styleId="TableGrid1">
    <w:name w:val="Table Grid1"/>
    <w:basedOn w:val="TableNormal"/>
    <w:next w:val="TableGrid"/>
    <w:rsid w:val="006128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82E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972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8D00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C67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533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B854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4651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8A60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685A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685A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8367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0122F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237C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C913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4503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ED76A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9F1A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27AD"/>
    <w:pPr>
      <w:spacing w:after="0" w:line="240" w:lineRule="auto"/>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056F0F"/>
    <w:rPr>
      <w:color w:val="605E5C"/>
      <w:shd w:val="clear" w:color="auto" w:fill="E1DFDD"/>
    </w:rPr>
  </w:style>
  <w:style w:type="table" w:customStyle="1" w:styleId="TableGrid19">
    <w:name w:val="Table Grid19"/>
    <w:basedOn w:val="TableNormal"/>
    <w:next w:val="TableGrid"/>
    <w:rsid w:val="00CC18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41D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1DE"/>
    <w:rPr>
      <w:rFonts w:ascii="Segoe UI" w:eastAsia="Times New Roman" w:hAnsi="Segoe UI" w:cs="Segoe UI"/>
      <w:sz w:val="18"/>
      <w:szCs w:val="18"/>
    </w:rPr>
  </w:style>
  <w:style w:type="paragraph" w:styleId="TOC2">
    <w:name w:val="toc 2"/>
    <w:basedOn w:val="Normal"/>
    <w:next w:val="Normal"/>
    <w:autoRedefine/>
    <w:uiPriority w:val="39"/>
    <w:unhideWhenUsed/>
    <w:rsid w:val="00054D1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https://www.eesc.europa.eu/de/our-work/opinions-information-reports/opinions/agoraeu-and-justice-programmes" TargetMode="External"/><Relationship Id="rId39" Type="http://schemas.openxmlformats.org/officeDocument/2006/relationships/hyperlink" Target="mailto:Silvia.Staffa@eesc.europa.eu" TargetMode="External"/><Relationship Id="rId21" Type="http://schemas.openxmlformats.org/officeDocument/2006/relationships/hyperlink" Target="mailto:Georgios.Meleas@eesc.europa.eu" TargetMode="External"/><Relationship Id="rId34" Type="http://schemas.openxmlformats.org/officeDocument/2006/relationships/hyperlink" Target="https://www.eesc.europa.eu/de/our-work/opinions-information-reports/opinions/single-market-strategy" TargetMode="External"/><Relationship Id="rId42" Type="http://schemas.openxmlformats.org/officeDocument/2006/relationships/hyperlink" Target="https://www.eesc.europa.eu/de/our-work/opinions-information-reports/opinions/amendment-deforestation-regulation-eu-20231115" TargetMode="External"/><Relationship Id="rId47" Type="http://schemas.openxmlformats.org/officeDocument/2006/relationships/hyperlink" Target="https://www.eesc.europa.eu/de/our-work/opinions-information-reports/opinions/global-europe-multiannual-financial-framework-proposal" TargetMode="External"/><Relationship Id="rId50" Type="http://schemas.openxmlformats.org/officeDocument/2006/relationships/hyperlink" Target="mailto:Katarina.Albrechtova@eesc.europa.eu" TargetMode="External"/><Relationship Id="rId55"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esc.europa.eu/de/our-work/opinions-information-reports/opinions/implementation-eu-macro-regional-strategies-5th-report" TargetMode="External"/><Relationship Id="rId29" Type="http://schemas.openxmlformats.org/officeDocument/2006/relationships/hyperlink" Target="https://eur-lex.europa.eu/eli/C/2023/874/oj?eliuri=eli%3AC%3A2025%3A2968%3Aoj&amp;locale=de" TargetMode="External"/><Relationship Id="rId41" Type="http://schemas.openxmlformats.org/officeDocument/2006/relationships/hyperlink" Target="mailto:Annalisa.Tessarolo@eesc.europa.eu" TargetMode="External"/><Relationship Id="rId54" Type="http://schemas.openxmlformats.org/officeDocument/2006/relationships/hyperlink" Target="mailto:Adam.Dorywalski@eesc.europa.eu"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eesc.europa.eu/de/our-work/opinions-information-reports/opinions/labour-rights-journalists-and-media-professionals-safeguard-independence-and-truthful-information" TargetMode="External"/><Relationship Id="rId32" Type="http://schemas.openxmlformats.org/officeDocument/2006/relationships/hyperlink" Target="https://www.eesc.europa.eu/de/our-work/opinions-information-reports/opinions/nuclear-illustrative-programme-1" TargetMode="External"/><Relationship Id="rId37" Type="http://schemas.openxmlformats.org/officeDocument/2006/relationships/hyperlink" Target="mailto:Silvia.Staffa@eesc.europa.eu" TargetMode="External"/><Relationship Id="rId40" Type="http://schemas.openxmlformats.org/officeDocument/2006/relationships/hyperlink" Target="https://www.eesc.europa.eu/de/our-work/opinions-information-reports/opinions/review-european-public-procurement-legal-framework" TargetMode="External"/><Relationship Id="rId45" Type="http://schemas.openxmlformats.org/officeDocument/2006/relationships/hyperlink" Target="mailto:Arturo.Iniguez@eesc.europa.eu" TargetMode="External"/><Relationship Id="rId53" Type="http://schemas.openxmlformats.org/officeDocument/2006/relationships/hyperlink" Target="https://www.eesc.europa.eu/de/our-work/opinions-information-reports/opinions/industrial-cooperatives-tool-challenge-inclusive-and-sustainable-competitiveness" TargetMode="External"/><Relationship Id="rId58"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Georgios.Meleas@eesc.europa.eu" TargetMode="External"/><Relationship Id="rId28" Type="http://schemas.openxmlformats.org/officeDocument/2006/relationships/hyperlink" Target="https://www.eesc.europa.eu/de/our-work/opinions-information-reports/opinions/co2-emission-class-heavy-duty-vehicles-trailers-0" TargetMode="External"/><Relationship Id="rId36" Type="http://schemas.openxmlformats.org/officeDocument/2006/relationships/hyperlink" Target="https://www.eesc.europa.eu/de/our-work/opinions-information-reports/opinions/report-competition-policy-2024" TargetMode="External"/><Relationship Id="rId49" Type="http://schemas.openxmlformats.org/officeDocument/2006/relationships/hyperlink" Target="https://www.eesc.europa.eu/de/our-work/opinions-information-reports/opinions/predictable-and-common-european-way-forward-ukrainians-eu" TargetMode="External"/><Relationship Id="rId57" Type="http://schemas.openxmlformats.org/officeDocument/2006/relationships/footer" Target="footer4.xml"/><Relationship Id="rId61"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mailto:GiorgiaAndrea.Bordignon@eesc.europa.eu" TargetMode="External"/><Relationship Id="rId44" Type="http://schemas.openxmlformats.org/officeDocument/2006/relationships/hyperlink" Target="https://www.eesc.europa.eu/de/our-work/opinions-information-reports/opinions/revision-union-civil-protection-mechanism" TargetMode="External"/><Relationship Id="rId52" Type="http://schemas.openxmlformats.org/officeDocument/2006/relationships/hyperlink" Target="mailto:Adam.Dorywalski@eesc.europa.eu" TargetMode="External"/><Relationship Id="rId60"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eesc.europa.eu/de/our-work/opinions-information-reports/opinions/establishing-european-fund-regional-development-including-european-territorial-cooperation-interreg-and-cohesion-fund" TargetMode="External"/><Relationship Id="rId27" Type="http://schemas.openxmlformats.org/officeDocument/2006/relationships/hyperlink" Target="mailto:Alessia.Cova@eesc.europa.eu" TargetMode="External"/><Relationship Id="rId30" Type="http://schemas.openxmlformats.org/officeDocument/2006/relationships/hyperlink" Target="mailto:Maja.Radman@eesc.europa.eu" TargetMode="External"/><Relationship Id="rId35" Type="http://schemas.openxmlformats.org/officeDocument/2006/relationships/hyperlink" Target="mailto:Annalisa.Tessarolo@eesc.europa.eu" TargetMode="External"/><Relationship Id="rId43" Type="http://schemas.openxmlformats.org/officeDocument/2006/relationships/hyperlink" Target="mailto:Martine.Delanoy@eesc.europa.eu" TargetMode="External"/><Relationship Id="rId48" Type="http://schemas.openxmlformats.org/officeDocument/2006/relationships/hyperlink" Target="mailto:Daniele.Vitali@eesc.europa.eu" TargetMode="External"/><Relationship Id="rId56" Type="http://schemas.openxmlformats.org/officeDocument/2006/relationships/header" Target="header5.xml"/><Relationship Id="rId8" Type="http://schemas.openxmlformats.org/officeDocument/2006/relationships/webSettings" Target="webSettings.xml"/><Relationship Id="rId51" Type="http://schemas.openxmlformats.org/officeDocument/2006/relationships/hyperlink" Target="https://www.eesc.europa.eu/de/our-work/opinions-information-reports/opinions/facilitating-potential-permanent-materials-eu-circular-economy" TargetMode="External"/><Relationship Id="rId3" Type="http://schemas.openxmlformats.org/officeDocument/2006/relationships/customXml" Target="../customXml/item3.xml"/><Relationship Id="rId12" Type="http://schemas.openxmlformats.org/officeDocument/2006/relationships/hyperlink" Target="https://www.eesc.europa.eu/de/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mailto:june.bedaton@eesc.europa.eu" TargetMode="External"/><Relationship Id="rId33" Type="http://schemas.openxmlformats.org/officeDocument/2006/relationships/hyperlink" Target="mailto:Albert.Precup@eesc.europa.eu" TargetMode="External"/><Relationship Id="rId38" Type="http://schemas.openxmlformats.org/officeDocument/2006/relationships/hyperlink" Target="https://www.eesc.europa.eu/de/our-work/opinions-information-reports/opinions/competitiveness-fund" TargetMode="External"/><Relationship Id="rId46" Type="http://schemas.openxmlformats.org/officeDocument/2006/relationships/hyperlink" Target="mailto:Marie-Laurence.Drillon@eesc.europa.eu" TargetMode="External"/><Relationship Id="rId59"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dE/TXT/?uri=uriserv%3AOJ.C_.2022.275.01.0088.01.DEU&amp;toc=OJ%3AC%3A2022%3A275%3ATOC" TargetMode="External"/><Relationship Id="rId3" Type="http://schemas.openxmlformats.org/officeDocument/2006/relationships/hyperlink" Target="https://digital-strategy.ec.europa.eu/de/library/recommendation-protection-safety-and-empowerment-journalists" TargetMode="External"/><Relationship Id="rId7" Type="http://schemas.openxmlformats.org/officeDocument/2006/relationships/hyperlink" Target="https://www.eesc.europa.eu/de/our-work/opinions-information-reports/opinions/minimising-risk-deforestation-and-forest-degradation-associated-products-placed-eu-market" TargetMode="External"/><Relationship Id="rId2" Type="http://schemas.openxmlformats.org/officeDocument/2006/relationships/hyperlink" Target="https://eur-lex.europa.eu/legal-content/DE/TXT/?uri=CELEX%3A52022XC0930%2802%29" TargetMode="External"/><Relationship Id="rId1" Type="http://schemas.openxmlformats.org/officeDocument/2006/relationships/hyperlink" Target="https://eur-lex.europa.eu/legal-content/DE/TXT/?uri=legissum:4623532" TargetMode="External"/><Relationship Id="rId6" Type="http://schemas.openxmlformats.org/officeDocument/2006/relationships/hyperlink" Target="https://eur-lex.europa.eu/legal-content/DE/TXT/?uri=OJ:C_202406882" TargetMode="External"/><Relationship Id="rId5" Type="http://schemas.openxmlformats.org/officeDocument/2006/relationships/hyperlink" Target="https://www.eesc.europa.eu/de/our-work/opinions-information-reports/opinions/deforestation-amazon-rainforest-impact-climate-change-and-global-environment-consequences-companies-workers-and" TargetMode="External"/><Relationship Id="rId4" Type="http://schemas.openxmlformats.org/officeDocument/2006/relationships/hyperlink" Target="http://data.europa.eu/eli/C/2025/114/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B192796EE9568A4C8E77C6EF5F22B614" ma:contentTypeVersion="4" ma:contentTypeDescription="Defines the documents for Document Manager V2" ma:contentTypeScope="" ma:versionID="b9faea45a7e02bbb816d4162149d5e49">
  <xsd:schema xmlns:xsd="http://www.w3.org/2001/XMLSchema" xmlns:xs="http://www.w3.org/2001/XMLSchema" xmlns:p="http://schemas.microsoft.com/office/2006/metadata/properties" xmlns:ns2="1a33af13-4045-4f88-9d7b-618e30f79918" xmlns:ns3="http://schemas.microsoft.com/sharepoint/v3/fields" xmlns:ns4="27994258-8564-426c-a7a1-d6286d62992e" targetNamespace="http://schemas.microsoft.com/office/2006/metadata/properties" ma:root="true" ma:fieldsID="af51dee0f9c2d9a0a51b5858d1a4441d" ns2:_="" ns3:_="" ns4:_="">
    <xsd:import namespace="1a33af13-4045-4f88-9d7b-618e30f79918"/>
    <xsd:import namespace="http://schemas.microsoft.com/sharepoint/v3/fields"/>
    <xsd:import namespace="27994258-8564-426c-a7a1-d6286d62992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994258-8564-426c-a7a1-d6286d62992e"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A6WAAD5KZT2Q-284857674-6439</_dlc_DocId>
    <_dlc_DocIdUrl xmlns="1a33af13-4045-4f88-9d7b-618e30f79918">
      <Url>http://dm/eesc/2025/_layouts/15/DocIdRedir.aspx?ID=A6WAAD5KZT2Q-284857674-6439</Url>
      <Description>A6WAAD5KZT2Q-284857674-6439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2025-12-22T12:00:00+00:00</ProductionDate>
    <DocumentNumber xmlns="27994258-8564-426c-a7a1-d6286d62992e">3552</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1a33af13-4045-4f88-9d7b-618e30f79918">
      <Value>67</Value>
      <Value>50</Value>
      <Value>47</Value>
      <Value>46</Value>
      <Value>42</Value>
      <Value>41</Value>
      <Value>40</Value>
      <Value>39</Value>
      <Value>37</Value>
      <Value>36</Value>
      <Value>35</Value>
      <Value>34</Value>
      <Value>33</Value>
      <Value>31</Value>
      <Value>30</Value>
      <Value>29</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s>
    </DocumentLanguage_0>
    <MeetingDate xmlns="1a33af13-4045-4f88-9d7b-618e30f79918">2026-01-21T12:00:00+00:00</MeetingDat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297819</FicheNumber>
    <OriginalSender xmlns="1a33af13-4045-4f88-9d7b-618e30f79918">
      <UserInfo>
        <DisplayName>Gumm Alexander</DisplayName>
        <AccountId>1510</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27994258-8564-426c-a7a1-d6286d62992e" xsi:nil="true"/>
    <DossierName_0 xmlns="http://schemas.microsoft.com/sharepoint/v3/fields">
      <Terms xmlns="http://schemas.microsoft.com/office/infopath/2007/PartnerControls"/>
    </DossierName_0>
    <DocumentVersion xmlns="1a33af13-4045-4f88-9d7b-618e30f79918">0</DocumentVersion>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5982D98-2B49-4D8D-9E82-3A196D630916}">
  <ds:schemaRefs>
    <ds:schemaRef ds:uri="http://schemas.microsoft.com/sharepoint/v3/contenttype/forms"/>
  </ds:schemaRefs>
</ds:datastoreItem>
</file>

<file path=customXml/itemProps2.xml><?xml version="1.0" encoding="utf-8"?>
<ds:datastoreItem xmlns:ds="http://schemas.openxmlformats.org/officeDocument/2006/customXml" ds:itemID="{6C6D8BD0-208F-4B9F-A709-CA067AADF307}"/>
</file>

<file path=customXml/itemProps3.xml><?xml version="1.0" encoding="utf-8"?>
<ds:datastoreItem xmlns:ds="http://schemas.openxmlformats.org/officeDocument/2006/customXml" ds:itemID="{FA5B0471-EE33-4BA9-BB89-D492EFC236E6}">
  <ds:schemaRefs>
    <ds:schemaRef ds:uri="http://schemas.microsoft.com/office/2006/metadata/properties"/>
    <ds:schemaRef ds:uri="http://schemas.microsoft.com/office/infopath/2007/PartnerControls"/>
    <ds:schemaRef ds:uri="bdd5dab9-bfdd-4431-a245-30f3c6677de9"/>
    <ds:schemaRef ds:uri="http://schemas.microsoft.com/sharepoint/v3/fields"/>
    <ds:schemaRef ds:uri="eb21defb-1074-42ca-8d3e-c3f375910b41"/>
  </ds:schemaRefs>
</ds:datastoreItem>
</file>

<file path=customXml/itemProps4.xml><?xml version="1.0" encoding="utf-8"?>
<ds:datastoreItem xmlns:ds="http://schemas.openxmlformats.org/officeDocument/2006/customXml" ds:itemID="{4550B7D9-B944-4719-A93C-2F495E04151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7749</Words>
  <Characters>44175</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Manager/>
  <Company/>
  <LinksUpToDate>false</LinksUpToDate>
  <CharactersWithSpaces>51821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Zusammenfassung der Stellungnahmen - 601. Plenartagung - Dezember 2025</dc:title>
  <dc:subject>ADMIN</dc:subject>
  <dc:creator/>
  <cp:keywords>COR-EESC-2022-02583-00-00-ADMIN-TRA-EN</cp:keywords>
  <dc:description>Rapporteur:  - Original language: EN - Date of document: 20/05/2022 - Date of meeting:  - External documents:  - Administrator:  SUCIU Serban</dc:description>
  <cp:lastModifiedBy/>
  <cp:revision>15</cp:revision>
  <dcterms:created xsi:type="dcterms:W3CDTF">2025-12-15T10:39:00Z</dcterms:created>
  <dcterms:modified xsi:type="dcterms:W3CDTF">2025-12-22T09:34:00Z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15/12/2025, 02/05/2022, 02/05/2022, 28/06/2021</vt:lpwstr>
  </property>
  <property fmtid="{D5CDD505-2E9C-101B-9397-08002B2CF9AE}" pid="4" name="Pref_Time">
    <vt:lpwstr>11:21:32, 12:28:29, 12:25:37, 08:41:48</vt:lpwstr>
  </property>
  <property fmtid="{D5CDD505-2E9C-101B-9397-08002B2CF9AE}" pid="5" name="Pref_User">
    <vt:lpwstr>jhvi, enied, enied, enied</vt:lpwstr>
  </property>
  <property fmtid="{D5CDD505-2E9C-101B-9397-08002B2CF9AE}" pid="6" name="Pref_FileName">
    <vt:lpwstr>EESC-2025-03552-00-00-TCD-ORI.docx, Summary of opinions.docx, COR-EESC-2022-02370-00-00-ADMIN-ORI.docx, Synthese des avis Template.docx</vt:lpwstr>
  </property>
  <property fmtid="{D5CDD505-2E9C-101B-9397-08002B2CF9AE}" pid="7" name="ContentTypeId">
    <vt:lpwstr>0x010100EA97B91038054C99906057A708A1480A00B192796EE9568A4C8E77C6EF5F22B614</vt:lpwstr>
  </property>
  <property fmtid="{D5CDD505-2E9C-101B-9397-08002B2CF9AE}" pid="8" name="_dlc_DocIdItemGuid">
    <vt:lpwstr>23d79a72-d6f0-45f8-a6f0-074a22d64d56</vt:lpwstr>
  </property>
  <property fmtid="{D5CDD505-2E9C-101B-9397-08002B2CF9AE}" pid="9" name="AvailableTranslations">
    <vt:lpwstr>23;#DE|f6b31e5a-26fa-4935-b661-318e46daf27e;#30;#LT|a7ff5ce7-6123-4f68-865a-a57c31810414;#28;#SV|c2ed69e7-a339-43d7-8f22-d93680a92aa0;#27;#NL|55c6556c-b4f4-441d-9acf-c498d4f838bd;#41;#ET|ff6c3f4c-b02c-4c3c-ab07-2c37995a7a0a;#5;#EN|f2175f21-25d7-44a3-96da-d6a61b075e1b;#35;#FI|87606a43-d45f-42d6-b8c9-e1a3457db5b7;#39;#LV|46f7e311-5d9f-4663-b433-18aeccb7ace7;#40;#DA|5d49c027-8956-412b-aa16-e85a0f96ad0e;#42;#EL|6d4f4d51-af9b-4650-94b4-4276bee85c91;#34;#IT|0774613c-01ed-4e5d-a25d-11d2388de825;#46;#SK|46d9fce0-ef79-4f71-b89b-cd6aa82426b8;#12;#FR|d2afafd3-4c81-4f60-8f52-ee33f2f54ff3;#50;#HR|2f555653-ed1a-4fe6-8362-9082d95989e5;#31;#SL|98a412ae-eb01-49e9-ae3d-585a81724cfc;#29;#CS|72f9705b-0217-4fd3-bea2-cbc7ed80e26e;#37;#HU|6b229040-c589-4408-b4c1-4285663d20a8;#36;#RO|feb747a2-64cd-4299-af12-4833ddc30497;#16;#ES|e7a6b05b-ae16-40c8-add9-68b64b03aeba;#33;#PT|50ccc04a-eadd-42ae-a0cb-acaf45f812ba;#24;#PL|1e03da61-4678-4e07-b136-b5024ca9197b;#47;#BG|1a1b3951-7821-4e6a-85f5-5673fc08bd2c</vt:lpwstr>
  </property>
  <property fmtid="{D5CDD505-2E9C-101B-9397-08002B2CF9AE}" pid="10" name="DocumentType_0">
    <vt:lpwstr>TCD|cd9d6eb6-3f4f-424a-b2d1-57c9d450eaaf</vt:lpwstr>
  </property>
  <property fmtid="{D5CDD505-2E9C-101B-9397-08002B2CF9AE}" pid="11" name="DocumentSource_0">
    <vt:lpwstr>EESC|422833ec-8d7e-4e65-8e4e-8bed07ffb729</vt:lpwstr>
  </property>
  <property fmtid="{D5CDD505-2E9C-101B-9397-08002B2CF9AE}" pid="12" name="ProductionDate">
    <vt:filetime>2022-05-18T12:00:00Z</vt:filetime>
  </property>
  <property fmtid="{D5CDD505-2E9C-101B-9397-08002B2CF9AE}" pid="13" name="DocumentNumber">
    <vt:i4>3552</vt:i4>
  </property>
  <property fmtid="{D5CDD505-2E9C-101B-9397-08002B2CF9AE}" pid="14" name="DocumentVersion">
    <vt:i4>0</vt:i4>
  </property>
  <property fmtid="{D5CDD505-2E9C-101B-9397-08002B2CF9AE}" pid="15" name="DocumentStatus">
    <vt:lpwstr>13;#TRA|150d2a88-1431-44e6-a8ca-0bb753ab8672</vt:lpwstr>
  </property>
  <property fmtid="{D5CDD505-2E9C-101B-9397-08002B2CF9AE}" pid="16" name="DossierName">
    <vt:lpwstr/>
  </property>
  <property fmtid="{D5CDD505-2E9C-101B-9397-08002B2CF9AE}" pid="17" name="Confidentiality_0">
    <vt:lpwstr>Unrestricted|826e22d7-d029-4ec0-a450-0c28ff673572</vt:lpwstr>
  </property>
  <property fmtid="{D5CDD505-2E9C-101B-9397-08002B2CF9AE}" pid="18" name="Confidentiality">
    <vt:lpwstr>15;#Unrestricted|826e22d7-d029-4ec0-a450-0c28ff673572</vt:lpwstr>
  </property>
  <property fmtid="{D5CDD505-2E9C-101B-9397-08002B2CF9AE}" pid="19" name="OriginalLanguage">
    <vt:lpwstr>5;#EN|f2175f21-25d7-44a3-96da-d6a61b075e1b</vt:lpwstr>
  </property>
  <property fmtid="{D5CDD505-2E9C-101B-9397-08002B2CF9AE}" pid="20" name="MeetingName">
    <vt:lpwstr>67;#SPL-CES|32d8cb1f-c9ec-4365-95c7-8385a18618ac</vt:lpwstr>
  </property>
  <property fmtid="{D5CDD505-2E9C-101B-9397-08002B2CF9AE}" pid="21" name="TaxCatchAll">
    <vt:lpwstr>42;#EL|6d4f4d51-af9b-4650-94b4-4276bee85c91;#35;#FI|87606a43-d45f-42d6-b8c9-e1a3457db5b7;#34;#IT|0774613c-01ed-4e5d-a25d-11d2388de825;#33;#PT|50ccc04a-eadd-42ae-a0cb-acaf45f812ba;#31;#SL|98a412ae-eb01-49e9-ae3d-585a81724cfc;#30;#LT|a7ff5ce7-6123-4f68-865a-a57c31810414;#67;#SPL-CES|32d8cb1f-c9ec-4365-95c7-8385a18618ac;#28;#SV|c2ed69e7-a339-43d7-8f22-d93680a92aa0;#27;#NL|55c6556c-b4f4-441d-9acf-c498d4f838bd;#50;#HR|2f555653-ed1a-4fe6-8362-9082d95989e5;#19;#TCD|cd9d6eb6-3f4f-424a-b2d1-57c9d450eaaf;#16;#ES|e7a6b05b-ae16-40c8-add9-68b64b03aeba;#15;#Unrestricted|826e22d7-d029-4ec0-a450-0c28ff673572;#13;#TRA|150d2a88-1431-44e6-a8ca-0bb753ab8672;#12;#FR|d2afafd3-4c81-4f60-8f52-ee33f2f54ff3;#47;#BG|1a1b3951-7821-4e6a-85f5-5673fc08bd2c;#8;#Final|ea5e6674-7b27-4bac-b091-73adbb394efe;#36;#RO|feb747a2-64cd-4299-af12-4833ddc30497;#5;#EN|f2175f21-25d7-44a3-96da-d6a61b075e1b;#41;#ET|ff6c3f4c-b02c-4c3c-ab07-2c37995a7a0a;#40;#DA|5d49c027-8956-412b-aa16-e85a0f96ad0e;#39;#LV|46f7e311-5d9f-4663-b433-18aeccb7ace7;#1;#EESC|422833ec-8d7e-4e65-8e4e-8bed07ffb729;#37;#HU|6b229040-c589-4408-b4c1-4285663d20a8</vt:lpwstr>
  </property>
  <property fmtid="{D5CDD505-2E9C-101B-9397-08002B2CF9AE}" pid="22" name="DocumentLanguage_0">
    <vt:lpwstr>EN|f2175f21-25d7-44a3-96da-d6a61b075e1b</vt:lpwstr>
  </property>
  <property fmtid="{D5CDD505-2E9C-101B-9397-08002B2CF9AE}" pid="23" name="VersionStatus_0">
    <vt:lpwstr>Final|ea5e6674-7b27-4bac-b091-73adbb394efe</vt:lpwstr>
  </property>
  <property fmtid="{D5CDD505-2E9C-101B-9397-08002B2CF9AE}" pid="24" name="VersionStatus">
    <vt:lpwstr>8;#Final|ea5e6674-7b27-4bac-b091-73adbb394efe</vt:lpwstr>
  </property>
  <property fmtid="{D5CDD505-2E9C-101B-9397-08002B2CF9AE}" pid="25" name="DocumentYear">
    <vt:i4>2025</vt:i4>
  </property>
  <property fmtid="{D5CDD505-2E9C-101B-9397-08002B2CF9AE}" pid="26" name="FicheNumber">
    <vt:i4>297819</vt:i4>
  </property>
  <property fmtid="{D5CDD505-2E9C-101B-9397-08002B2CF9AE}" pid="27" name="OriginalSender">
    <vt:lpwstr>1528;#TDriveSVCUserProd</vt:lpwstr>
  </property>
  <property fmtid="{D5CDD505-2E9C-101B-9397-08002B2CF9AE}" pid="28" name="DocumentPart">
    <vt:i4>0</vt:i4>
  </property>
  <property fmtid="{D5CDD505-2E9C-101B-9397-08002B2CF9AE}" pid="29" name="DocumentSource">
    <vt:lpwstr>1;#EESC|422833ec-8d7e-4e65-8e4e-8bed07ffb729</vt:lpwstr>
  </property>
  <property fmtid="{D5CDD505-2E9C-101B-9397-08002B2CF9AE}" pid="30" name="DocumentType">
    <vt:lpwstr>19;#TCD|cd9d6eb6-3f4f-424a-b2d1-57c9d450eaaf</vt:lpwstr>
  </property>
  <property fmtid="{D5CDD505-2E9C-101B-9397-08002B2CF9AE}" pid="31" name="RequestingService">
    <vt:lpwstr>Greffe</vt:lpwstr>
  </property>
  <property fmtid="{D5CDD505-2E9C-101B-9397-08002B2CF9AE}" pid="32" name="DocumentLanguage">
    <vt:lpwstr>23;#DE|f6b31e5a-26fa-4935-b661-318e46daf27e</vt:lpwstr>
  </property>
  <property fmtid="{D5CDD505-2E9C-101B-9397-08002B2CF9AE}" pid="33" name="AvailableTranslations_0">
    <vt:lpwstr>LT|a7ff5ce7-6123-4f68-865a-a57c31810414;SV|c2ed69e7-a339-43d7-8f22-d93680a92aa0;NL|55c6556c-b4f4-441d-9acf-c498d4f838bd;ET|ff6c3f4c-b02c-4c3c-ab07-2c37995a7a0a;EN|f2175f21-25d7-44a3-96da-d6a61b075e1b;FI|87606a43-d45f-42d6-b8c9-e1a3457db5b7;LV|46f7e311-5d9f-4663-b433-18aeccb7ace7;DA|5d49c027-8956-412b-aa16-e85a0f96ad0e;EL|6d4f4d51-af9b-4650-94b4-4276bee85c91;IT|0774613c-01ed-4e5d-a25d-11d2388de825;FR|d2afafd3-4c81-4f60-8f52-ee33f2f54ff3;HR|2f555653-ed1a-4fe6-8362-9082d95989e5;SL|98a412ae-eb01-49e9-ae3d-585a81724cfc;HU|6b229040-c589-4408-b4c1-4285663d20a8;RO|feb747a2-64cd-4299-af12-4833ddc30497;ES|e7a6b05b-ae16-40c8-add9-68b64b03aeba;PT|50ccc04a-eadd-42ae-a0cb-acaf45f812ba;BG|1a1b3951-7821-4e6a-85f5-5673fc08bd2c</vt:lpwstr>
  </property>
  <property fmtid="{D5CDD505-2E9C-101B-9397-08002B2CF9AE}" pid="34" name="DocumentStatus_0">
    <vt:lpwstr>TRA|150d2a88-1431-44e6-a8ca-0bb753ab8672</vt:lpwstr>
  </property>
  <property fmtid="{D5CDD505-2E9C-101B-9397-08002B2CF9AE}" pid="35" name="OriginalLanguage_0">
    <vt:lpwstr>EN|f2175f21-25d7-44a3-96da-d6a61b075e1b</vt:lpwstr>
  </property>
  <property fmtid="{D5CDD505-2E9C-101B-9397-08002B2CF9AE}" pid="36" name="_docset_NoMedatataSyncRequired">
    <vt:lpwstr>False</vt:lpwstr>
  </property>
  <property fmtid="{D5CDD505-2E9C-101B-9397-08002B2CF9AE}" pid="37" name="MeetingName_0">
    <vt:lpwstr>SPL-CES|32d8cb1f-c9ec-4365-95c7-8385a18618ac</vt:lpwstr>
  </property>
  <property fmtid="{D5CDD505-2E9C-101B-9397-08002B2CF9AE}" pid="38" name="DossierName_0">
    <vt:lpwstr/>
  </property>
  <property fmtid="{D5CDD505-2E9C-101B-9397-08002B2CF9AE}" pid="39" name="MeetingDate">
    <vt:filetime>2026-01-21T12:00:00Z</vt:filetime>
  </property>
</Properties>
</file>