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4BFD2713" w:rsidR="004D7AC0" w:rsidRDefault="00797C5C" w:rsidP="004D7AC0">
      <w:pPr>
        <w:jc w:val="center"/>
      </w:pPr>
      <w:r>
        <w:rPr>
          <w:noProof/>
        </w:rPr>
        <w:drawing>
          <wp:inline distT="0" distB="0" distL="0" distR="0" wp14:anchorId="5AD4B611" wp14:editId="2684B414">
            <wp:extent cx="1792605" cy="1239520"/>
            <wp:effectExtent l="0" t="0" r="0" b="0"/>
            <wp:docPr id="1" name="Picture 1" title="EESCLogo_DA"/>
            <wp:cNvGraphicFramePr/>
            <a:graphic xmlns:a="http://schemas.openxmlformats.org/drawingml/2006/main">
              <a:graphicData uri="http://schemas.openxmlformats.org/drawingml/2006/picture">
                <pic:pic xmlns:pic="http://schemas.openxmlformats.org/drawingml/2006/picture">
                  <pic:nvPicPr>
                    <pic:cNvPr id="1" name="Picture 1" title="EESCLogo_D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49D0EC81">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DA</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Bruxelles, den 17. december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 PLENARFORSAMLING</w:t>
            </w:r>
          </w:p>
          <w:p w14:paraId="4982DD54" w14:textId="77777777" w:rsidR="003066BE" w:rsidRDefault="003066BE" w:rsidP="00600C84">
            <w:pPr>
              <w:snapToGrid w:val="0"/>
              <w:jc w:val="center"/>
              <w:rPr>
                <w:b/>
                <w:sz w:val="32"/>
                <w:szCs w:val="32"/>
              </w:rPr>
            </w:pPr>
          </w:p>
          <w:p w14:paraId="4982DD55" w14:textId="37DB9E89" w:rsidR="003066BE" w:rsidRDefault="00340927" w:rsidP="00600C84">
            <w:pPr>
              <w:snapToGrid w:val="0"/>
              <w:jc w:val="center"/>
              <w:rPr>
                <w:b/>
                <w:sz w:val="32"/>
                <w:szCs w:val="32"/>
              </w:rPr>
            </w:pPr>
            <w:r>
              <w:rPr>
                <w:b/>
                <w:sz w:val="32"/>
              </w:rPr>
              <w:t>3. og 4. december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SAMMENDRAG AF VEDTAGNE UDTALELSER, RESOLUTIONER OG INFORMATIONS- OGEVALUERINGSRAPPORTER</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Dette dokument findes på alle de officielle EU-sprog på </w:t>
            </w:r>
            <w:proofErr w:type="spellStart"/>
            <w:r>
              <w:t>EØSU's</w:t>
            </w:r>
            <w:proofErr w:type="spellEnd"/>
            <w:r>
              <w:t xml:space="preserve"> hjemmeside:</w:t>
            </w:r>
            <w:r>
              <w:br/>
            </w:r>
            <w:r>
              <w:br/>
            </w:r>
            <w:hyperlink r:id="rId12" w:history="1">
              <w:r>
                <w:rPr>
                  <w:rStyle w:val="Hyperlink"/>
                </w:rPr>
                <w:t>https://www.eesc.europa.eu/da/our-work/opinions-information-reports/plenary-session-summaries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De omtalte udtalelser kan konsulteres online via </w:t>
            </w:r>
            <w:proofErr w:type="spellStart"/>
            <w:r>
              <w:t>EØSU's</w:t>
            </w:r>
            <w:proofErr w:type="spellEnd"/>
            <w:r>
              <w:t xml:space="preserve"> database:</w:t>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Indholdsfortegnelse: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4D7AC0">
          <w:pPr>
            <w:pStyle w:val="TOCHeading"/>
            <w:rPr>
              <w:rFonts w:ascii="Times New Roman" w:hAnsi="Times New Roman" w:cs="Times New Roman"/>
              <w:color w:val="auto"/>
              <w:sz w:val="22"/>
              <w:szCs w:val="22"/>
            </w:rPr>
          </w:pPr>
        </w:p>
        <w:p w14:paraId="0FDD0EB7" w14:textId="5DC070B0" w:rsidR="00514509" w:rsidRDefault="004D7AC0" w:rsidP="00514509">
          <w:pPr>
            <w:pStyle w:val="TOC1"/>
            <w:tabs>
              <w:tab w:val="left" w:pos="440"/>
              <w:tab w:val="right" w:leader="dot" w:pos="9063"/>
            </w:tabs>
            <w:ind w:left="440" w:hanging="440"/>
            <w:rPr>
              <w:rFonts w:asciiTheme="minorHAnsi" w:eastAsiaTheme="minorEastAsia" w:hAnsiTheme="minorHAnsi" w:cstheme="minorBidi"/>
              <w:noProof/>
            </w:rPr>
          </w:pPr>
          <w:r>
            <w:fldChar w:fldCharType="begin"/>
          </w:r>
          <w:r>
            <w:instrText xml:space="preserve"> TOC \o "1-3" \h \z \u </w:instrText>
          </w:r>
          <w:r>
            <w:fldChar w:fldCharType="separate"/>
          </w:r>
          <w:hyperlink w:anchor="_Toc216967779" w:history="1">
            <w:r w:rsidR="00514509" w:rsidRPr="00EE25B0">
              <w:rPr>
                <w:rStyle w:val="Hyperlink"/>
                <w:b/>
                <w:noProof/>
              </w:rPr>
              <w:t>1.</w:t>
            </w:r>
            <w:r w:rsidR="00514509">
              <w:rPr>
                <w:rFonts w:asciiTheme="minorHAnsi" w:eastAsiaTheme="minorEastAsia" w:hAnsiTheme="minorHAnsi" w:cstheme="minorBidi"/>
                <w:noProof/>
              </w:rPr>
              <w:tab/>
            </w:r>
            <w:r w:rsidR="00514509" w:rsidRPr="00EE25B0">
              <w:rPr>
                <w:rStyle w:val="Hyperlink"/>
                <w:b/>
                <w:noProof/>
              </w:rPr>
              <w:t>DEN ØKONOMISKE OG MONETÆRE UNION OG ØKONOMISK OG SOCIAL SAMHØRIGHED</w:t>
            </w:r>
            <w:r w:rsidR="00514509">
              <w:rPr>
                <w:noProof/>
                <w:webHidden/>
              </w:rPr>
              <w:tab/>
            </w:r>
            <w:r w:rsidR="00514509">
              <w:rPr>
                <w:noProof/>
                <w:webHidden/>
              </w:rPr>
              <w:fldChar w:fldCharType="begin"/>
            </w:r>
            <w:r w:rsidR="00514509">
              <w:rPr>
                <w:noProof/>
                <w:webHidden/>
              </w:rPr>
              <w:instrText xml:space="preserve"> PAGEREF _Toc216967779 \h </w:instrText>
            </w:r>
            <w:r w:rsidR="00514509">
              <w:rPr>
                <w:noProof/>
                <w:webHidden/>
              </w:rPr>
            </w:r>
            <w:r w:rsidR="00514509">
              <w:rPr>
                <w:noProof/>
                <w:webHidden/>
              </w:rPr>
              <w:fldChar w:fldCharType="separate"/>
            </w:r>
            <w:r w:rsidR="00AE07F8">
              <w:rPr>
                <w:noProof/>
                <w:webHidden/>
              </w:rPr>
              <w:t>3</w:t>
            </w:r>
            <w:r w:rsidR="00514509">
              <w:rPr>
                <w:noProof/>
                <w:webHidden/>
              </w:rPr>
              <w:fldChar w:fldCharType="end"/>
            </w:r>
          </w:hyperlink>
        </w:p>
        <w:p w14:paraId="2E8A4565" w14:textId="50878BEE"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0" w:history="1">
            <w:r w:rsidR="00514509" w:rsidRPr="00EE25B0">
              <w:rPr>
                <w:rStyle w:val="Hyperlink"/>
                <w:b/>
                <w:noProof/>
              </w:rPr>
              <w:t>2.</w:t>
            </w:r>
            <w:r w:rsidR="00514509">
              <w:rPr>
                <w:rFonts w:asciiTheme="minorHAnsi" w:eastAsiaTheme="minorEastAsia" w:hAnsiTheme="minorHAnsi" w:cstheme="minorBidi"/>
                <w:noProof/>
              </w:rPr>
              <w:tab/>
            </w:r>
            <w:r w:rsidR="00514509" w:rsidRPr="00EE25B0">
              <w:rPr>
                <w:rStyle w:val="Hyperlink"/>
                <w:b/>
                <w:noProof/>
              </w:rPr>
              <w:t>BESKÆFTIGELSE, SOCIALE SPØRGSMÅL OG UNIONSBORGERSKAB</w:t>
            </w:r>
            <w:r w:rsidR="00514509">
              <w:rPr>
                <w:noProof/>
                <w:webHidden/>
              </w:rPr>
              <w:tab/>
            </w:r>
            <w:r w:rsidR="00514509">
              <w:rPr>
                <w:noProof/>
                <w:webHidden/>
              </w:rPr>
              <w:fldChar w:fldCharType="begin"/>
            </w:r>
            <w:r w:rsidR="00514509">
              <w:rPr>
                <w:noProof/>
                <w:webHidden/>
              </w:rPr>
              <w:instrText xml:space="preserve"> PAGEREF _Toc216967780 \h </w:instrText>
            </w:r>
            <w:r w:rsidR="00514509">
              <w:rPr>
                <w:noProof/>
                <w:webHidden/>
              </w:rPr>
            </w:r>
            <w:r w:rsidR="00514509">
              <w:rPr>
                <w:noProof/>
                <w:webHidden/>
              </w:rPr>
              <w:fldChar w:fldCharType="separate"/>
            </w:r>
            <w:r w:rsidR="00AE07F8">
              <w:rPr>
                <w:noProof/>
                <w:webHidden/>
              </w:rPr>
              <w:t>6</w:t>
            </w:r>
            <w:r w:rsidR="00514509">
              <w:rPr>
                <w:noProof/>
                <w:webHidden/>
              </w:rPr>
              <w:fldChar w:fldCharType="end"/>
            </w:r>
          </w:hyperlink>
        </w:p>
        <w:p w14:paraId="16BFAB8D" w14:textId="32D3D632"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5" w:history="1">
            <w:r w:rsidR="00514509" w:rsidRPr="00EE25B0">
              <w:rPr>
                <w:rStyle w:val="Hyperlink"/>
                <w:b/>
                <w:noProof/>
              </w:rPr>
              <w:t>3.</w:t>
            </w:r>
            <w:r w:rsidR="00514509">
              <w:rPr>
                <w:rFonts w:asciiTheme="minorHAnsi" w:eastAsiaTheme="minorEastAsia" w:hAnsiTheme="minorHAnsi" w:cstheme="minorBidi"/>
                <w:noProof/>
              </w:rPr>
              <w:tab/>
            </w:r>
            <w:r w:rsidR="00514509" w:rsidRPr="00EE25B0">
              <w:rPr>
                <w:rStyle w:val="Hyperlink"/>
                <w:b/>
                <w:noProof/>
              </w:rPr>
              <w:t>TRANSPORT, ENERGI, INFRASTRUKTUR OG INFORMATIONSSAMFUNDET</w:t>
            </w:r>
            <w:r w:rsidR="00514509">
              <w:rPr>
                <w:noProof/>
                <w:webHidden/>
              </w:rPr>
              <w:tab/>
            </w:r>
            <w:r w:rsidR="00514509">
              <w:rPr>
                <w:noProof/>
                <w:webHidden/>
              </w:rPr>
              <w:fldChar w:fldCharType="begin"/>
            </w:r>
            <w:r w:rsidR="00514509">
              <w:rPr>
                <w:noProof/>
                <w:webHidden/>
              </w:rPr>
              <w:instrText xml:space="preserve"> PAGEREF _Toc216967785 \h </w:instrText>
            </w:r>
            <w:r w:rsidR="00514509">
              <w:rPr>
                <w:noProof/>
                <w:webHidden/>
              </w:rPr>
            </w:r>
            <w:r w:rsidR="00514509">
              <w:rPr>
                <w:noProof/>
                <w:webHidden/>
              </w:rPr>
              <w:fldChar w:fldCharType="separate"/>
            </w:r>
            <w:r w:rsidR="00AE07F8">
              <w:rPr>
                <w:noProof/>
                <w:webHidden/>
              </w:rPr>
              <w:t>10</w:t>
            </w:r>
            <w:r w:rsidR="00514509">
              <w:rPr>
                <w:noProof/>
                <w:webHidden/>
              </w:rPr>
              <w:fldChar w:fldCharType="end"/>
            </w:r>
          </w:hyperlink>
        </w:p>
        <w:p w14:paraId="5224FCFD" w14:textId="6A232074"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6" w:history="1">
            <w:r w:rsidR="00514509" w:rsidRPr="00EE25B0">
              <w:rPr>
                <w:rStyle w:val="Hyperlink"/>
                <w:b/>
                <w:noProof/>
              </w:rPr>
              <w:t>4.</w:t>
            </w:r>
            <w:r w:rsidR="00514509">
              <w:rPr>
                <w:rFonts w:asciiTheme="minorHAnsi" w:eastAsiaTheme="minorEastAsia" w:hAnsiTheme="minorHAnsi" w:cstheme="minorBidi"/>
                <w:noProof/>
              </w:rPr>
              <w:tab/>
            </w:r>
            <w:r w:rsidR="00514509" w:rsidRPr="00EE25B0">
              <w:rPr>
                <w:rStyle w:val="Hyperlink"/>
                <w:b/>
                <w:noProof/>
              </w:rPr>
              <w:t>DET INDRE MARKED, PRODUKTION OG FORBRUG</w:t>
            </w:r>
            <w:r w:rsidR="00514509">
              <w:rPr>
                <w:noProof/>
                <w:webHidden/>
              </w:rPr>
              <w:tab/>
            </w:r>
            <w:r w:rsidR="00514509">
              <w:rPr>
                <w:noProof/>
                <w:webHidden/>
              </w:rPr>
              <w:fldChar w:fldCharType="begin"/>
            </w:r>
            <w:r w:rsidR="00514509">
              <w:rPr>
                <w:noProof/>
                <w:webHidden/>
              </w:rPr>
              <w:instrText xml:space="preserve"> PAGEREF _Toc216967786 \h </w:instrText>
            </w:r>
            <w:r w:rsidR="00514509">
              <w:rPr>
                <w:noProof/>
                <w:webHidden/>
              </w:rPr>
            </w:r>
            <w:r w:rsidR="00514509">
              <w:rPr>
                <w:noProof/>
                <w:webHidden/>
              </w:rPr>
              <w:fldChar w:fldCharType="separate"/>
            </w:r>
            <w:r w:rsidR="00AE07F8">
              <w:rPr>
                <w:noProof/>
                <w:webHidden/>
              </w:rPr>
              <w:t>13</w:t>
            </w:r>
            <w:r w:rsidR="00514509">
              <w:rPr>
                <w:noProof/>
                <w:webHidden/>
              </w:rPr>
              <w:fldChar w:fldCharType="end"/>
            </w:r>
          </w:hyperlink>
        </w:p>
        <w:p w14:paraId="700A5BA9" w14:textId="176BAF1D"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7" w:history="1">
            <w:r w:rsidR="00514509" w:rsidRPr="00EE25B0">
              <w:rPr>
                <w:rStyle w:val="Hyperlink"/>
                <w:b/>
                <w:noProof/>
              </w:rPr>
              <w:t>5.</w:t>
            </w:r>
            <w:r w:rsidR="00514509">
              <w:rPr>
                <w:rFonts w:asciiTheme="minorHAnsi" w:eastAsiaTheme="minorEastAsia" w:hAnsiTheme="minorHAnsi" w:cstheme="minorBidi"/>
                <w:noProof/>
              </w:rPr>
              <w:tab/>
            </w:r>
            <w:r w:rsidR="00514509" w:rsidRPr="00EE25B0">
              <w:rPr>
                <w:rStyle w:val="Hyperlink"/>
                <w:b/>
                <w:noProof/>
              </w:rPr>
              <w:t>LANDBRUG, UDVIKLING AF LANDDISTRIKTERNE OG MILJØ</w:t>
            </w:r>
            <w:r w:rsidR="00514509">
              <w:rPr>
                <w:noProof/>
                <w:webHidden/>
              </w:rPr>
              <w:tab/>
            </w:r>
            <w:r w:rsidR="00514509">
              <w:rPr>
                <w:noProof/>
                <w:webHidden/>
              </w:rPr>
              <w:fldChar w:fldCharType="begin"/>
            </w:r>
            <w:r w:rsidR="00514509">
              <w:rPr>
                <w:noProof/>
                <w:webHidden/>
              </w:rPr>
              <w:instrText xml:space="preserve"> PAGEREF _Toc216967787 \h </w:instrText>
            </w:r>
            <w:r w:rsidR="00514509">
              <w:rPr>
                <w:noProof/>
                <w:webHidden/>
              </w:rPr>
            </w:r>
            <w:r w:rsidR="00514509">
              <w:rPr>
                <w:noProof/>
                <w:webHidden/>
              </w:rPr>
              <w:fldChar w:fldCharType="separate"/>
            </w:r>
            <w:r w:rsidR="00AE07F8">
              <w:rPr>
                <w:noProof/>
                <w:webHidden/>
              </w:rPr>
              <w:t>17</w:t>
            </w:r>
            <w:r w:rsidR="00514509">
              <w:rPr>
                <w:noProof/>
                <w:webHidden/>
              </w:rPr>
              <w:fldChar w:fldCharType="end"/>
            </w:r>
          </w:hyperlink>
        </w:p>
        <w:p w14:paraId="586B55DC" w14:textId="710A569D"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8" w:history="1">
            <w:r w:rsidR="00514509" w:rsidRPr="00EE25B0">
              <w:rPr>
                <w:rStyle w:val="Hyperlink"/>
                <w:b/>
                <w:noProof/>
              </w:rPr>
              <w:t>6.</w:t>
            </w:r>
            <w:r w:rsidR="00514509">
              <w:rPr>
                <w:rFonts w:asciiTheme="minorHAnsi" w:eastAsiaTheme="minorEastAsia" w:hAnsiTheme="minorHAnsi" w:cstheme="minorBidi"/>
                <w:noProof/>
              </w:rPr>
              <w:tab/>
            </w:r>
            <w:r w:rsidR="00514509" w:rsidRPr="00EE25B0">
              <w:rPr>
                <w:rStyle w:val="Hyperlink"/>
                <w:b/>
                <w:noProof/>
              </w:rPr>
              <w:t>EKSTERNE FORBINDELSER</w:t>
            </w:r>
            <w:r w:rsidR="00514509">
              <w:rPr>
                <w:noProof/>
                <w:webHidden/>
              </w:rPr>
              <w:tab/>
            </w:r>
            <w:r w:rsidR="00514509">
              <w:rPr>
                <w:noProof/>
                <w:webHidden/>
              </w:rPr>
              <w:fldChar w:fldCharType="begin"/>
            </w:r>
            <w:r w:rsidR="00514509">
              <w:rPr>
                <w:noProof/>
                <w:webHidden/>
              </w:rPr>
              <w:instrText xml:space="preserve"> PAGEREF _Toc216967788 \h </w:instrText>
            </w:r>
            <w:r w:rsidR="00514509">
              <w:rPr>
                <w:noProof/>
                <w:webHidden/>
              </w:rPr>
            </w:r>
            <w:r w:rsidR="00514509">
              <w:rPr>
                <w:noProof/>
                <w:webHidden/>
              </w:rPr>
              <w:fldChar w:fldCharType="separate"/>
            </w:r>
            <w:r w:rsidR="00AE07F8">
              <w:rPr>
                <w:noProof/>
                <w:webHidden/>
              </w:rPr>
              <w:t>20</w:t>
            </w:r>
            <w:r w:rsidR="00514509">
              <w:rPr>
                <w:noProof/>
                <w:webHidden/>
              </w:rPr>
              <w:fldChar w:fldCharType="end"/>
            </w:r>
          </w:hyperlink>
        </w:p>
        <w:p w14:paraId="28C9AF51" w14:textId="70F7BBC8" w:rsidR="00514509" w:rsidRDefault="00300901">
          <w:pPr>
            <w:pStyle w:val="TOC1"/>
            <w:tabs>
              <w:tab w:val="left" w:pos="440"/>
              <w:tab w:val="right" w:leader="dot" w:pos="9063"/>
            </w:tabs>
            <w:rPr>
              <w:rFonts w:asciiTheme="minorHAnsi" w:eastAsiaTheme="minorEastAsia" w:hAnsiTheme="minorHAnsi" w:cstheme="minorBidi"/>
              <w:noProof/>
            </w:rPr>
          </w:pPr>
          <w:hyperlink w:anchor="_Toc216967789" w:history="1">
            <w:r w:rsidR="00514509" w:rsidRPr="00EE25B0">
              <w:rPr>
                <w:rStyle w:val="Hyperlink"/>
                <w:b/>
                <w:noProof/>
              </w:rPr>
              <w:t>7.</w:t>
            </w:r>
            <w:r w:rsidR="00514509">
              <w:rPr>
                <w:rFonts w:asciiTheme="minorHAnsi" w:eastAsiaTheme="minorEastAsia" w:hAnsiTheme="minorHAnsi" w:cstheme="minorBidi"/>
                <w:noProof/>
              </w:rPr>
              <w:tab/>
            </w:r>
            <w:r w:rsidR="00514509" w:rsidRPr="00EE25B0">
              <w:rPr>
                <w:rStyle w:val="Hyperlink"/>
                <w:b/>
                <w:noProof/>
              </w:rPr>
              <w:t>DEN RÅDGIVENDE KOMMISSION FOR INDUSTRIELLE ÆNDRINGER</w:t>
            </w:r>
            <w:r w:rsidR="00514509">
              <w:rPr>
                <w:noProof/>
                <w:webHidden/>
              </w:rPr>
              <w:tab/>
            </w:r>
            <w:r w:rsidR="00514509">
              <w:rPr>
                <w:noProof/>
                <w:webHidden/>
              </w:rPr>
              <w:fldChar w:fldCharType="begin"/>
            </w:r>
            <w:r w:rsidR="00514509">
              <w:rPr>
                <w:noProof/>
                <w:webHidden/>
              </w:rPr>
              <w:instrText xml:space="preserve"> PAGEREF _Toc216967789 \h </w:instrText>
            </w:r>
            <w:r w:rsidR="00514509">
              <w:rPr>
                <w:noProof/>
                <w:webHidden/>
              </w:rPr>
            </w:r>
            <w:r w:rsidR="00514509">
              <w:rPr>
                <w:noProof/>
                <w:webHidden/>
              </w:rPr>
              <w:fldChar w:fldCharType="separate"/>
            </w:r>
            <w:r w:rsidR="00AE07F8">
              <w:rPr>
                <w:noProof/>
                <w:webHidden/>
              </w:rPr>
              <w:t>23</w:t>
            </w:r>
            <w:r w:rsidR="00514509">
              <w:rPr>
                <w:noProof/>
                <w:webHidden/>
              </w:rPr>
              <w:fldChar w:fldCharType="end"/>
            </w:r>
          </w:hyperlink>
        </w:p>
        <w:p w14:paraId="4982DD6A" w14:textId="5C577A76" w:rsidR="004D7AC0" w:rsidRDefault="004D7AC0" w:rsidP="004D7AC0">
          <w:r>
            <w:rPr>
              <w:b/>
            </w:rPr>
            <w:fldChar w:fldCharType="end"/>
          </w:r>
        </w:p>
      </w:sdtContent>
    </w:sdt>
    <w:p w14:paraId="4982DD6B" w14:textId="77777777" w:rsidR="004D7AC0" w:rsidRDefault="004D7AC0" w:rsidP="004D7AC0"/>
    <w:p w14:paraId="4982DD6C" w14:textId="77777777" w:rsidR="004D7AC0" w:rsidRDefault="004D7AC0" w:rsidP="004D7AC0">
      <w:pPr>
        <w:spacing w:after="160" w:line="259" w:lineRule="auto"/>
        <w:jc w:val="left"/>
      </w:pPr>
      <w:r>
        <w:br w:type="page"/>
      </w:r>
    </w:p>
    <w:p w14:paraId="4982DD6D" w14:textId="77777777" w:rsidR="004D7AC0" w:rsidRDefault="004D7AC0" w:rsidP="004D7AC0">
      <w:pPr>
        <w:pStyle w:val="Heading1"/>
        <w:rPr>
          <w:b/>
        </w:rPr>
      </w:pPr>
      <w:bookmarkStart w:id="0" w:name="_Toc216967779"/>
      <w:r>
        <w:rPr>
          <w:b/>
        </w:rPr>
        <w:lastRenderedPageBreak/>
        <w:t>DEN ØKONOMISKE OG MONETÆRE UNION OG ØKONOMISK OG SOCIAL SAMHØRIGHED</w:t>
      </w:r>
      <w:bookmarkEnd w:id="0"/>
    </w:p>
    <w:p w14:paraId="4982DD6E" w14:textId="77777777" w:rsidR="004D7AC0" w:rsidRDefault="004D7AC0" w:rsidP="004D7AC0"/>
    <w:p w14:paraId="7E506423" w14:textId="6FA3BED9" w:rsidR="00612898" w:rsidRPr="00612898" w:rsidRDefault="00300901"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0C794C">
          <w:rPr>
            <w:rStyle w:val="Hyperlink"/>
            <w:b/>
            <w:i/>
            <w:sz w:val="28"/>
          </w:rPr>
          <w:t>Gennemførelse af EU's makroregionale strategier – 5. rapport</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bCs/>
              </w:rPr>
              <w:t>Ordfører</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r>
              <w:t xml:space="preserve">Stefano </w:t>
            </w:r>
            <w:proofErr w:type="spellStart"/>
            <w:r>
              <w:t>Palmieri</w:t>
            </w:r>
            <w:proofErr w:type="spellEnd"/>
            <w:r>
              <w:t xml:space="preserve"> (Arbejdstagergruppen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Ref.</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COM(2025) 191 final</w:t>
            </w:r>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COM(2025) 196 final</w:t>
            </w:r>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0D33C5">
      <w:pPr>
        <w:keepNext/>
        <w:keepLines/>
        <w:tabs>
          <w:tab w:val="center" w:pos="284"/>
        </w:tabs>
        <w:overflowPunct w:val="0"/>
        <w:autoSpaceDE w:val="0"/>
        <w:autoSpaceDN w:val="0"/>
        <w:adjustRightInd w:val="0"/>
        <w:ind w:left="266" w:hanging="266"/>
        <w:textAlignment w:val="baseline"/>
        <w:rPr>
          <w:b/>
        </w:rPr>
      </w:pPr>
      <w:r>
        <w:rPr>
          <w:b/>
        </w:rPr>
        <w:t>Hovedpunkter</w:t>
      </w:r>
    </w:p>
    <w:p w14:paraId="7E8CAAEB" w14:textId="77777777" w:rsidR="004A6CE5" w:rsidRPr="00612898" w:rsidRDefault="004A6CE5" w:rsidP="000D33C5">
      <w:pPr>
        <w:keepNext/>
        <w:keepLines/>
        <w:tabs>
          <w:tab w:val="center" w:pos="284"/>
        </w:tabs>
        <w:overflowPunct w:val="0"/>
        <w:autoSpaceDE w:val="0"/>
        <w:autoSpaceDN w:val="0"/>
        <w:adjustRightInd w:val="0"/>
        <w:ind w:left="266" w:hanging="266"/>
        <w:textAlignment w:val="baseline"/>
        <w:rPr>
          <w:b/>
          <w:lang w:val="en-GB"/>
        </w:rPr>
      </w:pPr>
    </w:p>
    <w:p w14:paraId="231309DA" w14:textId="77777777" w:rsidR="000C794C" w:rsidRDefault="00612898" w:rsidP="000D33C5">
      <w:pPr>
        <w:rPr>
          <w:bCs/>
          <w:iCs/>
        </w:rPr>
      </w:pPr>
      <w:r>
        <w:t>EØSU:</w:t>
      </w:r>
    </w:p>
    <w:p w14:paraId="2C6DBA4D" w14:textId="77777777" w:rsidR="000C794C" w:rsidRDefault="000C794C" w:rsidP="00A74CF1">
      <w:pPr>
        <w:pStyle w:val="ListParagraph"/>
        <w:numPr>
          <w:ilvl w:val="0"/>
          <w:numId w:val="45"/>
        </w:numPr>
        <w:overflowPunct w:val="0"/>
        <w:autoSpaceDE w:val="0"/>
        <w:autoSpaceDN w:val="0"/>
        <w:adjustRightInd w:val="0"/>
        <w:ind w:left="567"/>
        <w:textAlignment w:val="baseline"/>
      </w:pPr>
      <w:r>
        <w:t>anerkender, at de makroregionale strategier spiller en rolle i skabelsen af synergier på flere niveauer mellem politikker, programmer og aktører. De har understøttet den grønne og den digitale omstilling og udviklet betydelig modstandsdygtighed og solidaritet under pandemien og de aktuelle kriser</w:t>
      </w:r>
    </w:p>
    <w:p w14:paraId="0890E81A" w14:textId="77777777" w:rsidR="000C794C" w:rsidRDefault="000C794C" w:rsidP="00A74CF1">
      <w:pPr>
        <w:pStyle w:val="ListParagraph"/>
        <w:numPr>
          <w:ilvl w:val="0"/>
          <w:numId w:val="45"/>
        </w:numPr>
        <w:overflowPunct w:val="0"/>
        <w:autoSpaceDE w:val="0"/>
        <w:autoSpaceDN w:val="0"/>
        <w:adjustRightInd w:val="0"/>
        <w:ind w:left="567"/>
        <w:textAlignment w:val="baseline"/>
      </w:pPr>
      <w:r>
        <w:t>opfordrer til at styrke den vertikale og horisontale flerniveauforvaltning ved at sikre, at de lokale strukturer bliver inddraget</w:t>
      </w:r>
    </w:p>
    <w:p w14:paraId="3A24F5E7" w14:textId="77777777" w:rsidR="000C794C" w:rsidRDefault="000C794C" w:rsidP="00A74CF1">
      <w:pPr>
        <w:pStyle w:val="ListParagraph"/>
        <w:numPr>
          <w:ilvl w:val="0"/>
          <w:numId w:val="45"/>
        </w:numPr>
        <w:overflowPunct w:val="0"/>
        <w:autoSpaceDE w:val="0"/>
        <w:autoSpaceDN w:val="0"/>
        <w:adjustRightInd w:val="0"/>
        <w:ind w:left="567"/>
        <w:textAlignment w:val="baseline"/>
      </w:pPr>
      <w:r>
        <w:t>hilser revisionsprocesserne velkommen og opfordrer til, at den sociale dimension, borgerdeltagelsen og det tværregionale samarbejde styrkes. De makroregionale strategier bør fungere som laboratorier for social inklusion og innovation med støtte til grøn beskatning og menneskelig kapital</w:t>
      </w:r>
    </w:p>
    <w:p w14:paraId="36FA6B32" w14:textId="77777777" w:rsidR="000C794C" w:rsidRDefault="000C794C" w:rsidP="00A74CF1">
      <w:pPr>
        <w:pStyle w:val="ListParagraph"/>
        <w:numPr>
          <w:ilvl w:val="0"/>
          <w:numId w:val="45"/>
        </w:numPr>
        <w:overflowPunct w:val="0"/>
        <w:autoSpaceDE w:val="0"/>
        <w:autoSpaceDN w:val="0"/>
        <w:adjustRightInd w:val="0"/>
        <w:ind w:left="567"/>
        <w:textAlignment w:val="baseline"/>
      </w:pPr>
      <w:r>
        <w:t xml:space="preserve">noterer sig de resultater, der er opnået med den makroregionale strategi for Østersøområdet, som har fremmet bæredygtigheden og </w:t>
      </w:r>
      <w:proofErr w:type="spellStart"/>
      <w:r>
        <w:t>konnektiviteten</w:t>
      </w:r>
      <w:proofErr w:type="spellEnd"/>
      <w:r>
        <w:t xml:space="preserve"> i området. Med revisionen i 2021, hvor </w:t>
      </w:r>
      <w:proofErr w:type="spellStart"/>
      <w:r>
        <w:t>Østersøstrategipunktet</w:t>
      </w:r>
      <w:proofErr w:type="spellEnd"/>
      <w:r>
        <w:t xml:space="preserve"> blev oprettet, er samarbejdet og forvaltningen blevet styrket. Selv om forbindelserne med Rusland og Belarus er blevet suspenderet, er strategien stadig vigtig</w:t>
      </w:r>
    </w:p>
    <w:p w14:paraId="3FEF338F" w14:textId="77777777" w:rsidR="000C794C" w:rsidRDefault="000C794C" w:rsidP="00A74CF1">
      <w:pPr>
        <w:pStyle w:val="ListParagraph"/>
        <w:numPr>
          <w:ilvl w:val="0"/>
          <w:numId w:val="45"/>
        </w:numPr>
        <w:overflowPunct w:val="0"/>
        <w:autoSpaceDE w:val="0"/>
        <w:autoSpaceDN w:val="0"/>
        <w:adjustRightInd w:val="0"/>
        <w:ind w:left="567"/>
        <w:textAlignment w:val="baseline"/>
      </w:pPr>
      <w:r>
        <w:t>fremhæver fremskridtene inden for den makroregionale strategi for Donauområdet. Revisionen i 2020 styrkede sammenhængen med EU's prioriteter og de unges deltagelse, selv om der er forskelle og ikke samme politiske engagement alle steder. Innovation og forvaltning er emner, der på ny er blevet taget op af formandskaberne</w:t>
      </w:r>
    </w:p>
    <w:p w14:paraId="5699B8FC" w14:textId="77777777" w:rsidR="000C794C" w:rsidRDefault="000C794C" w:rsidP="00A74CF1">
      <w:pPr>
        <w:pStyle w:val="ListParagraph"/>
        <w:numPr>
          <w:ilvl w:val="0"/>
          <w:numId w:val="45"/>
        </w:numPr>
        <w:overflowPunct w:val="0"/>
        <w:autoSpaceDE w:val="0"/>
        <w:autoSpaceDN w:val="0"/>
        <w:adjustRightInd w:val="0"/>
        <w:ind w:left="567"/>
        <w:textAlignment w:val="baseline"/>
      </w:pPr>
      <w:r>
        <w:t>gør opmærksom på resultaterne af den makroregionale strategi for området omkring Adriaterhavet og Det Joniske Hav, hvis handlingsplan for nylig er blevet ajourført med indførelsen af en femte social søjle. Strategien omfatter udvidelse, cirkulær økonomi og digitalisering og styrker partnerskaberne og modstandsdygtigheden</w:t>
      </w:r>
    </w:p>
    <w:p w14:paraId="625A72B0" w14:textId="77777777" w:rsidR="000C794C" w:rsidRDefault="000C794C" w:rsidP="00A74CF1">
      <w:pPr>
        <w:pStyle w:val="ListParagraph"/>
        <w:numPr>
          <w:ilvl w:val="0"/>
          <w:numId w:val="45"/>
        </w:numPr>
        <w:overflowPunct w:val="0"/>
        <w:autoSpaceDE w:val="0"/>
        <w:autoSpaceDN w:val="0"/>
        <w:adjustRightInd w:val="0"/>
        <w:ind w:left="567"/>
        <w:textAlignment w:val="baseline"/>
      </w:pPr>
      <w:r>
        <w:t>glæder sig over den makroregionale strategi for Alperegionen, som har styrket samarbejdet og en stabil forvaltning, ligesom den er åben over for tredjelande. Med revisionen bliver prioriteterne om digitalisering, energi, vandressourcer og cirkulær økonomi også omfattet</w:t>
      </w:r>
    </w:p>
    <w:p w14:paraId="42EEAD4B" w14:textId="77777777" w:rsidR="000C794C" w:rsidRDefault="000C794C" w:rsidP="00A74CF1">
      <w:pPr>
        <w:pStyle w:val="ListParagraph"/>
        <w:numPr>
          <w:ilvl w:val="0"/>
          <w:numId w:val="45"/>
        </w:numPr>
        <w:overflowPunct w:val="0"/>
        <w:autoSpaceDE w:val="0"/>
        <w:autoSpaceDN w:val="0"/>
        <w:adjustRightInd w:val="0"/>
        <w:ind w:left="567"/>
        <w:textAlignment w:val="baseline"/>
      </w:pPr>
      <w:r>
        <w:t>bemærker, at udvidelse med landene på Vestbalkan, Ukraine og Moldova er en strategisk prioritet, og at de makroregionale strategier kan bruges til at styrke samarbejdet og den institutionelle kapacitet</w:t>
      </w:r>
    </w:p>
    <w:p w14:paraId="597AEA8A" w14:textId="77777777" w:rsidR="000C794C" w:rsidRDefault="000C794C" w:rsidP="00A74CF1">
      <w:pPr>
        <w:pStyle w:val="ListParagraph"/>
        <w:numPr>
          <w:ilvl w:val="0"/>
          <w:numId w:val="45"/>
        </w:numPr>
        <w:overflowPunct w:val="0"/>
        <w:autoSpaceDE w:val="0"/>
        <w:autoSpaceDN w:val="0"/>
        <w:adjustRightInd w:val="0"/>
        <w:ind w:left="567"/>
        <w:textAlignment w:val="baseline"/>
      </w:pPr>
      <w:r>
        <w:t xml:space="preserve">fremhæver, at Ruslands militære aggression mod Ukraine har styrket de makroregionale strategiers rolle som instrumenter for solidaritet og modstandsdygtighed </w:t>
      </w:r>
    </w:p>
    <w:p w14:paraId="5B84973C" w14:textId="77777777" w:rsidR="000C794C" w:rsidRDefault="000C794C" w:rsidP="00A74CF1">
      <w:pPr>
        <w:pStyle w:val="ListParagraph"/>
        <w:keepNext/>
        <w:keepLines/>
        <w:numPr>
          <w:ilvl w:val="0"/>
          <w:numId w:val="45"/>
        </w:numPr>
        <w:overflowPunct w:val="0"/>
        <w:autoSpaceDE w:val="0"/>
        <w:autoSpaceDN w:val="0"/>
        <w:adjustRightInd w:val="0"/>
        <w:ind w:left="567"/>
        <w:textAlignment w:val="baseline"/>
      </w:pPr>
      <w:r>
        <w:lastRenderedPageBreak/>
        <w:t xml:space="preserve">finder den stedbaserede tilgang i de makroregionale strategier helt afgørende, da de europæiske prioriteter bliver tilpasset de særlige territoriale forhold, og samhørigheden fremmes med instrumenter som lokaludvikling styret af lokalsamfundet og innovative initiativer for bl.a. at fremme borgerdeltagelsen og de unges deltagelse </w:t>
      </w:r>
    </w:p>
    <w:p w14:paraId="08AAB03E" w14:textId="77777777" w:rsidR="000C794C" w:rsidRDefault="000C794C" w:rsidP="00A74CF1">
      <w:pPr>
        <w:pStyle w:val="ListParagraph"/>
        <w:numPr>
          <w:ilvl w:val="0"/>
          <w:numId w:val="45"/>
        </w:numPr>
        <w:overflowPunct w:val="0"/>
        <w:autoSpaceDE w:val="0"/>
        <w:autoSpaceDN w:val="0"/>
        <w:adjustRightInd w:val="0"/>
        <w:ind w:left="567"/>
        <w:textAlignment w:val="baseline"/>
      </w:pPr>
      <w:r>
        <w:t xml:space="preserve">opfordrer til, at forvaltningen og finansieringen styrkes ved at medtage prioriteterne for de makroregionale strategier i de vigtigste EU-programmer. Der er behov for at styrke de lokale kompetencer, konsolidere partnerskaber og aktivt inddrage civilsamfundet og de unge </w:t>
      </w:r>
    </w:p>
    <w:p w14:paraId="1737ED07" w14:textId="77777777" w:rsidR="000C794C" w:rsidRDefault="000C794C" w:rsidP="00A74CF1">
      <w:pPr>
        <w:pStyle w:val="ListParagraph"/>
        <w:numPr>
          <w:ilvl w:val="0"/>
          <w:numId w:val="45"/>
        </w:numPr>
        <w:overflowPunct w:val="0"/>
        <w:autoSpaceDE w:val="0"/>
        <w:autoSpaceDN w:val="0"/>
        <w:adjustRightInd w:val="0"/>
        <w:ind w:left="567"/>
        <w:textAlignment w:val="baseline"/>
      </w:pPr>
      <w:r>
        <w:t>er af den opfattelse, at den nye flerårige finansielle ramme (for perioden 2028-2034) indebærer nogle risici for de makroregionale strategiers korrekte funktion. Det er derfor helt afgørende, at prioriteterne for de makroregionale strategier medtages i partnerskabsplanerne</w:t>
      </w:r>
    </w:p>
    <w:p w14:paraId="578CE95A" w14:textId="221F33DE" w:rsidR="000C794C" w:rsidRDefault="000C794C" w:rsidP="00A74CF1">
      <w:pPr>
        <w:pStyle w:val="ListParagraph"/>
        <w:numPr>
          <w:ilvl w:val="0"/>
          <w:numId w:val="45"/>
        </w:numPr>
        <w:overflowPunct w:val="0"/>
        <w:autoSpaceDE w:val="0"/>
        <w:autoSpaceDN w:val="0"/>
        <w:adjustRightInd w:val="0"/>
        <w:ind w:left="567"/>
        <w:textAlignment w:val="baseline"/>
      </w:pPr>
      <w:r>
        <w:t>understreger, at der er behov for mere gennemsigtig og ansvarlig forvaltning uden korruption i de institutioner, der er involveret i de makroregionale strategier</w:t>
      </w:r>
    </w:p>
    <w:p w14:paraId="70A713C0" w14:textId="0A66AC79" w:rsidR="00612898" w:rsidRPr="00A74CF1" w:rsidRDefault="00A74CF1" w:rsidP="00A74CF1">
      <w:pPr>
        <w:pStyle w:val="ListParagraph"/>
        <w:numPr>
          <w:ilvl w:val="0"/>
          <w:numId w:val="45"/>
        </w:numPr>
        <w:overflowPunct w:val="0"/>
        <w:autoSpaceDE w:val="0"/>
        <w:autoSpaceDN w:val="0"/>
        <w:adjustRightInd w:val="0"/>
        <w:ind w:left="567"/>
        <w:textAlignment w:val="baseline"/>
        <w:rPr>
          <w:bCs/>
          <w:iCs/>
        </w:rPr>
      </w:pPr>
      <w:r>
        <w:t>opfordrer til, at der oprettes en ny makroregion i Middelhavsområdet til at tackle fælles udfordringer såsom klimaændringer, migrationsstrømme, energiomstilling og blå bæredygtighed</w:t>
      </w:r>
      <w:r w:rsidR="000C794C">
        <w:t>.</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612898" w:rsidRPr="00612898" w14:paraId="242A4532" w14:textId="77777777" w:rsidTr="0036489A">
        <w:tc>
          <w:tcPr>
            <w:tcW w:w="1418" w:type="dxa"/>
          </w:tcPr>
          <w:p w14:paraId="21DFEBB5" w14:textId="77777777" w:rsidR="00612898" w:rsidRPr="00612898" w:rsidRDefault="00612898" w:rsidP="00612898">
            <w:pPr>
              <w:overflowPunct w:val="0"/>
              <w:autoSpaceDE w:val="0"/>
              <w:autoSpaceDN w:val="0"/>
              <w:adjustRightInd w:val="0"/>
              <w:textAlignment w:val="baseline"/>
              <w:rPr>
                <w:i/>
              </w:rPr>
            </w:pPr>
            <w:r>
              <w:rPr>
                <w:b/>
                <w:i/>
              </w:rPr>
              <w:t>Kontakt</w:t>
            </w:r>
          </w:p>
        </w:tc>
        <w:tc>
          <w:tcPr>
            <w:tcW w:w="7904" w:type="dxa"/>
          </w:tcPr>
          <w:p w14:paraId="26624CD5" w14:textId="0E28249F" w:rsidR="00612898" w:rsidRPr="00612898" w:rsidRDefault="00612898" w:rsidP="00612898">
            <w:pPr>
              <w:overflowPunct w:val="0"/>
              <w:autoSpaceDE w:val="0"/>
              <w:autoSpaceDN w:val="0"/>
              <w:adjustRightInd w:val="0"/>
              <w:textAlignment w:val="baseline"/>
              <w:rPr>
                <w:i/>
              </w:rPr>
            </w:pPr>
            <w:r>
              <w:rPr>
                <w:i/>
              </w:rPr>
              <w:t>Georgios Meleas</w:t>
            </w:r>
          </w:p>
        </w:tc>
      </w:tr>
      <w:tr w:rsidR="00612898" w:rsidRPr="00612898" w14:paraId="169FB5DD" w14:textId="77777777" w:rsidTr="0036489A">
        <w:tc>
          <w:tcPr>
            <w:tcW w:w="1418" w:type="dxa"/>
          </w:tcPr>
          <w:p w14:paraId="04AD6363" w14:textId="77777777" w:rsidR="00612898" w:rsidRPr="00612898" w:rsidRDefault="00612898" w:rsidP="00612898">
            <w:pPr>
              <w:overflowPunct w:val="0"/>
              <w:autoSpaceDE w:val="0"/>
              <w:autoSpaceDN w:val="0"/>
              <w:adjustRightInd w:val="0"/>
              <w:textAlignment w:val="baseline"/>
              <w:rPr>
                <w:i/>
              </w:rPr>
            </w:pPr>
            <w:r>
              <w:rPr>
                <w:i/>
              </w:rPr>
              <w:t>Tlf.</w:t>
            </w:r>
          </w:p>
        </w:tc>
        <w:tc>
          <w:tcPr>
            <w:tcW w:w="7904" w:type="dxa"/>
          </w:tcPr>
          <w:p w14:paraId="0ACA86BD" w14:textId="1201E27C" w:rsidR="00612898" w:rsidRPr="00612898" w:rsidRDefault="000C794C" w:rsidP="00612898">
            <w:pPr>
              <w:overflowPunct w:val="0"/>
              <w:autoSpaceDE w:val="0"/>
              <w:autoSpaceDN w:val="0"/>
              <w:adjustRightInd w:val="0"/>
              <w:textAlignment w:val="baseline"/>
              <w:rPr>
                <w:i/>
              </w:rPr>
            </w:pPr>
            <w:r>
              <w:t>00 32 2 546 97 95</w:t>
            </w:r>
          </w:p>
        </w:tc>
      </w:tr>
      <w:tr w:rsidR="00612898" w:rsidRPr="00612898" w14:paraId="74BB4CF2" w14:textId="77777777" w:rsidTr="0036489A">
        <w:tc>
          <w:tcPr>
            <w:tcW w:w="1418" w:type="dxa"/>
          </w:tcPr>
          <w:p w14:paraId="0810916A" w14:textId="77777777" w:rsidR="00612898" w:rsidRPr="00612898" w:rsidRDefault="00612898" w:rsidP="00612898">
            <w:pPr>
              <w:overflowPunct w:val="0"/>
              <w:autoSpaceDE w:val="0"/>
              <w:autoSpaceDN w:val="0"/>
              <w:adjustRightInd w:val="0"/>
              <w:textAlignment w:val="baseline"/>
              <w:rPr>
                <w:i/>
              </w:rPr>
            </w:pPr>
            <w:r>
              <w:rPr>
                <w:i/>
              </w:rPr>
              <w:t>E-mail</w:t>
            </w:r>
          </w:p>
        </w:tc>
        <w:tc>
          <w:tcPr>
            <w:tcW w:w="7904" w:type="dxa"/>
          </w:tcPr>
          <w:p w14:paraId="7EA756D6" w14:textId="77777777" w:rsidR="00612898" w:rsidRPr="00612898" w:rsidRDefault="00300901" w:rsidP="00612898">
            <w:pPr>
              <w:overflowPunct w:val="0"/>
              <w:autoSpaceDE w:val="0"/>
              <w:autoSpaceDN w:val="0"/>
              <w:adjustRightInd w:val="0"/>
              <w:textAlignment w:val="baseline"/>
              <w:rPr>
                <w:i/>
                <w:iCs/>
              </w:rPr>
            </w:pPr>
            <w:hyperlink r:id="rId21" w:history="1">
              <w:r w:rsidR="00797C5C">
                <w:rPr>
                  <w:i/>
                  <w:color w:val="0000FF"/>
                  <w:u w:val="single"/>
                </w:rPr>
                <w:t>Georgios.Meleas@eesc.europa.eu</w:t>
              </w:r>
            </w:hyperlink>
          </w:p>
        </w:tc>
      </w:tr>
    </w:tbl>
    <w:p w14:paraId="4982DD96" w14:textId="77777777" w:rsidR="004D7AC0" w:rsidRDefault="004D7AC0" w:rsidP="004D7AC0">
      <w:pPr>
        <w:pStyle w:val="ListParagraph"/>
        <w:ind w:left="0"/>
      </w:pPr>
    </w:p>
    <w:p w14:paraId="78C063A6" w14:textId="31C16447" w:rsidR="000C794C" w:rsidRDefault="00612898" w:rsidP="000C794C">
      <w:pPr>
        <w:widowControl w:val="0"/>
        <w:numPr>
          <w:ilvl w:val="0"/>
          <w:numId w:val="4"/>
        </w:numPr>
        <w:overflowPunct w:val="0"/>
        <w:autoSpaceDE w:val="0"/>
        <w:autoSpaceDN w:val="0"/>
        <w:adjustRightInd w:val="0"/>
        <w:spacing w:after="120"/>
        <w:ind w:hanging="567"/>
        <w:textAlignment w:val="baseline"/>
        <w:rPr>
          <w:b/>
          <w:i/>
          <w:iCs/>
          <w:sz w:val="28"/>
          <w:szCs w:val="28"/>
        </w:rPr>
      </w:pPr>
      <w:r>
        <w:br w:type="page"/>
      </w:r>
      <w:hyperlink r:id="rId22" w:history="1">
        <w:r w:rsidR="000C794C">
          <w:rPr>
            <w:rStyle w:val="Hyperlink"/>
            <w:b/>
            <w:i/>
            <w:sz w:val="28"/>
          </w:rPr>
          <w:t>Oprettelse af Den Europæiske Fond for Regionaludvikling herunder europæisk territorialt samarbejde (</w:t>
        </w:r>
        <w:proofErr w:type="spellStart"/>
        <w:r w:rsidR="000C794C">
          <w:rPr>
            <w:rStyle w:val="Hyperlink"/>
            <w:b/>
            <w:i/>
            <w:sz w:val="28"/>
          </w:rPr>
          <w:t>Interreg</w:t>
        </w:r>
        <w:proofErr w:type="spellEnd"/>
        <w:r w:rsidR="000C794C">
          <w:rPr>
            <w:rStyle w:val="Hyperlink"/>
            <w:b/>
            <w:i/>
            <w:sz w:val="28"/>
          </w:rPr>
          <w:t>) og Samhørighedsfonden</w:t>
        </w:r>
      </w:hyperlink>
    </w:p>
    <w:p w14:paraId="5DE846E1" w14:textId="77777777" w:rsidR="00C82E34" w:rsidRPr="00C82E34" w:rsidRDefault="00C82E34" w:rsidP="006056FF">
      <w:pPr>
        <w:widowControl w:val="0"/>
        <w:overflowPunct w:val="0"/>
        <w:autoSpaceDE w:val="0"/>
        <w:autoSpaceDN w:val="0"/>
        <w:adjustRightInd w:val="0"/>
        <w:spacing w:line="240" w:lineRule="auto"/>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bCs/>
              </w:rPr>
              <w:t>Ordfører</w:t>
            </w:r>
          </w:p>
        </w:tc>
        <w:tc>
          <w:tcPr>
            <w:tcW w:w="7621" w:type="dxa"/>
          </w:tcPr>
          <w:p w14:paraId="297CD7E5" w14:textId="10EF6348" w:rsidR="00C82E34" w:rsidRDefault="006056FF" w:rsidP="00C82E34">
            <w:pPr>
              <w:tabs>
                <w:tab w:val="center" w:pos="284"/>
              </w:tabs>
              <w:overflowPunct w:val="0"/>
              <w:autoSpaceDE w:val="0"/>
              <w:autoSpaceDN w:val="0"/>
              <w:adjustRightInd w:val="0"/>
              <w:ind w:left="266" w:hanging="266"/>
              <w:textAlignment w:val="baseline"/>
            </w:pPr>
            <w:r w:rsidRPr="006056FF">
              <w:t xml:space="preserve">David </w:t>
            </w:r>
            <w:proofErr w:type="spellStart"/>
            <w:r w:rsidRPr="006056FF">
              <w:t>Sventek</w:t>
            </w:r>
            <w:proofErr w:type="spellEnd"/>
            <w:r w:rsidRPr="006056FF">
              <w:t xml:space="preserve"> (Arbejdsgivergruppen – CZ)</w:t>
            </w:r>
          </w:p>
          <w:p w14:paraId="59E7D12A" w14:textId="53E0EAA6" w:rsidR="00446882" w:rsidRPr="00C82E34" w:rsidRDefault="00446882" w:rsidP="006056FF">
            <w:pPr>
              <w:tabs>
                <w:tab w:val="center" w:pos="284"/>
              </w:tabs>
              <w:overflowPunct w:val="0"/>
              <w:autoSpaceDE w:val="0"/>
              <w:autoSpaceDN w:val="0"/>
              <w:adjustRightInd w:val="0"/>
              <w:spacing w:line="240" w:lineRule="auto"/>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Ref.</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COM(2025) 552 final</w:t>
            </w:r>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Hovedpunkter</w:t>
      </w:r>
    </w:p>
    <w:p w14:paraId="61DEFF14" w14:textId="77777777" w:rsidR="00C2078A" w:rsidRPr="00C82E34" w:rsidRDefault="00C2078A" w:rsidP="006056FF">
      <w:pPr>
        <w:keepNext/>
        <w:keepLines/>
        <w:tabs>
          <w:tab w:val="center" w:pos="284"/>
        </w:tabs>
        <w:overflowPunct w:val="0"/>
        <w:autoSpaceDE w:val="0"/>
        <w:autoSpaceDN w:val="0"/>
        <w:adjustRightInd w:val="0"/>
        <w:spacing w:line="240" w:lineRule="auto"/>
        <w:ind w:left="266" w:hanging="266"/>
        <w:textAlignment w:val="baseline"/>
        <w:rPr>
          <w:b/>
          <w:lang w:val="en-GB"/>
        </w:rPr>
      </w:pPr>
    </w:p>
    <w:p w14:paraId="61D96179" w14:textId="77777777" w:rsidR="00C82E34" w:rsidRDefault="00C82E34" w:rsidP="00C82E34">
      <w:pPr>
        <w:overflowPunct w:val="0"/>
        <w:autoSpaceDE w:val="0"/>
        <w:autoSpaceDN w:val="0"/>
        <w:adjustRightInd w:val="0"/>
        <w:textAlignment w:val="baseline"/>
        <w:rPr>
          <w:bCs/>
          <w:iCs/>
        </w:rPr>
      </w:pPr>
      <w:r>
        <w:t>EØSU:</w:t>
      </w:r>
    </w:p>
    <w:p w14:paraId="08472F98"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understreger, at behovet for at mindske regionale og territoriale forskelle fortsat er en af de vigtigste prioriteter for EU's integration, og at anvendelsen af traditionelle, veletablerede og effektive samhørighedspolitiske instrumenter er den rette vej frem for at støtte bæredygtig velstand i alle EU's regioner</w:t>
      </w:r>
    </w:p>
    <w:p w14:paraId="2DF986A7"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anbefaler at præcisere, hvilken rolle Den Europæiske Fond for Regionaludvikling (EFRU) og Samhørighedsfonden skal spille i Fonden for Nationalt og Regionalt Partnerskab, ikke kun ved at opstille generelle og konkrete mål, men også ved at uddybe dem mere specifikt i forordningen. EØSU så gerne, at det forslag til forordning, som denne udtalelse vedrører, blev udvidet og suppleret med i det mindste et bilag med retningslinjer for, hvordan EFRU og Samhørighedsfonden kan integreres effektivt i Fonden for Nationalt og Regionalt Partnerskab</w:t>
      </w:r>
    </w:p>
    <w:p w14:paraId="58AF837E"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 xml:space="preserve">insisterer på, at de nye ordninger ikke må føre til en svækkelse af </w:t>
      </w:r>
      <w:proofErr w:type="spellStart"/>
      <w:r>
        <w:t>EFRU's</w:t>
      </w:r>
      <w:proofErr w:type="spellEnd"/>
      <w:r>
        <w:t xml:space="preserve"> og Samhørighedsfondens betydning og opgaver, navnlig med hensyn til at støtte udviklingen i tilbagestående regioner og omstillingen af industriområder Understreger tillige vigtigheden af partnerskabsprincippet ved udformningen af fremtidige programmer</w:t>
      </w:r>
    </w:p>
    <w:p w14:paraId="605455E8"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 xml:space="preserve">er enigt i indholdet af og det tematiske fokus for det fremtidige </w:t>
      </w:r>
      <w:proofErr w:type="spellStart"/>
      <w:r>
        <w:t>Interregprogram</w:t>
      </w:r>
      <w:proofErr w:type="spellEnd"/>
      <w:r>
        <w:t xml:space="preserve"> og dets synergier med programmet for et globalt Europa i de konkrete tilfælde, der foreslås</w:t>
      </w:r>
    </w:p>
    <w:p w14:paraId="1E709D05"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 xml:space="preserve">er generelt enigt i forslagets innovative tilgang til fremtiden for det etablerede </w:t>
      </w:r>
      <w:proofErr w:type="spellStart"/>
      <w:r>
        <w:t>Interregprogram</w:t>
      </w:r>
      <w:proofErr w:type="spellEnd"/>
      <w:r>
        <w:t xml:space="preserve">, navnlig med hensyn til at acceptere gennemførelsesstrukturen i de enkelte kapitler i </w:t>
      </w:r>
      <w:proofErr w:type="spellStart"/>
      <w:r>
        <w:t>Interregplanen</w:t>
      </w:r>
      <w:proofErr w:type="spellEnd"/>
    </w:p>
    <w:p w14:paraId="61448655"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henleder opmærksomheden på risikoen for, at de relevante aktører på regionalt grænseoverskridende plan ikke kan nå til enighed, da forslaget til forordning ikke er særlig udførligt. Udvalget anbefaler også, at gennemførelsesretsakten vedtages umiddelbart efter forordningens vedtagelse</w:t>
      </w:r>
    </w:p>
    <w:p w14:paraId="1CE24997"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anbefaler at sikre, at fortolkningen og gennemførelsen af fondene på medlemsstatsplan er sammenlignelige, og at der ikke er væsentlige forskelle mellem medlemsstaterne</w:t>
      </w:r>
    </w:p>
    <w:p w14:paraId="302DF01C" w14:textId="77777777" w:rsidR="006056FF" w:rsidRDefault="006056FF" w:rsidP="006056FF">
      <w:pPr>
        <w:pStyle w:val="ListParagraph"/>
        <w:numPr>
          <w:ilvl w:val="0"/>
          <w:numId w:val="19"/>
        </w:numPr>
        <w:overflowPunct w:val="0"/>
        <w:autoSpaceDE w:val="0"/>
        <w:autoSpaceDN w:val="0"/>
        <w:adjustRightInd w:val="0"/>
        <w:spacing w:line="276" w:lineRule="auto"/>
        <w:ind w:hanging="357"/>
        <w:textAlignment w:val="baseline"/>
      </w:pPr>
      <w:r>
        <w:t>støtter forenklingen af gennemførelsen og de administrative processer med henblik på en mere effektiv anvendelse af midlerne</w:t>
      </w:r>
    </w:p>
    <w:p w14:paraId="63EC4849" w14:textId="739CFE91" w:rsidR="00056F0F" w:rsidRPr="006056FF" w:rsidRDefault="006056FF" w:rsidP="00514509">
      <w:pPr>
        <w:numPr>
          <w:ilvl w:val="0"/>
          <w:numId w:val="19"/>
        </w:numPr>
        <w:overflowPunct w:val="0"/>
        <w:autoSpaceDE w:val="0"/>
        <w:autoSpaceDN w:val="0"/>
        <w:adjustRightInd w:val="0"/>
        <w:spacing w:line="276" w:lineRule="auto"/>
        <w:ind w:left="426" w:hanging="426"/>
        <w:contextualSpacing/>
        <w:textAlignment w:val="baseline"/>
        <w:rPr>
          <w:bCs/>
          <w:iCs/>
          <w:lang w:val="en-GB"/>
        </w:rPr>
      </w:pPr>
      <w:r>
        <w:t>påskønner, at forslaget til forordning om EFRU og Samhørighedsfonden samtidig giver mulighed for at støtte bæredygtig byudvikling og inden for denne ramme integrerede by- og territorialudviklingsstrategier med fokus på bæredygtig udvikling og håndtering af udfordringer inden for miljø, energi og klima, retfærdig omstilling til en ren, klimaneutral og modstandsdygtig økonomi med særlig vægt på økonomisk overkommelige boliger, fattigdom, kulturarv og udnyttelse af digitale teknologiers potentiale til innovation og energieffektivitet.</w:t>
      </w:r>
    </w:p>
    <w:p w14:paraId="68DEFF9A" w14:textId="77777777" w:rsidR="006056FF" w:rsidRPr="006056FF" w:rsidRDefault="006056FF" w:rsidP="006056FF">
      <w:pPr>
        <w:overflowPunct w:val="0"/>
        <w:autoSpaceDE w:val="0"/>
        <w:autoSpaceDN w:val="0"/>
        <w:adjustRightInd w:val="0"/>
        <w:ind w:left="-76"/>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C82E34" w:rsidRPr="00C82E34" w14:paraId="04833A6C" w14:textId="77777777" w:rsidTr="0036489A">
        <w:tc>
          <w:tcPr>
            <w:tcW w:w="1418" w:type="dxa"/>
          </w:tcPr>
          <w:p w14:paraId="720E543D" w14:textId="77777777" w:rsidR="00C82E34" w:rsidRPr="00C82E34" w:rsidRDefault="00C82E34" w:rsidP="00C82E34">
            <w:pPr>
              <w:overflowPunct w:val="0"/>
              <w:autoSpaceDE w:val="0"/>
              <w:autoSpaceDN w:val="0"/>
              <w:adjustRightInd w:val="0"/>
              <w:textAlignment w:val="baseline"/>
              <w:rPr>
                <w:i/>
              </w:rPr>
            </w:pPr>
            <w:r>
              <w:rPr>
                <w:b/>
                <w:i/>
              </w:rPr>
              <w:t>Kontakt</w:t>
            </w:r>
          </w:p>
        </w:tc>
        <w:tc>
          <w:tcPr>
            <w:tcW w:w="7904" w:type="dxa"/>
          </w:tcPr>
          <w:p w14:paraId="2AC28C0B" w14:textId="5FFF53BD" w:rsidR="00C82E34" w:rsidRPr="00C82E34" w:rsidRDefault="00C82E34" w:rsidP="00C82E34">
            <w:pPr>
              <w:overflowPunct w:val="0"/>
              <w:autoSpaceDE w:val="0"/>
              <w:autoSpaceDN w:val="0"/>
              <w:adjustRightInd w:val="0"/>
              <w:textAlignment w:val="baseline"/>
              <w:rPr>
                <w:i/>
              </w:rPr>
            </w:pPr>
            <w:r>
              <w:rPr>
                <w:i/>
              </w:rPr>
              <w:t>Georgios Meleas</w:t>
            </w:r>
          </w:p>
        </w:tc>
      </w:tr>
      <w:tr w:rsidR="00C82E34" w:rsidRPr="00C82E34" w14:paraId="06EB7C5A" w14:textId="77777777" w:rsidTr="0036489A">
        <w:tc>
          <w:tcPr>
            <w:tcW w:w="1418" w:type="dxa"/>
          </w:tcPr>
          <w:p w14:paraId="3964EC18" w14:textId="77777777" w:rsidR="00C82E34" w:rsidRPr="00C82E34" w:rsidRDefault="00C82E34" w:rsidP="00C82E34">
            <w:pPr>
              <w:overflowPunct w:val="0"/>
              <w:autoSpaceDE w:val="0"/>
              <w:autoSpaceDN w:val="0"/>
              <w:adjustRightInd w:val="0"/>
              <w:textAlignment w:val="baseline"/>
              <w:rPr>
                <w:i/>
              </w:rPr>
            </w:pPr>
            <w:r>
              <w:rPr>
                <w:i/>
              </w:rPr>
              <w:t>Tlf.</w:t>
            </w:r>
          </w:p>
        </w:tc>
        <w:tc>
          <w:tcPr>
            <w:tcW w:w="7904" w:type="dxa"/>
          </w:tcPr>
          <w:p w14:paraId="6FC22AA9" w14:textId="5A280916" w:rsidR="00C82E34" w:rsidRPr="00C82E34" w:rsidRDefault="006056FF" w:rsidP="00C82E34">
            <w:pPr>
              <w:overflowPunct w:val="0"/>
              <w:autoSpaceDE w:val="0"/>
              <w:autoSpaceDN w:val="0"/>
              <w:adjustRightInd w:val="0"/>
              <w:textAlignment w:val="baseline"/>
              <w:rPr>
                <w:i/>
              </w:rPr>
            </w:pPr>
            <w:r w:rsidRPr="006056FF">
              <w:rPr>
                <w:i/>
              </w:rPr>
              <w:t>00 32 2 546 97 95</w:t>
            </w:r>
          </w:p>
        </w:tc>
      </w:tr>
      <w:tr w:rsidR="00C82E34" w:rsidRPr="00C82E34" w14:paraId="03D8EF0B" w14:textId="77777777" w:rsidTr="0036489A">
        <w:tc>
          <w:tcPr>
            <w:tcW w:w="1418" w:type="dxa"/>
          </w:tcPr>
          <w:p w14:paraId="130E2BFD" w14:textId="77777777" w:rsidR="00C82E34" w:rsidRPr="00C82E34" w:rsidRDefault="00C82E34" w:rsidP="00C82E34">
            <w:pPr>
              <w:overflowPunct w:val="0"/>
              <w:autoSpaceDE w:val="0"/>
              <w:autoSpaceDN w:val="0"/>
              <w:adjustRightInd w:val="0"/>
              <w:textAlignment w:val="baseline"/>
              <w:rPr>
                <w:i/>
              </w:rPr>
            </w:pPr>
            <w:r>
              <w:rPr>
                <w:i/>
              </w:rPr>
              <w:t>E-mail</w:t>
            </w:r>
          </w:p>
        </w:tc>
        <w:tc>
          <w:tcPr>
            <w:tcW w:w="7904" w:type="dxa"/>
          </w:tcPr>
          <w:p w14:paraId="3D770788" w14:textId="77777777" w:rsidR="00C82E34" w:rsidRDefault="00300901" w:rsidP="00C82E34">
            <w:pPr>
              <w:overflowPunct w:val="0"/>
              <w:autoSpaceDE w:val="0"/>
              <w:autoSpaceDN w:val="0"/>
              <w:adjustRightInd w:val="0"/>
              <w:textAlignment w:val="baseline"/>
            </w:pPr>
            <w:hyperlink r:id="rId23" w:history="1">
              <w:r w:rsidR="00797C5C">
                <w:rPr>
                  <w:i/>
                  <w:color w:val="0000FF"/>
                  <w:u w:val="single"/>
                </w:rPr>
                <w:t>Georgios.Meleas@eesc.europa.eu</w:t>
              </w:r>
            </w:hyperlink>
          </w:p>
          <w:p w14:paraId="21BA5198" w14:textId="77777777" w:rsidR="00D6499D" w:rsidRPr="00C82E34" w:rsidRDefault="00D6499D" w:rsidP="006056FF">
            <w:pPr>
              <w:overflowPunct w:val="0"/>
              <w:autoSpaceDE w:val="0"/>
              <w:autoSpaceDN w:val="0"/>
              <w:adjustRightInd w:val="0"/>
              <w:spacing w:line="240" w:lineRule="auto"/>
              <w:textAlignment w:val="baseline"/>
              <w:rPr>
                <w:i/>
                <w:iCs/>
                <w:lang w:val="en-GB"/>
              </w:rPr>
            </w:pPr>
          </w:p>
        </w:tc>
      </w:tr>
    </w:tbl>
    <w:p w14:paraId="4982DD99" w14:textId="77777777" w:rsidR="004D7AC0" w:rsidRDefault="004D7AC0" w:rsidP="004D7AC0">
      <w:pPr>
        <w:pStyle w:val="Heading1"/>
        <w:rPr>
          <w:b/>
        </w:rPr>
      </w:pPr>
      <w:bookmarkStart w:id="1" w:name="_Toc75527081"/>
      <w:bookmarkStart w:id="2" w:name="_Toc216967780"/>
      <w:r>
        <w:rPr>
          <w:b/>
        </w:rPr>
        <w:lastRenderedPageBreak/>
        <w:t>BESKÆFTIGELSE, SOCIALE SPØRGSMÅL OG UNIONSBORGERSKAB</w:t>
      </w:r>
      <w:bookmarkEnd w:id="1"/>
      <w:bookmarkEnd w:id="2"/>
    </w:p>
    <w:p w14:paraId="4982DD9A" w14:textId="77777777" w:rsidR="004D7AC0" w:rsidRDefault="004D7AC0" w:rsidP="004D7AC0"/>
    <w:p w14:paraId="0D85C8AE" w14:textId="69C70CD9" w:rsidR="00E972B2" w:rsidRPr="000D33C5" w:rsidRDefault="00300901" w:rsidP="00E972B2">
      <w:pPr>
        <w:widowControl w:val="0"/>
        <w:numPr>
          <w:ilvl w:val="0"/>
          <w:numId w:val="6"/>
        </w:numPr>
        <w:overflowPunct w:val="0"/>
        <w:autoSpaceDE w:val="0"/>
        <w:autoSpaceDN w:val="0"/>
        <w:adjustRightInd w:val="0"/>
        <w:ind w:left="567" w:hanging="567"/>
        <w:textAlignment w:val="baseline"/>
        <w:rPr>
          <w:b/>
          <w:sz w:val="28"/>
          <w:szCs w:val="28"/>
        </w:rPr>
      </w:pPr>
      <w:hyperlink r:id="rId24" w:history="1">
        <w:r w:rsidR="00347751">
          <w:rPr>
            <w:rStyle w:val="Hyperlink"/>
            <w:b/>
            <w:i/>
            <w:sz w:val="28"/>
          </w:rPr>
          <w:t>Arbejdstagerrettigheder for journalister og mediefolk som en garanti for uafhængighed og sandfærdige oplysninger</w:t>
        </w:r>
      </w:hyperlink>
    </w:p>
    <w:p w14:paraId="0ABA41B8" w14:textId="77777777" w:rsidR="000C7C8B" w:rsidRDefault="000C7C8B" w:rsidP="00E972B2">
      <w:pPr>
        <w:tabs>
          <w:tab w:val="center" w:pos="284"/>
        </w:tabs>
        <w:overflowPunct w:val="0"/>
        <w:autoSpaceDE w:val="0"/>
        <w:autoSpaceDN w:val="0"/>
        <w:adjustRightInd w:val="0"/>
        <w:ind w:left="567" w:hanging="567"/>
        <w:textAlignment w:val="baseline"/>
        <w:rPr>
          <w:sz w:val="16"/>
          <w:szCs w:val="16"/>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bCs/>
              </w:rPr>
              <w:t>Ordfører</w:t>
            </w:r>
          </w:p>
          <w:p w14:paraId="3877742D" w14:textId="40331642" w:rsidR="00E972B2" w:rsidRPr="00E972B2" w:rsidRDefault="00347751" w:rsidP="00E972B2">
            <w:pPr>
              <w:tabs>
                <w:tab w:val="center" w:pos="284"/>
              </w:tabs>
              <w:overflowPunct w:val="0"/>
              <w:autoSpaceDE w:val="0"/>
              <w:autoSpaceDN w:val="0"/>
              <w:adjustRightInd w:val="0"/>
              <w:ind w:left="567" w:hanging="567"/>
              <w:textAlignment w:val="baseline"/>
              <w:rPr>
                <w:b/>
              </w:rPr>
            </w:pPr>
            <w:r>
              <w:rPr>
                <w:b/>
              </w:rPr>
              <w:t>Medordfører</w:t>
            </w:r>
          </w:p>
        </w:tc>
        <w:tc>
          <w:tcPr>
            <w:tcW w:w="6237" w:type="dxa"/>
          </w:tcPr>
          <w:p w14:paraId="59B0A1D0" w14:textId="637E55BD" w:rsidR="00E972B2" w:rsidRPr="00E972B2" w:rsidRDefault="00E972B2" w:rsidP="00E972B2">
            <w:pPr>
              <w:overflowPunct w:val="0"/>
              <w:autoSpaceDE w:val="0"/>
              <w:autoSpaceDN w:val="0"/>
              <w:adjustRightInd w:val="0"/>
              <w:ind w:left="567" w:hanging="567"/>
              <w:textAlignment w:val="baseline"/>
            </w:pPr>
            <w:r>
              <w:t xml:space="preserve">José Antonio </w:t>
            </w:r>
            <w:r w:rsidR="00347751">
              <w:t xml:space="preserve">Moreno </w:t>
            </w:r>
            <w:proofErr w:type="spellStart"/>
            <w:r w:rsidR="00347751">
              <w:t>Díaz</w:t>
            </w:r>
            <w:proofErr w:type="spellEnd"/>
            <w:r w:rsidR="00347751">
              <w:t xml:space="preserve"> </w:t>
            </w:r>
            <w:r>
              <w:t>(</w:t>
            </w:r>
            <w:r w:rsidR="00347751" w:rsidRPr="00347751">
              <w:t>Arbejdstagergruppen – ES</w:t>
            </w:r>
            <w:r>
              <w:t>)</w:t>
            </w:r>
          </w:p>
          <w:p w14:paraId="683C7CA1" w14:textId="7D1AB43D" w:rsidR="00E972B2" w:rsidRPr="00E972B2" w:rsidRDefault="00E972B2" w:rsidP="00E972B2">
            <w:pPr>
              <w:overflowPunct w:val="0"/>
              <w:autoSpaceDE w:val="0"/>
              <w:autoSpaceDN w:val="0"/>
              <w:adjustRightInd w:val="0"/>
              <w:ind w:left="567" w:hanging="567"/>
              <w:textAlignment w:val="baseline"/>
            </w:pPr>
            <w:r>
              <w:t xml:space="preserve">Christian </w:t>
            </w:r>
            <w:r w:rsidR="00347751">
              <w:t xml:space="preserve">Moos </w:t>
            </w:r>
            <w:r>
              <w:t>(</w:t>
            </w:r>
            <w:r w:rsidR="00347751" w:rsidRPr="00347751">
              <w:t>Gruppen af civilsamfundsorganisationer – DE</w:t>
            </w:r>
            <w:r>
              <w:t>)</w:t>
            </w:r>
          </w:p>
        </w:tc>
      </w:tr>
      <w:tr w:rsidR="00E972B2" w:rsidRPr="00E972B2" w14:paraId="403DF22C" w14:textId="77777777" w:rsidTr="0036489A">
        <w:tc>
          <w:tcPr>
            <w:tcW w:w="1701" w:type="dxa"/>
          </w:tcPr>
          <w:p w14:paraId="7C482129" w14:textId="77777777" w:rsidR="00E972B2" w:rsidRPr="00E972B2" w:rsidRDefault="00E972B2" w:rsidP="00635A5E">
            <w:pPr>
              <w:tabs>
                <w:tab w:val="center" w:pos="284"/>
              </w:tabs>
              <w:overflowPunct w:val="0"/>
              <w:autoSpaceDE w:val="0"/>
              <w:autoSpaceDN w:val="0"/>
              <w:adjustRightInd w:val="0"/>
              <w:spacing w:line="240" w:lineRule="auto"/>
              <w:ind w:left="567" w:hanging="567"/>
              <w:textAlignment w:val="baseline"/>
              <w:rPr>
                <w:b/>
              </w:rPr>
            </w:pPr>
          </w:p>
          <w:p w14:paraId="762D1FFF"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Ref.</w:t>
            </w:r>
          </w:p>
        </w:tc>
        <w:tc>
          <w:tcPr>
            <w:tcW w:w="6237" w:type="dxa"/>
          </w:tcPr>
          <w:p w14:paraId="3C316E73" w14:textId="77777777" w:rsidR="00E972B2" w:rsidRPr="00054C58" w:rsidRDefault="00E972B2" w:rsidP="00635A5E">
            <w:pPr>
              <w:tabs>
                <w:tab w:val="center" w:pos="284"/>
              </w:tabs>
              <w:overflowPunct w:val="0"/>
              <w:autoSpaceDE w:val="0"/>
              <w:autoSpaceDN w:val="0"/>
              <w:adjustRightInd w:val="0"/>
              <w:spacing w:line="240" w:lineRule="auto"/>
              <w:ind w:left="567" w:hanging="567"/>
              <w:textAlignment w:val="baseline"/>
              <w:rPr>
                <w:lang w:val="en-GB"/>
              </w:rPr>
            </w:pPr>
          </w:p>
          <w:p w14:paraId="29981116" w14:textId="4DC91F34" w:rsidR="00DB1B79" w:rsidRPr="00054C58" w:rsidRDefault="00347751" w:rsidP="00E972B2">
            <w:pPr>
              <w:tabs>
                <w:tab w:val="center" w:pos="284"/>
              </w:tabs>
              <w:overflowPunct w:val="0"/>
              <w:autoSpaceDE w:val="0"/>
              <w:autoSpaceDN w:val="0"/>
              <w:adjustRightInd w:val="0"/>
              <w:ind w:left="567" w:hanging="567"/>
              <w:textAlignment w:val="baseline"/>
            </w:pPr>
            <w:r>
              <w:t>Initiativudtalelse</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bl>
    <w:p w14:paraId="770A689E" w14:textId="77777777" w:rsidR="00C24C34" w:rsidRDefault="00C24C34" w:rsidP="00635A5E">
      <w:pPr>
        <w:keepNext/>
        <w:keepLines/>
        <w:tabs>
          <w:tab w:val="center" w:pos="284"/>
        </w:tabs>
        <w:overflowPunct w:val="0"/>
        <w:autoSpaceDE w:val="0"/>
        <w:autoSpaceDN w:val="0"/>
        <w:adjustRightInd w:val="0"/>
        <w:spacing w:line="240" w:lineRule="auto"/>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Hovedpunkter</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EØSU:</w:t>
      </w:r>
    </w:p>
    <w:p w14:paraId="07439589" w14:textId="77777777" w:rsidR="00347751" w:rsidRPr="00220959" w:rsidRDefault="00347751" w:rsidP="00635A5E">
      <w:pPr>
        <w:pStyle w:val="Heading2"/>
        <w:numPr>
          <w:ilvl w:val="1"/>
          <w:numId w:val="20"/>
        </w:numPr>
        <w:spacing w:line="276" w:lineRule="auto"/>
        <w:ind w:left="357" w:hanging="357"/>
      </w:pPr>
      <w:bookmarkStart w:id="3" w:name="_Toc216967781"/>
      <w:r>
        <w:t>opfordrer indtrængende myndighederne til hurtigst muligt at træffe beskyttelsesforanstaltninger mod den voksende usikkerhed for journalister og opfordrer til, at den europæiske forordning om mediefrihed anvendes fuldt ud. Udvalget opfordrer ligeledes til, at der sikres uafhængig støtte til medieforetagender ud over de eksisterende tilskud for at sikre den europæiske mediesektors bæredygtighed og en betydelig forøgelse af midlerne til at beskytte et sundt informationsøkosystem</w:t>
      </w:r>
      <w:bookmarkEnd w:id="3"/>
    </w:p>
    <w:p w14:paraId="46CC6E74" w14:textId="77777777" w:rsidR="00347751" w:rsidRPr="00443B69" w:rsidRDefault="00347751" w:rsidP="00635A5E">
      <w:pPr>
        <w:pStyle w:val="Heading2"/>
        <w:numPr>
          <w:ilvl w:val="1"/>
          <w:numId w:val="20"/>
        </w:numPr>
        <w:spacing w:line="276" w:lineRule="auto"/>
        <w:ind w:left="357" w:hanging="357"/>
        <w:rPr>
          <w:bCs/>
        </w:rPr>
      </w:pPr>
      <w:bookmarkStart w:id="4" w:name="_Toc216967782"/>
      <w:r>
        <w:t>opfordrer Kommissionen til at fremlægge en ambitiøs pakke med politiske foranstaltninger og investeringer for at støtte kvalitetsjob i mediesektoren og opfordrer regeringerne til at fremme social dialog og kollektive overenskomstforhandlinger for alle journalister, herunder freelancere, ved at omsætte direktivet om passende mindstelønninger</w:t>
      </w:r>
      <w:r w:rsidRPr="00220959">
        <w:rPr>
          <w:sz w:val="24"/>
          <w:szCs w:val="24"/>
          <w:vertAlign w:val="superscript"/>
        </w:rPr>
        <w:footnoteReference w:id="1"/>
      </w:r>
      <w:r>
        <w:t>, hvor det er relevant, og følge retningslinjerne for anvendelse af Unionens konkurrencelovgivning på kollektive overenskomster indgået af selvstændige uden ansatte</w:t>
      </w:r>
      <w:r w:rsidRPr="00220959">
        <w:rPr>
          <w:sz w:val="24"/>
          <w:szCs w:val="24"/>
          <w:vertAlign w:val="superscript"/>
        </w:rPr>
        <w:footnoteReference w:id="2"/>
      </w:r>
      <w:r>
        <w:t xml:space="preserve">. Udvalget opfordrer endvidere Kommissionen og medlemsstaterne til at sætte ind over for </w:t>
      </w:r>
      <w:proofErr w:type="spellStart"/>
      <w:r>
        <w:t>proformaselvstændig</w:t>
      </w:r>
      <w:proofErr w:type="spellEnd"/>
      <w:r>
        <w:t xml:space="preserve"> beskæftigelse.</w:t>
      </w:r>
      <w:bookmarkEnd w:id="4"/>
    </w:p>
    <w:p w14:paraId="2BB62F22" w14:textId="77777777" w:rsidR="00347751" w:rsidRPr="00E351AA" w:rsidRDefault="00347751" w:rsidP="00635A5E">
      <w:pPr>
        <w:pStyle w:val="Heading2"/>
        <w:numPr>
          <w:ilvl w:val="1"/>
          <w:numId w:val="20"/>
        </w:numPr>
        <w:spacing w:line="276" w:lineRule="auto"/>
        <w:ind w:left="357" w:hanging="357"/>
      </w:pPr>
      <w:bookmarkStart w:id="5" w:name="_Toc216967783"/>
      <w:r>
        <w:t xml:space="preserve">opfordrer Kommissionen til at følge op på henstillingen om beskyttelse, sikkerhed og </w:t>
      </w:r>
      <w:proofErr w:type="spellStart"/>
      <w:r>
        <w:t>myndiggørelse</w:t>
      </w:r>
      <w:proofErr w:type="spellEnd"/>
      <w:r>
        <w:t xml:space="preserve"> af journalister</w:t>
      </w:r>
      <w:r w:rsidRPr="00220959">
        <w:rPr>
          <w:sz w:val="24"/>
          <w:szCs w:val="24"/>
          <w:vertAlign w:val="superscript"/>
        </w:rPr>
        <w:footnoteReference w:id="3"/>
      </w:r>
      <w:r>
        <w:t xml:space="preserve"> og understreger, at der er behov for et tættere samarbejde med journalistorganisationer om opbyggelsen af strukturer, der kan beskytte journalister. Journalister risikerer gennem deres arbejde i høj grad at komme til at lide under stress, udbrændthed, onlinechikane og digital overbelastning. Kommissionen kunne med fordel overveje, hvordan der kan følges op på Europa-Parlamentets beslutning af 10. marts 2022, hvori den opfordrer til, at der vedtages et direktiv om psykosociale risici. EØSU agter at afgive en udtalelse om dette spørgsmål</w:t>
      </w:r>
      <w:r w:rsidRPr="00C510E4">
        <w:rPr>
          <w:rStyle w:val="FootnoteReference"/>
        </w:rPr>
        <w:footnoteReference w:id="4"/>
      </w:r>
      <w:bookmarkEnd w:id="5"/>
    </w:p>
    <w:p w14:paraId="15FE9461" w14:textId="073B00C6" w:rsidR="00E972B2" w:rsidRPr="00E972B2" w:rsidRDefault="00347751" w:rsidP="00635A5E">
      <w:pPr>
        <w:numPr>
          <w:ilvl w:val="1"/>
          <w:numId w:val="20"/>
        </w:numPr>
        <w:pBdr>
          <w:top w:val="nil"/>
          <w:left w:val="nil"/>
          <w:bottom w:val="nil"/>
          <w:right w:val="nil"/>
          <w:between w:val="nil"/>
        </w:pBdr>
        <w:overflowPunct w:val="0"/>
        <w:autoSpaceDE w:val="0"/>
        <w:autoSpaceDN w:val="0"/>
        <w:adjustRightInd w:val="0"/>
        <w:spacing w:line="276" w:lineRule="auto"/>
        <w:ind w:left="357" w:hanging="357"/>
        <w:textAlignment w:val="baseline"/>
        <w:outlineLvl w:val="1"/>
        <w:rPr>
          <w:szCs w:val="20"/>
        </w:rPr>
      </w:pPr>
      <w:bookmarkStart w:id="6" w:name="_Toc216967784"/>
      <w:r>
        <w:t>opfordrer Kommissionen til at overvåge anvendelsen af EU's lovgivningsmæssige ramme for brugen af kunstig intelligens (AI) for at beskytte journalister og opfordrer journalistforbund og medieorganisationer til at behandle spørgsmål vedrørende brugen af AI på redaktioner inden for rammerne af den sociale dialog. Udvalget ønsker desuden, at man afsætter midler til projekter vedrørende udvikling af journalisters AI-færdigheder og undersøger mulighederne for at medfinansiere europæiske journalistakademier, som tilbyder uddannelse til journalister, og eventuelt yder tilskud til lønnen til unge journalister fra medievirksomheder, der opfylder høje standarder for kvalitetsjournalistik og arbejdsvilkår.</w:t>
      </w:r>
      <w:bookmarkEnd w:id="6"/>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E972B2" w:rsidRPr="00E972B2" w14:paraId="2A48BF49" w14:textId="77777777" w:rsidTr="0036489A">
        <w:tc>
          <w:tcPr>
            <w:tcW w:w="1210"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Kontakt</w:t>
            </w:r>
          </w:p>
        </w:tc>
        <w:tc>
          <w:tcPr>
            <w:tcW w:w="4493"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Pr>
                <w:i/>
              </w:rPr>
              <w:t>June Bedaton</w:t>
            </w:r>
          </w:p>
        </w:tc>
      </w:tr>
      <w:tr w:rsidR="00E972B2" w:rsidRPr="00E972B2" w14:paraId="6AAFD04B" w14:textId="77777777" w:rsidTr="0036489A">
        <w:tc>
          <w:tcPr>
            <w:tcW w:w="1210"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Tlf.</w:t>
            </w:r>
          </w:p>
        </w:tc>
        <w:tc>
          <w:tcPr>
            <w:tcW w:w="4493" w:type="dxa"/>
          </w:tcPr>
          <w:p w14:paraId="63A276AE" w14:textId="14EE96B1" w:rsidR="00E972B2" w:rsidRPr="00E972B2" w:rsidRDefault="00347751" w:rsidP="00E972B2">
            <w:pPr>
              <w:overflowPunct w:val="0"/>
              <w:autoSpaceDE w:val="0"/>
              <w:autoSpaceDN w:val="0"/>
              <w:adjustRightInd w:val="0"/>
              <w:spacing w:line="240" w:lineRule="auto"/>
              <w:textAlignment w:val="baseline"/>
              <w:rPr>
                <w:i/>
              </w:rPr>
            </w:pPr>
            <w:r>
              <w:rPr>
                <w:i/>
              </w:rPr>
              <w:t xml:space="preserve">00 </w:t>
            </w:r>
            <w:r w:rsidR="00E972B2">
              <w:rPr>
                <w:i/>
              </w:rPr>
              <w:t>32 2</w:t>
            </w:r>
            <w:r>
              <w:rPr>
                <w:i/>
              </w:rPr>
              <w:t xml:space="preserve"> </w:t>
            </w:r>
            <w:r w:rsidR="00E972B2">
              <w:rPr>
                <w:i/>
              </w:rPr>
              <w:t>546</w:t>
            </w:r>
            <w:r>
              <w:rPr>
                <w:i/>
              </w:rPr>
              <w:t xml:space="preserve"> </w:t>
            </w:r>
            <w:r w:rsidR="00E972B2">
              <w:rPr>
                <w:i/>
              </w:rPr>
              <w:t>81</w:t>
            </w:r>
            <w:r>
              <w:rPr>
                <w:i/>
              </w:rPr>
              <w:t xml:space="preserve"> </w:t>
            </w:r>
            <w:r w:rsidR="00E972B2">
              <w:rPr>
                <w:i/>
              </w:rPr>
              <w:t>34</w:t>
            </w:r>
          </w:p>
        </w:tc>
      </w:tr>
      <w:tr w:rsidR="00E972B2" w:rsidRPr="00E972B2" w14:paraId="20D34920" w14:textId="77777777" w:rsidTr="0036489A">
        <w:tc>
          <w:tcPr>
            <w:tcW w:w="1210"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E-mail</w:t>
            </w:r>
          </w:p>
        </w:tc>
        <w:tc>
          <w:tcPr>
            <w:tcW w:w="4493" w:type="dxa"/>
          </w:tcPr>
          <w:p w14:paraId="49B7876D" w14:textId="77777777" w:rsidR="00E972B2" w:rsidRPr="00E972B2" w:rsidRDefault="00300901" w:rsidP="00E972B2">
            <w:pPr>
              <w:overflowPunct w:val="0"/>
              <w:autoSpaceDE w:val="0"/>
              <w:autoSpaceDN w:val="0"/>
              <w:adjustRightInd w:val="0"/>
              <w:spacing w:line="240" w:lineRule="auto"/>
              <w:textAlignment w:val="baseline"/>
              <w:rPr>
                <w:i/>
                <w:iCs/>
              </w:rPr>
            </w:pPr>
            <w:hyperlink r:id="rId25" w:history="1">
              <w:r w:rsidR="00797C5C">
                <w:rPr>
                  <w:i/>
                  <w:color w:val="0000FF"/>
                  <w:u w:val="single"/>
                </w:rPr>
                <w:t>june.bedaton@eesc.europa.eu</w:t>
              </w:r>
            </w:hyperlink>
            <w:r w:rsidR="00797C5C">
              <w:rPr>
                <w:i/>
              </w:rPr>
              <w:t xml:space="preserve"> </w:t>
            </w:r>
          </w:p>
        </w:tc>
      </w:tr>
    </w:tbl>
    <w:p w14:paraId="4982DDC2" w14:textId="77777777" w:rsidR="004D7AC0" w:rsidRDefault="004D7AC0" w:rsidP="004D7AC0">
      <w:pPr>
        <w:pStyle w:val="ListParagraph"/>
        <w:ind w:left="0"/>
      </w:pPr>
    </w:p>
    <w:p w14:paraId="4982DDC3" w14:textId="77777777" w:rsidR="004D7AC0" w:rsidRDefault="004D7AC0" w:rsidP="004D7AC0">
      <w:pPr>
        <w:pStyle w:val="ListParagraph"/>
        <w:ind w:left="0"/>
      </w:pPr>
    </w:p>
    <w:p w14:paraId="4982DDC4" w14:textId="77777777" w:rsidR="004D7AC0" w:rsidRPr="00803CA6" w:rsidRDefault="004D7AC0" w:rsidP="004D7AC0">
      <w:pPr>
        <w:pStyle w:val="ListParagraph"/>
        <w:ind w:left="0"/>
      </w:pPr>
    </w:p>
    <w:p w14:paraId="3BBEED3B" w14:textId="6CCF1667" w:rsidR="008D0052" w:rsidRPr="00DB0977" w:rsidRDefault="004D7AC0" w:rsidP="008D0052">
      <w:pPr>
        <w:widowControl w:val="0"/>
        <w:numPr>
          <w:ilvl w:val="0"/>
          <w:numId w:val="6"/>
        </w:numPr>
        <w:overflowPunct w:val="0"/>
        <w:autoSpaceDE w:val="0"/>
        <w:autoSpaceDN w:val="0"/>
        <w:adjustRightInd w:val="0"/>
        <w:ind w:left="567" w:hanging="567"/>
        <w:textAlignment w:val="baseline"/>
        <w:rPr>
          <w:b/>
          <w:sz w:val="28"/>
          <w:szCs w:val="28"/>
        </w:rPr>
      </w:pPr>
      <w:r>
        <w:br w:type="page"/>
      </w:r>
      <w:hyperlink r:id="rId26" w:history="1">
        <w:proofErr w:type="spellStart"/>
        <w:r w:rsidR="0064744C">
          <w:rPr>
            <w:rStyle w:val="Hyperlink"/>
            <w:b/>
            <w:i/>
            <w:sz w:val="28"/>
          </w:rPr>
          <w:t>AgoraEU</w:t>
        </w:r>
        <w:proofErr w:type="spellEnd"/>
        <w:r w:rsidR="0064744C">
          <w:rPr>
            <w:rStyle w:val="Hyperlink"/>
            <w:b/>
            <w:i/>
            <w:sz w:val="28"/>
          </w:rPr>
          <w:t>-programmet og programmet for retlige anliggender</w:t>
        </w:r>
      </w:hyperlink>
    </w:p>
    <w:p w14:paraId="269FC09C" w14:textId="77777777" w:rsidR="008D0052" w:rsidRDefault="008D0052" w:rsidP="008D0052">
      <w:pPr>
        <w:tabs>
          <w:tab w:val="center" w:pos="284"/>
        </w:tabs>
        <w:overflowPunct w:val="0"/>
        <w:autoSpaceDE w:val="0"/>
        <w:autoSpaceDN w:val="0"/>
        <w:adjustRightInd w:val="0"/>
        <w:ind w:left="567" w:hanging="567"/>
        <w:textAlignment w:val="baseline"/>
        <w:rPr>
          <w:sz w:val="16"/>
          <w:szCs w:val="16"/>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bCs/>
              </w:rPr>
              <w:t>Ordfører</w:t>
            </w:r>
          </w:p>
        </w:tc>
        <w:tc>
          <w:tcPr>
            <w:tcW w:w="6237" w:type="dxa"/>
          </w:tcPr>
          <w:p w14:paraId="585EAFF0" w14:textId="0AA0E60F" w:rsidR="008D0052" w:rsidRPr="008D0052" w:rsidRDefault="0064744C" w:rsidP="008D0052">
            <w:pPr>
              <w:overflowPunct w:val="0"/>
              <w:autoSpaceDE w:val="0"/>
              <w:autoSpaceDN w:val="0"/>
              <w:adjustRightInd w:val="0"/>
              <w:ind w:left="567" w:hanging="567"/>
              <w:textAlignment w:val="baseline"/>
            </w:pPr>
            <w:proofErr w:type="spellStart"/>
            <w:r w:rsidRPr="0064744C">
              <w:t>Ionuţ</w:t>
            </w:r>
            <w:proofErr w:type="spellEnd"/>
            <w:r w:rsidRPr="0064744C">
              <w:t xml:space="preserve"> </w:t>
            </w:r>
            <w:proofErr w:type="spellStart"/>
            <w:r w:rsidRPr="0064744C">
              <w:t>Sibian</w:t>
            </w:r>
            <w:proofErr w:type="spellEnd"/>
            <w:r w:rsidRPr="0064744C">
              <w:t xml:space="preserve"> (Gruppen af civilsamfundsorganisationer –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Ref.</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COM(2025) 463 final</w:t>
            </w:r>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Hovedpunkter</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7E3EEDA9" w14:textId="5D47FBE7" w:rsidR="0064744C" w:rsidRPr="00A74CF1" w:rsidRDefault="008D0052" w:rsidP="00A74CF1">
      <w:pPr>
        <w:jc w:val="left"/>
        <w:rPr>
          <w:b/>
          <w:bCs/>
        </w:rPr>
      </w:pPr>
      <w:r>
        <w:rPr>
          <w:b/>
        </w:rPr>
        <w:t>EØSU:</w:t>
      </w:r>
    </w:p>
    <w:p w14:paraId="4F307404"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 xml:space="preserve">glæder sig over Kommissionens forslag til </w:t>
      </w:r>
      <w:proofErr w:type="spellStart"/>
      <w:r>
        <w:rPr>
          <w:sz w:val="22"/>
        </w:rPr>
        <w:t>AgoraEU</w:t>
      </w:r>
      <w:proofErr w:type="spellEnd"/>
      <w:r>
        <w:rPr>
          <w:sz w:val="22"/>
        </w:rPr>
        <w:t>-programmet og programmet for retlige anliggender og opfordrer Europa-Parlamentet og Rådet til at godkende forslagene uden at reducere den foreslåede finansieringsramme</w:t>
      </w:r>
    </w:p>
    <w:p w14:paraId="10DF8E9B"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opfordrer til udtrykkelig anerkendelse af fortalervirksomhed som en central del af civilsamfundsorganisationernes arbejde og rolle i politikudformningen for at styrke demokratiet og modstandsdygtigheden</w:t>
      </w:r>
    </w:p>
    <w:p w14:paraId="6B6E78EB"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 xml:space="preserve">anbefaler, at der indføres driftstilskud i alle </w:t>
      </w:r>
      <w:proofErr w:type="spellStart"/>
      <w:r>
        <w:rPr>
          <w:sz w:val="22"/>
        </w:rPr>
        <w:t>AgoraEU</w:t>
      </w:r>
      <w:proofErr w:type="spellEnd"/>
      <w:r>
        <w:rPr>
          <w:sz w:val="22"/>
        </w:rPr>
        <w:t>-programmets indsatsområder for at styrke civilsamfundsorganisationernes institutionelle stabilitet, og opfordrer til, at det også bliver muligt at yde driftstilskud under programmet for retlige anliggender til almennyttige organisationer af generel europæisk interesse</w:t>
      </w:r>
    </w:p>
    <w:p w14:paraId="0821BA73"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støtter, at den finansielle støtte til tredjeparter opretholdes gennem formidlende organisationer for at nå ud til mindre organisationer og græsrodsorganisationer, og mener, at det bør være et centralt udvælgelseskriterium, at formidlere er uafhængige, og at deres ledelse er i overensstemmelse med EU's charter om grundlæggende rettigheder. EØSU ønsker også klarhed om medfinansieringssatserne og foreslår EU-finansiering på op til 100 % til formidlere og endelige modtagere, der gennemfører en uddelegeret aktivitet</w:t>
      </w:r>
    </w:p>
    <w:p w14:paraId="10FA709F"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 xml:space="preserve">bemærker, at der er behov for at ændre mandatet for og ressourcerne til kontorerne for Et Kreativt Europa, så de effektivt kan støtte </w:t>
      </w:r>
      <w:proofErr w:type="spellStart"/>
      <w:r>
        <w:rPr>
          <w:sz w:val="22"/>
        </w:rPr>
        <w:t>AgoraEU's</w:t>
      </w:r>
      <w:proofErr w:type="spellEnd"/>
      <w:r>
        <w:rPr>
          <w:sz w:val="22"/>
        </w:rPr>
        <w:t xml:space="preserve"> bredere anvendelsesområde på tværs af kultur-, medie- og civilsamfundsområdet</w:t>
      </w:r>
    </w:p>
    <w:p w14:paraId="72BF48FE"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opfordrer til fleksibilitet og sikkerhedsforanstaltninger (f.eks. indeksering, korrigerende mekanismer) i form af faste beløb og flerårige tilskud for at undgå at belaste støttemodtagerne økonomisk</w:t>
      </w:r>
    </w:p>
    <w:p w14:paraId="2F60322F"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ønsker større klarhed om synergierne mellem Den Europæiske Fond for Konkurrenceevne og Media+</w:t>
      </w:r>
      <w:r>
        <w:rPr>
          <w:sz w:val="22"/>
        </w:rPr>
        <w:noBreakHyphen/>
        <w:t xml:space="preserve">indsatsområdet i </w:t>
      </w:r>
      <w:proofErr w:type="spellStart"/>
      <w:r>
        <w:rPr>
          <w:sz w:val="22"/>
        </w:rPr>
        <w:t>AgoraEU</w:t>
      </w:r>
      <w:proofErr w:type="spellEnd"/>
      <w:r>
        <w:rPr>
          <w:sz w:val="22"/>
        </w:rPr>
        <w:t xml:space="preserve"> og opfordrer Kommissionen til at bringe modtagere af tilskud i kontakt med hinanden og udarbejde en handlingsplan for konkret anvendelse af kombineret og kumulativ finansiering i henhold til de to forordninger, herunder fælles indkaldelser, samarbejde mellem </w:t>
      </w:r>
      <w:proofErr w:type="spellStart"/>
      <w:r>
        <w:rPr>
          <w:sz w:val="22"/>
        </w:rPr>
        <w:t>GD'er</w:t>
      </w:r>
      <w:proofErr w:type="spellEnd"/>
      <w:r>
        <w:rPr>
          <w:sz w:val="22"/>
        </w:rPr>
        <w:t xml:space="preserve"> og resultatovervågning</w:t>
      </w:r>
    </w:p>
    <w:p w14:paraId="1871FCEF"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anbefaler et stærkere fokus på ofres rettigheder og adgang til domstolsprøvelse, herunder midler til støttenetværk, uddannelse af retsvæsenets aktører og grænseoverskridende retshjælp</w:t>
      </w:r>
    </w:p>
    <w:p w14:paraId="680117B7"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opfordrer til, at forskellene i finansiering i EU adresseres, især kløften mellem øst og vest, i begge programmer</w:t>
      </w:r>
    </w:p>
    <w:p w14:paraId="0CF7BED8" w14:textId="77777777" w:rsidR="0064744C" w:rsidRPr="002010CB" w:rsidRDefault="0064744C" w:rsidP="0064744C">
      <w:pPr>
        <w:pStyle w:val="NormalWeb"/>
        <w:numPr>
          <w:ilvl w:val="0"/>
          <w:numId w:val="21"/>
        </w:numPr>
        <w:tabs>
          <w:tab w:val="clear" w:pos="720"/>
        </w:tabs>
        <w:spacing w:before="0" w:beforeAutospacing="0" w:after="0" w:afterAutospacing="0" w:line="288" w:lineRule="auto"/>
        <w:jc w:val="both"/>
        <w:rPr>
          <w:sz w:val="22"/>
          <w:szCs w:val="22"/>
        </w:rPr>
      </w:pPr>
      <w:r>
        <w:rPr>
          <w:sz w:val="22"/>
        </w:rPr>
        <w:t xml:space="preserve">beklager, at arbejdsgruppen om civil dialog er udgået af </w:t>
      </w:r>
      <w:proofErr w:type="spellStart"/>
      <w:r>
        <w:rPr>
          <w:sz w:val="22"/>
        </w:rPr>
        <w:t>AgoraEU</w:t>
      </w:r>
      <w:proofErr w:type="spellEnd"/>
      <w:r>
        <w:rPr>
          <w:sz w:val="22"/>
        </w:rPr>
        <w:t>-forslaget, og opfordrer indtrængende Kommissionen til igen at inkludere den</w:t>
      </w:r>
    </w:p>
    <w:p w14:paraId="0337C2BE" w14:textId="17612582" w:rsidR="008D0052" w:rsidRDefault="0064744C" w:rsidP="00A74CF1">
      <w:pPr>
        <w:keepNext/>
        <w:keepLines/>
        <w:numPr>
          <w:ilvl w:val="0"/>
          <w:numId w:val="21"/>
        </w:numPr>
        <w:overflowPunct w:val="0"/>
        <w:autoSpaceDE w:val="0"/>
        <w:autoSpaceDN w:val="0"/>
        <w:adjustRightInd w:val="0"/>
        <w:ind w:left="714" w:hanging="357"/>
        <w:textAlignment w:val="baseline"/>
      </w:pPr>
      <w:r>
        <w:lastRenderedPageBreak/>
        <w:t xml:space="preserve">understreger, at virkningen af programmerne afhænger af, om der findes tilstrækkelig nationale infrastruktur og medfinansiering, og foreslår, at adgangen til EU's fonde med delt forvaltning knyttes sammen med medlemsstaternes støtte til målene for </w:t>
      </w:r>
      <w:proofErr w:type="spellStart"/>
      <w:r>
        <w:t>AgoraEU</w:t>
      </w:r>
      <w:proofErr w:type="spellEnd"/>
      <w:r>
        <w:t xml:space="preserve"> og programmet for retlige anliggender.</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4493"/>
      </w:tblGrid>
      <w:tr w:rsidR="008D0052" w:rsidRPr="008D0052" w14:paraId="02CD12AD" w14:textId="77777777" w:rsidTr="0036489A">
        <w:tc>
          <w:tcPr>
            <w:tcW w:w="1210"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Kontakt</w:t>
            </w:r>
          </w:p>
        </w:tc>
        <w:tc>
          <w:tcPr>
            <w:tcW w:w="4493"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r>
              <w:rPr>
                <w:i/>
              </w:rPr>
              <w:t>Alessia Cova</w:t>
            </w:r>
          </w:p>
        </w:tc>
      </w:tr>
      <w:tr w:rsidR="008D0052" w:rsidRPr="008D0052" w14:paraId="00343FBD" w14:textId="77777777" w:rsidTr="0036489A">
        <w:tc>
          <w:tcPr>
            <w:tcW w:w="1210"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Tlf.</w:t>
            </w:r>
          </w:p>
        </w:tc>
        <w:tc>
          <w:tcPr>
            <w:tcW w:w="4493" w:type="dxa"/>
          </w:tcPr>
          <w:p w14:paraId="3D3DA01D" w14:textId="09C68AAE" w:rsidR="008D0052" w:rsidRPr="008D0052" w:rsidRDefault="0064744C" w:rsidP="008D0052">
            <w:pPr>
              <w:overflowPunct w:val="0"/>
              <w:autoSpaceDE w:val="0"/>
              <w:autoSpaceDN w:val="0"/>
              <w:adjustRightInd w:val="0"/>
              <w:spacing w:line="240" w:lineRule="auto"/>
              <w:textAlignment w:val="baseline"/>
              <w:rPr>
                <w:i/>
              </w:rPr>
            </w:pPr>
            <w:r w:rsidRPr="0064744C">
              <w:rPr>
                <w:i/>
              </w:rPr>
              <w:t>00 32 2 546 94 26</w:t>
            </w:r>
          </w:p>
        </w:tc>
      </w:tr>
      <w:tr w:rsidR="008D0052" w:rsidRPr="008D0052" w14:paraId="6CB55D06" w14:textId="77777777" w:rsidTr="0036489A">
        <w:tc>
          <w:tcPr>
            <w:tcW w:w="1210"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E-mail</w:t>
            </w:r>
          </w:p>
        </w:tc>
        <w:tc>
          <w:tcPr>
            <w:tcW w:w="4493" w:type="dxa"/>
          </w:tcPr>
          <w:p w14:paraId="4E6DFDFB" w14:textId="77777777" w:rsidR="008D0052" w:rsidRPr="008D0052" w:rsidRDefault="00300901" w:rsidP="008D0052">
            <w:pPr>
              <w:overflowPunct w:val="0"/>
              <w:autoSpaceDE w:val="0"/>
              <w:autoSpaceDN w:val="0"/>
              <w:adjustRightInd w:val="0"/>
              <w:spacing w:line="240" w:lineRule="auto"/>
              <w:textAlignment w:val="baseline"/>
              <w:rPr>
                <w:i/>
                <w:iCs/>
              </w:rPr>
            </w:pPr>
            <w:hyperlink r:id="rId27" w:history="1">
              <w:r w:rsidR="00797C5C">
                <w:rPr>
                  <w:i/>
                  <w:color w:val="0000FF"/>
                  <w:u w:val="single"/>
                </w:rPr>
                <w:t>Alessia.Cova@eesc.europa.eu</w:t>
              </w:r>
            </w:hyperlink>
          </w:p>
        </w:tc>
      </w:tr>
    </w:tbl>
    <w:p w14:paraId="4982DDC5" w14:textId="04BE9D07" w:rsidR="004D7AC0" w:rsidRDefault="004D7AC0" w:rsidP="004D7AC0">
      <w:pPr>
        <w:spacing w:after="160" w:line="259" w:lineRule="auto"/>
        <w:jc w:val="left"/>
      </w:pPr>
    </w:p>
    <w:p w14:paraId="70993747" w14:textId="77777777" w:rsidR="0064744C" w:rsidRDefault="0064744C">
      <w:pPr>
        <w:spacing w:after="160" w:line="259" w:lineRule="auto"/>
        <w:jc w:val="left"/>
        <w:rPr>
          <w:b/>
          <w:kern w:val="28"/>
        </w:rPr>
      </w:pPr>
      <w:bookmarkStart w:id="7" w:name="_Toc24617160"/>
      <w:bookmarkStart w:id="8" w:name="_Toc75527082"/>
      <w:r>
        <w:rPr>
          <w:b/>
        </w:rPr>
        <w:br w:type="page"/>
      </w:r>
    </w:p>
    <w:p w14:paraId="4982DDC6" w14:textId="20C2EA0A" w:rsidR="004D7AC0" w:rsidRDefault="004D7AC0" w:rsidP="004D7AC0">
      <w:pPr>
        <w:pStyle w:val="Heading1"/>
        <w:rPr>
          <w:b/>
        </w:rPr>
      </w:pPr>
      <w:bookmarkStart w:id="9" w:name="_Toc216967785"/>
      <w:r>
        <w:rPr>
          <w:b/>
        </w:rPr>
        <w:lastRenderedPageBreak/>
        <w:t>TRANSPORT, ENERGI, INFRASTRUKTUR OG INFORMATIONSSAMFUNDET</w:t>
      </w:r>
      <w:bookmarkEnd w:id="7"/>
      <w:bookmarkEnd w:id="8"/>
      <w:bookmarkEnd w:id="9"/>
    </w:p>
    <w:p w14:paraId="4982DDC7" w14:textId="77777777" w:rsidR="004D7AC0" w:rsidRDefault="004D7AC0" w:rsidP="004D7AC0"/>
    <w:p w14:paraId="34EB6B62" w14:textId="5F7BE177" w:rsidR="00BC676C" w:rsidRPr="00DB0977" w:rsidRDefault="00300901" w:rsidP="00BC676C">
      <w:pPr>
        <w:widowControl w:val="0"/>
        <w:numPr>
          <w:ilvl w:val="0"/>
          <w:numId w:val="4"/>
        </w:numPr>
        <w:overflowPunct w:val="0"/>
        <w:autoSpaceDE w:val="0"/>
        <w:autoSpaceDN w:val="0"/>
        <w:adjustRightInd w:val="0"/>
        <w:ind w:hanging="567"/>
        <w:textAlignment w:val="baseline"/>
        <w:rPr>
          <w:sz w:val="28"/>
          <w:szCs w:val="28"/>
        </w:rPr>
      </w:pPr>
      <w:hyperlink r:id="rId28" w:history="1">
        <w:r w:rsidR="00111B8B">
          <w:rPr>
            <w:rStyle w:val="Hyperlink"/>
            <w:b/>
            <w:i/>
            <w:sz w:val="28"/>
          </w:rPr>
          <w:t>CO</w:t>
        </w:r>
        <w:r w:rsidR="00111B8B">
          <w:rPr>
            <w:rStyle w:val="Hyperlink"/>
            <w:b/>
            <w:i/>
            <w:sz w:val="28"/>
            <w:vertAlign w:val="subscript"/>
          </w:rPr>
          <w:t>2</w:t>
        </w:r>
        <w:r w:rsidR="00111B8B">
          <w:rPr>
            <w:rStyle w:val="Hyperlink"/>
            <w:b/>
            <w:i/>
            <w:sz w:val="28"/>
          </w:rPr>
          <w:t>-emissionsklassen for tunge køretøjer med påhængskøretøj</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Ref.</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Kategori C-udtalelse</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final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EESC-2023-03779-00-AC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Hovedpunkter</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3F44AB14" w:rsidR="00BC676C" w:rsidRPr="00BC676C" w:rsidRDefault="00111B8B" w:rsidP="00BC676C">
      <w:pPr>
        <w:widowControl w:val="0"/>
        <w:numPr>
          <w:ilvl w:val="0"/>
          <w:numId w:val="4"/>
        </w:numPr>
        <w:overflowPunct w:val="0"/>
        <w:autoSpaceDE w:val="0"/>
        <w:autoSpaceDN w:val="0"/>
        <w:adjustRightInd w:val="0"/>
        <w:ind w:hanging="567"/>
        <w:textAlignment w:val="baseline"/>
        <w:rPr>
          <w:bCs/>
          <w:iCs/>
        </w:rPr>
      </w:pPr>
      <w:r>
        <w:t>Eftersom EØSU allerede har behandlet dette forslag i sin udtalelse TEN/815 – CO</w:t>
      </w:r>
      <w:r>
        <w:rPr>
          <w:vertAlign w:val="subscript"/>
        </w:rPr>
        <w:t>2</w:t>
      </w:r>
      <w:r>
        <w:noBreakHyphen/>
        <w:t xml:space="preserve">emissionsklassen for tunge køretøjer med påhængskøretøj – </w:t>
      </w:r>
      <w:hyperlink r:id="rId29" w:history="1">
        <w:r>
          <w:rPr>
            <w:rStyle w:val="Hyperlink"/>
          </w:rPr>
          <w:t>C/2023/874</w:t>
        </w:r>
      </w:hyperlink>
      <w:r>
        <w:t>, der blev vedtaget den 20. september 2023, har udvalget besluttet ikke at afgive en ny udtalelse om emnet, men at henvise til den holdning, det gav udtryk for i ovennævnte dokument.</w:t>
      </w:r>
      <w:r w:rsidR="00BC676C">
        <w:t>.</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7904"/>
      </w:tblGrid>
      <w:tr w:rsidR="00BC676C" w:rsidRPr="00BC676C" w14:paraId="63E00060" w14:textId="77777777" w:rsidTr="0036489A">
        <w:tc>
          <w:tcPr>
            <w:tcW w:w="1418"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Kontakt</w:t>
            </w:r>
          </w:p>
        </w:tc>
        <w:tc>
          <w:tcPr>
            <w:tcW w:w="7904"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 xml:space="preserve">Maja </w:t>
            </w:r>
            <w:proofErr w:type="spellStart"/>
            <w:r>
              <w:rPr>
                <w:i/>
              </w:rPr>
              <w:t>Radman</w:t>
            </w:r>
            <w:proofErr w:type="spellEnd"/>
          </w:p>
        </w:tc>
      </w:tr>
      <w:tr w:rsidR="00BC676C" w:rsidRPr="00BC676C" w14:paraId="10A1FE95" w14:textId="77777777" w:rsidTr="0036489A">
        <w:tc>
          <w:tcPr>
            <w:tcW w:w="1418"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Tlf.</w:t>
            </w:r>
          </w:p>
        </w:tc>
        <w:tc>
          <w:tcPr>
            <w:tcW w:w="7904" w:type="dxa"/>
          </w:tcPr>
          <w:p w14:paraId="4B5ED86F" w14:textId="0CA89141" w:rsidR="00BC676C" w:rsidRPr="00BC676C" w:rsidRDefault="00111B8B" w:rsidP="00BC676C">
            <w:pPr>
              <w:overflowPunct w:val="0"/>
              <w:autoSpaceDE w:val="0"/>
              <w:autoSpaceDN w:val="0"/>
              <w:adjustRightInd w:val="0"/>
              <w:ind w:left="720" w:hanging="720"/>
              <w:textAlignment w:val="baseline"/>
              <w:rPr>
                <w:i/>
              </w:rPr>
            </w:pPr>
            <w:r>
              <w:rPr>
                <w:i/>
                <w:iCs/>
              </w:rPr>
              <w:t>00 32 2 546 90 51</w:t>
            </w:r>
          </w:p>
        </w:tc>
      </w:tr>
      <w:tr w:rsidR="00BC676C" w:rsidRPr="00BC676C" w14:paraId="31255C9B" w14:textId="77777777" w:rsidTr="0036489A">
        <w:tc>
          <w:tcPr>
            <w:tcW w:w="1418"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E-mail</w:t>
            </w:r>
          </w:p>
        </w:tc>
        <w:tc>
          <w:tcPr>
            <w:tcW w:w="7904" w:type="dxa"/>
          </w:tcPr>
          <w:p w14:paraId="53D1C2A7" w14:textId="77777777" w:rsidR="00BC676C" w:rsidRPr="00BC676C" w:rsidRDefault="00300901" w:rsidP="00BC676C">
            <w:pPr>
              <w:overflowPunct w:val="0"/>
              <w:autoSpaceDE w:val="0"/>
              <w:autoSpaceDN w:val="0"/>
              <w:adjustRightInd w:val="0"/>
              <w:ind w:left="720" w:hanging="720"/>
              <w:textAlignment w:val="baseline"/>
              <w:rPr>
                <w:i/>
              </w:rPr>
            </w:pPr>
            <w:hyperlink r:id="rId30" w:history="1">
              <w:r w:rsidR="00797C5C">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15C6E6D3" w14:textId="53991C0D" w:rsidR="0005334D" w:rsidRPr="00DB0977" w:rsidRDefault="0005334D" w:rsidP="0005334D">
      <w:pPr>
        <w:widowControl w:val="0"/>
        <w:numPr>
          <w:ilvl w:val="0"/>
          <w:numId w:val="4"/>
        </w:numPr>
        <w:overflowPunct w:val="0"/>
        <w:autoSpaceDE w:val="0"/>
        <w:autoSpaceDN w:val="0"/>
        <w:adjustRightInd w:val="0"/>
        <w:ind w:hanging="567"/>
        <w:textAlignment w:val="baseline"/>
        <w:rPr>
          <w:color w:val="0000FF"/>
          <w:sz w:val="28"/>
          <w:szCs w:val="28"/>
          <w:u w:val="single"/>
        </w:rPr>
      </w:pPr>
      <w:r w:rsidRPr="0005334D">
        <w:rPr>
          <w:b/>
          <w:i/>
          <w:sz w:val="28"/>
        </w:rPr>
        <w:lastRenderedPageBreak/>
        <w:fldChar w:fldCharType="begin"/>
      </w:r>
      <w:r w:rsidRPr="0005334D">
        <w:rPr>
          <w:b/>
          <w:i/>
          <w:sz w:val="28"/>
        </w:rPr>
        <w:instrText xml:space="preserve"> HYPERLINK "https://www.eesc.europa.eu/en/our-work/opinions-information-reports/opinions/eu-space-act" </w:instrText>
      </w:r>
      <w:r w:rsidRPr="0005334D">
        <w:rPr>
          <w:b/>
          <w:i/>
          <w:sz w:val="28"/>
        </w:rPr>
        <w:fldChar w:fldCharType="separate"/>
      </w:r>
      <w:r w:rsidR="00C74D87" w:rsidRPr="00C74D87">
        <w:t xml:space="preserve"> </w:t>
      </w:r>
      <w:r w:rsidR="00C74D87" w:rsidRPr="00C74D87">
        <w:rPr>
          <w:b/>
          <w:i/>
          <w:color w:val="0000FF"/>
          <w:sz w:val="28"/>
          <w:u w:val="single"/>
        </w:rPr>
        <w:t>EU-retsakt om rumsektoren</w:t>
      </w:r>
    </w:p>
    <w:p w14:paraId="0A91F32A" w14:textId="77777777" w:rsidR="0005334D" w:rsidRPr="0005334D" w:rsidRDefault="0005334D" w:rsidP="0005334D">
      <w:pPr>
        <w:tabs>
          <w:tab w:val="center" w:pos="284"/>
        </w:tabs>
        <w:overflowPunct w:val="0"/>
        <w:autoSpaceDE w:val="0"/>
        <w:autoSpaceDN w:val="0"/>
        <w:adjustRightInd w:val="0"/>
        <w:ind w:left="266" w:hanging="266"/>
        <w:textAlignment w:val="baseline"/>
        <w:rPr>
          <w:b/>
          <w:sz w:val="14"/>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bCs/>
              </w:rPr>
              <w:t>Ordfører</w:t>
            </w:r>
          </w:p>
        </w:tc>
        <w:tc>
          <w:tcPr>
            <w:tcW w:w="5387" w:type="dxa"/>
          </w:tcPr>
          <w:p w14:paraId="1C51F404" w14:textId="45D9E720" w:rsidR="0005334D" w:rsidRPr="0005334D" w:rsidRDefault="0005334D" w:rsidP="0005334D">
            <w:pPr>
              <w:tabs>
                <w:tab w:val="center" w:pos="284"/>
              </w:tabs>
              <w:overflowPunct w:val="0"/>
              <w:autoSpaceDE w:val="0"/>
              <w:autoSpaceDN w:val="0"/>
              <w:adjustRightInd w:val="0"/>
              <w:ind w:left="266" w:hanging="266"/>
              <w:textAlignment w:val="baseline"/>
            </w:pPr>
            <w:r>
              <w:t xml:space="preserve">Angelo </w:t>
            </w:r>
            <w:proofErr w:type="spellStart"/>
            <w:r w:rsidR="00C74D87">
              <w:t>Pagliara</w:t>
            </w:r>
            <w:proofErr w:type="spellEnd"/>
            <w:r w:rsidR="00C74D87">
              <w:t xml:space="preserve"> </w:t>
            </w:r>
            <w:r>
              <w:t>(</w:t>
            </w:r>
            <w:r w:rsidR="00C74D87" w:rsidRPr="00C74D87">
              <w:t>Arbejdstagergruppen – IT</w:t>
            </w:r>
            <w:r>
              <w: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Ref.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final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05334D" w:rsidRDefault="0005334D" w:rsidP="0005334D">
      <w:pPr>
        <w:tabs>
          <w:tab w:val="center" w:pos="284"/>
        </w:tabs>
        <w:overflowPunct w:val="0"/>
        <w:autoSpaceDE w:val="0"/>
        <w:autoSpaceDN w:val="0"/>
        <w:adjustRightInd w:val="0"/>
        <w:ind w:left="266" w:hanging="266"/>
        <w:textAlignment w:val="baseline"/>
        <w:rPr>
          <w:sz w:val="14"/>
          <w:szCs w:val="14"/>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Hovedpunkter</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EØSU:</w:t>
      </w:r>
    </w:p>
    <w:p w14:paraId="20265310" w14:textId="77777777" w:rsidR="00C74D87" w:rsidRPr="004F3EB7" w:rsidRDefault="00C74D87" w:rsidP="00C74D87">
      <w:pPr>
        <w:numPr>
          <w:ilvl w:val="0"/>
          <w:numId w:val="22"/>
        </w:numPr>
        <w:spacing w:line="276" w:lineRule="auto"/>
      </w:pPr>
      <w:r>
        <w:t xml:space="preserve">anbefaler, at </w:t>
      </w:r>
      <w:r>
        <w:rPr>
          <w:b/>
        </w:rPr>
        <w:t>de europæiske offentlige investeringer i rummet styrkes</w:t>
      </w:r>
      <w:r>
        <w:t xml:space="preserve"> øjeblikkeligt og strukturelt, og at ruminvesteringerne øges </w:t>
      </w:r>
      <w:r>
        <w:rPr>
          <w:b/>
        </w:rPr>
        <w:t>til mindst 0,2 % af BNP senest i 2030</w:t>
      </w:r>
    </w:p>
    <w:p w14:paraId="794D4588" w14:textId="77777777" w:rsidR="00C74D87" w:rsidRPr="004F3EB7" w:rsidRDefault="00C74D87" w:rsidP="00C74D87">
      <w:pPr>
        <w:numPr>
          <w:ilvl w:val="0"/>
          <w:numId w:val="22"/>
        </w:numPr>
        <w:spacing w:line="276" w:lineRule="auto"/>
      </w:pPr>
      <w:r>
        <w:t xml:space="preserve">anbefaler at </w:t>
      </w:r>
      <w:r>
        <w:rPr>
          <w:b/>
        </w:rPr>
        <w:t>præcisere, hvordan traktatens artikel 114 kan danne retsgrundlag for et indre marked for rumrelaterede produkter, tjenester og data</w:t>
      </w:r>
      <w:r>
        <w:t xml:space="preserve">, og foreslår, at der indføres en klausul om, at bestemmelserne i rumforordningen skal tolkes i lyset af de </w:t>
      </w:r>
      <w:r>
        <w:rPr>
          <w:b/>
        </w:rPr>
        <w:t>internationale forpligtelser, som medlemsstaterne allerede har påtaget sig</w:t>
      </w:r>
    </w:p>
    <w:p w14:paraId="24715F81" w14:textId="77777777" w:rsidR="00C74D87" w:rsidRPr="004F3EB7" w:rsidRDefault="00C74D87" w:rsidP="00C74D87">
      <w:pPr>
        <w:numPr>
          <w:ilvl w:val="0"/>
          <w:numId w:val="22"/>
        </w:numPr>
        <w:spacing w:line="276" w:lineRule="auto"/>
      </w:pPr>
      <w:r>
        <w:t xml:space="preserve">opfordrer til at præcisere </w:t>
      </w:r>
      <w:r>
        <w:rPr>
          <w:b/>
        </w:rPr>
        <w:t xml:space="preserve">årsagerne til, at der i afsnit I kun henvises til kriteriet om operatørens </w:t>
      </w:r>
      <w:r>
        <w:t xml:space="preserve">eller </w:t>
      </w:r>
      <w:proofErr w:type="spellStart"/>
      <w:r>
        <w:t>tredjelandsrumoperatørens</w:t>
      </w:r>
      <w:proofErr w:type="spellEnd"/>
      <w:r>
        <w:rPr>
          <w:b/>
        </w:rPr>
        <w:t xml:space="preserve"> etableringsmedlemsstat</w:t>
      </w:r>
      <w:r>
        <w:t xml:space="preserve"> uden henvisning til nationalitet, og til, at </w:t>
      </w:r>
      <w:r>
        <w:rPr>
          <w:b/>
        </w:rPr>
        <w:t>artikel 6, stk. 3, præciseres for at sikre bedre koordinering med medlemsstaternes nationale rumlovgivning</w:t>
      </w:r>
      <w:r>
        <w:t>, der udpeger de operatører, der har pligt til at indhente tilladelse til rumaktiviteter som følge af deres nationalitet eller på grund af det område, hvor rumaktiviteten udføres</w:t>
      </w:r>
    </w:p>
    <w:p w14:paraId="2C699D53" w14:textId="77777777" w:rsidR="00C74D87" w:rsidRPr="004F3EB7" w:rsidRDefault="00C74D87" w:rsidP="00C74D87">
      <w:pPr>
        <w:numPr>
          <w:ilvl w:val="0"/>
          <w:numId w:val="22"/>
        </w:numPr>
        <w:spacing w:line="276" w:lineRule="auto"/>
      </w:pPr>
      <w:r>
        <w:t xml:space="preserve">anbefaler, at man i </w:t>
      </w:r>
      <w:r>
        <w:rPr>
          <w:b/>
        </w:rPr>
        <w:t>afsnit II præciserer, hvordan undtagelser og fleksibilitet i tilladelsesproceduren fungerer</w:t>
      </w:r>
      <w:r>
        <w:t>, ved at angive behandlingstider, anvendelse på ikkekommercielle missioner, Kommissionens kontrolbeføjelser og den operationelle rolle, som Den Europæiske Rumorganisation (ESA) og EUSPA spiller</w:t>
      </w:r>
    </w:p>
    <w:p w14:paraId="6AC53B3D" w14:textId="77777777" w:rsidR="00C74D87" w:rsidRPr="004F3EB7" w:rsidRDefault="00C74D87" w:rsidP="00C74D87">
      <w:pPr>
        <w:numPr>
          <w:ilvl w:val="0"/>
          <w:numId w:val="22"/>
        </w:numPr>
        <w:spacing w:line="276" w:lineRule="auto"/>
      </w:pPr>
      <w:r>
        <w:t xml:space="preserve">anbefaler en præcis fastlæggelse af </w:t>
      </w:r>
      <w:r>
        <w:rPr>
          <w:b/>
        </w:rPr>
        <w:t>grænserne for, hvorvidt medlemsstaterne kan pålægge strengere krav</w:t>
      </w:r>
      <w:r>
        <w:t xml:space="preserve"> med hensyn til både den frie bevægelighed af rumbaserede data og rumtjenester i Unionen</w:t>
      </w:r>
    </w:p>
    <w:p w14:paraId="2B7E74F1" w14:textId="77777777" w:rsidR="00C74D87" w:rsidRPr="004F3EB7" w:rsidRDefault="00C74D87" w:rsidP="00C74D87">
      <w:pPr>
        <w:numPr>
          <w:ilvl w:val="0"/>
          <w:numId w:val="22"/>
        </w:numPr>
        <w:spacing w:line="276" w:lineRule="auto"/>
      </w:pPr>
      <w:r>
        <w:t xml:space="preserve">fremhæver behovet for at </w:t>
      </w:r>
      <w:r>
        <w:rPr>
          <w:b/>
        </w:rPr>
        <w:t>styrke princippet om gensidig anerkendelse og fælles regler for at undgå fragmentering</w:t>
      </w:r>
      <w:r>
        <w:t xml:space="preserve"> og bureaukratiske hindringer</w:t>
      </w:r>
    </w:p>
    <w:p w14:paraId="2D591D0A" w14:textId="77777777" w:rsidR="00C74D87" w:rsidRPr="004F3EB7" w:rsidRDefault="00C74D87" w:rsidP="00C74D87">
      <w:pPr>
        <w:numPr>
          <w:ilvl w:val="0"/>
          <w:numId w:val="22"/>
        </w:numPr>
        <w:spacing w:line="276" w:lineRule="auto"/>
      </w:pPr>
      <w:r>
        <w:t xml:space="preserve">anbefaler, at </w:t>
      </w:r>
      <w:r>
        <w:rPr>
          <w:b/>
        </w:rPr>
        <w:t>den europæiske rumstrategi kædes sammen med europæisk strategisk autonomi</w:t>
      </w:r>
      <w:r>
        <w:t xml:space="preserve">, og at der tilskyndes til, at </w:t>
      </w:r>
      <w:r>
        <w:rPr>
          <w:b/>
        </w:rPr>
        <w:t>supplerende økosystemer og rumøkonomiens multiplikatoreffekt aktiveres</w:t>
      </w:r>
      <w:r>
        <w:t xml:space="preserve"> for at støtte specifikke sektorer</w:t>
      </w:r>
    </w:p>
    <w:p w14:paraId="4EBBDA27" w14:textId="77777777" w:rsidR="00C74D87" w:rsidRPr="004F3EB7" w:rsidRDefault="00C74D87" w:rsidP="00C74D87">
      <w:pPr>
        <w:numPr>
          <w:ilvl w:val="0"/>
          <w:numId w:val="22"/>
        </w:numPr>
        <w:spacing w:line="276" w:lineRule="auto"/>
      </w:pPr>
      <w:r>
        <w:t xml:space="preserve">anbefaler, at der udvikles en </w:t>
      </w:r>
      <w:r>
        <w:rPr>
          <w:b/>
        </w:rPr>
        <w:t>integreret strategi for rumfærdigheder og -job</w:t>
      </w:r>
      <w:r>
        <w:t xml:space="preserve"> samt vedtages </w:t>
      </w:r>
      <w:r>
        <w:rPr>
          <w:b/>
        </w:rPr>
        <w:t>en europæisk dagsorden for rumfærdigheder</w:t>
      </w:r>
    </w:p>
    <w:p w14:paraId="36AD8480" w14:textId="17ACFBFD" w:rsidR="0005334D" w:rsidRPr="0005334D" w:rsidRDefault="00C74D87" w:rsidP="00C74D87">
      <w:pPr>
        <w:numPr>
          <w:ilvl w:val="0"/>
          <w:numId w:val="22"/>
        </w:numPr>
        <w:overflowPunct w:val="0"/>
        <w:autoSpaceDE w:val="0"/>
        <w:autoSpaceDN w:val="0"/>
        <w:adjustRightInd w:val="0"/>
        <w:textAlignment w:val="baseline"/>
        <w:rPr>
          <w:szCs w:val="20"/>
        </w:rPr>
      </w:pPr>
      <w:r>
        <w:t xml:space="preserve">opfordrer til, at der afsættes passende ressourcer til </w:t>
      </w:r>
      <w:r>
        <w:rPr>
          <w:b/>
        </w:rPr>
        <w:t>den operationelle styrkelse af EUSPA</w:t>
      </w:r>
      <w:r>
        <w:t xml:space="preserve"> i den næste flerårige finansielle ramme for 2028-2034.</w:t>
      </w:r>
      <w:r w:rsidR="0005334D">
        <w:t>.</w:t>
      </w:r>
    </w:p>
    <w:p w14:paraId="39C0FBAA" w14:textId="77777777" w:rsidR="0005334D" w:rsidRPr="0005334D" w:rsidRDefault="0005334D" w:rsidP="0005334D">
      <w:pPr>
        <w:widowControl w:val="0"/>
        <w:overflowPunct w:val="0"/>
        <w:autoSpaceDE w:val="0"/>
        <w:autoSpaceDN w:val="0"/>
        <w:adjustRightInd w:val="0"/>
        <w:ind w:left="709"/>
        <w:textAlignment w:val="baseline"/>
        <w:rPr>
          <w:sz w:val="14"/>
          <w:szCs w:val="12"/>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05334D" w:rsidRPr="0005334D" w14:paraId="2E1C4F7A" w14:textId="77777777" w:rsidTr="0036489A">
        <w:tc>
          <w:tcPr>
            <w:tcW w:w="1418" w:type="dxa"/>
          </w:tcPr>
          <w:p w14:paraId="3B838871" w14:textId="77777777" w:rsidR="0005334D" w:rsidRPr="0005334D" w:rsidRDefault="0005334D" w:rsidP="0005334D">
            <w:pPr>
              <w:overflowPunct w:val="0"/>
              <w:autoSpaceDE w:val="0"/>
              <w:autoSpaceDN w:val="0"/>
              <w:adjustRightInd w:val="0"/>
              <w:textAlignment w:val="baseline"/>
              <w:rPr>
                <w:i/>
              </w:rPr>
            </w:pPr>
            <w:r>
              <w:rPr>
                <w:b/>
                <w:i/>
              </w:rPr>
              <w:t>Kontakt</w:t>
            </w:r>
          </w:p>
        </w:tc>
        <w:tc>
          <w:tcPr>
            <w:tcW w:w="5670" w:type="dxa"/>
          </w:tcPr>
          <w:p w14:paraId="40162F2B" w14:textId="77777777" w:rsidR="0005334D" w:rsidRPr="0005334D" w:rsidRDefault="0005334D" w:rsidP="0005334D">
            <w:pPr>
              <w:overflowPunct w:val="0"/>
              <w:autoSpaceDE w:val="0"/>
              <w:autoSpaceDN w:val="0"/>
              <w:adjustRightInd w:val="0"/>
              <w:textAlignment w:val="baseline"/>
              <w:rPr>
                <w:i/>
              </w:rPr>
            </w:pPr>
            <w:r>
              <w:rPr>
                <w:i/>
              </w:rPr>
              <w:t xml:space="preserve">Giorgia </w:t>
            </w:r>
            <w:proofErr w:type="spellStart"/>
            <w:r>
              <w:rPr>
                <w:i/>
              </w:rPr>
              <w:t>Bordignon</w:t>
            </w:r>
            <w:proofErr w:type="spellEnd"/>
          </w:p>
        </w:tc>
      </w:tr>
      <w:tr w:rsidR="0005334D" w:rsidRPr="0005334D" w14:paraId="362A9B5A" w14:textId="77777777" w:rsidTr="0036489A">
        <w:tc>
          <w:tcPr>
            <w:tcW w:w="1418" w:type="dxa"/>
          </w:tcPr>
          <w:p w14:paraId="0F21C068" w14:textId="77777777" w:rsidR="0005334D" w:rsidRPr="0005334D" w:rsidRDefault="0005334D" w:rsidP="0005334D">
            <w:pPr>
              <w:overflowPunct w:val="0"/>
              <w:autoSpaceDE w:val="0"/>
              <w:autoSpaceDN w:val="0"/>
              <w:adjustRightInd w:val="0"/>
              <w:textAlignment w:val="baseline"/>
              <w:rPr>
                <w:i/>
              </w:rPr>
            </w:pPr>
            <w:r>
              <w:rPr>
                <w:i/>
              </w:rPr>
              <w:t>Tlf.</w:t>
            </w:r>
          </w:p>
        </w:tc>
        <w:tc>
          <w:tcPr>
            <w:tcW w:w="5670" w:type="dxa"/>
          </w:tcPr>
          <w:p w14:paraId="1CDF1B64" w14:textId="5BF11E04" w:rsidR="0005334D" w:rsidRPr="0005334D" w:rsidRDefault="00C74D87" w:rsidP="0005334D">
            <w:pPr>
              <w:overflowPunct w:val="0"/>
              <w:autoSpaceDE w:val="0"/>
              <w:autoSpaceDN w:val="0"/>
              <w:adjustRightInd w:val="0"/>
              <w:textAlignment w:val="baseline"/>
              <w:rPr>
                <w:i/>
              </w:rPr>
            </w:pPr>
            <w:r>
              <w:rPr>
                <w:i/>
              </w:rPr>
              <w:t>00 32 2 546 8</w:t>
            </w:r>
            <w:r>
              <w:t>5 35</w:t>
            </w:r>
          </w:p>
        </w:tc>
      </w:tr>
      <w:tr w:rsidR="0005334D" w:rsidRPr="0005334D" w14:paraId="2C7002E1" w14:textId="77777777" w:rsidTr="0036489A">
        <w:tc>
          <w:tcPr>
            <w:tcW w:w="1418" w:type="dxa"/>
          </w:tcPr>
          <w:p w14:paraId="1B96A53D" w14:textId="36B45CE4" w:rsidR="0005334D" w:rsidRPr="0005334D" w:rsidRDefault="008C414B" w:rsidP="0005334D">
            <w:pPr>
              <w:overflowPunct w:val="0"/>
              <w:autoSpaceDE w:val="0"/>
              <w:autoSpaceDN w:val="0"/>
              <w:adjustRightInd w:val="0"/>
              <w:textAlignment w:val="baseline"/>
              <w:rPr>
                <w:i/>
              </w:rPr>
            </w:pPr>
            <w:r>
              <w:rPr>
                <w:i/>
              </w:rPr>
              <w:t>E-mail</w:t>
            </w:r>
          </w:p>
        </w:tc>
        <w:tc>
          <w:tcPr>
            <w:tcW w:w="5670" w:type="dxa"/>
          </w:tcPr>
          <w:p w14:paraId="7D4DCAF5" w14:textId="77777777" w:rsidR="0005334D" w:rsidRPr="0005334D" w:rsidRDefault="00300901" w:rsidP="0005334D">
            <w:pPr>
              <w:overflowPunct w:val="0"/>
              <w:autoSpaceDE w:val="0"/>
              <w:autoSpaceDN w:val="0"/>
              <w:adjustRightInd w:val="0"/>
              <w:textAlignment w:val="baseline"/>
              <w:rPr>
                <w:i/>
              </w:rPr>
            </w:pPr>
            <w:hyperlink r:id="rId31" w:history="1">
              <w:r w:rsidR="00797C5C">
                <w:rPr>
                  <w:i/>
                  <w:color w:val="0000FF"/>
                  <w:u w:val="single"/>
                </w:rPr>
                <w:t>GiorgiaAndrea.Bordignon@eesc.europa.eu</w:t>
              </w:r>
            </w:hyperlink>
            <w:r w:rsidR="00797C5C">
              <w:rPr>
                <w:i/>
              </w:rPr>
              <w:t xml:space="preserve"> </w:t>
            </w:r>
          </w:p>
        </w:tc>
      </w:tr>
    </w:tbl>
    <w:p w14:paraId="4982DDF1" w14:textId="421D2B67" w:rsidR="00B8543B" w:rsidRDefault="00B8543B" w:rsidP="004D7AC0">
      <w:pPr>
        <w:pStyle w:val="ListParagraph"/>
        <w:ind w:left="0"/>
      </w:pPr>
    </w:p>
    <w:p w14:paraId="7416E75B" w14:textId="77777777" w:rsidR="00B8543B" w:rsidRDefault="00B8543B">
      <w:pPr>
        <w:spacing w:after="160" w:line="259" w:lineRule="auto"/>
        <w:jc w:val="left"/>
      </w:pPr>
      <w:r>
        <w:br w:type="page"/>
      </w:r>
    </w:p>
    <w:p w14:paraId="77FAB844" w14:textId="14116DDE" w:rsidR="00B8543B" w:rsidRPr="00DB0977" w:rsidRDefault="00300901" w:rsidP="00B8543B">
      <w:pPr>
        <w:widowControl w:val="0"/>
        <w:numPr>
          <w:ilvl w:val="0"/>
          <w:numId w:val="4"/>
        </w:numPr>
        <w:overflowPunct w:val="0"/>
        <w:autoSpaceDE w:val="0"/>
        <w:autoSpaceDN w:val="0"/>
        <w:adjustRightInd w:val="0"/>
        <w:ind w:hanging="567"/>
        <w:textAlignment w:val="baseline"/>
        <w:rPr>
          <w:sz w:val="28"/>
          <w:szCs w:val="28"/>
        </w:rPr>
      </w:pPr>
      <w:hyperlink r:id="rId32" w:history="1">
        <w:r w:rsidR="00C74D87">
          <w:rPr>
            <w:rStyle w:val="Hyperlink"/>
            <w:b/>
            <w:i/>
            <w:sz w:val="28"/>
          </w:rPr>
          <w:t>Det vejledende kerneenergiprogram</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bCs/>
              </w:rPr>
              <w:t>Ordfører</w:t>
            </w:r>
          </w:p>
        </w:tc>
        <w:tc>
          <w:tcPr>
            <w:tcW w:w="7229" w:type="dxa"/>
          </w:tcPr>
          <w:p w14:paraId="741530A3" w14:textId="58567797" w:rsidR="00B8543B" w:rsidRPr="00B8543B" w:rsidRDefault="00B8543B" w:rsidP="00B8543B">
            <w:pPr>
              <w:tabs>
                <w:tab w:val="center" w:pos="284"/>
              </w:tabs>
              <w:overflowPunct w:val="0"/>
              <w:autoSpaceDE w:val="0"/>
              <w:autoSpaceDN w:val="0"/>
              <w:adjustRightInd w:val="0"/>
              <w:ind w:left="266" w:hanging="266"/>
              <w:textAlignment w:val="baseline"/>
            </w:pPr>
            <w:proofErr w:type="spellStart"/>
            <w:r>
              <w:t>Dumitru</w:t>
            </w:r>
            <w:proofErr w:type="spellEnd"/>
            <w:r>
              <w:t xml:space="preserve"> </w:t>
            </w:r>
            <w:proofErr w:type="spellStart"/>
            <w:r w:rsidR="00C74D87">
              <w:t>Fornea</w:t>
            </w:r>
            <w:proofErr w:type="spellEnd"/>
            <w:r w:rsidR="00C74D87">
              <w:t xml:space="preserve"> </w:t>
            </w:r>
            <w:r>
              <w:t>(</w:t>
            </w:r>
            <w:r w:rsidR="00C74D87" w:rsidRPr="00C74D87">
              <w:t>Arbejdstagergruppen – RO</w:t>
            </w:r>
            <w:r>
              <w:t>)</w:t>
            </w:r>
          </w:p>
        </w:tc>
      </w:tr>
      <w:tr w:rsidR="00B8543B" w:rsidRPr="00B8543B" w14:paraId="1EF069F7" w14:textId="77777777" w:rsidTr="0036489A">
        <w:tc>
          <w:tcPr>
            <w:tcW w:w="1951" w:type="dxa"/>
          </w:tcPr>
          <w:p w14:paraId="1E9A27C2" w14:textId="5A887992" w:rsidR="00B8543B" w:rsidRPr="00B8543B" w:rsidRDefault="00C74D87" w:rsidP="00B8543B">
            <w:pPr>
              <w:tabs>
                <w:tab w:val="center" w:pos="284"/>
              </w:tabs>
              <w:overflowPunct w:val="0"/>
              <w:autoSpaceDE w:val="0"/>
              <w:autoSpaceDN w:val="0"/>
              <w:adjustRightInd w:val="0"/>
              <w:ind w:left="266" w:hanging="266"/>
              <w:textAlignment w:val="baseline"/>
              <w:rPr>
                <w:b/>
              </w:rPr>
            </w:pPr>
            <w:r w:rsidRPr="00C74D87">
              <w:rPr>
                <w:b/>
              </w:rPr>
              <w:t>Medordfører</w:t>
            </w:r>
          </w:p>
        </w:tc>
        <w:tc>
          <w:tcPr>
            <w:tcW w:w="7229" w:type="dxa"/>
          </w:tcPr>
          <w:p w14:paraId="6C41DC74" w14:textId="4AFB7A6E" w:rsidR="00B8543B" w:rsidRDefault="00B8543B" w:rsidP="00B8543B">
            <w:pPr>
              <w:tabs>
                <w:tab w:val="center" w:pos="284"/>
              </w:tabs>
              <w:overflowPunct w:val="0"/>
              <w:autoSpaceDE w:val="0"/>
              <w:autoSpaceDN w:val="0"/>
              <w:adjustRightInd w:val="0"/>
              <w:ind w:left="266" w:hanging="266"/>
              <w:textAlignment w:val="baseline"/>
            </w:pPr>
            <w:r>
              <w:t xml:space="preserve">Alena </w:t>
            </w:r>
            <w:proofErr w:type="spellStart"/>
            <w:r w:rsidR="00C74D87">
              <w:t>Mastantuono</w:t>
            </w:r>
            <w:proofErr w:type="spellEnd"/>
            <w:r w:rsidR="00C74D87">
              <w:t xml:space="preserve"> </w:t>
            </w:r>
            <w:r>
              <w:t>(</w:t>
            </w:r>
            <w:r w:rsidR="00C74D87" w:rsidRPr="00C74D87">
              <w:t>Arbejdsgivergruppen – CZ</w:t>
            </w:r>
            <w:r>
              <w:t>)</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Ref.</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COM(2025) 315 final</w:t>
            </w:r>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Hovedpunkter</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EØSU:</w:t>
      </w:r>
    </w:p>
    <w:p w14:paraId="598C3346" w14:textId="77777777" w:rsidR="00C74D87" w:rsidRPr="00947EE1" w:rsidRDefault="00C74D87" w:rsidP="00C74D87">
      <w:pPr>
        <w:widowControl w:val="0"/>
        <w:numPr>
          <w:ilvl w:val="0"/>
          <w:numId w:val="23"/>
        </w:numPr>
        <w:overflowPunct w:val="0"/>
        <w:autoSpaceDE w:val="0"/>
        <w:autoSpaceDN w:val="0"/>
        <w:adjustRightInd w:val="0"/>
        <w:textAlignment w:val="baseline"/>
        <w:rPr>
          <w:bCs/>
          <w:iCs/>
        </w:rPr>
      </w:pPr>
      <w:r>
        <w:t xml:space="preserve">mener, at kerneenergi på nuværende tidspunkt spiller en afgørende rolle i </w:t>
      </w:r>
      <w:proofErr w:type="spellStart"/>
      <w:r>
        <w:t>dekarboniseringen</w:t>
      </w:r>
      <w:proofErr w:type="spellEnd"/>
      <w:r>
        <w:t xml:space="preserve"> af det europæiske kontinent og konsolideringen af EU's strategiske autonomi inden for både energi og teknologi, hvilket også i fremtiden vil gøre sig gældende</w:t>
      </w:r>
    </w:p>
    <w:p w14:paraId="7297E0AA" w14:textId="77777777" w:rsidR="00C74D87" w:rsidRPr="00A6689B" w:rsidRDefault="00C74D87" w:rsidP="00C74D87">
      <w:pPr>
        <w:widowControl w:val="0"/>
        <w:numPr>
          <w:ilvl w:val="0"/>
          <w:numId w:val="23"/>
        </w:numPr>
        <w:overflowPunct w:val="0"/>
        <w:autoSpaceDE w:val="0"/>
        <w:autoSpaceDN w:val="0"/>
        <w:adjustRightInd w:val="0"/>
        <w:textAlignment w:val="baseline"/>
        <w:rPr>
          <w:bCs/>
          <w:iCs/>
        </w:rPr>
      </w:pPr>
      <w:r>
        <w:t>mener, at der bør gælde de samme betingelser for investeringer i kerneenergisektoren som for vedvarende energikilder</w:t>
      </w:r>
    </w:p>
    <w:p w14:paraId="4792CA9A" w14:textId="77777777" w:rsidR="00C74D87" w:rsidRPr="00A6689B" w:rsidRDefault="00C74D87" w:rsidP="00C74D87">
      <w:pPr>
        <w:widowControl w:val="0"/>
        <w:numPr>
          <w:ilvl w:val="0"/>
          <w:numId w:val="23"/>
        </w:numPr>
        <w:overflowPunct w:val="0"/>
        <w:autoSpaceDE w:val="0"/>
        <w:autoSpaceDN w:val="0"/>
        <w:adjustRightInd w:val="0"/>
        <w:textAlignment w:val="baseline"/>
        <w:rPr>
          <w:bCs/>
          <w:iCs/>
        </w:rPr>
      </w:pPr>
      <w:r>
        <w:t>anbefaler, at man fremskynder investeringerne gennem særlige finansielle og lovgivningsmæssige foranstaltninger såsom en strømlinet statsstøtteproces, adgang til EU's samhørighedsfonde, bæredygtig finansiering, godkendelsesprocedurer og hurtigere beslutninger på EU-plan og nationalt plan</w:t>
      </w:r>
    </w:p>
    <w:p w14:paraId="65733EB3" w14:textId="77777777" w:rsidR="00C74D87" w:rsidRDefault="00C74D87" w:rsidP="00C74D87">
      <w:pPr>
        <w:widowControl w:val="0"/>
        <w:numPr>
          <w:ilvl w:val="0"/>
          <w:numId w:val="23"/>
        </w:numPr>
        <w:overflowPunct w:val="0"/>
        <w:autoSpaceDE w:val="0"/>
        <w:autoSpaceDN w:val="0"/>
        <w:adjustRightInd w:val="0"/>
        <w:textAlignment w:val="baseline"/>
        <w:rPr>
          <w:bCs/>
          <w:iCs/>
        </w:rPr>
      </w:pPr>
      <w:r>
        <w:t>er af den opfattelse, at dialogen med civilsamfundet spiller en afgørende rolle for opbygning af tillid, ejerskab og samfundsmæssig accept</w:t>
      </w:r>
    </w:p>
    <w:p w14:paraId="1139412E" w14:textId="77777777" w:rsidR="00C74D87" w:rsidRPr="00A6689B" w:rsidRDefault="00C74D87" w:rsidP="00C74D87">
      <w:pPr>
        <w:widowControl w:val="0"/>
        <w:numPr>
          <w:ilvl w:val="0"/>
          <w:numId w:val="23"/>
        </w:numPr>
        <w:overflowPunct w:val="0"/>
        <w:autoSpaceDE w:val="0"/>
        <w:autoSpaceDN w:val="0"/>
        <w:adjustRightInd w:val="0"/>
        <w:textAlignment w:val="baseline"/>
        <w:rPr>
          <w:bCs/>
          <w:iCs/>
        </w:rPr>
      </w:pPr>
      <w:r>
        <w:t>efterlyser bedre lovgivningsmæssigt samarbejde mellem medlemsstaterne</w:t>
      </w:r>
    </w:p>
    <w:p w14:paraId="60BEBBD3" w14:textId="5C86479E" w:rsidR="00B8543B" w:rsidRPr="00B8543B" w:rsidRDefault="00C74D87" w:rsidP="00C74D87">
      <w:pPr>
        <w:widowControl w:val="0"/>
        <w:numPr>
          <w:ilvl w:val="0"/>
          <w:numId w:val="23"/>
        </w:numPr>
        <w:overflowPunct w:val="0"/>
        <w:autoSpaceDE w:val="0"/>
        <w:autoSpaceDN w:val="0"/>
        <w:adjustRightInd w:val="0"/>
        <w:textAlignment w:val="baseline"/>
      </w:pPr>
      <w:r>
        <w:t>anbefaler, at man tager højde for den rolle, kerneenergien spiller med hensyn til at stabilisere nettet, og opfordrer til, at der føjes en beregning af de systemiske omkostninger, som kan undgås takket være kerneenergi, til det vejledende kerneenergiprogram.</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1A87DBFF" w14:textId="77777777" w:rsidTr="0036489A">
        <w:tc>
          <w:tcPr>
            <w:tcW w:w="1951" w:type="dxa"/>
          </w:tcPr>
          <w:p w14:paraId="5E9F41AD" w14:textId="77777777" w:rsidR="00B8543B" w:rsidRPr="00B8543B" w:rsidRDefault="00B8543B" w:rsidP="00B8543B">
            <w:pPr>
              <w:overflowPunct w:val="0"/>
              <w:autoSpaceDE w:val="0"/>
              <w:autoSpaceDN w:val="0"/>
              <w:adjustRightInd w:val="0"/>
              <w:textAlignment w:val="baseline"/>
              <w:rPr>
                <w:i/>
              </w:rPr>
            </w:pPr>
            <w:r>
              <w:rPr>
                <w:b/>
                <w:i/>
              </w:rPr>
              <w:t>Kontakt</w:t>
            </w:r>
          </w:p>
        </w:tc>
        <w:tc>
          <w:tcPr>
            <w:tcW w:w="7229" w:type="dxa"/>
          </w:tcPr>
          <w:p w14:paraId="1EA77D8A" w14:textId="6DF16979" w:rsidR="00B8543B" w:rsidRPr="00B8543B" w:rsidRDefault="00B8543B" w:rsidP="00B8543B">
            <w:pPr>
              <w:overflowPunct w:val="0"/>
              <w:autoSpaceDE w:val="0"/>
              <w:autoSpaceDN w:val="0"/>
              <w:adjustRightInd w:val="0"/>
              <w:textAlignment w:val="baseline"/>
              <w:rPr>
                <w:i/>
              </w:rPr>
            </w:pPr>
            <w:r>
              <w:rPr>
                <w:i/>
              </w:rPr>
              <w:t xml:space="preserve">Albert </w:t>
            </w:r>
            <w:proofErr w:type="spellStart"/>
            <w:r>
              <w:rPr>
                <w:i/>
              </w:rPr>
              <w:t>Precup</w:t>
            </w:r>
            <w:proofErr w:type="spellEnd"/>
          </w:p>
        </w:tc>
      </w:tr>
      <w:tr w:rsidR="00B8543B" w:rsidRPr="00B8543B" w14:paraId="3CDABFB0" w14:textId="77777777" w:rsidTr="0036489A">
        <w:tc>
          <w:tcPr>
            <w:tcW w:w="1951" w:type="dxa"/>
          </w:tcPr>
          <w:p w14:paraId="690F7657" w14:textId="77777777" w:rsidR="00B8543B" w:rsidRPr="00B8543B" w:rsidRDefault="00B8543B" w:rsidP="00B8543B">
            <w:pPr>
              <w:overflowPunct w:val="0"/>
              <w:autoSpaceDE w:val="0"/>
              <w:autoSpaceDN w:val="0"/>
              <w:adjustRightInd w:val="0"/>
              <w:textAlignment w:val="baseline"/>
              <w:rPr>
                <w:i/>
              </w:rPr>
            </w:pPr>
            <w:r>
              <w:rPr>
                <w:i/>
              </w:rPr>
              <w:t>Tlf.</w:t>
            </w:r>
          </w:p>
        </w:tc>
        <w:tc>
          <w:tcPr>
            <w:tcW w:w="7229" w:type="dxa"/>
          </w:tcPr>
          <w:p w14:paraId="113BC3FF" w14:textId="2569CB0F" w:rsidR="00B8543B" w:rsidRPr="00B8543B" w:rsidRDefault="00C74D87" w:rsidP="00B8543B">
            <w:pPr>
              <w:overflowPunct w:val="0"/>
              <w:autoSpaceDE w:val="0"/>
              <w:autoSpaceDN w:val="0"/>
              <w:adjustRightInd w:val="0"/>
              <w:textAlignment w:val="baseline"/>
              <w:rPr>
                <w:i/>
              </w:rPr>
            </w:pPr>
            <w:r w:rsidRPr="00C74D87">
              <w:rPr>
                <w:i/>
              </w:rPr>
              <w:t>00 32 2 546 93 26</w:t>
            </w:r>
          </w:p>
        </w:tc>
      </w:tr>
      <w:tr w:rsidR="00B8543B" w:rsidRPr="00B8543B" w14:paraId="358EB551" w14:textId="77777777" w:rsidTr="0036489A">
        <w:tc>
          <w:tcPr>
            <w:tcW w:w="1951" w:type="dxa"/>
          </w:tcPr>
          <w:p w14:paraId="2EF8A9AA" w14:textId="77777777" w:rsidR="00B8543B" w:rsidRPr="00B8543B" w:rsidRDefault="00B8543B" w:rsidP="00B8543B">
            <w:pPr>
              <w:overflowPunct w:val="0"/>
              <w:autoSpaceDE w:val="0"/>
              <w:autoSpaceDN w:val="0"/>
              <w:adjustRightInd w:val="0"/>
              <w:textAlignment w:val="baseline"/>
              <w:rPr>
                <w:i/>
              </w:rPr>
            </w:pPr>
            <w:r>
              <w:rPr>
                <w:i/>
              </w:rPr>
              <w:t>E-mail</w:t>
            </w:r>
          </w:p>
        </w:tc>
        <w:tc>
          <w:tcPr>
            <w:tcW w:w="7229" w:type="dxa"/>
          </w:tcPr>
          <w:p w14:paraId="1491B9B9" w14:textId="77777777" w:rsidR="00B8543B" w:rsidRPr="00B8543B" w:rsidRDefault="00300901" w:rsidP="00B8543B">
            <w:pPr>
              <w:overflowPunct w:val="0"/>
              <w:autoSpaceDE w:val="0"/>
              <w:autoSpaceDN w:val="0"/>
              <w:adjustRightInd w:val="0"/>
              <w:textAlignment w:val="baseline"/>
              <w:rPr>
                <w:i/>
              </w:rPr>
            </w:pPr>
            <w:hyperlink r:id="rId33" w:history="1">
              <w:r w:rsidR="00797C5C">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4982DDF3" w14:textId="77777777" w:rsidR="004D7AC0" w:rsidRDefault="004D7AC0" w:rsidP="004D7AC0">
      <w:pPr>
        <w:pStyle w:val="Heading1"/>
        <w:rPr>
          <w:b/>
        </w:rPr>
      </w:pPr>
      <w:bookmarkStart w:id="10" w:name="_Toc75527083"/>
      <w:bookmarkStart w:id="11" w:name="_Toc216967786"/>
      <w:r>
        <w:rPr>
          <w:b/>
        </w:rPr>
        <w:lastRenderedPageBreak/>
        <w:t>DET INDRE MARKED, PRODUKTION OG FORBRUG</w:t>
      </w:r>
      <w:bookmarkEnd w:id="10"/>
      <w:bookmarkEnd w:id="11"/>
    </w:p>
    <w:p w14:paraId="4982DDF4" w14:textId="77777777" w:rsidR="004D7AC0" w:rsidRDefault="004D7AC0" w:rsidP="004D7AC0"/>
    <w:p w14:paraId="5D547137" w14:textId="336E2287" w:rsidR="00465162" w:rsidRPr="00DB0977" w:rsidRDefault="00300901" w:rsidP="00465162">
      <w:pPr>
        <w:widowControl w:val="0"/>
        <w:numPr>
          <w:ilvl w:val="0"/>
          <w:numId w:val="4"/>
        </w:numPr>
        <w:overflowPunct w:val="0"/>
        <w:autoSpaceDE w:val="0"/>
        <w:autoSpaceDN w:val="0"/>
        <w:adjustRightInd w:val="0"/>
        <w:ind w:hanging="567"/>
        <w:textAlignment w:val="baseline"/>
        <w:rPr>
          <w:sz w:val="28"/>
          <w:szCs w:val="28"/>
        </w:rPr>
      </w:pPr>
      <w:hyperlink r:id="rId34" w:history="1">
        <w:r w:rsidR="004A4580">
          <w:rPr>
            <w:rStyle w:val="Hyperlink"/>
            <w:b/>
            <w:i/>
            <w:sz w:val="28"/>
          </w:rPr>
          <w:t>Strategi for det indre marked</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55CDBD32" w:rsidR="00465162" w:rsidRPr="00465162" w:rsidRDefault="004A4580" w:rsidP="00465162">
            <w:pPr>
              <w:tabs>
                <w:tab w:val="center" w:pos="284"/>
              </w:tabs>
              <w:overflowPunct w:val="0"/>
              <w:autoSpaceDE w:val="0"/>
              <w:autoSpaceDN w:val="0"/>
              <w:adjustRightInd w:val="0"/>
              <w:ind w:left="266" w:hanging="266"/>
              <w:textAlignment w:val="baseline"/>
              <w:rPr>
                <w:b/>
              </w:rPr>
            </w:pPr>
            <w:r w:rsidRPr="004A4580">
              <w:rPr>
                <w:b/>
              </w:rPr>
              <w:t>Ordførere</w:t>
            </w:r>
          </w:p>
        </w:tc>
        <w:tc>
          <w:tcPr>
            <w:tcW w:w="6521" w:type="dxa"/>
          </w:tcPr>
          <w:p w14:paraId="1AA6537D" w14:textId="3EB2A7A9" w:rsidR="00465162" w:rsidRPr="00465162" w:rsidRDefault="00465162" w:rsidP="00465162">
            <w:pPr>
              <w:tabs>
                <w:tab w:val="center" w:pos="284"/>
              </w:tabs>
              <w:overflowPunct w:val="0"/>
              <w:autoSpaceDE w:val="0"/>
              <w:autoSpaceDN w:val="0"/>
              <w:adjustRightInd w:val="0"/>
              <w:ind w:left="266" w:hanging="266"/>
              <w:textAlignment w:val="baseline"/>
            </w:pPr>
            <w:r>
              <w:t xml:space="preserve">Emilie </w:t>
            </w:r>
            <w:proofErr w:type="spellStart"/>
            <w:r w:rsidR="004A4580">
              <w:t>Prouzet</w:t>
            </w:r>
            <w:proofErr w:type="spellEnd"/>
            <w:r w:rsidR="004A4580">
              <w:t xml:space="preserve"> </w:t>
            </w:r>
            <w:r>
              <w:t>(</w:t>
            </w:r>
            <w:r w:rsidR="004A4580" w:rsidRPr="004A4580">
              <w:t>Arbejdsgivergruppen – FR</w:t>
            </w:r>
            <w:r>
              <w:t>)</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554375F0" w:rsidR="00465162" w:rsidRPr="00465162" w:rsidRDefault="00465162" w:rsidP="00465162">
            <w:pPr>
              <w:tabs>
                <w:tab w:val="center" w:pos="284"/>
              </w:tabs>
              <w:overflowPunct w:val="0"/>
              <w:autoSpaceDE w:val="0"/>
              <w:autoSpaceDN w:val="0"/>
              <w:adjustRightInd w:val="0"/>
              <w:ind w:left="266" w:hanging="266"/>
              <w:textAlignment w:val="baseline"/>
            </w:pPr>
            <w:r>
              <w:t xml:space="preserve">Angelo </w:t>
            </w:r>
            <w:proofErr w:type="spellStart"/>
            <w:r w:rsidR="004A4580">
              <w:t>Pagliara</w:t>
            </w:r>
            <w:proofErr w:type="spellEnd"/>
            <w:r w:rsidR="004A4580">
              <w:t xml:space="preserve"> </w:t>
            </w:r>
            <w:r>
              <w:t>(</w:t>
            </w:r>
            <w:r w:rsidR="004A4580" w:rsidRPr="004A4580">
              <w:t>Arbejdstagergruppen – IT</w:t>
            </w:r>
            <w:r>
              <w:t>)</w:t>
            </w:r>
          </w:p>
          <w:p w14:paraId="1F24C2EA" w14:textId="0864466C" w:rsidR="00465162" w:rsidRPr="00465162" w:rsidRDefault="00465162" w:rsidP="00465162">
            <w:pPr>
              <w:tabs>
                <w:tab w:val="center" w:pos="284"/>
              </w:tabs>
              <w:overflowPunct w:val="0"/>
              <w:autoSpaceDE w:val="0"/>
              <w:autoSpaceDN w:val="0"/>
              <w:adjustRightInd w:val="0"/>
              <w:ind w:left="266" w:hanging="266"/>
              <w:textAlignment w:val="baseline"/>
            </w:pPr>
            <w:r>
              <w:t xml:space="preserve">Giuseppe </w:t>
            </w:r>
            <w:proofErr w:type="spellStart"/>
            <w:r w:rsidR="004A4580">
              <w:t>Guerini</w:t>
            </w:r>
            <w:proofErr w:type="spellEnd"/>
            <w:r w:rsidR="004A4580">
              <w:t xml:space="preserve"> </w:t>
            </w:r>
            <w:r>
              <w:t>(</w:t>
            </w:r>
            <w:r w:rsidR="004A4580" w:rsidRPr="004A4580">
              <w:t>Gruppen af civilsamfundsorganisationer – IT</w:t>
            </w:r>
            <w:r>
              <w: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Ref.</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COM(2025) 500 final</w:t>
            </w:r>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Hovedpunkter</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EØSU:</w:t>
      </w:r>
    </w:p>
    <w:p w14:paraId="047DC730"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støtter fuldt ud de prioriteter, som Kommissionen har fastlagt som reaktion på de udfordringer, som interessenterne har rejst</w:t>
      </w:r>
    </w:p>
    <w:p w14:paraId="684F420B"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gentager, at forenkling af lovgivningen skal ske med fuld respekt for sociale rettigheder og arbejdstagerrettigheder. Det er derfor vigtigt, at Europa-Parlamentet og de nationale parlamenter og arbejdsmarkedets parter inddrages strukturelt fra de tidlige stadier af lovgivningsprocessen</w:t>
      </w:r>
    </w:p>
    <w:p w14:paraId="43A59662"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agter at bidrage mere aktivt til forvaltningen af det indre marked, herunder ved at påtage sig en styrket rolle i taskforcen for håndhævelse af reglerne for det indre marked (SMET)</w:t>
      </w:r>
    </w:p>
    <w:p w14:paraId="42870724"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opfordrer Kommissionen til at fremsætte lovgivningsforslag med henblik på at tackle territoriale forsyningsbegrænsninger og harmonisere produktmærkningen</w:t>
      </w:r>
    </w:p>
    <w:p w14:paraId="5129CC3D"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glæder sig over Kommissionens meddelelse om et forslag til en valgfri "28. ordning" for virksomheder, men understreger behovet for effektive beskyttelsesforanstaltninger mod potentielt misbrug</w:t>
      </w:r>
    </w:p>
    <w:p w14:paraId="4B8D2A09"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anerkender standardiseringens centrale rolle som drivkraft for integration og innovation, men fremhæver principperne om gennemsigtighed, inklusion og struktureret deltagelse</w:t>
      </w:r>
    </w:p>
    <w:p w14:paraId="01926800"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støtter en forenkling af anerkendelsen af erhvervsmæssige kvalifikationer, herunder for tredjelandsstatsborgere, men understreger, at kvalifikationer skal være klart definerede, verificerbare og af dokumenteret kvalitet</w:t>
      </w:r>
    </w:p>
    <w:p w14:paraId="68AC7B79" w14:textId="77777777" w:rsidR="004A4580" w:rsidRPr="00260B52" w:rsidRDefault="004A4580" w:rsidP="004A4580">
      <w:pPr>
        <w:widowControl w:val="0"/>
        <w:numPr>
          <w:ilvl w:val="0"/>
          <w:numId w:val="25"/>
        </w:numPr>
        <w:overflowPunct w:val="0"/>
        <w:autoSpaceDE w:val="0"/>
        <w:autoSpaceDN w:val="0"/>
        <w:adjustRightInd w:val="0"/>
        <w:textAlignment w:val="baseline"/>
        <w:rPr>
          <w:bCs/>
          <w:iCs/>
        </w:rPr>
      </w:pPr>
      <w:r>
        <w:t>støtter en styrkelse af Den Europæiske Arbejdsmarkedsmyndighed (ELA)</w:t>
      </w:r>
    </w:p>
    <w:p w14:paraId="36D1C1B4" w14:textId="3C09C8FE" w:rsidR="00465162" w:rsidRPr="00465162" w:rsidRDefault="004A4580" w:rsidP="004A4580">
      <w:pPr>
        <w:widowControl w:val="0"/>
        <w:numPr>
          <w:ilvl w:val="0"/>
          <w:numId w:val="25"/>
        </w:numPr>
        <w:overflowPunct w:val="0"/>
        <w:autoSpaceDE w:val="0"/>
        <w:autoSpaceDN w:val="0"/>
        <w:adjustRightInd w:val="0"/>
        <w:textAlignment w:val="baseline"/>
        <w:rPr>
          <w:bCs/>
          <w:iCs/>
        </w:rPr>
      </w:pPr>
      <w:r>
        <w:t>opfordrer til, at anvendelsesområdet for det indre marked udvides til at omfatte strategiske sektorer såsom energi og finansiering. Udvalget understreger behovet for en inklusiv forvaltning og opfordrer til en revision af lovgivningen om offentlige udbud. Samtidig bør det undersøges, hvordan man på mest hensigtsmæssig vis kan tage hensyn til sociale, miljømæssige og innovationsrelaterede mål.</w:t>
      </w: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465162" w:rsidRPr="00465162" w14:paraId="7E653814" w14:textId="77777777" w:rsidTr="0036489A">
        <w:tc>
          <w:tcPr>
            <w:tcW w:w="1418"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Pr>
                <w:b/>
                <w:i/>
              </w:rPr>
              <w:t>Kontakt</w:t>
            </w:r>
          </w:p>
        </w:tc>
        <w:tc>
          <w:tcPr>
            <w:tcW w:w="5670"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465162" w:rsidRPr="00465162" w14:paraId="3F0424C9" w14:textId="77777777" w:rsidTr="0036489A">
        <w:tc>
          <w:tcPr>
            <w:tcW w:w="1418"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Tlf.</w:t>
            </w:r>
          </w:p>
        </w:tc>
        <w:tc>
          <w:tcPr>
            <w:tcW w:w="5670" w:type="dxa"/>
          </w:tcPr>
          <w:p w14:paraId="0C3DEEF0" w14:textId="2A823EAB" w:rsidR="00465162" w:rsidRPr="00465162" w:rsidRDefault="004A4580" w:rsidP="00465162">
            <w:pPr>
              <w:overflowPunct w:val="0"/>
              <w:autoSpaceDE w:val="0"/>
              <w:autoSpaceDN w:val="0"/>
              <w:adjustRightInd w:val="0"/>
              <w:spacing w:line="240" w:lineRule="auto"/>
              <w:textAlignment w:val="baseline"/>
              <w:rPr>
                <w:i/>
              </w:rPr>
            </w:pPr>
            <w:r w:rsidRPr="004A4580">
              <w:rPr>
                <w:i/>
              </w:rPr>
              <w:t>00 32 2 546 97 32</w:t>
            </w:r>
          </w:p>
        </w:tc>
      </w:tr>
      <w:tr w:rsidR="00465162" w:rsidRPr="00465162" w14:paraId="6449EA12" w14:textId="77777777" w:rsidTr="0036489A">
        <w:tc>
          <w:tcPr>
            <w:tcW w:w="1418"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E-mail</w:t>
            </w:r>
          </w:p>
        </w:tc>
        <w:tc>
          <w:tcPr>
            <w:tcW w:w="5670" w:type="dxa"/>
          </w:tcPr>
          <w:p w14:paraId="3E267456" w14:textId="77777777" w:rsidR="00465162" w:rsidRPr="00465162" w:rsidRDefault="00300901" w:rsidP="00465162">
            <w:pPr>
              <w:overflowPunct w:val="0"/>
              <w:autoSpaceDE w:val="0"/>
              <w:autoSpaceDN w:val="0"/>
              <w:adjustRightInd w:val="0"/>
              <w:spacing w:line="240" w:lineRule="auto"/>
              <w:textAlignment w:val="baseline"/>
              <w:rPr>
                <w:i/>
              </w:rPr>
            </w:pPr>
            <w:hyperlink r:id="rId35" w:history="1">
              <w:r w:rsidR="00797C5C">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3B89D463" w:rsidR="008A6059" w:rsidRPr="00DB0977" w:rsidRDefault="00465162" w:rsidP="008A6059">
      <w:pPr>
        <w:widowControl w:val="0"/>
        <w:numPr>
          <w:ilvl w:val="0"/>
          <w:numId w:val="4"/>
        </w:numPr>
        <w:overflowPunct w:val="0"/>
        <w:autoSpaceDE w:val="0"/>
        <w:autoSpaceDN w:val="0"/>
        <w:adjustRightInd w:val="0"/>
        <w:ind w:hanging="567"/>
        <w:textAlignment w:val="baseline"/>
        <w:rPr>
          <w:sz w:val="28"/>
          <w:szCs w:val="28"/>
        </w:rPr>
      </w:pPr>
      <w:r>
        <w:br w:type="page"/>
      </w:r>
      <w:hyperlink r:id="rId36" w:tgtFrame="_blank" w:history="1">
        <w:r w:rsidR="00D16AA9">
          <w:rPr>
            <w:rStyle w:val="Hyperlink"/>
            <w:b/>
            <w:i/>
            <w:sz w:val="28"/>
          </w:rPr>
          <w:t>Rapport om konkurrencepolitik 2024</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bCs/>
              </w:rPr>
              <w:t>Ordfører</w:t>
            </w:r>
          </w:p>
        </w:tc>
        <w:tc>
          <w:tcPr>
            <w:tcW w:w="5387" w:type="dxa"/>
          </w:tcPr>
          <w:p w14:paraId="1D2ED450" w14:textId="63919CE6" w:rsidR="008A6059" w:rsidRPr="008A6059" w:rsidRDefault="008A6059" w:rsidP="008A6059">
            <w:pPr>
              <w:tabs>
                <w:tab w:val="center" w:pos="284"/>
              </w:tabs>
              <w:overflowPunct w:val="0"/>
              <w:autoSpaceDE w:val="0"/>
              <w:autoSpaceDN w:val="0"/>
              <w:adjustRightInd w:val="0"/>
              <w:ind w:left="266" w:hanging="266"/>
              <w:textAlignment w:val="baseline"/>
            </w:pPr>
            <w:r>
              <w:t xml:space="preserve">Andrea </w:t>
            </w:r>
            <w:r w:rsidR="00514509">
              <w:t xml:space="preserve">Mone </w:t>
            </w:r>
            <w:r>
              <w:t>(</w:t>
            </w:r>
            <w:r w:rsidR="00514509" w:rsidRPr="004A4580">
              <w:t>Arbejdstagergruppen –</w:t>
            </w:r>
            <w:r>
              <w:t xml:space="preserve">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Ref.</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COM(2025) 181 final</w:t>
            </w:r>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Hovedpunkter</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EØSU:</w:t>
      </w:r>
    </w:p>
    <w:p w14:paraId="3C84B3DA" w14:textId="77777777" w:rsidR="00D16AA9" w:rsidRDefault="00D16AA9" w:rsidP="00D16AA9">
      <w:pPr>
        <w:numPr>
          <w:ilvl w:val="0"/>
          <w:numId w:val="26"/>
        </w:numPr>
        <w:tabs>
          <w:tab w:val="clear" w:pos="720"/>
        </w:tabs>
      </w:pPr>
      <w:r>
        <w:t xml:space="preserve">glæder sig over den </w:t>
      </w:r>
      <w:r>
        <w:rPr>
          <w:b/>
        </w:rPr>
        <w:t>tilgang til håndhævelse, som Kommissionen vedtog i 2024</w:t>
      </w:r>
      <w:r>
        <w:t>, og som er i overensstemmelse med konkurrencepolitikken med målene om at skabe et mere digitalt, grønt og modstandsdygtigt EU, samtidig med at et velfungerende indre marked opretholdes</w:t>
      </w:r>
    </w:p>
    <w:p w14:paraId="475673CD" w14:textId="77777777" w:rsidR="00D16AA9" w:rsidRDefault="00D16AA9" w:rsidP="00D16AA9">
      <w:pPr>
        <w:numPr>
          <w:ilvl w:val="0"/>
          <w:numId w:val="26"/>
        </w:numPr>
        <w:tabs>
          <w:tab w:val="clear" w:pos="720"/>
        </w:tabs>
      </w:pPr>
      <w:r>
        <w:t xml:space="preserve">støtter Kommissionens bestræbelser på at fremme </w:t>
      </w:r>
      <w:r>
        <w:rPr>
          <w:b/>
        </w:rPr>
        <w:t>effektiviteten og forudsigeligheden af konkurrencereglerne</w:t>
      </w:r>
      <w:r>
        <w:t>, herunder udviklingen af nye retningslinjer om ekskluderende misbrug af dominerende stilling, den reviderede meddelelse om markedsafgrænsning og forbedrede værktøjer til vurdering af indvirkning på forbrugernes velfærd</w:t>
      </w:r>
    </w:p>
    <w:p w14:paraId="14E45DCA" w14:textId="77777777" w:rsidR="00D16AA9" w:rsidRDefault="00D16AA9" w:rsidP="00D16AA9">
      <w:pPr>
        <w:numPr>
          <w:ilvl w:val="0"/>
          <w:numId w:val="26"/>
        </w:numPr>
        <w:tabs>
          <w:tab w:val="clear" w:pos="720"/>
        </w:tabs>
      </w:pPr>
      <w:r>
        <w:t xml:space="preserve">understreger betydningen af at tackle konkurrencemæssige udfordringer på </w:t>
      </w:r>
      <w:r>
        <w:rPr>
          <w:b/>
        </w:rPr>
        <w:t>digitale markeder</w:t>
      </w:r>
      <w:r>
        <w:t xml:space="preserve"> og opfordrer Kommissionen til fortsat at styrke håndhævelsen i henhold til både traditionelle konkurrenceregler og forordningen om digitale markeder i betragtning af den strukturelle dominans og adgangsbarriererne i platformsbaserede forretningsmodeller</w:t>
      </w:r>
    </w:p>
    <w:p w14:paraId="3DD4E37E" w14:textId="77777777" w:rsidR="00D16AA9" w:rsidRDefault="00D16AA9" w:rsidP="00D16AA9">
      <w:pPr>
        <w:numPr>
          <w:ilvl w:val="0"/>
          <w:numId w:val="26"/>
        </w:numPr>
        <w:tabs>
          <w:tab w:val="clear" w:pos="720"/>
        </w:tabs>
      </w:pPr>
      <w:r>
        <w:t xml:space="preserve">opfordrer til en </w:t>
      </w:r>
      <w:r>
        <w:rPr>
          <w:b/>
        </w:rPr>
        <w:t>stærkere fusionskontrol</w:t>
      </w:r>
      <w:r>
        <w:t xml:space="preserve">, herunder en ramme for undersøgelse af opkøb under tærskelværdierne, der kan skade konkurrencen (f.eks. "dræberopkøb"), og opfordrer indtrængende til, at der i fusionsvurderinger </w:t>
      </w:r>
      <w:r>
        <w:rPr>
          <w:b/>
        </w:rPr>
        <w:t>i højere grad tages hensyn til virkningerne på arbejdsmarkedet og innovationsdynamikken</w:t>
      </w:r>
    </w:p>
    <w:p w14:paraId="47C13D78" w14:textId="3CC669C4" w:rsidR="008A6059" w:rsidRPr="008A6059" w:rsidRDefault="00D16AA9" w:rsidP="00D16AA9">
      <w:pPr>
        <w:numPr>
          <w:ilvl w:val="0"/>
          <w:numId w:val="26"/>
        </w:numPr>
        <w:overflowPunct w:val="0"/>
        <w:autoSpaceDE w:val="0"/>
        <w:autoSpaceDN w:val="0"/>
        <w:adjustRightInd w:val="0"/>
        <w:textAlignment w:val="baseline"/>
      </w:pPr>
      <w:r>
        <w:t xml:space="preserve">fremhæver behovet for </w:t>
      </w:r>
      <w:r>
        <w:rPr>
          <w:b/>
        </w:rPr>
        <w:t>statsstøtteregler</w:t>
      </w:r>
      <w:r>
        <w:t xml:space="preserve"> – navnlig de nye rammebestemmelser for statsstøtte i forbindelse med aftalen om ren industri og procedurerne for vigtige projekter af fælleseuropæisk interesse – for at fremme </w:t>
      </w:r>
      <w:r>
        <w:rPr>
          <w:b/>
        </w:rPr>
        <w:t>grænseoverskridende deltagelse, mindske fragmenteringen og støtte strategiske investeringer</w:t>
      </w:r>
      <w:r>
        <w:t>, der er afgørende for aftalen om ren industri, samtidig med at der sikres samhørighed og lige vilkår på tværs af medlemsstaterne.</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5670"/>
      </w:tblGrid>
      <w:tr w:rsidR="008A6059" w:rsidRPr="008A6059" w14:paraId="60D2607C" w14:textId="77777777" w:rsidTr="0036489A">
        <w:tc>
          <w:tcPr>
            <w:tcW w:w="1418"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Kontakt</w:t>
            </w:r>
          </w:p>
        </w:tc>
        <w:tc>
          <w:tcPr>
            <w:tcW w:w="5670"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008A6059" w:rsidRPr="008A6059" w14:paraId="3BAB393F" w14:textId="77777777" w:rsidTr="0036489A">
        <w:tc>
          <w:tcPr>
            <w:tcW w:w="1418"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Tlf.</w:t>
            </w:r>
          </w:p>
        </w:tc>
        <w:tc>
          <w:tcPr>
            <w:tcW w:w="5670" w:type="dxa"/>
          </w:tcPr>
          <w:p w14:paraId="1A61F972" w14:textId="175F71A5" w:rsidR="008A6059" w:rsidRPr="008A6059" w:rsidRDefault="00D16AA9" w:rsidP="008A6059">
            <w:pPr>
              <w:overflowPunct w:val="0"/>
              <w:autoSpaceDE w:val="0"/>
              <w:autoSpaceDN w:val="0"/>
              <w:adjustRightInd w:val="0"/>
              <w:spacing w:line="240" w:lineRule="auto"/>
              <w:textAlignment w:val="baseline"/>
              <w:rPr>
                <w:i/>
              </w:rPr>
            </w:pPr>
            <w:r w:rsidRPr="00D16AA9">
              <w:rPr>
                <w:i/>
              </w:rPr>
              <w:t>00 32 2 546 83 78</w:t>
            </w:r>
          </w:p>
        </w:tc>
      </w:tr>
      <w:tr w:rsidR="008A6059" w:rsidRPr="008A6059" w14:paraId="6DC120EA" w14:textId="77777777" w:rsidTr="0036489A">
        <w:tc>
          <w:tcPr>
            <w:tcW w:w="1418"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E-mail</w:t>
            </w:r>
          </w:p>
        </w:tc>
        <w:tc>
          <w:tcPr>
            <w:tcW w:w="5670" w:type="dxa"/>
          </w:tcPr>
          <w:p w14:paraId="0B7A4BF8" w14:textId="77777777" w:rsidR="008A6059" w:rsidRPr="008A6059" w:rsidRDefault="00300901" w:rsidP="008A6059">
            <w:pPr>
              <w:overflowPunct w:val="0"/>
              <w:autoSpaceDE w:val="0"/>
              <w:autoSpaceDN w:val="0"/>
              <w:adjustRightInd w:val="0"/>
              <w:spacing w:line="240" w:lineRule="auto"/>
              <w:textAlignment w:val="baseline"/>
              <w:rPr>
                <w:i/>
              </w:rPr>
            </w:pPr>
            <w:hyperlink r:id="rId37" w:history="1">
              <w:r w:rsidR="00797C5C">
                <w:rPr>
                  <w:i/>
                  <w:color w:val="0000FF"/>
                  <w:u w:val="single"/>
                </w:rPr>
                <w:t>Silvia.Staffa@eesc.europa.eu</w:t>
              </w:r>
            </w:hyperlink>
          </w:p>
        </w:tc>
      </w:tr>
    </w:tbl>
    <w:p w14:paraId="4982DE1D" w14:textId="77777777" w:rsidR="004D7AC0" w:rsidRDefault="004D7AC0" w:rsidP="004D7AC0">
      <w:pPr>
        <w:pStyle w:val="ListParagraph"/>
        <w:ind w:left="0"/>
      </w:pPr>
    </w:p>
    <w:p w14:paraId="4E659D6D" w14:textId="4BC5E957"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sidR="001F0212">
          <w:rPr>
            <w:rStyle w:val="Hyperlink"/>
            <w:b/>
            <w:i/>
            <w:sz w:val="28"/>
          </w:rPr>
          <w:t>Fonden for Konkurrenceevne</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bCs/>
              </w:rPr>
              <w:t>Ordfører</w:t>
            </w:r>
          </w:p>
        </w:tc>
        <w:tc>
          <w:tcPr>
            <w:tcW w:w="3892" w:type="pct"/>
          </w:tcPr>
          <w:p w14:paraId="51845819" w14:textId="4C78ABCA" w:rsidR="00685A3A" w:rsidRPr="00685A3A" w:rsidRDefault="00685A3A" w:rsidP="00685A3A">
            <w:pPr>
              <w:tabs>
                <w:tab w:val="center" w:pos="0"/>
              </w:tabs>
              <w:overflowPunct w:val="0"/>
              <w:autoSpaceDE w:val="0"/>
              <w:autoSpaceDN w:val="0"/>
              <w:adjustRightInd w:val="0"/>
              <w:ind w:left="266" w:hanging="266"/>
              <w:textAlignment w:val="baseline"/>
            </w:pPr>
            <w:r>
              <w:t xml:space="preserve">Milena </w:t>
            </w:r>
            <w:proofErr w:type="spellStart"/>
            <w:r w:rsidR="001F0212">
              <w:t>Angelova</w:t>
            </w:r>
            <w:proofErr w:type="spellEnd"/>
            <w:r w:rsidR="001F0212">
              <w:t xml:space="preserve"> </w:t>
            </w:r>
            <w:r>
              <w:t>(</w:t>
            </w:r>
            <w:r w:rsidR="001F0212" w:rsidRPr="001F0212">
              <w:t>Arbejdsgivergruppen – BG</w:t>
            </w:r>
            <w:r>
              <w:t>)</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COM(2025) 555 final</w:t>
            </w:r>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Hovedpunkter</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EØSU:</w:t>
      </w:r>
    </w:p>
    <w:p w14:paraId="20616F03" w14:textId="77777777" w:rsidR="001F0212" w:rsidRPr="00601171" w:rsidRDefault="001F0212" w:rsidP="001F0212">
      <w:pPr>
        <w:numPr>
          <w:ilvl w:val="0"/>
          <w:numId w:val="27"/>
        </w:numPr>
        <w:overflowPunct w:val="0"/>
        <w:autoSpaceDE w:val="0"/>
        <w:autoSpaceDN w:val="0"/>
        <w:adjustRightInd w:val="0"/>
        <w:textAlignment w:val="baseline"/>
      </w:pPr>
      <w:r>
        <w:t xml:space="preserve">støtter oprettelsen af Den Europæiske Fond for Konkurrenceevne (ECF) som en hjørnesten i det næste EU-budget og en drivkraft for innovation, modstandsdygtighed og sikkerhed. Udvalget understreger, at </w:t>
      </w:r>
      <w:r>
        <w:rPr>
          <w:b/>
        </w:rPr>
        <w:t>finansieringen fortsat skal være nøje afstemt med målene om bæredygtighed og EU's sociale markedsøkonomi</w:t>
      </w:r>
    </w:p>
    <w:p w14:paraId="54EC76CB" w14:textId="77777777" w:rsidR="001F0212" w:rsidRPr="00601171" w:rsidRDefault="001F0212" w:rsidP="001F0212">
      <w:pPr>
        <w:numPr>
          <w:ilvl w:val="0"/>
          <w:numId w:val="27"/>
        </w:numPr>
        <w:overflowPunct w:val="0"/>
        <w:autoSpaceDE w:val="0"/>
        <w:autoSpaceDN w:val="0"/>
        <w:adjustRightInd w:val="0"/>
        <w:textAlignment w:val="baseline"/>
      </w:pPr>
      <w:r>
        <w:rPr>
          <w:b/>
        </w:rPr>
        <w:t>efterlyser en EU-dækkende, meritbaseret projektudvælgelse</w:t>
      </w:r>
      <w:r>
        <w:t xml:space="preserve">, der bygger på klare kriterier såsom topkvalitet, fremtidsorientering og økonomisk potentiale. For at </w:t>
      </w:r>
      <w:r>
        <w:rPr>
          <w:b/>
        </w:rPr>
        <w:t xml:space="preserve">undgå national </w:t>
      </w:r>
      <w:proofErr w:type="spellStart"/>
      <w:r>
        <w:rPr>
          <w:b/>
        </w:rPr>
        <w:t>gatekeeping</w:t>
      </w:r>
      <w:proofErr w:type="spellEnd"/>
      <w:r>
        <w:t xml:space="preserve"> opfordrer EØSU kraftigt til, at der sikres gennemsigtige procedurer, lige adgang for ansøgere i alle medlemsstater og aktiv inddragelse af arbejdsmarkedets parter og civilsamfundet i forvaltningen</w:t>
      </w:r>
    </w:p>
    <w:p w14:paraId="0E962623" w14:textId="77777777" w:rsidR="001F0212" w:rsidRPr="00601171" w:rsidRDefault="001F0212" w:rsidP="001F0212">
      <w:pPr>
        <w:numPr>
          <w:ilvl w:val="0"/>
          <w:numId w:val="27"/>
        </w:numPr>
        <w:overflowPunct w:val="0"/>
        <w:autoSpaceDE w:val="0"/>
        <w:autoSpaceDN w:val="0"/>
        <w:adjustRightInd w:val="0"/>
        <w:textAlignment w:val="baseline"/>
      </w:pPr>
      <w:r>
        <w:rPr>
          <w:b/>
        </w:rPr>
        <w:t>anbefaler, at der sikres en markedsinddragelse</w:t>
      </w:r>
      <w:r>
        <w:t>, hvor der stilles krav om, at projekter, der søger en omfattende supplerende finansiering fra EU – f.eks. vigtige projekter af fælleseuropæisk interesse eller andre store investeringer – først mobiliserer en vis andel af privat kapital. Denne markedstestmekanisme vil bidrage til at validere projekternes kvalitet, reducere politiserede finansieringsbeslutninger og styrke sammenhængen mellem offentlig støtte og reel konkurrenceevne</w:t>
      </w:r>
    </w:p>
    <w:p w14:paraId="3141BEC5" w14:textId="77777777" w:rsidR="001F0212" w:rsidRPr="00601171" w:rsidRDefault="001F0212" w:rsidP="001F0212">
      <w:pPr>
        <w:numPr>
          <w:ilvl w:val="0"/>
          <w:numId w:val="27"/>
        </w:numPr>
        <w:overflowPunct w:val="0"/>
        <w:autoSpaceDE w:val="0"/>
        <w:autoSpaceDN w:val="0"/>
        <w:adjustRightInd w:val="0"/>
        <w:textAlignment w:val="baseline"/>
      </w:pPr>
      <w:r>
        <w:rPr>
          <w:b/>
        </w:rPr>
        <w:t>understreger behovet for stærke risikovurderings- og forebyggelsesværktøjer</w:t>
      </w:r>
      <w:r>
        <w:t>, der sikrer, at ECF-ressourcer kun kanaliseres til projekter, der reelt forbedrer Europas konkurrenceevne, så man undgår at gentage tidligere fejl i EU's finansieringsprogrammer</w:t>
      </w:r>
    </w:p>
    <w:p w14:paraId="4F35B8DF" w14:textId="42404BEE" w:rsidR="00685A3A" w:rsidRPr="00685A3A" w:rsidRDefault="001F0212" w:rsidP="001F0212">
      <w:pPr>
        <w:numPr>
          <w:ilvl w:val="0"/>
          <w:numId w:val="27"/>
        </w:numPr>
        <w:overflowPunct w:val="0"/>
        <w:autoSpaceDE w:val="0"/>
        <w:autoSpaceDN w:val="0"/>
        <w:adjustRightInd w:val="0"/>
        <w:textAlignment w:val="baseline"/>
      </w:pPr>
      <w:r>
        <w:t xml:space="preserve">fremhæver betydningen af at </w:t>
      </w:r>
      <w:r>
        <w:rPr>
          <w:b/>
        </w:rPr>
        <w:t>støtte SMV'er, regionale og grænseoverskridende innovationsøkosystemer og investeringer i færdigheder og anstændigt arbejde</w:t>
      </w:r>
      <w:r>
        <w:t>, samtidig med at procedurerne forenkles, og der sikres en forvaltning, der er gennemsigtig, forudsigelig og inklusiv.</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6"/>
        <w:gridCol w:w="5563"/>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8"/>
              <w:gridCol w:w="2572"/>
            </w:tblGrid>
            <w:tr w:rsidR="00E13363" w:rsidRPr="00A6689B" w14:paraId="014CFA79" w14:textId="77777777" w:rsidTr="0036489A">
              <w:tc>
                <w:tcPr>
                  <w:tcW w:w="742" w:type="pct"/>
                </w:tcPr>
                <w:p w14:paraId="7EB958FC" w14:textId="77777777" w:rsidR="00E13363" w:rsidRPr="00A6689B" w:rsidRDefault="00E13363" w:rsidP="00E13363">
                  <w:pPr>
                    <w:rPr>
                      <w:i/>
                    </w:rPr>
                  </w:pPr>
                  <w:r>
                    <w:rPr>
                      <w:b/>
                      <w:i/>
                    </w:rPr>
                    <w:t>Kontakt</w:t>
                  </w:r>
                </w:p>
              </w:tc>
              <w:tc>
                <w:tcPr>
                  <w:tcW w:w="4258" w:type="pct"/>
                </w:tcPr>
                <w:p w14:paraId="2797B023" w14:textId="00679360" w:rsidR="00E13363" w:rsidRPr="00A6689B" w:rsidRDefault="00E13363" w:rsidP="00E13363">
                  <w:pPr>
                    <w:rPr>
                      <w:i/>
                    </w:rPr>
                  </w:pPr>
                  <w:r>
                    <w:rPr>
                      <w:i/>
                    </w:rPr>
                    <w:t xml:space="preserve">Silvia </w:t>
                  </w:r>
                  <w:proofErr w:type="spellStart"/>
                  <w:r>
                    <w:rPr>
                      <w:i/>
                    </w:rPr>
                    <w:t>Staffa</w:t>
                  </w:r>
                  <w:proofErr w:type="spellEnd"/>
                </w:p>
              </w:tc>
            </w:tr>
            <w:tr w:rsidR="00E13363" w:rsidRPr="00A6689B" w14:paraId="545C7BC0" w14:textId="77777777" w:rsidTr="0036489A">
              <w:tc>
                <w:tcPr>
                  <w:tcW w:w="742" w:type="pct"/>
                </w:tcPr>
                <w:p w14:paraId="01319993" w14:textId="77777777" w:rsidR="00E13363" w:rsidRPr="00A6689B" w:rsidRDefault="00E13363" w:rsidP="00E13363">
                  <w:pPr>
                    <w:rPr>
                      <w:i/>
                    </w:rPr>
                  </w:pPr>
                  <w:r>
                    <w:rPr>
                      <w:i/>
                    </w:rPr>
                    <w:t>Tlf.</w:t>
                  </w:r>
                </w:p>
              </w:tc>
              <w:tc>
                <w:tcPr>
                  <w:tcW w:w="4258" w:type="pct"/>
                </w:tcPr>
                <w:p w14:paraId="66DD56EC" w14:textId="559BF311" w:rsidR="00E13363" w:rsidRPr="00A6689B" w:rsidRDefault="001F0212" w:rsidP="00E13363">
                  <w:pPr>
                    <w:rPr>
                      <w:i/>
                    </w:rPr>
                  </w:pPr>
                  <w:r w:rsidRPr="001F0212">
                    <w:rPr>
                      <w:i/>
                    </w:rPr>
                    <w:t>00 32 2 546 83 78</w:t>
                  </w:r>
                </w:p>
              </w:tc>
            </w:tr>
            <w:tr w:rsidR="00E13363" w:rsidRPr="00CB5569" w14:paraId="4CC970C9" w14:textId="77777777" w:rsidTr="0036489A">
              <w:tc>
                <w:tcPr>
                  <w:tcW w:w="742" w:type="pct"/>
                </w:tcPr>
                <w:p w14:paraId="7B046870" w14:textId="77777777" w:rsidR="00E13363" w:rsidRPr="00A6689B" w:rsidRDefault="00E13363" w:rsidP="00E13363">
                  <w:pPr>
                    <w:rPr>
                      <w:i/>
                    </w:rPr>
                  </w:pPr>
                  <w:r>
                    <w:rPr>
                      <w:i/>
                    </w:rPr>
                    <w:t>E-mail</w:t>
                  </w:r>
                </w:p>
              </w:tc>
              <w:tc>
                <w:tcPr>
                  <w:tcW w:w="4258" w:type="pct"/>
                </w:tcPr>
                <w:p w14:paraId="73277BE8" w14:textId="77777777" w:rsidR="00E13363" w:rsidRPr="00CB5569" w:rsidRDefault="00300901" w:rsidP="00E13363">
                  <w:pPr>
                    <w:rPr>
                      <w:i/>
                      <w:iCs/>
                      <w:sz w:val="20"/>
                    </w:rPr>
                  </w:pPr>
                  <w:hyperlink r:id="rId39" w:history="1">
                    <w:r w:rsidR="00797C5C">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1CCF7D55" w:rsidR="00685A3A" w:rsidRPr="00DB0977" w:rsidRDefault="00685A3A" w:rsidP="00685A3A">
      <w:pPr>
        <w:widowControl w:val="0"/>
        <w:numPr>
          <w:ilvl w:val="0"/>
          <w:numId w:val="4"/>
        </w:numPr>
        <w:overflowPunct w:val="0"/>
        <w:autoSpaceDE w:val="0"/>
        <w:autoSpaceDN w:val="0"/>
        <w:adjustRightInd w:val="0"/>
        <w:ind w:hanging="567"/>
        <w:textAlignment w:val="baseline"/>
        <w:rPr>
          <w:sz w:val="28"/>
          <w:szCs w:val="28"/>
        </w:rPr>
      </w:pPr>
      <w:r>
        <w:br w:type="page"/>
      </w:r>
      <w:hyperlink r:id="rId40" w:history="1">
        <w:r w:rsidR="00F40A52">
          <w:rPr>
            <w:rStyle w:val="Hyperlink"/>
            <w:b/>
            <w:i/>
            <w:sz w:val="28"/>
          </w:rPr>
          <w:t>Revision af EU's retlige ramme for offentlige udbud</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bCs/>
              </w:rPr>
              <w:t>Ordfører</w:t>
            </w:r>
          </w:p>
        </w:tc>
        <w:tc>
          <w:tcPr>
            <w:tcW w:w="3892" w:type="pct"/>
          </w:tcPr>
          <w:p w14:paraId="1387F327" w14:textId="39919F21" w:rsidR="00685A3A" w:rsidRPr="00685A3A" w:rsidRDefault="00685A3A" w:rsidP="00685A3A">
            <w:pPr>
              <w:tabs>
                <w:tab w:val="center" w:pos="0"/>
              </w:tabs>
              <w:overflowPunct w:val="0"/>
              <w:autoSpaceDE w:val="0"/>
              <w:autoSpaceDN w:val="0"/>
              <w:adjustRightInd w:val="0"/>
              <w:ind w:left="266" w:hanging="266"/>
              <w:textAlignment w:val="baseline"/>
            </w:pPr>
            <w:r>
              <w:t xml:space="preserve">Philip </w:t>
            </w:r>
            <w:r w:rsidR="00F40A52">
              <w:t xml:space="preserve">von Brockdorff </w:t>
            </w:r>
            <w:r>
              <w:t>(</w:t>
            </w:r>
            <w:r w:rsidR="00F40A52" w:rsidRPr="00F40A52">
              <w:t>Arbejdstagergruppen – MT</w:t>
            </w:r>
            <w:r>
              <w:t>)</w:t>
            </w:r>
          </w:p>
        </w:tc>
      </w:tr>
      <w:tr w:rsidR="00685A3A" w:rsidRPr="00685A3A" w14:paraId="74E460F2" w14:textId="77777777" w:rsidTr="0036489A">
        <w:tc>
          <w:tcPr>
            <w:tcW w:w="1108" w:type="pct"/>
          </w:tcPr>
          <w:p w14:paraId="318C426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w:t>
            </w:r>
          </w:p>
        </w:tc>
        <w:tc>
          <w:tcPr>
            <w:tcW w:w="3892" w:type="pct"/>
          </w:tcPr>
          <w:p w14:paraId="6CDCCE3F" w14:textId="1D6B2701" w:rsidR="00685A3A" w:rsidRPr="00685A3A" w:rsidRDefault="00F40A52" w:rsidP="00685A3A">
            <w:pPr>
              <w:tabs>
                <w:tab w:val="center" w:pos="284"/>
              </w:tabs>
              <w:overflowPunct w:val="0"/>
              <w:autoSpaceDE w:val="0"/>
              <w:autoSpaceDN w:val="0"/>
              <w:adjustRightInd w:val="0"/>
              <w:ind w:left="266" w:hanging="266"/>
              <w:textAlignment w:val="baseline"/>
            </w:pPr>
            <w:r w:rsidRPr="00F40A52">
              <w:t>sonderende udtalelse på anmodning af Kommissionen</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Hovedpunkter</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EØSU:</w:t>
      </w:r>
    </w:p>
    <w:p w14:paraId="35CBBB36" w14:textId="77777777" w:rsidR="00F40A52" w:rsidRPr="009234A4" w:rsidRDefault="00F40A52" w:rsidP="00F40A52">
      <w:pPr>
        <w:numPr>
          <w:ilvl w:val="0"/>
          <w:numId w:val="28"/>
        </w:numPr>
        <w:overflowPunct w:val="0"/>
        <w:autoSpaceDE w:val="0"/>
        <w:autoSpaceDN w:val="0"/>
        <w:adjustRightInd w:val="0"/>
        <w:spacing w:line="276" w:lineRule="auto"/>
        <w:ind w:left="426" w:hanging="426"/>
        <w:contextualSpacing/>
        <w:textAlignment w:val="baseline"/>
      </w:pPr>
      <w:r>
        <w:t>er enig i, at en revision af den eksisterende EU-lovgivning er nødvendig for at øge forenklingen, reducere de administrative omkostninger og understøtte yderligere harmonisering i det indre marked</w:t>
      </w:r>
    </w:p>
    <w:p w14:paraId="63D9E639" w14:textId="77777777" w:rsidR="00F40A52" w:rsidRPr="009234A4" w:rsidRDefault="00F40A52" w:rsidP="00F40A52">
      <w:pPr>
        <w:numPr>
          <w:ilvl w:val="0"/>
          <w:numId w:val="28"/>
        </w:numPr>
        <w:overflowPunct w:val="0"/>
        <w:autoSpaceDE w:val="0"/>
        <w:autoSpaceDN w:val="0"/>
        <w:adjustRightInd w:val="0"/>
        <w:spacing w:line="276" w:lineRule="auto"/>
        <w:ind w:left="426" w:hanging="426"/>
        <w:contextualSpacing/>
        <w:textAlignment w:val="baseline"/>
      </w:pPr>
      <w:r>
        <w:t>mener ikke, at en bæredygtig EU-udbudspolitik behøver at være begrænset til kun at handle om at afhjælpe markedssvigt, men gøre det muligt at foretage strategiske og offentlige velfærdsorienterede indkøb, fastlægge sociale og miljømæssige kriterier og kriterier om innovation som lige så vigtige mål og sikre rimelig adgang til offentlige udbud for private aktører</w:t>
      </w:r>
    </w:p>
    <w:p w14:paraId="39621038"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mener, at offentlige kontrakter skal tildeles på det økonomisk mest fordelagtige grundlag, hvor der lægges vægt på vigtigheden af ikkeprisrelaterede kriterier såsom kvalitet, innovation, miljø- og bæredygtighedshensyn og sociale hensyn, især arbejdstagerrettigheder og kollektive overenskomster</w:t>
      </w:r>
    </w:p>
    <w:p w14:paraId="02150353"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efterlyser en helhedsorienteret tilgang til politikker for tjenesteydelser af almen interesse</w:t>
      </w:r>
    </w:p>
    <w:p w14:paraId="7B2D257F"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mener ikke, at offentlige kontrakter bør tildeles virksomheder, der systematisk krænker centrale arbejdstagerrettigheder eller ser bort fra kollektive overenskomster, som de er forpligtet af</w:t>
      </w:r>
    </w:p>
    <w:p w14:paraId="0E0468A3"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mener under forudsætning af passende retlige kriterier og garanti for mindst mulig konkurrenceforvridning, at muligheden for at foretage interne indkøb for majoritetskontrollerede juridiske enheder bør bevares i forbindelse med revisionen af EU's udbudsdirektiver</w:t>
      </w:r>
    </w:p>
    <w:p w14:paraId="5A2EE432"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anbefaler, at der indføres en retlig forpligtelse til at evaluere virkningerne af de eksisterende tærskelværdier for offentlige tjenesteydelseskontrakter</w:t>
      </w:r>
    </w:p>
    <w:p w14:paraId="53F527BB" w14:textId="77777777" w:rsidR="00F40A52" w:rsidRPr="00FC1593" w:rsidRDefault="00F40A52" w:rsidP="00F40A52">
      <w:pPr>
        <w:numPr>
          <w:ilvl w:val="0"/>
          <w:numId w:val="28"/>
        </w:numPr>
        <w:overflowPunct w:val="0"/>
        <w:autoSpaceDE w:val="0"/>
        <w:autoSpaceDN w:val="0"/>
        <w:adjustRightInd w:val="0"/>
        <w:spacing w:line="276" w:lineRule="auto"/>
        <w:ind w:left="426" w:hanging="426"/>
        <w:contextualSpacing/>
        <w:textAlignment w:val="baseline"/>
      </w:pPr>
      <w:r>
        <w:t>er af den opfattelse, at offentlige udbud kan understøtte et socialt retfærdigt, miljømæssigt bæredygtigt og økonomisk robust Europa til gavn for almenvellet</w:t>
      </w:r>
    </w:p>
    <w:p w14:paraId="75315D9A" w14:textId="7F021B67" w:rsidR="00685A3A" w:rsidRPr="00685A3A" w:rsidRDefault="00F40A52" w:rsidP="00F40A52">
      <w:pPr>
        <w:numPr>
          <w:ilvl w:val="0"/>
          <w:numId w:val="28"/>
        </w:numPr>
        <w:overflowPunct w:val="0"/>
        <w:autoSpaceDE w:val="0"/>
        <w:autoSpaceDN w:val="0"/>
        <w:adjustRightInd w:val="0"/>
        <w:spacing w:line="276" w:lineRule="auto"/>
        <w:ind w:left="426" w:hanging="426"/>
        <w:contextualSpacing/>
        <w:textAlignment w:val="baseline"/>
        <w:rPr>
          <w:rFonts w:ascii="Calibri" w:hAnsi="Calibri"/>
        </w:rPr>
      </w:pPr>
      <w:r>
        <w:t>opfordrer til obligatoriske prisrevisionsklausuler for at tage højde for lønrelaterede ændringer i kollektive overenskomster og/eller arbejdsmarkedslovgivning eller inflation samt andre relevante faktorer, der indvirker på kontraktens gennemførelse, f.eks. energiomkostninger.</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8"/>
        <w:gridCol w:w="7911"/>
      </w:tblGrid>
      <w:tr w:rsidR="00685A3A" w:rsidRPr="00685A3A" w14:paraId="0E43841C" w14:textId="77777777" w:rsidTr="0036489A">
        <w:tc>
          <w:tcPr>
            <w:tcW w:w="742"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Kontakt</w:t>
            </w:r>
          </w:p>
        </w:tc>
        <w:tc>
          <w:tcPr>
            <w:tcW w:w="4258"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Pr>
                <w:i/>
              </w:rPr>
              <w:t xml:space="preserve">Annalisa </w:t>
            </w:r>
            <w:proofErr w:type="spellStart"/>
            <w:r>
              <w:rPr>
                <w:i/>
              </w:rPr>
              <w:t>Tessarolo</w:t>
            </w:r>
            <w:proofErr w:type="spellEnd"/>
          </w:p>
        </w:tc>
      </w:tr>
      <w:tr w:rsidR="00685A3A" w:rsidRPr="00685A3A" w14:paraId="3DD656A6" w14:textId="77777777" w:rsidTr="0036489A">
        <w:tc>
          <w:tcPr>
            <w:tcW w:w="742"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Tlf.</w:t>
            </w:r>
          </w:p>
        </w:tc>
        <w:tc>
          <w:tcPr>
            <w:tcW w:w="4258" w:type="pct"/>
          </w:tcPr>
          <w:p w14:paraId="79B2077E" w14:textId="75930E64" w:rsidR="00685A3A" w:rsidRPr="00685A3A" w:rsidRDefault="00F40A52" w:rsidP="00685A3A">
            <w:pPr>
              <w:overflowPunct w:val="0"/>
              <w:autoSpaceDE w:val="0"/>
              <w:autoSpaceDN w:val="0"/>
              <w:adjustRightInd w:val="0"/>
              <w:spacing w:line="240" w:lineRule="auto"/>
              <w:textAlignment w:val="baseline"/>
              <w:rPr>
                <w:i/>
              </w:rPr>
            </w:pPr>
            <w:r>
              <w:rPr>
                <w:i/>
              </w:rPr>
              <w:t>00</w:t>
            </w:r>
            <w:r w:rsidR="00685A3A">
              <w:rPr>
                <w:i/>
              </w:rPr>
              <w:t xml:space="preserve"> 32 2</w:t>
            </w:r>
            <w:r>
              <w:rPr>
                <w:i/>
              </w:rPr>
              <w:t xml:space="preserve"> </w:t>
            </w:r>
            <w:r w:rsidR="00685A3A">
              <w:rPr>
                <w:i/>
              </w:rPr>
              <w:t>546</w:t>
            </w:r>
            <w:r>
              <w:rPr>
                <w:i/>
              </w:rPr>
              <w:t xml:space="preserve"> </w:t>
            </w:r>
            <w:r w:rsidR="00685A3A">
              <w:rPr>
                <w:i/>
              </w:rPr>
              <w:t>97</w:t>
            </w:r>
            <w:r>
              <w:rPr>
                <w:i/>
              </w:rPr>
              <w:t xml:space="preserve"> </w:t>
            </w:r>
            <w:r w:rsidR="00685A3A">
              <w:rPr>
                <w:i/>
              </w:rPr>
              <w:t>32</w:t>
            </w:r>
          </w:p>
        </w:tc>
      </w:tr>
      <w:tr w:rsidR="00685A3A" w:rsidRPr="00685A3A" w14:paraId="31FFB9F3" w14:textId="77777777" w:rsidTr="0036489A">
        <w:tc>
          <w:tcPr>
            <w:tcW w:w="742"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E-mail</w:t>
            </w:r>
          </w:p>
        </w:tc>
        <w:tc>
          <w:tcPr>
            <w:tcW w:w="4258" w:type="pct"/>
          </w:tcPr>
          <w:p w14:paraId="04364B9F" w14:textId="77777777" w:rsidR="00685A3A" w:rsidRPr="00685A3A" w:rsidRDefault="00300901" w:rsidP="00685A3A">
            <w:pPr>
              <w:overflowPunct w:val="0"/>
              <w:autoSpaceDE w:val="0"/>
              <w:autoSpaceDN w:val="0"/>
              <w:adjustRightInd w:val="0"/>
              <w:spacing w:line="240" w:lineRule="auto"/>
              <w:textAlignment w:val="baseline"/>
              <w:rPr>
                <w:i/>
                <w:iCs/>
              </w:rPr>
            </w:pPr>
            <w:hyperlink r:id="rId41" w:history="1">
              <w:r w:rsidR="00797C5C">
                <w:rPr>
                  <w:i/>
                  <w:color w:val="0000FF"/>
                  <w:u w:val="single"/>
                </w:rPr>
                <w:t>Annalisa.Tessarolo@eesc.europa.eu</w:t>
              </w:r>
            </w:hyperlink>
          </w:p>
        </w:tc>
      </w:tr>
    </w:tbl>
    <w:p w14:paraId="40169B8F" w14:textId="3A8D790B" w:rsidR="00685A3A" w:rsidRDefault="00685A3A"/>
    <w:p w14:paraId="1E327181" w14:textId="77777777" w:rsidR="00685A3A" w:rsidRDefault="00685A3A">
      <w:r>
        <w:br w:type="page"/>
      </w:r>
    </w:p>
    <w:p w14:paraId="4982DE1F" w14:textId="77777777" w:rsidR="004D7AC0" w:rsidRDefault="004D7AC0" w:rsidP="004D7AC0">
      <w:pPr>
        <w:pStyle w:val="Heading1"/>
        <w:rPr>
          <w:b/>
        </w:rPr>
      </w:pPr>
      <w:bookmarkStart w:id="12" w:name="_Toc70322234"/>
      <w:bookmarkStart w:id="13" w:name="_Toc75527084"/>
      <w:bookmarkStart w:id="14" w:name="_Toc216967787"/>
      <w:r>
        <w:rPr>
          <w:b/>
        </w:rPr>
        <w:lastRenderedPageBreak/>
        <w:t>LANDBRUG, UDVIKLING AF LANDDISTRIKTERNE OG MILJØ</w:t>
      </w:r>
      <w:bookmarkEnd w:id="12"/>
      <w:bookmarkEnd w:id="13"/>
      <w:bookmarkEnd w:id="14"/>
    </w:p>
    <w:p w14:paraId="4982DE20" w14:textId="77777777" w:rsidR="004D7AC0" w:rsidRDefault="004D7AC0" w:rsidP="004D7AC0"/>
    <w:p w14:paraId="304DC66A" w14:textId="361897D3" w:rsidR="00836765" w:rsidRPr="00514509" w:rsidRDefault="00300901" w:rsidP="00514509">
      <w:pPr>
        <w:widowControl w:val="0"/>
        <w:numPr>
          <w:ilvl w:val="0"/>
          <w:numId w:val="4"/>
        </w:numPr>
        <w:overflowPunct w:val="0"/>
        <w:autoSpaceDE w:val="0"/>
        <w:autoSpaceDN w:val="0"/>
        <w:adjustRightInd w:val="0"/>
        <w:ind w:hanging="567"/>
        <w:textAlignment w:val="baseline"/>
        <w:rPr>
          <w:b/>
          <w:sz w:val="28"/>
          <w:szCs w:val="28"/>
        </w:rPr>
      </w:pPr>
      <w:hyperlink r:id="rId42" w:history="1">
        <w:r w:rsidR="00912E3C">
          <w:rPr>
            <w:rStyle w:val="Hyperlink"/>
            <w:b/>
            <w:i/>
            <w:sz w:val="28"/>
          </w:rPr>
          <w:t>Ændring af forordning (EU) 2023/1115 om skovrydning</w:t>
        </w:r>
      </w:hyperlink>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Ref.</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Kategori C-udtalelse</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COM(2025) 652 final</w:t>
            </w:r>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Hovedpunkter</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EØSU:</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362B5B5D" w:rsidR="00836765" w:rsidRPr="00836765" w:rsidRDefault="00912E3C" w:rsidP="00054C58">
      <w:pPr>
        <w:widowControl w:val="0"/>
        <w:numPr>
          <w:ilvl w:val="0"/>
          <w:numId w:val="29"/>
        </w:numPr>
        <w:overflowPunct w:val="0"/>
        <w:autoSpaceDE w:val="0"/>
        <w:autoSpaceDN w:val="0"/>
        <w:adjustRightInd w:val="0"/>
        <w:ind w:left="284" w:hanging="284"/>
        <w:textAlignment w:val="baseline"/>
        <w:rPr>
          <w:bCs/>
          <w:iCs/>
        </w:rPr>
      </w:pPr>
      <w:r>
        <w:t>har allerede behandlet dette forslag i sine udtalelser EESC-2024-01183-00-00-AC-TRA, vedtaget den 19. september 2024</w:t>
      </w:r>
      <w:r w:rsidRPr="00912E3C">
        <w:rPr>
          <w:rStyle w:val="FootnoteReference"/>
          <w:szCs w:val="24"/>
        </w:rPr>
        <w:footnoteReference w:id="5"/>
      </w:r>
      <w:r>
        <w:t>, og EESC-2021-05690-00-00-AC-TRA, vedtaget den 23. februar 2022</w:t>
      </w:r>
      <w:r w:rsidRPr="00912E3C">
        <w:rPr>
          <w:rStyle w:val="FootnoteReference"/>
          <w:szCs w:val="24"/>
        </w:rPr>
        <w:footnoteReference w:id="6"/>
      </w:r>
      <w:r>
        <w:t>. Det har derfor besluttet ikke at afgive en ny udtalelse om emnet, men at henvise til den holdning, det gav udtryk for i ovennævnte dokumenter.</w:t>
      </w: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3"/>
        <w:gridCol w:w="7288"/>
      </w:tblGrid>
      <w:tr w:rsidR="00836765" w:rsidRPr="00836765" w14:paraId="4FE2C2E9" w14:textId="77777777" w:rsidTr="0036489A">
        <w:tc>
          <w:tcPr>
            <w:tcW w:w="1078" w:type="pct"/>
          </w:tcPr>
          <w:p w14:paraId="440CE4F1" w14:textId="77777777" w:rsidR="00836765" w:rsidRPr="00836765" w:rsidRDefault="00836765" w:rsidP="00836765">
            <w:pPr>
              <w:overflowPunct w:val="0"/>
              <w:autoSpaceDE w:val="0"/>
              <w:autoSpaceDN w:val="0"/>
              <w:adjustRightInd w:val="0"/>
              <w:textAlignment w:val="baseline"/>
              <w:rPr>
                <w:i/>
              </w:rPr>
            </w:pPr>
            <w:r>
              <w:rPr>
                <w:b/>
                <w:i/>
              </w:rPr>
              <w:t>Kontakt</w:t>
            </w:r>
          </w:p>
        </w:tc>
        <w:tc>
          <w:tcPr>
            <w:tcW w:w="3922" w:type="pct"/>
          </w:tcPr>
          <w:p w14:paraId="3DB7D13C" w14:textId="2A0D3DD3" w:rsidR="00836765" w:rsidRPr="00836765" w:rsidRDefault="00836765" w:rsidP="00836765">
            <w:pPr>
              <w:overflowPunct w:val="0"/>
              <w:autoSpaceDE w:val="0"/>
              <w:autoSpaceDN w:val="0"/>
              <w:adjustRightInd w:val="0"/>
              <w:textAlignment w:val="baseline"/>
              <w:rPr>
                <w:i/>
              </w:rPr>
            </w:pPr>
            <w:r>
              <w:rPr>
                <w:i/>
              </w:rPr>
              <w:t xml:space="preserve">Martine </w:t>
            </w:r>
            <w:proofErr w:type="spellStart"/>
            <w:r>
              <w:rPr>
                <w:i/>
              </w:rPr>
              <w:t>Delanoy</w:t>
            </w:r>
            <w:proofErr w:type="spellEnd"/>
          </w:p>
        </w:tc>
      </w:tr>
      <w:tr w:rsidR="00836765" w:rsidRPr="00836765" w14:paraId="79B8361E" w14:textId="77777777" w:rsidTr="0036489A">
        <w:tc>
          <w:tcPr>
            <w:tcW w:w="1078" w:type="pct"/>
          </w:tcPr>
          <w:p w14:paraId="495C55DC" w14:textId="77777777" w:rsidR="00836765" w:rsidRPr="00836765" w:rsidRDefault="00836765" w:rsidP="00836765">
            <w:pPr>
              <w:overflowPunct w:val="0"/>
              <w:autoSpaceDE w:val="0"/>
              <w:autoSpaceDN w:val="0"/>
              <w:adjustRightInd w:val="0"/>
              <w:textAlignment w:val="baseline"/>
              <w:rPr>
                <w:i/>
              </w:rPr>
            </w:pPr>
            <w:r>
              <w:rPr>
                <w:i/>
              </w:rPr>
              <w:t>Tlf.</w:t>
            </w:r>
          </w:p>
        </w:tc>
        <w:tc>
          <w:tcPr>
            <w:tcW w:w="3922" w:type="pct"/>
          </w:tcPr>
          <w:p w14:paraId="7656C45E" w14:textId="135403AC" w:rsidR="00836765" w:rsidRPr="00836765" w:rsidRDefault="00912E3C" w:rsidP="00836765">
            <w:pPr>
              <w:overflowPunct w:val="0"/>
              <w:autoSpaceDE w:val="0"/>
              <w:autoSpaceDN w:val="0"/>
              <w:adjustRightInd w:val="0"/>
              <w:textAlignment w:val="baseline"/>
              <w:rPr>
                <w:i/>
              </w:rPr>
            </w:pPr>
            <w:r w:rsidRPr="00912E3C">
              <w:rPr>
                <w:i/>
              </w:rPr>
              <w:t>00 32 2 546 98 02</w:t>
            </w:r>
          </w:p>
        </w:tc>
      </w:tr>
      <w:tr w:rsidR="00836765" w:rsidRPr="00836765" w14:paraId="24D7B260" w14:textId="77777777" w:rsidTr="0036489A">
        <w:tc>
          <w:tcPr>
            <w:tcW w:w="1078" w:type="pct"/>
          </w:tcPr>
          <w:p w14:paraId="2B01135D" w14:textId="77777777" w:rsidR="00836765" w:rsidRPr="00836765" w:rsidRDefault="00836765" w:rsidP="00836765">
            <w:pPr>
              <w:overflowPunct w:val="0"/>
              <w:autoSpaceDE w:val="0"/>
              <w:autoSpaceDN w:val="0"/>
              <w:adjustRightInd w:val="0"/>
              <w:textAlignment w:val="baseline"/>
              <w:rPr>
                <w:i/>
              </w:rPr>
            </w:pPr>
            <w:r>
              <w:rPr>
                <w:i/>
              </w:rPr>
              <w:t>E-mail</w:t>
            </w:r>
          </w:p>
        </w:tc>
        <w:tc>
          <w:tcPr>
            <w:tcW w:w="3922" w:type="pct"/>
          </w:tcPr>
          <w:p w14:paraId="63509101" w14:textId="77777777" w:rsidR="00836765" w:rsidRPr="00836765" w:rsidRDefault="00300901" w:rsidP="00836765">
            <w:pPr>
              <w:overflowPunct w:val="0"/>
              <w:autoSpaceDE w:val="0"/>
              <w:autoSpaceDN w:val="0"/>
              <w:adjustRightInd w:val="0"/>
              <w:textAlignment w:val="baseline"/>
              <w:rPr>
                <w:i/>
              </w:rPr>
            </w:pPr>
            <w:hyperlink r:id="rId43" w:history="1">
              <w:r w:rsidR="00797C5C">
                <w:rPr>
                  <w:i/>
                  <w:color w:val="0000FF"/>
                  <w:u w:val="single"/>
                </w:rPr>
                <w:t>Martine.Delanoy@eesc.europa.eu</w:t>
              </w:r>
            </w:hyperlink>
          </w:p>
        </w:tc>
      </w:tr>
    </w:tbl>
    <w:p w14:paraId="4982DE45" w14:textId="52A07963" w:rsidR="007F5784" w:rsidRDefault="007F5784">
      <w:pPr>
        <w:spacing w:after="160" w:line="259" w:lineRule="auto"/>
        <w:jc w:val="left"/>
      </w:pPr>
    </w:p>
    <w:p w14:paraId="7B893721" w14:textId="77777777" w:rsidR="00673B8C" w:rsidRDefault="00673B8C">
      <w:pPr>
        <w:spacing w:after="160" w:line="259" w:lineRule="auto"/>
        <w:jc w:val="left"/>
      </w:pPr>
    </w:p>
    <w:p w14:paraId="5314991A" w14:textId="4AE44109" w:rsidR="000122F3" w:rsidRPr="00DB0977" w:rsidRDefault="007F5784" w:rsidP="000122F3">
      <w:pPr>
        <w:widowControl w:val="0"/>
        <w:numPr>
          <w:ilvl w:val="0"/>
          <w:numId w:val="12"/>
        </w:numPr>
        <w:overflowPunct w:val="0"/>
        <w:autoSpaceDE w:val="0"/>
        <w:autoSpaceDN w:val="0"/>
        <w:adjustRightInd w:val="0"/>
        <w:ind w:left="567" w:hanging="567"/>
        <w:rPr>
          <w:sz w:val="28"/>
          <w:szCs w:val="28"/>
        </w:rPr>
      </w:pPr>
      <w:r>
        <w:br w:type="page"/>
      </w:r>
      <w:hyperlink r:id="rId44">
        <w:r w:rsidR="00912E3C">
          <w:rPr>
            <w:rStyle w:val="Hyperlink"/>
            <w:b/>
            <w:i/>
            <w:sz w:val="28"/>
          </w:rPr>
          <w:t>Revision af EU-civilbeskyttelsesmekanismen</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bCs/>
              </w:rPr>
              <w:t>Ordfører</w:t>
            </w:r>
          </w:p>
        </w:tc>
        <w:tc>
          <w:tcPr>
            <w:tcW w:w="3923" w:type="pct"/>
            <w:hideMark/>
          </w:tcPr>
          <w:p w14:paraId="198FB4FA" w14:textId="31C7763C" w:rsidR="000122F3" w:rsidRDefault="000122F3" w:rsidP="000122F3">
            <w:pPr>
              <w:tabs>
                <w:tab w:val="center" w:pos="284"/>
              </w:tabs>
              <w:overflowPunct w:val="0"/>
              <w:autoSpaceDE w:val="0"/>
              <w:autoSpaceDN w:val="0"/>
              <w:adjustRightInd w:val="0"/>
              <w:ind w:left="266" w:right="-3091" w:hanging="266"/>
            </w:pPr>
            <w:r>
              <w:t xml:space="preserve">Florian </w:t>
            </w:r>
            <w:r w:rsidR="00912E3C">
              <w:t xml:space="preserve">Marin </w:t>
            </w:r>
            <w:r>
              <w:t>(</w:t>
            </w:r>
            <w:r w:rsidR="00912E3C" w:rsidRPr="00912E3C">
              <w:t xml:space="preserve">Arbejdstagergruppen </w:t>
            </w:r>
            <w:r w:rsidR="00912E3C" w:rsidRPr="00F40A52">
              <w:t>–</w:t>
            </w:r>
            <w:r>
              <w:t xml:space="preserve">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Ref.</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COM(2025) 548 final</w:t>
            </w:r>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Hovedpunkter</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691BC5B8" w14:textId="77777777" w:rsidR="00912E3C" w:rsidRPr="00A6689B" w:rsidRDefault="00912E3C" w:rsidP="00912E3C">
      <w:r>
        <w:t>EØSU:</w:t>
      </w:r>
    </w:p>
    <w:p w14:paraId="697D1B6D" w14:textId="77777777" w:rsidR="00912E3C" w:rsidRDefault="00912E3C" w:rsidP="00912E3C">
      <w:pPr>
        <w:widowControl w:val="0"/>
        <w:numPr>
          <w:ilvl w:val="0"/>
          <w:numId w:val="30"/>
        </w:numPr>
        <w:overflowPunct w:val="0"/>
        <w:autoSpaceDE w:val="0"/>
        <w:autoSpaceDN w:val="0"/>
        <w:adjustRightInd w:val="0"/>
        <w:textAlignment w:val="baseline"/>
      </w:pPr>
      <w:r>
        <w:t xml:space="preserve">efterlyser </w:t>
      </w:r>
      <w:r>
        <w:rPr>
          <w:b/>
        </w:rPr>
        <w:t>større ambitioner</w:t>
      </w:r>
      <w:r>
        <w:t xml:space="preserve"> om en indsats med fokus på nedbringelse af katastroferisici og forebyggelse, i stedet for at man primært fokuserer på indsatskapaciteten. Oprettelsen af en effektiv og integreret EU-civilbeskyttelsesmekanisme skal omfatte en samlet </w:t>
      </w:r>
      <w:r>
        <w:rPr>
          <w:b/>
        </w:rPr>
        <w:t>ramme for foranstaltninger til reduktion af risici</w:t>
      </w:r>
      <w:r>
        <w:t xml:space="preserve"> overalt i EU, og der skal være øget fokus på </w:t>
      </w:r>
      <w:r>
        <w:rPr>
          <w:b/>
        </w:rPr>
        <w:t>tværsektoriel og grænseoverskridende</w:t>
      </w:r>
      <w:r>
        <w:t xml:space="preserve"> katastrofeforebyggelse. Samtidig skal alle tiltag gennemføres inden for rammerne af et helhedsorienteret risikostyringssystem</w:t>
      </w:r>
    </w:p>
    <w:p w14:paraId="7F9220E6" w14:textId="77777777" w:rsidR="00912E3C" w:rsidRDefault="00912E3C" w:rsidP="00912E3C">
      <w:pPr>
        <w:widowControl w:val="0"/>
        <w:numPr>
          <w:ilvl w:val="0"/>
          <w:numId w:val="30"/>
        </w:numPr>
        <w:overflowPunct w:val="0"/>
        <w:autoSpaceDE w:val="0"/>
        <w:autoSpaceDN w:val="0"/>
        <w:adjustRightInd w:val="0"/>
        <w:textAlignment w:val="baseline"/>
      </w:pPr>
      <w:r>
        <w:t xml:space="preserve">anbefaler, </w:t>
      </w:r>
      <w:r>
        <w:rPr>
          <w:b/>
        </w:rPr>
        <w:t>at man nedbringer de administrative byrder</w:t>
      </w:r>
      <w:r>
        <w:t xml:space="preserve">, fjerner overlapninger, opgraderer utilstrækkelige data- og støttesystemer, øger mængden af veluddannede menneskelige ressourcer og investerer i </w:t>
      </w:r>
      <w:proofErr w:type="spellStart"/>
      <w:r>
        <w:t>interoperabel</w:t>
      </w:r>
      <w:proofErr w:type="spellEnd"/>
      <w:r>
        <w:t xml:space="preserve"> kapacitet, der er baseret på fælles standarder og uddannelsesforløb, samtidig med at det sikres, at </w:t>
      </w:r>
      <w:r>
        <w:rPr>
          <w:b/>
        </w:rPr>
        <w:t>arbejdsvilkårene er af høj kvalitet</w:t>
      </w:r>
      <w:r>
        <w:t>, hvilket alt sammen er en forudsætning for at styrke samfundets modstandsdygtighed i en tilgang til kriser, hvor hele samfundet gøres til en del af løsningen</w:t>
      </w:r>
    </w:p>
    <w:p w14:paraId="240524DF" w14:textId="77777777" w:rsidR="00912E3C" w:rsidRDefault="00912E3C" w:rsidP="00912E3C">
      <w:pPr>
        <w:widowControl w:val="0"/>
        <w:numPr>
          <w:ilvl w:val="0"/>
          <w:numId w:val="30"/>
        </w:numPr>
        <w:overflowPunct w:val="0"/>
        <w:autoSpaceDE w:val="0"/>
        <w:autoSpaceDN w:val="0"/>
        <w:adjustRightInd w:val="0"/>
        <w:textAlignment w:val="baseline"/>
      </w:pPr>
      <w:r>
        <w:t xml:space="preserve">efterlyser </w:t>
      </w:r>
      <w:r>
        <w:rPr>
          <w:b/>
        </w:rPr>
        <w:t>bedre foregribelse af katastrofer og kriser og større forståelse</w:t>
      </w:r>
      <w:r>
        <w:t xml:space="preserve"> af, hvorfor de opstår, samtidig med at der tages højde for den rolle, som propaganda og desinformation spiller med hensyn til at forstærke den sociale stress</w:t>
      </w:r>
    </w:p>
    <w:p w14:paraId="746448AA" w14:textId="77777777" w:rsidR="00912E3C" w:rsidRDefault="00912E3C" w:rsidP="00912E3C">
      <w:pPr>
        <w:widowControl w:val="0"/>
        <w:numPr>
          <w:ilvl w:val="0"/>
          <w:numId w:val="30"/>
        </w:numPr>
        <w:overflowPunct w:val="0"/>
        <w:autoSpaceDE w:val="0"/>
        <w:autoSpaceDN w:val="0"/>
        <w:adjustRightInd w:val="0"/>
        <w:textAlignment w:val="baseline"/>
      </w:pPr>
      <w:r>
        <w:t xml:space="preserve">anbefaler en styrkelse af civilbeskyttelsesmekanismen ved hjælp af </w:t>
      </w:r>
      <w:r>
        <w:rPr>
          <w:b/>
        </w:rPr>
        <w:t>supplerende finansiering</w:t>
      </w:r>
      <w:r>
        <w:t>, navnlig i relation til sårbare grupper og regioner, herunder regionerne i den yderste periferi og regioner, der ligger tæt på krigszoner</w:t>
      </w:r>
    </w:p>
    <w:p w14:paraId="464490CD" w14:textId="77777777" w:rsidR="00912E3C" w:rsidRDefault="00912E3C" w:rsidP="00912E3C">
      <w:pPr>
        <w:widowControl w:val="0"/>
        <w:numPr>
          <w:ilvl w:val="0"/>
          <w:numId w:val="30"/>
        </w:numPr>
        <w:overflowPunct w:val="0"/>
        <w:autoSpaceDE w:val="0"/>
        <w:autoSpaceDN w:val="0"/>
        <w:adjustRightInd w:val="0"/>
        <w:textAlignment w:val="baseline"/>
      </w:pPr>
      <w:r>
        <w:t xml:space="preserve">ser gerne, at man sikrer </w:t>
      </w:r>
      <w:r>
        <w:rPr>
          <w:b/>
        </w:rPr>
        <w:t>sammenhæng med de nationale og regionale partnerskabsplaner</w:t>
      </w:r>
      <w:r>
        <w:t xml:space="preserve"> (NRP-planer), der foreslås for programmeringsperioden 2028-2034</w:t>
      </w:r>
    </w:p>
    <w:p w14:paraId="4F73E9CE" w14:textId="77777777" w:rsidR="00912E3C" w:rsidRDefault="00912E3C" w:rsidP="00912E3C">
      <w:pPr>
        <w:widowControl w:val="0"/>
        <w:numPr>
          <w:ilvl w:val="0"/>
          <w:numId w:val="30"/>
        </w:numPr>
        <w:overflowPunct w:val="0"/>
        <w:autoSpaceDE w:val="0"/>
        <w:autoSpaceDN w:val="0"/>
        <w:adjustRightInd w:val="0"/>
        <w:textAlignment w:val="baseline"/>
      </w:pPr>
      <w:r>
        <w:t xml:space="preserve">anbefaler, at man skaber </w:t>
      </w:r>
      <w:r>
        <w:rPr>
          <w:b/>
        </w:rPr>
        <w:t>større komplementaritet</w:t>
      </w:r>
      <w:r>
        <w:t xml:space="preserve"> mellem eksisterende instrumenter såsom SAFE-instrumentet, Det Europæiske Solidaritetskorps og EU-civilbeskyttelsesmekanismen</w:t>
      </w:r>
    </w:p>
    <w:p w14:paraId="2CDD5BCE" w14:textId="77777777" w:rsidR="00912E3C" w:rsidRDefault="00912E3C" w:rsidP="00912E3C">
      <w:pPr>
        <w:widowControl w:val="0"/>
        <w:numPr>
          <w:ilvl w:val="0"/>
          <w:numId w:val="30"/>
        </w:numPr>
        <w:overflowPunct w:val="0"/>
        <w:autoSpaceDE w:val="0"/>
        <w:autoSpaceDN w:val="0"/>
        <w:adjustRightInd w:val="0"/>
        <w:textAlignment w:val="baseline"/>
      </w:pPr>
      <w:r>
        <w:t xml:space="preserve">mener, at man bør sikre tilstrækkelig og stabil </w:t>
      </w:r>
      <w:r>
        <w:rPr>
          <w:b/>
        </w:rPr>
        <w:t>finansiering til professionelle brandmænd og sundhedspersonale</w:t>
      </w:r>
      <w:r>
        <w:t xml:space="preserve"> for at sikre fortsat effektivitet og en hurtig indsats inden for civilbeskyttelsesmekanismen, samtidig med at de frivillige får en større rolle</w:t>
      </w:r>
    </w:p>
    <w:p w14:paraId="4317AAC1" w14:textId="77777777" w:rsidR="00912E3C" w:rsidRDefault="00912E3C" w:rsidP="00912E3C">
      <w:pPr>
        <w:widowControl w:val="0"/>
        <w:numPr>
          <w:ilvl w:val="0"/>
          <w:numId w:val="30"/>
        </w:numPr>
        <w:overflowPunct w:val="0"/>
        <w:autoSpaceDE w:val="0"/>
        <w:autoSpaceDN w:val="0"/>
        <w:adjustRightInd w:val="0"/>
        <w:textAlignment w:val="baseline"/>
      </w:pPr>
      <w:r>
        <w:t xml:space="preserve">mener, at </w:t>
      </w:r>
      <w:r>
        <w:rPr>
          <w:b/>
        </w:rPr>
        <w:t>EU-civilbeskyttelsesmekanismen bør bygge på fleksibilitet</w:t>
      </w:r>
      <w:r>
        <w:t xml:space="preserve">, så der tages højde for, at de nationale katastrofestyringssystemer er forskellige, og det samtidig sikres, at der samarbejdes og </w:t>
      </w:r>
      <w:r>
        <w:rPr>
          <w:b/>
        </w:rPr>
        <w:t>koordineres på tværs af grænserne</w:t>
      </w:r>
      <w:r>
        <w:t xml:space="preserve"> for at opnå en hurtig og effektiv reaktion på katastrofer, som ikke kender nogen grænser, med fuld inddragelse af det organiserede civilsamfund</w:t>
      </w:r>
    </w:p>
    <w:p w14:paraId="7DFE7B70" w14:textId="77777777" w:rsidR="00912E3C" w:rsidRDefault="00912E3C" w:rsidP="00912E3C">
      <w:pPr>
        <w:widowControl w:val="0"/>
        <w:numPr>
          <w:ilvl w:val="0"/>
          <w:numId w:val="30"/>
        </w:numPr>
        <w:overflowPunct w:val="0"/>
        <w:autoSpaceDE w:val="0"/>
        <w:autoSpaceDN w:val="0"/>
        <w:adjustRightInd w:val="0"/>
        <w:textAlignment w:val="baseline"/>
      </w:pPr>
      <w:r>
        <w:t xml:space="preserve">anbefaler, at reglerne for offentlige indkøb tilpasses med henblik på at </w:t>
      </w:r>
      <w:r>
        <w:rPr>
          <w:b/>
        </w:rPr>
        <w:t>sikre en hurtig og effektiv levering af kritiske forsyninger</w:t>
      </w:r>
      <w:r>
        <w:t xml:space="preserve"> og tjenesteydelser i krisetider</w:t>
      </w:r>
    </w:p>
    <w:p w14:paraId="5918B32B" w14:textId="26D262E9" w:rsidR="000122F3" w:rsidRPr="000122F3" w:rsidRDefault="00912E3C" w:rsidP="00912E3C">
      <w:pPr>
        <w:widowControl w:val="0"/>
        <w:numPr>
          <w:ilvl w:val="0"/>
          <w:numId w:val="30"/>
        </w:numPr>
        <w:overflowPunct w:val="0"/>
        <w:autoSpaceDE w:val="0"/>
        <w:autoSpaceDN w:val="0"/>
        <w:adjustRightInd w:val="0"/>
      </w:pPr>
      <w:r>
        <w:t xml:space="preserve">opfordrer til, at der gennem CECIS oprettes en </w:t>
      </w:r>
      <w:r>
        <w:rPr>
          <w:b/>
        </w:rPr>
        <w:t>standardiseret rapporteringsformular til indberetning af katastrofer</w:t>
      </w:r>
      <w:r>
        <w:t>, som skal anvendes af alle medlemsstater.</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315A6780" w14:textId="77777777">
        <w:tc>
          <w:tcPr>
            <w:tcW w:w="1077" w:type="pct"/>
            <w:hideMark/>
          </w:tcPr>
          <w:p w14:paraId="0BC88ACD" w14:textId="77777777" w:rsidR="000122F3" w:rsidRPr="000122F3" w:rsidRDefault="000122F3" w:rsidP="00A74CF1">
            <w:pPr>
              <w:keepNext/>
              <w:keepLines/>
              <w:overflowPunct w:val="0"/>
              <w:autoSpaceDE w:val="0"/>
              <w:autoSpaceDN w:val="0"/>
              <w:adjustRightInd w:val="0"/>
              <w:rPr>
                <w:i/>
                <w:iCs/>
              </w:rPr>
            </w:pPr>
            <w:r>
              <w:rPr>
                <w:b/>
                <w:i/>
              </w:rPr>
              <w:lastRenderedPageBreak/>
              <w:t>Kontakt</w:t>
            </w:r>
          </w:p>
        </w:tc>
        <w:tc>
          <w:tcPr>
            <w:tcW w:w="3923" w:type="pct"/>
            <w:hideMark/>
          </w:tcPr>
          <w:p w14:paraId="278195BE" w14:textId="77777777" w:rsidR="000122F3" w:rsidRPr="000122F3" w:rsidRDefault="000122F3" w:rsidP="00A74CF1">
            <w:pPr>
              <w:keepNext/>
              <w:keepLines/>
              <w:overflowPunct w:val="0"/>
              <w:autoSpaceDE w:val="0"/>
              <w:autoSpaceDN w:val="0"/>
              <w:adjustRightInd w:val="0"/>
              <w:rPr>
                <w:i/>
                <w:iCs/>
              </w:rPr>
            </w:pPr>
            <w:r>
              <w:rPr>
                <w:i/>
              </w:rPr>
              <w:t>Arturo Iniguez Yuste</w:t>
            </w:r>
          </w:p>
        </w:tc>
      </w:tr>
      <w:tr w:rsidR="000122F3" w:rsidRPr="000122F3" w14:paraId="326D7576" w14:textId="77777777">
        <w:tc>
          <w:tcPr>
            <w:tcW w:w="1077" w:type="pct"/>
            <w:hideMark/>
          </w:tcPr>
          <w:p w14:paraId="74416C4B" w14:textId="77777777" w:rsidR="000122F3" w:rsidRPr="000122F3" w:rsidRDefault="000122F3" w:rsidP="00A74CF1">
            <w:pPr>
              <w:keepNext/>
              <w:keepLines/>
              <w:overflowPunct w:val="0"/>
              <w:autoSpaceDE w:val="0"/>
              <w:autoSpaceDN w:val="0"/>
              <w:adjustRightInd w:val="0"/>
              <w:rPr>
                <w:i/>
              </w:rPr>
            </w:pPr>
            <w:r>
              <w:rPr>
                <w:i/>
              </w:rPr>
              <w:t>Tlf.</w:t>
            </w:r>
          </w:p>
        </w:tc>
        <w:tc>
          <w:tcPr>
            <w:tcW w:w="3923" w:type="pct"/>
            <w:hideMark/>
          </w:tcPr>
          <w:p w14:paraId="0CE46E70" w14:textId="24FD97CB" w:rsidR="000122F3" w:rsidRPr="000122F3" w:rsidRDefault="00912E3C" w:rsidP="00A74CF1">
            <w:pPr>
              <w:keepNext/>
              <w:keepLines/>
              <w:overflowPunct w:val="0"/>
              <w:autoSpaceDE w:val="0"/>
              <w:autoSpaceDN w:val="0"/>
              <w:adjustRightInd w:val="0"/>
              <w:rPr>
                <w:i/>
              </w:rPr>
            </w:pPr>
            <w:r w:rsidRPr="00912E3C">
              <w:rPr>
                <w:i/>
              </w:rPr>
              <w:t>00 32 2 546 87 68</w:t>
            </w:r>
          </w:p>
        </w:tc>
      </w:tr>
      <w:tr w:rsidR="000122F3" w:rsidRPr="000122F3" w14:paraId="753D0F57" w14:textId="77777777">
        <w:tc>
          <w:tcPr>
            <w:tcW w:w="1077" w:type="pct"/>
            <w:hideMark/>
          </w:tcPr>
          <w:p w14:paraId="2C40013E" w14:textId="77777777" w:rsidR="000122F3" w:rsidRPr="000122F3" w:rsidRDefault="000122F3" w:rsidP="00A74CF1">
            <w:pPr>
              <w:keepNext/>
              <w:keepLines/>
              <w:overflowPunct w:val="0"/>
              <w:autoSpaceDE w:val="0"/>
              <w:autoSpaceDN w:val="0"/>
              <w:adjustRightInd w:val="0"/>
              <w:rPr>
                <w:i/>
              </w:rPr>
            </w:pPr>
            <w:r>
              <w:rPr>
                <w:i/>
              </w:rPr>
              <w:t>E-mail</w:t>
            </w:r>
          </w:p>
        </w:tc>
        <w:tc>
          <w:tcPr>
            <w:tcW w:w="3923" w:type="pct"/>
            <w:hideMark/>
          </w:tcPr>
          <w:p w14:paraId="2E7C650A" w14:textId="77777777" w:rsidR="000122F3" w:rsidRPr="000122F3" w:rsidRDefault="00300901" w:rsidP="00A74CF1">
            <w:pPr>
              <w:keepNext/>
              <w:keepLines/>
              <w:overflowPunct w:val="0"/>
              <w:autoSpaceDE w:val="0"/>
              <w:autoSpaceDN w:val="0"/>
              <w:adjustRightInd w:val="0"/>
              <w:rPr>
                <w:i/>
              </w:rPr>
            </w:pPr>
            <w:hyperlink r:id="rId45" w:history="1">
              <w:r w:rsidR="00797C5C">
                <w:rPr>
                  <w:i/>
                  <w:color w:val="0000FF"/>
                  <w:u w:val="single"/>
                </w:rPr>
                <w:t>Arturo.Iniguez@eesc.europa.eu</w:t>
              </w:r>
            </w:hyperlink>
          </w:p>
        </w:tc>
      </w:tr>
    </w:tbl>
    <w:p w14:paraId="715DB2BD" w14:textId="599992C3" w:rsidR="00395794" w:rsidRDefault="00395794" w:rsidP="00A74CF1">
      <w:pPr>
        <w:keepNext/>
        <w:keepLines/>
        <w:spacing w:after="160" w:line="259" w:lineRule="auto"/>
        <w:jc w:val="left"/>
      </w:pPr>
    </w:p>
    <w:p w14:paraId="73A0193B" w14:textId="77777777" w:rsidR="00395794" w:rsidRDefault="00395794">
      <w:pPr>
        <w:spacing w:after="160" w:line="259" w:lineRule="auto"/>
        <w:jc w:val="left"/>
      </w:pPr>
      <w:r>
        <w:br w:type="page"/>
      </w:r>
    </w:p>
    <w:p w14:paraId="14026A78" w14:textId="4FAE1588" w:rsidR="007F5784" w:rsidRDefault="007F5784" w:rsidP="007F5784">
      <w:pPr>
        <w:pStyle w:val="Heading1"/>
        <w:rPr>
          <w:b/>
        </w:rPr>
      </w:pPr>
      <w:bookmarkStart w:id="15" w:name="_Toc216967788"/>
      <w:r>
        <w:rPr>
          <w:b/>
        </w:rPr>
        <w:lastRenderedPageBreak/>
        <w:t>EKSTERNE FORBINDELSER</w:t>
      </w:r>
      <w:bookmarkEnd w:id="15"/>
    </w:p>
    <w:p w14:paraId="3BBB3E68" w14:textId="77777777" w:rsidR="007F5784" w:rsidRDefault="007F5784" w:rsidP="007F5784"/>
    <w:p w14:paraId="15F03B8E" w14:textId="6C67E98B"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"https://www.eesc.europa.eu/en/our-work/opinions-information-reports/opinions/european-unions-strategic-approach-black-sea-region"</w:instrText>
      </w:r>
      <w:r w:rsidRPr="00C62A6C">
        <w:rPr>
          <w:b/>
          <w:i/>
          <w:sz w:val="28"/>
        </w:rPr>
        <w:fldChar w:fldCharType="separate"/>
      </w:r>
      <w:r w:rsidR="00520D42" w:rsidRPr="00520D42">
        <w:t xml:space="preserve"> </w:t>
      </w:r>
      <w:r w:rsidR="00520D42" w:rsidRPr="00520D42">
        <w:rPr>
          <w:b/>
          <w:i/>
          <w:color w:val="0000FF"/>
          <w:sz w:val="28"/>
          <w:u w:val="single"/>
        </w:rPr>
        <w:t>Den Europæiske Unions strategiske tilgang til Sortehavsregionen</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bCs/>
              </w:rPr>
              <w:t>Ordfører</w:t>
            </w:r>
          </w:p>
        </w:tc>
        <w:tc>
          <w:tcPr>
            <w:tcW w:w="3889" w:type="pct"/>
          </w:tcPr>
          <w:p w14:paraId="4CC365C4" w14:textId="35E719DC" w:rsidR="00237C67" w:rsidRPr="00237C67" w:rsidRDefault="00237C67" w:rsidP="00237C67">
            <w:pPr>
              <w:tabs>
                <w:tab w:val="center" w:pos="284"/>
              </w:tabs>
              <w:overflowPunct w:val="0"/>
              <w:autoSpaceDE w:val="0"/>
              <w:autoSpaceDN w:val="0"/>
              <w:adjustRightInd w:val="0"/>
              <w:ind w:left="266" w:hanging="266"/>
              <w:textAlignment w:val="baseline"/>
            </w:pPr>
            <w:r>
              <w:t xml:space="preserve">Milena </w:t>
            </w:r>
            <w:proofErr w:type="spellStart"/>
            <w:r w:rsidR="00520D42">
              <w:t>Angelova</w:t>
            </w:r>
            <w:proofErr w:type="spellEnd"/>
            <w:r w:rsidR="00520D42">
              <w:t xml:space="preserve"> </w:t>
            </w:r>
            <w:r>
              <w:t>(</w:t>
            </w:r>
            <w:r w:rsidR="00520D42" w:rsidRPr="00520D42">
              <w:t>Arbejdsgivergruppen – BG</w:t>
            </w:r>
            <w:r>
              <w:t>)</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Ref.</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JOIN(2025) 135 final</w:t>
            </w:r>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Hovedpunkter</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2C6BC22B" w14:textId="499A536D" w:rsidR="00520D42" w:rsidRPr="00FC4BF3" w:rsidRDefault="00237C67" w:rsidP="00DB0977">
      <w:pPr>
        <w:overflowPunct w:val="0"/>
        <w:autoSpaceDE w:val="0"/>
        <w:autoSpaceDN w:val="0"/>
        <w:adjustRightInd w:val="0"/>
        <w:textAlignment w:val="baseline"/>
        <w:rPr>
          <w:bCs/>
          <w:iCs/>
        </w:rPr>
      </w:pPr>
      <w:r>
        <w:t>EØSU:</w:t>
      </w:r>
    </w:p>
    <w:p w14:paraId="3D04A517" w14:textId="77777777" w:rsidR="00520D42" w:rsidRPr="00E24C2F" w:rsidRDefault="00520D42" w:rsidP="00520D42">
      <w:pPr>
        <w:pStyle w:val="ListParagraph"/>
        <w:numPr>
          <w:ilvl w:val="0"/>
          <w:numId w:val="31"/>
        </w:numPr>
        <w:rPr>
          <w:bCs/>
          <w:iCs/>
        </w:rPr>
      </w:pPr>
      <w:r>
        <w:t xml:space="preserve">glæder sig over det </w:t>
      </w:r>
      <w:r>
        <w:rPr>
          <w:b/>
        </w:rPr>
        <w:t>længe ventede initiativ</w:t>
      </w:r>
      <w:r>
        <w:t xml:space="preserve"> til at lægge </w:t>
      </w:r>
      <w:r>
        <w:rPr>
          <w:b/>
        </w:rPr>
        <w:t>særlig vægt på Sortehavsregionen</w:t>
      </w:r>
      <w:r>
        <w:t xml:space="preserve"> og foreslå en strategisk EU-tilgang til det, men bemærker, at initiativet er forbundet med </w:t>
      </w:r>
      <w:r>
        <w:rPr>
          <w:b/>
        </w:rPr>
        <w:t>en vis forsinkelse</w:t>
      </w:r>
      <w:r>
        <w:t xml:space="preserve">, og opfordrer derfor til </w:t>
      </w:r>
      <w:r>
        <w:rPr>
          <w:b/>
        </w:rPr>
        <w:t>hurtige og beslutsomme tiltag for at gennemføre det</w:t>
      </w:r>
      <w:r>
        <w:t xml:space="preserve"> og </w:t>
      </w:r>
      <w:r>
        <w:rPr>
          <w:b/>
        </w:rPr>
        <w:t>sikre det tilstrækkelige ressourcer</w:t>
      </w:r>
    </w:p>
    <w:p w14:paraId="763E4968" w14:textId="77777777" w:rsidR="00520D42" w:rsidRPr="00E24C2F" w:rsidRDefault="00520D42" w:rsidP="00520D42">
      <w:pPr>
        <w:pStyle w:val="ListParagraph"/>
        <w:numPr>
          <w:ilvl w:val="0"/>
          <w:numId w:val="31"/>
        </w:numPr>
        <w:rPr>
          <w:bCs/>
          <w:iCs/>
        </w:rPr>
      </w:pPr>
      <w:r>
        <w:t xml:space="preserve">understreger, at selv om </w:t>
      </w:r>
      <w:r>
        <w:rPr>
          <w:b/>
        </w:rPr>
        <w:t>alle lande i regionen</w:t>
      </w:r>
      <w:r>
        <w:t xml:space="preserve"> rammes af de </w:t>
      </w:r>
      <w:r>
        <w:rPr>
          <w:b/>
        </w:rPr>
        <w:t>negative konsekvenser af militære fjendtligheder, er der ikke ydet målrettet social og økonomisk støtte til dem alle i forhold til deres indsats og ofre</w:t>
      </w:r>
    </w:p>
    <w:p w14:paraId="4E9303C1" w14:textId="77777777" w:rsidR="00520D42" w:rsidRPr="00E24C2F" w:rsidRDefault="00520D42" w:rsidP="00520D42">
      <w:pPr>
        <w:pStyle w:val="ListParagraph"/>
        <w:numPr>
          <w:ilvl w:val="0"/>
          <w:numId w:val="31"/>
        </w:numPr>
        <w:rPr>
          <w:bCs/>
          <w:iCs/>
        </w:rPr>
      </w:pPr>
      <w:r>
        <w:t xml:space="preserve">opfordrer Kommissionen til i samråd med EU's medlemsstater, landene i Sortehavsregionen og alle interessenter </w:t>
      </w:r>
      <w:r>
        <w:rPr>
          <w:b/>
        </w:rPr>
        <w:t>hurtigt</w:t>
      </w:r>
      <w:r>
        <w:t xml:space="preserve"> – ideelt set inden udgangen af 2025 – </w:t>
      </w:r>
      <w:r>
        <w:rPr>
          <w:b/>
        </w:rPr>
        <w:t>at udarbejde en pragmatisk og velfinansieret strategi for regionens udvikling</w:t>
      </w:r>
    </w:p>
    <w:p w14:paraId="7903EF62" w14:textId="77777777" w:rsidR="00520D42" w:rsidRPr="00E24C2F" w:rsidRDefault="00520D42" w:rsidP="00520D42">
      <w:pPr>
        <w:pStyle w:val="ListParagraph"/>
        <w:numPr>
          <w:ilvl w:val="0"/>
          <w:numId w:val="31"/>
        </w:numPr>
        <w:rPr>
          <w:bCs/>
          <w:iCs/>
        </w:rPr>
      </w:pPr>
      <w:r>
        <w:t xml:space="preserve">beklager, at </w:t>
      </w:r>
      <w:r>
        <w:rPr>
          <w:b/>
        </w:rPr>
        <w:t>EU's tidligere rammepolitik</w:t>
      </w:r>
      <w:r>
        <w:t xml:space="preserve"> (sortehavssynergien fra 2007) for regionen ikke omfattede </w:t>
      </w:r>
      <w:r>
        <w:rPr>
          <w:b/>
        </w:rPr>
        <w:t>sikkerhedsdimensionen</w:t>
      </w:r>
      <w:r>
        <w:t xml:space="preserve">, og understreger </w:t>
      </w:r>
      <w:r>
        <w:rPr>
          <w:b/>
        </w:rPr>
        <w:t>nødvendigheden af, at EU's sikkerhedsinitiativer i Sortehavsregionen leverer håndgribelige resultater</w:t>
      </w:r>
    </w:p>
    <w:p w14:paraId="27036E80" w14:textId="77777777" w:rsidR="00520D42" w:rsidRPr="00E24C2F" w:rsidRDefault="00520D42" w:rsidP="00520D42">
      <w:pPr>
        <w:pStyle w:val="ListParagraph"/>
        <w:numPr>
          <w:ilvl w:val="0"/>
          <w:numId w:val="31"/>
        </w:numPr>
        <w:rPr>
          <w:bCs/>
          <w:iCs/>
        </w:rPr>
      </w:pPr>
      <w:r>
        <w:t xml:space="preserve">understreger, at </w:t>
      </w:r>
      <w:r>
        <w:rPr>
          <w:b/>
        </w:rPr>
        <w:t>opnåelse af varig fred</w:t>
      </w:r>
      <w:r>
        <w:t xml:space="preserve"> er en </w:t>
      </w:r>
      <w:r>
        <w:rPr>
          <w:b/>
        </w:rPr>
        <w:t>nødvendig og en væsentlig forudsætning for en bæredygtig økonomisk udvikling</w:t>
      </w:r>
      <w:r>
        <w:t xml:space="preserve"> og bemærker med beklagelse, at dette ikke er medtaget som et mål i dokumentet</w:t>
      </w:r>
    </w:p>
    <w:p w14:paraId="49B2ED8E" w14:textId="77777777" w:rsidR="00520D42" w:rsidRPr="00E24C2F" w:rsidRDefault="00520D42" w:rsidP="00520D42">
      <w:pPr>
        <w:pStyle w:val="ListParagraph"/>
        <w:numPr>
          <w:ilvl w:val="0"/>
          <w:numId w:val="31"/>
        </w:numPr>
        <w:rPr>
          <w:bCs/>
          <w:iCs/>
        </w:rPr>
      </w:pPr>
      <w:r>
        <w:t xml:space="preserve">mener, at den </w:t>
      </w:r>
      <w:r>
        <w:rPr>
          <w:b/>
        </w:rPr>
        <w:t>største hindring for den strategiske tilgang</w:t>
      </w:r>
      <w:r>
        <w:t xml:space="preserve"> er, at den udelukkende er baseret på de </w:t>
      </w:r>
      <w:r>
        <w:rPr>
          <w:b/>
        </w:rPr>
        <w:t>eksisterende finansielle instrumenter</w:t>
      </w:r>
      <w:r>
        <w:t xml:space="preserve"> og </w:t>
      </w:r>
      <w:r>
        <w:rPr>
          <w:b/>
        </w:rPr>
        <w:t>budgetmidler, der indgår i den flerårige finansielle ramme for 2021-2027</w:t>
      </w:r>
      <w:r>
        <w:t xml:space="preserve">. Udvalget anmoder derfor om, at </w:t>
      </w:r>
      <w:r>
        <w:rPr>
          <w:b/>
        </w:rPr>
        <w:t>instrumenterne forenkles, konsolideres og prioriteres</w:t>
      </w:r>
      <w:r>
        <w:t xml:space="preserve"> for at skabe en umiddelbar og synlig virkning</w:t>
      </w:r>
    </w:p>
    <w:p w14:paraId="70503E3E" w14:textId="77777777" w:rsidR="00520D42" w:rsidRPr="00E24C2F" w:rsidRDefault="00520D42" w:rsidP="00520D42">
      <w:pPr>
        <w:pStyle w:val="ListParagraph"/>
        <w:numPr>
          <w:ilvl w:val="0"/>
          <w:numId w:val="31"/>
        </w:numPr>
        <w:rPr>
          <w:bCs/>
          <w:iCs/>
        </w:rPr>
      </w:pPr>
      <w:r>
        <w:t xml:space="preserve">anbefaler, at der </w:t>
      </w:r>
      <w:r>
        <w:rPr>
          <w:b/>
        </w:rPr>
        <w:t>gennemføres en tilbundsgående konsekvensanalyse af alle eksisterende instrumenter</w:t>
      </w:r>
      <w:r>
        <w:t xml:space="preserve"> til dato, og at der på grundlag heraf formuleres </w:t>
      </w:r>
      <w:r>
        <w:rPr>
          <w:b/>
        </w:rPr>
        <w:t>mere specifikke</w:t>
      </w:r>
      <w:r>
        <w:t xml:space="preserve"> og </w:t>
      </w:r>
      <w:r>
        <w:rPr>
          <w:b/>
        </w:rPr>
        <w:t>klarere forpligtelser</w:t>
      </w:r>
      <w:r>
        <w:t xml:space="preserve"> i forbindelse med deres fremtidige anvendelse</w:t>
      </w:r>
    </w:p>
    <w:p w14:paraId="53E35EF9" w14:textId="5170D2AC" w:rsidR="00237C67" w:rsidRPr="00237C67" w:rsidRDefault="00520D42" w:rsidP="00520D42">
      <w:pPr>
        <w:widowControl w:val="0"/>
        <w:numPr>
          <w:ilvl w:val="0"/>
          <w:numId w:val="31"/>
        </w:numPr>
        <w:overflowPunct w:val="0"/>
        <w:autoSpaceDE w:val="0"/>
        <w:autoSpaceDN w:val="0"/>
        <w:adjustRightInd w:val="0"/>
        <w:contextualSpacing/>
        <w:textAlignment w:val="baseline"/>
      </w:pPr>
      <w:r>
        <w:t xml:space="preserve">mener, at der bør lægges større vægt på at </w:t>
      </w:r>
      <w:r>
        <w:rPr>
          <w:b/>
        </w:rPr>
        <w:t>tackle hybride trusler</w:t>
      </w:r>
      <w:r>
        <w:t xml:space="preserve"> og </w:t>
      </w:r>
      <w:r>
        <w:rPr>
          <w:b/>
        </w:rPr>
        <w:t>mangler i regeringsførelsen</w:t>
      </w:r>
      <w:r>
        <w:t>, som truer med at underminere den regionale stabilitet.</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25"/>
        <w:gridCol w:w="7264"/>
      </w:tblGrid>
      <w:tr w:rsidR="00237C67" w:rsidRPr="00237C67" w14:paraId="500155AD" w14:textId="77777777" w:rsidTr="00C201AB">
        <w:tc>
          <w:tcPr>
            <w:tcW w:w="1090" w:type="pct"/>
          </w:tcPr>
          <w:p w14:paraId="4E7D56FB" w14:textId="77777777" w:rsidR="00237C67" w:rsidRPr="00237C67" w:rsidRDefault="00237C67" w:rsidP="00237C67">
            <w:pPr>
              <w:overflowPunct w:val="0"/>
              <w:autoSpaceDE w:val="0"/>
              <w:autoSpaceDN w:val="0"/>
              <w:adjustRightInd w:val="0"/>
              <w:textAlignment w:val="baseline"/>
              <w:rPr>
                <w:i/>
              </w:rPr>
            </w:pPr>
            <w:r>
              <w:rPr>
                <w:b/>
                <w:i/>
              </w:rPr>
              <w:t>Kontakt</w:t>
            </w:r>
          </w:p>
        </w:tc>
        <w:tc>
          <w:tcPr>
            <w:tcW w:w="3910" w:type="pct"/>
          </w:tcPr>
          <w:p w14:paraId="397EC967" w14:textId="77777777" w:rsidR="00237C67" w:rsidRPr="00237C67" w:rsidRDefault="00237C67" w:rsidP="00237C67">
            <w:pPr>
              <w:overflowPunct w:val="0"/>
              <w:autoSpaceDE w:val="0"/>
              <w:autoSpaceDN w:val="0"/>
              <w:adjustRightInd w:val="0"/>
              <w:textAlignment w:val="baseline"/>
              <w:rPr>
                <w:i/>
                <w:iCs/>
              </w:rPr>
            </w:pPr>
            <w:r>
              <w:t xml:space="preserve">Marie-Laurence </w:t>
            </w:r>
            <w:proofErr w:type="spellStart"/>
            <w:r>
              <w:t>Drillon</w:t>
            </w:r>
            <w:proofErr w:type="spellEnd"/>
          </w:p>
        </w:tc>
      </w:tr>
      <w:tr w:rsidR="00237C67" w:rsidRPr="00237C67" w14:paraId="4A4056F6" w14:textId="77777777" w:rsidTr="00C201AB">
        <w:tc>
          <w:tcPr>
            <w:tcW w:w="1090" w:type="pct"/>
          </w:tcPr>
          <w:p w14:paraId="5E409ED8" w14:textId="77777777" w:rsidR="00237C67" w:rsidRPr="00237C67" w:rsidRDefault="00237C67" w:rsidP="00237C67">
            <w:pPr>
              <w:overflowPunct w:val="0"/>
              <w:autoSpaceDE w:val="0"/>
              <w:autoSpaceDN w:val="0"/>
              <w:adjustRightInd w:val="0"/>
              <w:textAlignment w:val="baseline"/>
              <w:rPr>
                <w:i/>
              </w:rPr>
            </w:pPr>
            <w:r>
              <w:rPr>
                <w:i/>
              </w:rPr>
              <w:t>Tlf.</w:t>
            </w:r>
          </w:p>
        </w:tc>
        <w:tc>
          <w:tcPr>
            <w:tcW w:w="3910" w:type="pct"/>
          </w:tcPr>
          <w:p w14:paraId="701AABDE" w14:textId="1E58B499" w:rsidR="00237C67" w:rsidRPr="00237C67" w:rsidRDefault="00520D42" w:rsidP="00237C67">
            <w:pPr>
              <w:overflowPunct w:val="0"/>
              <w:autoSpaceDE w:val="0"/>
              <w:autoSpaceDN w:val="0"/>
              <w:adjustRightInd w:val="0"/>
              <w:textAlignment w:val="baseline"/>
              <w:rPr>
                <w:i/>
              </w:rPr>
            </w:pPr>
            <w:r w:rsidRPr="00520D42">
              <w:rPr>
                <w:i/>
              </w:rPr>
              <w:t>00 32 2 546 83 20</w:t>
            </w:r>
          </w:p>
        </w:tc>
      </w:tr>
      <w:tr w:rsidR="00237C67" w:rsidRPr="00237C67" w14:paraId="532005DF" w14:textId="77777777" w:rsidTr="00C201AB">
        <w:tc>
          <w:tcPr>
            <w:tcW w:w="1090" w:type="pct"/>
          </w:tcPr>
          <w:p w14:paraId="21550A30" w14:textId="77777777" w:rsidR="00237C67" w:rsidRPr="00237C67" w:rsidRDefault="00237C67" w:rsidP="00237C67">
            <w:pPr>
              <w:overflowPunct w:val="0"/>
              <w:autoSpaceDE w:val="0"/>
              <w:autoSpaceDN w:val="0"/>
              <w:adjustRightInd w:val="0"/>
              <w:textAlignment w:val="baseline"/>
              <w:rPr>
                <w:i/>
              </w:rPr>
            </w:pPr>
            <w:r>
              <w:rPr>
                <w:i/>
              </w:rPr>
              <w:t>E-mail</w:t>
            </w:r>
          </w:p>
        </w:tc>
        <w:tc>
          <w:tcPr>
            <w:tcW w:w="3910" w:type="pct"/>
          </w:tcPr>
          <w:p w14:paraId="56749FB7" w14:textId="77777777" w:rsidR="00237C67" w:rsidRPr="00237C67" w:rsidRDefault="00300901" w:rsidP="00237C67">
            <w:pPr>
              <w:overflowPunct w:val="0"/>
              <w:autoSpaceDE w:val="0"/>
              <w:autoSpaceDN w:val="0"/>
              <w:adjustRightInd w:val="0"/>
              <w:textAlignment w:val="baseline"/>
              <w:rPr>
                <w:i/>
              </w:rPr>
            </w:pPr>
            <w:hyperlink r:id="rId46" w:history="1">
              <w:r w:rsidR="00797C5C">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34A3BD77" w:rsidR="00C913CA" w:rsidRPr="00DB0977" w:rsidRDefault="006D2C8A" w:rsidP="00C913CA">
      <w:pPr>
        <w:widowControl w:val="0"/>
        <w:numPr>
          <w:ilvl w:val="0"/>
          <w:numId w:val="4"/>
        </w:numPr>
        <w:overflowPunct w:val="0"/>
        <w:autoSpaceDE w:val="0"/>
        <w:autoSpaceDN w:val="0"/>
        <w:adjustRightInd w:val="0"/>
        <w:ind w:hanging="567"/>
        <w:textAlignment w:val="baseline"/>
        <w:rPr>
          <w:sz w:val="28"/>
          <w:szCs w:val="28"/>
        </w:rPr>
      </w:pPr>
      <w:r>
        <w:br w:type="page"/>
      </w:r>
      <w:hyperlink r:id="rId47" w:history="1">
        <w:r w:rsidR="00642D30">
          <w:rPr>
            <w:rStyle w:val="Hyperlink"/>
            <w:b/>
            <w:i/>
            <w:sz w:val="28"/>
          </w:rPr>
          <w:t>Et globalt Europa (forslag til den flerårige finansielle ramme)</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bCs/>
              </w:rPr>
              <w:t>Ordfører</w:t>
            </w:r>
          </w:p>
        </w:tc>
        <w:tc>
          <w:tcPr>
            <w:tcW w:w="3923" w:type="pct"/>
          </w:tcPr>
          <w:p w14:paraId="4316EC99" w14:textId="59954E12" w:rsidR="00C913CA" w:rsidRPr="00C913CA" w:rsidRDefault="00C913CA" w:rsidP="00C913CA">
            <w:pPr>
              <w:tabs>
                <w:tab w:val="center" w:pos="284"/>
              </w:tabs>
              <w:overflowPunct w:val="0"/>
              <w:autoSpaceDE w:val="0"/>
              <w:autoSpaceDN w:val="0"/>
              <w:adjustRightInd w:val="0"/>
              <w:ind w:left="266" w:right="-3091" w:hanging="266"/>
              <w:textAlignment w:val="baseline"/>
            </w:pPr>
            <w:r>
              <w:t xml:space="preserve">Mateusz </w:t>
            </w:r>
            <w:proofErr w:type="spellStart"/>
            <w:r w:rsidR="00642D30">
              <w:t>Szymański</w:t>
            </w:r>
            <w:proofErr w:type="spellEnd"/>
            <w:r w:rsidR="00642D30">
              <w:t xml:space="preserve"> </w:t>
            </w:r>
            <w:r>
              <w:t>(</w:t>
            </w:r>
            <w:r w:rsidR="00642D30" w:rsidRPr="00642D30">
              <w:t>Arbejdstagergruppen – PL</w:t>
            </w:r>
            <w:r>
              <w:t>)</w:t>
            </w:r>
          </w:p>
        </w:tc>
      </w:tr>
      <w:tr w:rsidR="00C913CA" w:rsidRPr="00C913CA" w14:paraId="59C9D0E5" w14:textId="77777777" w:rsidTr="00C201AB">
        <w:tc>
          <w:tcPr>
            <w:tcW w:w="1077" w:type="pct"/>
          </w:tcPr>
          <w:p w14:paraId="755D124C" w14:textId="2DF604D1" w:rsidR="00C913CA" w:rsidRPr="00C913CA" w:rsidRDefault="00642D30" w:rsidP="00C913CA">
            <w:pPr>
              <w:tabs>
                <w:tab w:val="center" w:pos="284"/>
              </w:tabs>
              <w:overflowPunct w:val="0"/>
              <w:autoSpaceDE w:val="0"/>
              <w:autoSpaceDN w:val="0"/>
              <w:adjustRightInd w:val="0"/>
              <w:ind w:left="266" w:hanging="266"/>
              <w:textAlignment w:val="baseline"/>
              <w:rPr>
                <w:b/>
              </w:rPr>
            </w:pPr>
            <w:r>
              <w:rPr>
                <w:b/>
              </w:rPr>
              <w:t>Medordfører</w:t>
            </w:r>
          </w:p>
        </w:tc>
        <w:tc>
          <w:tcPr>
            <w:tcW w:w="3923" w:type="pct"/>
          </w:tcPr>
          <w:p w14:paraId="7376BE83" w14:textId="2BFD404C" w:rsidR="00C913CA" w:rsidRDefault="00C913CA" w:rsidP="00C913CA">
            <w:pPr>
              <w:tabs>
                <w:tab w:val="center" w:pos="284"/>
              </w:tabs>
              <w:overflowPunct w:val="0"/>
              <w:autoSpaceDE w:val="0"/>
              <w:autoSpaceDN w:val="0"/>
              <w:adjustRightInd w:val="0"/>
              <w:ind w:left="266" w:right="-3091" w:hanging="266"/>
              <w:textAlignment w:val="baseline"/>
            </w:pPr>
            <w:r>
              <w:t xml:space="preserve">Luca </w:t>
            </w:r>
            <w:proofErr w:type="spellStart"/>
            <w:r w:rsidR="00642D30">
              <w:t>Jahier</w:t>
            </w:r>
            <w:proofErr w:type="spellEnd"/>
            <w:r w:rsidR="00642D30">
              <w:t xml:space="preserve"> </w:t>
            </w:r>
            <w:r>
              <w:t>(</w:t>
            </w:r>
            <w:r w:rsidR="00642D30" w:rsidRPr="00642D30">
              <w:t>Gruppen af civilsamfundsorganisationer – IT</w:t>
            </w:r>
            <w:r>
              <w: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Ref.</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COM(2025) 551 final</w:t>
            </w:r>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Hovedpunkter</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78B036D3" w14:textId="77777777" w:rsidR="00642D30" w:rsidRPr="00A6689B" w:rsidRDefault="00C913CA" w:rsidP="00642D30">
      <w:pPr>
        <w:rPr>
          <w:bCs/>
          <w:iCs/>
        </w:rPr>
      </w:pPr>
      <w:r>
        <w:t>EØSU:</w:t>
      </w:r>
    </w:p>
    <w:p w14:paraId="1B344699" w14:textId="77777777" w:rsidR="00642D30" w:rsidRDefault="00642D30" w:rsidP="00642D30">
      <w:pPr>
        <w:widowControl w:val="0"/>
        <w:numPr>
          <w:ilvl w:val="0"/>
          <w:numId w:val="41"/>
        </w:numPr>
        <w:overflowPunct w:val="0"/>
        <w:autoSpaceDE w:val="0"/>
        <w:autoSpaceDN w:val="0"/>
        <w:adjustRightInd w:val="0"/>
        <w:spacing w:line="276" w:lineRule="auto"/>
        <w:textAlignment w:val="baseline"/>
        <w:rPr>
          <w:bCs/>
          <w:iCs/>
        </w:rPr>
      </w:pPr>
      <w:r>
        <w:t>bifalder Kommissionens forslag om at øge udgifterne til EU's eksterne politikker under den kommende flerårige finansielle ramme (FFR) med et instrument for et globalt Europa, herunder en reserve til Ukraine. Udvalget mener, at denne forhøjelse er afgørende for, at EU kan bekræfte sin rolle som en global Aktør med globale værdier samt opbygge strategisk autonomi</w:t>
      </w:r>
    </w:p>
    <w:p w14:paraId="3F851E7E"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 xml:space="preserve">mener, at EU bør spille en ledende rolle i den udviklingsmæssige og humanitære indsats og i indsatsen for at puste nyt liv i FN-systemet med Global Gateway som det vigtigste instrument </w:t>
      </w:r>
    </w:p>
    <w:p w14:paraId="70EFA97A"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påpeger, at det rådgivende udvalg for civilsamfundsorganisationer og lokale myndigheder under Global Gateway har været afkoblet fra beslutningstagningen, hvilket fragmenterer dialogen. EØSU opfordrer til at sikre meningsfuld inddragelse, herunder af EØSU og RU</w:t>
      </w:r>
    </w:p>
    <w:p w14:paraId="3545A821" w14:textId="77777777" w:rsidR="00642D30" w:rsidRDefault="00642D30" w:rsidP="00642D30">
      <w:pPr>
        <w:widowControl w:val="0"/>
        <w:numPr>
          <w:ilvl w:val="0"/>
          <w:numId w:val="41"/>
        </w:numPr>
        <w:overflowPunct w:val="0"/>
        <w:autoSpaceDE w:val="0"/>
        <w:autoSpaceDN w:val="0"/>
        <w:adjustRightInd w:val="0"/>
        <w:spacing w:line="276" w:lineRule="auto"/>
        <w:textAlignment w:val="baseline"/>
        <w:rPr>
          <w:bCs/>
          <w:iCs/>
        </w:rPr>
      </w:pPr>
      <w:r>
        <w:t>understreger behovet for at skabe sammenhæng mellem udenrigspolitik, udvikling, handel og Den Europæiske Fond for Konkurrenceevne for at opnå bæredygtig udvikling og sikre økonomisk modstandsdygtighed</w:t>
      </w:r>
    </w:p>
    <w:p w14:paraId="4C4FC8BD"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ser positivt på den foreslåede fleksibilitet i EU's optræden udadtil, men forventer fuld gennemsigtighed og ansvarlighed i anvendelsen af midlerne</w:t>
      </w:r>
    </w:p>
    <w:p w14:paraId="2BD4D0D4" w14:textId="78BC60C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opfordrer til, at Kommissionens ulighedsmarkør udvides til at omfatte Global</w:t>
      </w:r>
      <w:r w:rsidR="00DB0977">
        <w:t> </w:t>
      </w:r>
      <w:r>
        <w:t>Gateway</w:t>
      </w:r>
      <w:r w:rsidR="00DB0977">
        <w:noBreakHyphen/>
      </w:r>
      <w:r>
        <w:t xml:space="preserve">projekter </w:t>
      </w:r>
    </w:p>
    <w:p w14:paraId="1E5C2A83"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 xml:space="preserve">forventer, at eksisterende organer såsom civilsamfundsplatforme i højere grad inddrages i opretholdelsen af forbindelserne med organisationer i partnerlandene </w:t>
      </w:r>
    </w:p>
    <w:p w14:paraId="50D7A0BB"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støtter alle bestræbelser på at øge velstanden og sikkerheden i vores nabolande og dermed i EU og støtter yderligere udvidelse af Unionen</w:t>
      </w:r>
    </w:p>
    <w:p w14:paraId="7B3E0829" w14:textId="77777777" w:rsidR="00642D30" w:rsidRPr="004541E6" w:rsidRDefault="00642D30" w:rsidP="00642D30">
      <w:pPr>
        <w:widowControl w:val="0"/>
        <w:numPr>
          <w:ilvl w:val="0"/>
          <w:numId w:val="41"/>
        </w:numPr>
        <w:overflowPunct w:val="0"/>
        <w:autoSpaceDE w:val="0"/>
        <w:autoSpaceDN w:val="0"/>
        <w:adjustRightInd w:val="0"/>
        <w:spacing w:line="276" w:lineRule="auto"/>
        <w:textAlignment w:val="baseline"/>
        <w:rPr>
          <w:bCs/>
          <w:iCs/>
        </w:rPr>
      </w:pPr>
      <w:r>
        <w:t>understreger behovet for forudsigelig og stabil finansiering til civilsamfundsorganisationer, navnlig for at styrke demokratiet, civilsamfundets råderum og ligestillingen mellem kønnene</w:t>
      </w:r>
    </w:p>
    <w:p w14:paraId="15CC121F" w14:textId="18F9C21A" w:rsidR="00642D30" w:rsidRPr="00642D30" w:rsidRDefault="00642D30" w:rsidP="00642D30">
      <w:pPr>
        <w:widowControl w:val="0"/>
        <w:numPr>
          <w:ilvl w:val="0"/>
          <w:numId w:val="41"/>
        </w:numPr>
        <w:overflowPunct w:val="0"/>
        <w:autoSpaceDE w:val="0"/>
        <w:autoSpaceDN w:val="0"/>
        <w:adjustRightInd w:val="0"/>
        <w:spacing w:line="276" w:lineRule="auto"/>
        <w:textAlignment w:val="baseline"/>
        <w:rPr>
          <w:bCs/>
          <w:iCs/>
        </w:rPr>
      </w:pPr>
      <w:r>
        <w:t>forventer, at målene vedrørende økonomisk samarbejde og iværksætterånd ledsages af ambitioner på det sociale område samt med hensyn til menneskerettigheder og på miljøområdet</w:t>
      </w:r>
    </w:p>
    <w:p w14:paraId="40981C83" w14:textId="123E5D9B" w:rsidR="00642D30" w:rsidRDefault="00642D30" w:rsidP="00642D30">
      <w:pPr>
        <w:widowControl w:val="0"/>
        <w:numPr>
          <w:ilvl w:val="0"/>
          <w:numId w:val="41"/>
        </w:numPr>
        <w:overflowPunct w:val="0"/>
        <w:autoSpaceDE w:val="0"/>
        <w:autoSpaceDN w:val="0"/>
        <w:adjustRightInd w:val="0"/>
        <w:spacing w:line="276" w:lineRule="auto"/>
        <w:textAlignment w:val="baseline"/>
        <w:rPr>
          <w:bCs/>
          <w:iCs/>
        </w:rPr>
      </w:pPr>
      <w:r>
        <w:t>modsætter sig den tilgang, der bygger på at suspendere betalinger inden for rammerne af migrationspolitikken og understreger behovet for positive incitamenter for at nå de erklærede mål.</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5629"/>
      </w:tblGrid>
      <w:tr w:rsidR="00C913CA" w:rsidRPr="00C913CA" w14:paraId="430D0F1E" w14:textId="77777777" w:rsidTr="00C201AB">
        <w:tc>
          <w:tcPr>
            <w:tcW w:w="1077" w:type="pct"/>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4"/>
              <w:gridCol w:w="2650"/>
            </w:tblGrid>
            <w:tr w:rsidR="006559C7" w:rsidRPr="00A6689B" w14:paraId="566687C9" w14:textId="77777777" w:rsidTr="002238FF">
              <w:tc>
                <w:tcPr>
                  <w:tcW w:w="1077" w:type="pct"/>
                </w:tcPr>
                <w:p w14:paraId="5EE88CD7" w14:textId="77777777" w:rsidR="006559C7" w:rsidRPr="006559C7" w:rsidRDefault="006559C7" w:rsidP="006559C7">
                  <w:pPr>
                    <w:ind w:hanging="78"/>
                    <w:rPr>
                      <w:i/>
                      <w:sz w:val="20"/>
                      <w:szCs w:val="20"/>
                    </w:rPr>
                  </w:pPr>
                  <w:r>
                    <w:rPr>
                      <w:b/>
                      <w:i/>
                      <w:sz w:val="20"/>
                    </w:rPr>
                    <w:t>Kontakt</w:t>
                  </w:r>
                </w:p>
              </w:tc>
              <w:tc>
                <w:tcPr>
                  <w:tcW w:w="3923" w:type="pct"/>
                </w:tcPr>
                <w:p w14:paraId="1A70046D" w14:textId="77777777" w:rsidR="006559C7" w:rsidRPr="006559C7" w:rsidRDefault="006559C7" w:rsidP="006559C7">
                  <w:pPr>
                    <w:ind w:hanging="78"/>
                    <w:rPr>
                      <w:i/>
                      <w:sz w:val="20"/>
                      <w:szCs w:val="20"/>
                    </w:rPr>
                  </w:pPr>
                  <w:r>
                    <w:rPr>
                      <w:i/>
                      <w:sz w:val="20"/>
                    </w:rPr>
                    <w:t xml:space="preserve">Daniele </w:t>
                  </w:r>
                  <w:proofErr w:type="spellStart"/>
                  <w:r>
                    <w:rPr>
                      <w:i/>
                      <w:sz w:val="20"/>
                    </w:rPr>
                    <w:t>Vitali</w:t>
                  </w:r>
                  <w:proofErr w:type="spellEnd"/>
                  <w:r>
                    <w:rPr>
                      <w:i/>
                      <w:sz w:val="20"/>
                    </w:rPr>
                    <w:t xml:space="preserve"> </w:t>
                  </w:r>
                </w:p>
              </w:tc>
            </w:tr>
            <w:tr w:rsidR="006559C7" w:rsidRPr="00A6689B" w14:paraId="6A2E51F7" w14:textId="77777777" w:rsidTr="002238FF">
              <w:tc>
                <w:tcPr>
                  <w:tcW w:w="1077" w:type="pct"/>
                </w:tcPr>
                <w:p w14:paraId="36742115" w14:textId="77777777" w:rsidR="006559C7" w:rsidRPr="006559C7" w:rsidRDefault="006559C7" w:rsidP="006559C7">
                  <w:pPr>
                    <w:ind w:hanging="78"/>
                    <w:rPr>
                      <w:i/>
                      <w:sz w:val="20"/>
                      <w:szCs w:val="20"/>
                    </w:rPr>
                  </w:pPr>
                  <w:r>
                    <w:rPr>
                      <w:i/>
                      <w:sz w:val="20"/>
                    </w:rPr>
                    <w:t>Tlf.</w:t>
                  </w:r>
                </w:p>
              </w:tc>
              <w:tc>
                <w:tcPr>
                  <w:tcW w:w="3923" w:type="pct"/>
                </w:tcPr>
                <w:p w14:paraId="2025EE29" w14:textId="00486EDE" w:rsidR="006559C7" w:rsidRPr="006559C7" w:rsidRDefault="00642D30" w:rsidP="006559C7">
                  <w:pPr>
                    <w:ind w:hanging="78"/>
                    <w:rPr>
                      <w:i/>
                      <w:sz w:val="20"/>
                      <w:szCs w:val="20"/>
                    </w:rPr>
                  </w:pPr>
                  <w:r w:rsidRPr="00642D30">
                    <w:rPr>
                      <w:i/>
                      <w:sz w:val="20"/>
                    </w:rPr>
                    <w:t>00 32 2 546 88 17</w:t>
                  </w:r>
                </w:p>
              </w:tc>
            </w:tr>
            <w:tr w:rsidR="006559C7" w:rsidRPr="00A6689B" w14:paraId="40EB0530" w14:textId="77777777" w:rsidTr="002238FF">
              <w:tc>
                <w:tcPr>
                  <w:tcW w:w="1077" w:type="pct"/>
                </w:tcPr>
                <w:p w14:paraId="0E0B5DFB" w14:textId="77777777" w:rsidR="006559C7" w:rsidRPr="006559C7" w:rsidRDefault="006559C7" w:rsidP="006559C7">
                  <w:pPr>
                    <w:ind w:hanging="78"/>
                    <w:rPr>
                      <w:i/>
                      <w:sz w:val="20"/>
                      <w:szCs w:val="20"/>
                    </w:rPr>
                  </w:pPr>
                  <w:r>
                    <w:rPr>
                      <w:i/>
                      <w:sz w:val="20"/>
                    </w:rPr>
                    <w:t>E-mail</w:t>
                  </w:r>
                </w:p>
              </w:tc>
              <w:tc>
                <w:tcPr>
                  <w:tcW w:w="3923" w:type="pct"/>
                </w:tcPr>
                <w:p w14:paraId="65211337" w14:textId="77777777" w:rsidR="006559C7" w:rsidRPr="006559C7" w:rsidRDefault="00300901" w:rsidP="006559C7">
                  <w:pPr>
                    <w:ind w:hanging="78"/>
                    <w:rPr>
                      <w:i/>
                      <w:sz w:val="20"/>
                      <w:szCs w:val="20"/>
                    </w:rPr>
                  </w:pPr>
                  <w:hyperlink r:id="rId48" w:history="1">
                    <w:r w:rsidR="00797C5C">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09176D59" w:rsidR="004503DC" w:rsidRPr="00DB0977" w:rsidRDefault="00C913CA" w:rsidP="004503DC">
      <w:pPr>
        <w:widowControl w:val="0"/>
        <w:numPr>
          <w:ilvl w:val="0"/>
          <w:numId w:val="4"/>
        </w:numPr>
        <w:overflowPunct w:val="0"/>
        <w:autoSpaceDE w:val="0"/>
        <w:autoSpaceDN w:val="0"/>
        <w:adjustRightInd w:val="0"/>
        <w:ind w:hanging="567"/>
        <w:textAlignment w:val="baseline"/>
        <w:rPr>
          <w:sz w:val="28"/>
          <w:szCs w:val="28"/>
        </w:rPr>
      </w:pPr>
      <w:r>
        <w:br w:type="page"/>
      </w:r>
      <w:hyperlink r:id="rId49" w:history="1">
        <w:r w:rsidR="00642D30">
          <w:rPr>
            <w:rStyle w:val="Hyperlink"/>
            <w:b/>
            <w:i/>
            <w:sz w:val="28"/>
          </w:rPr>
          <w:t>En forudsigelig og fælles europæisk vej frem for ukrainere i EU</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bCs/>
              </w:rPr>
              <w:t>Ordfører</w:t>
            </w:r>
            <w:r>
              <w:rPr>
                <w:b/>
              </w:rPr>
              <w:t xml:space="preserve"> </w:t>
            </w:r>
          </w:p>
        </w:tc>
        <w:tc>
          <w:tcPr>
            <w:tcW w:w="3923" w:type="pct"/>
          </w:tcPr>
          <w:p w14:paraId="2DAA0415" w14:textId="76A1D264" w:rsidR="006559C7" w:rsidRPr="004503DC" w:rsidRDefault="004503DC" w:rsidP="00F733BE">
            <w:pPr>
              <w:tabs>
                <w:tab w:val="center" w:pos="284"/>
              </w:tabs>
              <w:overflowPunct w:val="0"/>
              <w:autoSpaceDE w:val="0"/>
              <w:autoSpaceDN w:val="0"/>
              <w:adjustRightInd w:val="0"/>
              <w:ind w:left="266" w:right="-3091" w:hanging="266"/>
              <w:textAlignment w:val="baseline"/>
            </w:pPr>
            <w:r>
              <w:t xml:space="preserve">Mateusz </w:t>
            </w:r>
            <w:proofErr w:type="spellStart"/>
            <w:r w:rsidR="00642D30">
              <w:t>Szymański</w:t>
            </w:r>
            <w:proofErr w:type="spellEnd"/>
            <w:r w:rsidR="00642D30">
              <w:t xml:space="preserve"> </w:t>
            </w:r>
            <w:r>
              <w:t>(</w:t>
            </w:r>
            <w:r w:rsidR="00642D30" w:rsidRPr="00642D30">
              <w:t>Arbejdstagergruppen – PL</w:t>
            </w:r>
            <w:r>
              <w:t>)</w:t>
            </w:r>
          </w:p>
        </w:tc>
      </w:tr>
      <w:tr w:rsidR="004503DC" w:rsidRPr="004503DC" w14:paraId="712EFFED" w14:textId="77777777" w:rsidTr="00C201AB">
        <w:tc>
          <w:tcPr>
            <w:tcW w:w="1077" w:type="pct"/>
          </w:tcPr>
          <w:p w14:paraId="2B679233" w14:textId="4A3C476E" w:rsidR="004503DC" w:rsidRPr="004503DC" w:rsidRDefault="00642D30" w:rsidP="004503DC">
            <w:pPr>
              <w:tabs>
                <w:tab w:val="center" w:pos="284"/>
              </w:tabs>
              <w:overflowPunct w:val="0"/>
              <w:autoSpaceDE w:val="0"/>
              <w:autoSpaceDN w:val="0"/>
              <w:adjustRightInd w:val="0"/>
              <w:ind w:left="266" w:hanging="266"/>
              <w:textAlignment w:val="baseline"/>
              <w:rPr>
                <w:b/>
              </w:rPr>
            </w:pPr>
            <w:r>
              <w:rPr>
                <w:b/>
              </w:rPr>
              <w:t>Medordfører</w:t>
            </w:r>
          </w:p>
        </w:tc>
        <w:tc>
          <w:tcPr>
            <w:tcW w:w="3923" w:type="pct"/>
          </w:tcPr>
          <w:p w14:paraId="38932FB0" w14:textId="4A5F27C2" w:rsidR="004503DC" w:rsidRDefault="004503DC" w:rsidP="004503DC">
            <w:pPr>
              <w:tabs>
                <w:tab w:val="center" w:pos="284"/>
              </w:tabs>
              <w:overflowPunct w:val="0"/>
              <w:autoSpaceDE w:val="0"/>
              <w:autoSpaceDN w:val="0"/>
              <w:adjustRightInd w:val="0"/>
              <w:ind w:left="266" w:right="-3091" w:hanging="266"/>
              <w:textAlignment w:val="baseline"/>
            </w:pPr>
            <w:r>
              <w:t xml:space="preserve">Krzysztof </w:t>
            </w:r>
            <w:proofErr w:type="spellStart"/>
            <w:r w:rsidR="00642D30">
              <w:t>Balon</w:t>
            </w:r>
            <w:proofErr w:type="spellEnd"/>
            <w:r w:rsidR="00642D30">
              <w:t xml:space="preserve"> </w:t>
            </w:r>
            <w:r>
              <w:t>(</w:t>
            </w:r>
            <w:r w:rsidR="00642D30" w:rsidRPr="00642D30">
              <w:t>Gruppen af civilsamfundsorganisationer – PL</w:t>
            </w:r>
            <w:r>
              <w:t>)</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Ref.</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COM(2025) 649 final</w:t>
            </w:r>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Hovedpunkter</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3F540704" w14:textId="061ACB0E" w:rsidR="00642D30" w:rsidRPr="00A6689B" w:rsidRDefault="004503DC" w:rsidP="00A74CF1">
      <w:pPr>
        <w:overflowPunct w:val="0"/>
        <w:autoSpaceDE w:val="0"/>
        <w:autoSpaceDN w:val="0"/>
        <w:adjustRightInd w:val="0"/>
        <w:textAlignment w:val="baseline"/>
        <w:rPr>
          <w:bCs/>
          <w:iCs/>
        </w:rPr>
      </w:pPr>
      <w:r>
        <w:t>EØSU:</w:t>
      </w:r>
    </w:p>
    <w:p w14:paraId="159DF48E" w14:textId="77777777" w:rsidR="00642D30" w:rsidRDefault="00642D30" w:rsidP="00642D30">
      <w:pPr>
        <w:widowControl w:val="0"/>
        <w:numPr>
          <w:ilvl w:val="0"/>
          <w:numId w:val="33"/>
        </w:numPr>
        <w:overflowPunct w:val="0"/>
        <w:autoSpaceDE w:val="0"/>
        <w:autoSpaceDN w:val="0"/>
        <w:adjustRightInd w:val="0"/>
        <w:textAlignment w:val="baseline"/>
        <w:rPr>
          <w:bCs/>
          <w:iCs/>
        </w:rPr>
      </w:pPr>
      <w:r>
        <w:t>bekræfter sin solidaritet med det ukrainske folk og minder om, at Ruslands aggression mod Ukraine tvang millioner af ukrainere på flugt. Udvalget fremhæver den rolle, som civilsamfundsorganisationer spillede under den største tilstrømning af fordrevne personer fra Ukraine</w:t>
      </w:r>
    </w:p>
    <w:p w14:paraId="67BBA5BA" w14:textId="77777777" w:rsidR="00642D30" w:rsidRPr="00B348D7" w:rsidRDefault="00642D30" w:rsidP="00642D30">
      <w:pPr>
        <w:widowControl w:val="0"/>
        <w:numPr>
          <w:ilvl w:val="0"/>
          <w:numId w:val="33"/>
        </w:numPr>
        <w:overflowPunct w:val="0"/>
        <w:autoSpaceDE w:val="0"/>
        <w:autoSpaceDN w:val="0"/>
        <w:adjustRightInd w:val="0"/>
        <w:textAlignment w:val="baseline"/>
        <w:rPr>
          <w:bCs/>
          <w:iCs/>
        </w:rPr>
      </w:pPr>
      <w:r>
        <w:t>bemærker, at den midlertidige beskyttelse har vist sig at være en gavnlig løsning for fordrevne personer fra Ukraine, mens forudsætningerne for at vende tilbage til Ukraine endnu ikke er til stede som følge af den vedvarende aggression. Udvalget glæder sig over beslutningen om at forlænge den midlertidige beskyttelse med endnu en periode</w:t>
      </w:r>
    </w:p>
    <w:p w14:paraId="24D1CEFA" w14:textId="77777777" w:rsidR="00642D30" w:rsidRPr="00A6689B" w:rsidRDefault="00642D30" w:rsidP="00642D30">
      <w:pPr>
        <w:widowControl w:val="0"/>
        <w:numPr>
          <w:ilvl w:val="0"/>
          <w:numId w:val="33"/>
        </w:numPr>
        <w:overflowPunct w:val="0"/>
        <w:autoSpaceDE w:val="0"/>
        <w:autoSpaceDN w:val="0"/>
        <w:adjustRightInd w:val="0"/>
        <w:textAlignment w:val="baseline"/>
        <w:rPr>
          <w:bCs/>
          <w:iCs/>
        </w:rPr>
      </w:pPr>
      <w:r>
        <w:t>understreger behovet for et langsigtet perspektiv for personer, der nyder midlertidig beskyttelse, og opfordrer Kommissionen og medlemsstaterne til at tage skridt til at lette overgangen til et mere permanent opholdsgrundlag og gradvist bevæge sig væk fra midlertidig beskyttelse</w:t>
      </w:r>
    </w:p>
    <w:p w14:paraId="1FFE10B5" w14:textId="77777777" w:rsidR="00642D30" w:rsidRPr="00A6689B" w:rsidRDefault="00642D30" w:rsidP="00642D30">
      <w:pPr>
        <w:widowControl w:val="0"/>
        <w:numPr>
          <w:ilvl w:val="0"/>
          <w:numId w:val="33"/>
        </w:numPr>
        <w:overflowPunct w:val="0"/>
        <w:autoSpaceDE w:val="0"/>
        <w:autoSpaceDN w:val="0"/>
        <w:adjustRightInd w:val="0"/>
        <w:textAlignment w:val="baseline"/>
        <w:rPr>
          <w:bCs/>
          <w:iCs/>
        </w:rPr>
      </w:pPr>
      <w:r>
        <w:t>påpeger, at omstændighederne i forbindelse med ukrainernes ankomst til EU har øget presset på medlemsstaternes offentlige tjenester, og understreger behovet for at øge investeringerne i tjenesteydelser af almen interesse af høj kvalitet, herunder boliger, der skal være tilgængelige på lige betingelser for alle, der opholder sig lovligt i EU</w:t>
      </w:r>
    </w:p>
    <w:p w14:paraId="70D3B8F5" w14:textId="77777777" w:rsidR="00642D30" w:rsidRPr="00A6689B" w:rsidRDefault="00642D30" w:rsidP="00642D30">
      <w:pPr>
        <w:widowControl w:val="0"/>
        <w:numPr>
          <w:ilvl w:val="0"/>
          <w:numId w:val="33"/>
        </w:numPr>
        <w:overflowPunct w:val="0"/>
        <w:autoSpaceDE w:val="0"/>
        <w:autoSpaceDN w:val="0"/>
        <w:adjustRightInd w:val="0"/>
        <w:textAlignment w:val="baseline"/>
      </w:pPr>
      <w:r>
        <w:t>bemærker, at der bør gøres en indsats for at sikre en vellykket integration af ukrainere i EU ved hjælp af sprogkurser, støtte til initiativer i lokalsamfundet, uddannelse af ukrainske børn i medlemsstaterne og bekæmpelse af desinformation og russiske efterretningsaktiviteter samt ved at inddrage dem i organisationer, der er aktive i deres lokalsamfund</w:t>
      </w:r>
    </w:p>
    <w:p w14:paraId="6F366C03" w14:textId="056B7A9B" w:rsidR="004503DC" w:rsidRPr="004503DC" w:rsidRDefault="00642D30" w:rsidP="00642D30">
      <w:pPr>
        <w:widowControl w:val="0"/>
        <w:numPr>
          <w:ilvl w:val="0"/>
          <w:numId w:val="33"/>
        </w:numPr>
        <w:overflowPunct w:val="0"/>
        <w:autoSpaceDE w:val="0"/>
        <w:autoSpaceDN w:val="0"/>
        <w:adjustRightInd w:val="0"/>
        <w:textAlignment w:val="baseline"/>
        <w:rPr>
          <w:szCs w:val="20"/>
        </w:rPr>
      </w:pPr>
      <w:r>
        <w:t>understreger betydningen af at skabe rimelige arbejdsvilkår for ukrainere, både i EU og i Ukraine - medlemsstaterne forventes at bekæmpe udnyttelse og ulige behandling af ukrainere på arbejdsmarkedet, mens den ukrainske regering forventes at genskabe gunstige vilkår for arbejdstagere og fagforeningsaktiviteter gennem dialog med arbejdsmarkedets parter</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0C28C241" w14:textId="77777777" w:rsidTr="00C201AB">
        <w:tc>
          <w:tcPr>
            <w:tcW w:w="1077" w:type="pct"/>
          </w:tcPr>
          <w:p w14:paraId="011666E9" w14:textId="77777777" w:rsidR="004503DC" w:rsidRPr="004503DC" w:rsidRDefault="004503DC" w:rsidP="004503DC">
            <w:pPr>
              <w:overflowPunct w:val="0"/>
              <w:autoSpaceDE w:val="0"/>
              <w:autoSpaceDN w:val="0"/>
              <w:adjustRightInd w:val="0"/>
              <w:textAlignment w:val="baseline"/>
              <w:rPr>
                <w:i/>
              </w:rPr>
            </w:pPr>
            <w:r>
              <w:rPr>
                <w:b/>
                <w:i/>
              </w:rPr>
              <w:t>Kontakt</w:t>
            </w:r>
          </w:p>
        </w:tc>
        <w:tc>
          <w:tcPr>
            <w:tcW w:w="3923" w:type="pct"/>
          </w:tcPr>
          <w:p w14:paraId="5376B5C9" w14:textId="1E39C147" w:rsidR="004503DC" w:rsidRPr="004503DC" w:rsidRDefault="004503DC" w:rsidP="004503DC">
            <w:pPr>
              <w:overflowPunct w:val="0"/>
              <w:autoSpaceDE w:val="0"/>
              <w:autoSpaceDN w:val="0"/>
              <w:adjustRightInd w:val="0"/>
              <w:textAlignment w:val="baseline"/>
              <w:rPr>
                <w:i/>
              </w:rPr>
            </w:pPr>
            <w:proofErr w:type="spellStart"/>
            <w:r>
              <w:rPr>
                <w:i/>
              </w:rPr>
              <w:t>Katarína</w:t>
            </w:r>
            <w:proofErr w:type="spellEnd"/>
            <w:r>
              <w:rPr>
                <w:i/>
              </w:rPr>
              <w:t xml:space="preserve"> </w:t>
            </w:r>
            <w:proofErr w:type="spellStart"/>
            <w:r>
              <w:rPr>
                <w:i/>
              </w:rPr>
              <w:t>Grzeszczyk</w:t>
            </w:r>
            <w:proofErr w:type="spellEnd"/>
            <w:r>
              <w:rPr>
                <w:i/>
              </w:rPr>
              <w:t xml:space="preserve"> </w:t>
            </w:r>
            <w:proofErr w:type="spellStart"/>
            <w:r>
              <w:rPr>
                <w:i/>
              </w:rPr>
              <w:t>Albrechtová</w:t>
            </w:r>
            <w:proofErr w:type="spellEnd"/>
          </w:p>
        </w:tc>
      </w:tr>
      <w:tr w:rsidR="004503DC" w:rsidRPr="004503DC" w14:paraId="3DF91CE1" w14:textId="77777777" w:rsidTr="00C201AB">
        <w:tc>
          <w:tcPr>
            <w:tcW w:w="1077" w:type="pct"/>
          </w:tcPr>
          <w:p w14:paraId="12B0FB94" w14:textId="77777777" w:rsidR="004503DC" w:rsidRPr="004503DC" w:rsidRDefault="004503DC" w:rsidP="004503DC">
            <w:pPr>
              <w:overflowPunct w:val="0"/>
              <w:autoSpaceDE w:val="0"/>
              <w:autoSpaceDN w:val="0"/>
              <w:adjustRightInd w:val="0"/>
              <w:textAlignment w:val="baseline"/>
              <w:rPr>
                <w:i/>
              </w:rPr>
            </w:pPr>
            <w:r>
              <w:rPr>
                <w:i/>
              </w:rPr>
              <w:t>Tlf.</w:t>
            </w:r>
          </w:p>
        </w:tc>
        <w:tc>
          <w:tcPr>
            <w:tcW w:w="3923" w:type="pct"/>
          </w:tcPr>
          <w:p w14:paraId="2AB00694" w14:textId="31FFC65D" w:rsidR="004503DC" w:rsidRPr="004503DC" w:rsidRDefault="00642D30" w:rsidP="004503DC">
            <w:pPr>
              <w:overflowPunct w:val="0"/>
              <w:autoSpaceDE w:val="0"/>
              <w:autoSpaceDN w:val="0"/>
              <w:adjustRightInd w:val="0"/>
              <w:textAlignment w:val="baseline"/>
              <w:rPr>
                <w:i/>
              </w:rPr>
            </w:pPr>
            <w:r w:rsidRPr="00642D30">
              <w:rPr>
                <w:i/>
              </w:rPr>
              <w:t>00 32 2 546 94 60</w:t>
            </w:r>
          </w:p>
        </w:tc>
      </w:tr>
      <w:tr w:rsidR="004503DC" w:rsidRPr="004503DC" w14:paraId="704DFCB6" w14:textId="77777777" w:rsidTr="00C201AB">
        <w:tc>
          <w:tcPr>
            <w:tcW w:w="1077" w:type="pct"/>
          </w:tcPr>
          <w:p w14:paraId="18D5B7A9" w14:textId="77777777" w:rsidR="004503DC" w:rsidRPr="004503DC" w:rsidRDefault="004503DC" w:rsidP="004503DC">
            <w:pPr>
              <w:overflowPunct w:val="0"/>
              <w:autoSpaceDE w:val="0"/>
              <w:autoSpaceDN w:val="0"/>
              <w:adjustRightInd w:val="0"/>
              <w:textAlignment w:val="baseline"/>
              <w:rPr>
                <w:i/>
              </w:rPr>
            </w:pPr>
            <w:r>
              <w:rPr>
                <w:i/>
              </w:rPr>
              <w:t>E-mail</w:t>
            </w:r>
          </w:p>
        </w:tc>
        <w:tc>
          <w:tcPr>
            <w:tcW w:w="3923" w:type="pct"/>
          </w:tcPr>
          <w:p w14:paraId="59F392A7" w14:textId="77777777" w:rsidR="004503DC" w:rsidRPr="004503DC" w:rsidRDefault="00300901" w:rsidP="004503DC">
            <w:pPr>
              <w:overflowPunct w:val="0"/>
              <w:autoSpaceDE w:val="0"/>
              <w:autoSpaceDN w:val="0"/>
              <w:adjustRightInd w:val="0"/>
              <w:textAlignment w:val="baseline"/>
              <w:rPr>
                <w:i/>
              </w:rPr>
            </w:pPr>
            <w:hyperlink r:id="rId50" w:history="1">
              <w:r w:rsidR="00797C5C">
                <w:rPr>
                  <w:i/>
                  <w:color w:val="0000FF"/>
                  <w:u w:val="single"/>
                </w:rPr>
                <w:t>Katarina.Albrechtova@eesc.europa.eu</w:t>
              </w:r>
            </w:hyperlink>
            <w:r w:rsidR="00797C5C">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4464305F" w14:textId="38E0F292" w:rsidR="004503DC" w:rsidRDefault="004503DC">
      <w:pPr>
        <w:spacing w:after="160" w:line="259" w:lineRule="auto"/>
        <w:jc w:val="left"/>
      </w:pPr>
    </w:p>
    <w:p w14:paraId="28C69286" w14:textId="77777777" w:rsidR="004503DC" w:rsidRDefault="004503DC">
      <w:pPr>
        <w:spacing w:after="160" w:line="259" w:lineRule="auto"/>
        <w:jc w:val="left"/>
      </w:pPr>
      <w:r>
        <w:br w:type="page"/>
      </w:r>
    </w:p>
    <w:p w14:paraId="528C73AA" w14:textId="46DE726B" w:rsidR="006D2C8A" w:rsidRPr="006D2C8A" w:rsidRDefault="006D2C8A" w:rsidP="006D2C8A">
      <w:pPr>
        <w:pStyle w:val="Heading1"/>
        <w:rPr>
          <w:b/>
        </w:rPr>
      </w:pPr>
      <w:bookmarkStart w:id="16" w:name="_Toc216967789"/>
      <w:r>
        <w:rPr>
          <w:b/>
          <w:color w:val="222A35" w:themeColor="text2" w:themeShade="80"/>
        </w:rPr>
        <w:lastRenderedPageBreak/>
        <w:t>DEN RÅDGIVENDE KOMMISSION FOR INDUSTRIELLE ÆNDRINGER</w:t>
      </w:r>
      <w:bookmarkEnd w:id="16"/>
    </w:p>
    <w:p w14:paraId="713E272F" w14:textId="77777777" w:rsidR="006D2C8A" w:rsidRDefault="006D2C8A" w:rsidP="006D2C8A"/>
    <w:p w14:paraId="7383D97E" w14:textId="2009A9D6" w:rsidR="00ED76AC" w:rsidRPr="00DB0977" w:rsidRDefault="00300901" w:rsidP="00ED76AC">
      <w:pPr>
        <w:widowControl w:val="0"/>
        <w:numPr>
          <w:ilvl w:val="0"/>
          <w:numId w:val="16"/>
        </w:numPr>
        <w:overflowPunct w:val="0"/>
        <w:autoSpaceDE w:val="0"/>
        <w:autoSpaceDN w:val="0"/>
        <w:adjustRightInd w:val="0"/>
        <w:ind w:hanging="567"/>
        <w:rPr>
          <w:sz w:val="28"/>
          <w:szCs w:val="28"/>
        </w:rPr>
      </w:pPr>
      <w:hyperlink r:id="rId51" w:history="1">
        <w:r w:rsidR="00DA2E9E">
          <w:rPr>
            <w:rStyle w:val="Hyperlink"/>
            <w:b/>
            <w:i/>
            <w:sz w:val="28"/>
          </w:rPr>
          <w:t>Fremme af vedvarende materialers potentiale i EU's cirkulære økonomi</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bCs/>
              </w:rPr>
              <w:t>Ordfører</w:t>
            </w:r>
          </w:p>
        </w:tc>
        <w:tc>
          <w:tcPr>
            <w:tcW w:w="3923" w:type="pct"/>
            <w:hideMark/>
          </w:tcPr>
          <w:p w14:paraId="51B8EA45" w14:textId="3F5F2F5D" w:rsidR="00ED76AC" w:rsidRPr="00ED76AC" w:rsidRDefault="00ED76AC" w:rsidP="00ED76AC">
            <w:pPr>
              <w:tabs>
                <w:tab w:val="center" w:pos="284"/>
              </w:tabs>
              <w:overflowPunct w:val="0"/>
              <w:autoSpaceDE w:val="0"/>
              <w:autoSpaceDN w:val="0"/>
              <w:adjustRightInd w:val="0"/>
              <w:ind w:left="266" w:right="-3091" w:hanging="266"/>
            </w:pPr>
            <w:r>
              <w:t xml:space="preserve">Andrea </w:t>
            </w:r>
            <w:r w:rsidR="00DA2E9E">
              <w:t xml:space="preserve">Mone </w:t>
            </w:r>
            <w:r>
              <w:t>(</w:t>
            </w:r>
            <w:r w:rsidR="00DA2E9E" w:rsidRPr="00DA2E9E">
              <w:t>Arbejdstagergruppen – IT</w:t>
            </w:r>
            <w:r>
              <w:t>)</w:t>
            </w:r>
          </w:p>
        </w:tc>
      </w:tr>
      <w:tr w:rsidR="00ED76AC" w:rsidRPr="00ED76AC" w14:paraId="21F71A9D" w14:textId="77777777">
        <w:tc>
          <w:tcPr>
            <w:tcW w:w="1077" w:type="pct"/>
            <w:hideMark/>
          </w:tcPr>
          <w:p w14:paraId="2C3FD6D4" w14:textId="29E22EB7" w:rsidR="00ED76AC" w:rsidRPr="00ED76AC" w:rsidRDefault="00DA2E9E" w:rsidP="00ED76AC">
            <w:pPr>
              <w:tabs>
                <w:tab w:val="center" w:pos="284"/>
              </w:tabs>
              <w:overflowPunct w:val="0"/>
              <w:autoSpaceDE w:val="0"/>
              <w:autoSpaceDN w:val="0"/>
              <w:adjustRightInd w:val="0"/>
              <w:ind w:left="266" w:hanging="266"/>
              <w:rPr>
                <w:b/>
              </w:rPr>
            </w:pPr>
            <w:r>
              <w:rPr>
                <w:b/>
              </w:rPr>
              <w:t>Medordfører</w:t>
            </w:r>
          </w:p>
        </w:tc>
        <w:tc>
          <w:tcPr>
            <w:tcW w:w="3923" w:type="pct"/>
            <w:hideMark/>
          </w:tcPr>
          <w:p w14:paraId="1CE8569E" w14:textId="24F45762" w:rsidR="00ED76AC" w:rsidRDefault="00ED76AC" w:rsidP="00ED76AC">
            <w:pPr>
              <w:tabs>
                <w:tab w:val="center" w:pos="284"/>
              </w:tabs>
              <w:overflowPunct w:val="0"/>
              <w:autoSpaceDE w:val="0"/>
              <w:autoSpaceDN w:val="0"/>
              <w:adjustRightInd w:val="0"/>
              <w:ind w:left="266" w:right="-3091" w:hanging="266"/>
            </w:pPr>
            <w:r>
              <w:t xml:space="preserve">Michal </w:t>
            </w:r>
            <w:proofErr w:type="spellStart"/>
            <w:r w:rsidR="00DA2E9E">
              <w:t>Pintér</w:t>
            </w:r>
            <w:proofErr w:type="spellEnd"/>
            <w:r w:rsidR="00DA2E9E">
              <w:t xml:space="preserve"> </w:t>
            </w:r>
            <w:r>
              <w:t>(</w:t>
            </w:r>
            <w:r w:rsidR="00DA2E9E" w:rsidRPr="00DA2E9E">
              <w:t>Arbejdsgivergruppen – SK</w:t>
            </w:r>
            <w:r>
              <w:t>)</w:t>
            </w:r>
          </w:p>
          <w:p w14:paraId="28215643" w14:textId="77777777" w:rsidR="00707689" w:rsidRPr="00ED76AC" w:rsidRDefault="00707689" w:rsidP="00DA2E9E">
            <w:pPr>
              <w:tabs>
                <w:tab w:val="center" w:pos="284"/>
              </w:tabs>
              <w:overflowPunct w:val="0"/>
              <w:autoSpaceDE w:val="0"/>
              <w:autoSpaceDN w:val="0"/>
              <w:adjustRightInd w:val="0"/>
              <w:spacing w:line="240" w:lineRule="auto"/>
              <w:ind w:left="266" w:right="-3091" w:hanging="266"/>
            </w:pPr>
          </w:p>
        </w:tc>
      </w:tr>
      <w:tr w:rsidR="00ED76AC" w:rsidRPr="00ED76AC" w14:paraId="19833206" w14:textId="77777777">
        <w:tc>
          <w:tcPr>
            <w:tcW w:w="1077" w:type="pct"/>
            <w:hideMark/>
          </w:tcPr>
          <w:p w14:paraId="1FC4BD72" w14:textId="77777777" w:rsidR="00ED76AC" w:rsidRPr="00ED76AC" w:rsidRDefault="00ED76AC" w:rsidP="00ED76AC">
            <w:pPr>
              <w:tabs>
                <w:tab w:val="center" w:pos="284"/>
              </w:tabs>
              <w:overflowPunct w:val="0"/>
              <w:autoSpaceDE w:val="0"/>
              <w:autoSpaceDN w:val="0"/>
              <w:adjustRightInd w:val="0"/>
              <w:ind w:left="266" w:hanging="266"/>
              <w:rPr>
                <w:b/>
              </w:rPr>
            </w:pPr>
            <w:r>
              <w:rPr>
                <w:b/>
              </w:rPr>
              <w:t>Ref.</w:t>
            </w:r>
          </w:p>
        </w:tc>
        <w:tc>
          <w:tcPr>
            <w:tcW w:w="3923" w:type="pct"/>
            <w:hideMark/>
          </w:tcPr>
          <w:p w14:paraId="340633E9" w14:textId="6C6E3F12" w:rsidR="00707689" w:rsidRDefault="00DA2E9E" w:rsidP="00ED76AC">
            <w:pPr>
              <w:tabs>
                <w:tab w:val="center" w:pos="284"/>
              </w:tabs>
              <w:overflowPunct w:val="0"/>
              <w:autoSpaceDE w:val="0"/>
              <w:autoSpaceDN w:val="0"/>
              <w:adjustRightInd w:val="0"/>
              <w:ind w:left="266" w:right="-3091" w:hanging="266"/>
            </w:pPr>
            <w:r>
              <w:t>Initiativudtalelse</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DA2E9E">
      <w:pPr>
        <w:tabs>
          <w:tab w:val="center" w:pos="284"/>
        </w:tabs>
        <w:overflowPunct w:val="0"/>
        <w:autoSpaceDE w:val="0"/>
        <w:autoSpaceDN w:val="0"/>
        <w:adjustRightInd w:val="0"/>
        <w:spacing w:line="240" w:lineRule="auto"/>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Hovedpunkter</w:t>
      </w:r>
    </w:p>
    <w:p w14:paraId="2370EF24" w14:textId="77777777" w:rsidR="00ED76AC" w:rsidRPr="00ED76AC" w:rsidRDefault="00ED76AC" w:rsidP="00DA2E9E">
      <w:pPr>
        <w:keepNext/>
        <w:keepLines/>
        <w:tabs>
          <w:tab w:val="center" w:pos="284"/>
        </w:tabs>
        <w:overflowPunct w:val="0"/>
        <w:autoSpaceDE w:val="0"/>
        <w:autoSpaceDN w:val="0"/>
        <w:adjustRightInd w:val="0"/>
        <w:spacing w:line="240" w:lineRule="auto"/>
        <w:ind w:left="266" w:hanging="266"/>
        <w:rPr>
          <w:b/>
          <w:lang w:val="en-GB"/>
        </w:rPr>
      </w:pPr>
    </w:p>
    <w:p w14:paraId="54DEA0E1" w14:textId="77777777" w:rsidR="00DA2E9E" w:rsidRPr="00A6689B" w:rsidRDefault="00ED76AC" w:rsidP="00DA2E9E">
      <w:pPr>
        <w:rPr>
          <w:bCs/>
          <w:iCs/>
        </w:rPr>
      </w:pPr>
      <w:r>
        <w:t>EØSU:</w:t>
      </w:r>
    </w:p>
    <w:p w14:paraId="7BCEB4B9" w14:textId="77777777"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anerkender den afgørende rolle, som vedvarende materialer spiller</w:t>
      </w:r>
      <w:r>
        <w:rPr>
          <w:sz w:val="22"/>
        </w:rPr>
        <w:t xml:space="preserve"> med hensyn til at muliggøre en reel cirkulær økonomi, særligt inden for emballage, og opfordrer til, at </w:t>
      </w:r>
      <w:r>
        <w:rPr>
          <w:b/>
          <w:sz w:val="22"/>
        </w:rPr>
        <w:t>de udtrykkeligt anerkendes i EU-lovgivningen</w:t>
      </w:r>
    </w:p>
    <w:p w14:paraId="43F80702" w14:textId="77777777"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støtter EU's ambition om at nå målet om 90 % særskilt indsamling af affald senest i 2030</w:t>
      </w:r>
      <w:r>
        <w:rPr>
          <w:sz w:val="22"/>
        </w:rPr>
        <w:t xml:space="preserve"> og understreger, at avancerede og velfinansierede systemer for indsamling, sortering og genanvendelse af høj kvalitet er afgørende for at maksimere bevarelsen af materialer af høj kvalitet og muliggøre genanvendelse af vedvarende materialer i lukkede kredsløb</w:t>
      </w:r>
    </w:p>
    <w:p w14:paraId="1D319D7D" w14:textId="77777777"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opfordrer til at styrke og harmonisere ordningerne for udvidet producentansvar</w:t>
      </w:r>
      <w:r>
        <w:rPr>
          <w:sz w:val="22"/>
        </w:rPr>
        <w:t xml:space="preserve"> på tværs af medlemsstaterne. Det omfatter håndhævelse af </w:t>
      </w:r>
      <w:r>
        <w:rPr>
          <w:b/>
          <w:sz w:val="22"/>
        </w:rPr>
        <w:t>miljøgraduerede gebyrer på grundlag af gennemsigtige og konsekvente kriterier</w:t>
      </w:r>
      <w:r>
        <w:rPr>
          <w:sz w:val="22"/>
        </w:rPr>
        <w:t xml:space="preserve">, forholdsmæssige gebyrstrukturer og </w:t>
      </w:r>
      <w:r>
        <w:rPr>
          <w:b/>
          <w:sz w:val="22"/>
        </w:rPr>
        <w:t>øremærkning af indtægter fra udvidet producentansvar</w:t>
      </w:r>
      <w:r>
        <w:rPr>
          <w:sz w:val="22"/>
        </w:rPr>
        <w:t xml:space="preserve"> til geninvestering i den samme materialestrøm</w:t>
      </w:r>
    </w:p>
    <w:p w14:paraId="13737C03" w14:textId="77777777"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bemærker behovet for at prioritere investeringer</w:t>
      </w:r>
      <w:r>
        <w:rPr>
          <w:sz w:val="22"/>
        </w:rPr>
        <w:t xml:space="preserve"> i moderne infrastruktur til særskilt indsamling, sortering og genanvendelse af emballageaffald. Udvalget understreger, at </w:t>
      </w:r>
      <w:r>
        <w:rPr>
          <w:b/>
          <w:sz w:val="22"/>
        </w:rPr>
        <w:t>yderligere støtte bør have fokus på regioner, der halter bagud eller har lavere investeringskapacitet</w:t>
      </w:r>
      <w:r>
        <w:rPr>
          <w:sz w:val="22"/>
        </w:rPr>
        <w:t>, for at sikre, at alle medlemsstater kan nå målene for den cirkulære økonomi</w:t>
      </w:r>
    </w:p>
    <w:p w14:paraId="50692A06" w14:textId="77777777"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anbefaler en omfattende EU-dækkende vurdering af borgernes genanvendelsesadfærd</w:t>
      </w:r>
      <w:r>
        <w:rPr>
          <w:sz w:val="22"/>
        </w:rPr>
        <w:t xml:space="preserve"> for at identificere mangler, hindringer og bedste praksis. EØSU opfordrer til, at der på grundlag af denne vurdering fastlægges foranstaltninger til at øge forbrugernes deltagelse i særskilt indsamling af emballageaffald i anerkendelse af, at husholdningernes sortering er det vigtigste første skridt i en effektiv genanvendelse</w:t>
      </w:r>
    </w:p>
    <w:p w14:paraId="6D7E0517" w14:textId="43A08783" w:rsidR="00DA2E9E" w:rsidRPr="00DA2E9E"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understreger betydningen af en socialt bæredygtig omstilling</w:t>
      </w:r>
      <w:r>
        <w:rPr>
          <w:sz w:val="22"/>
        </w:rPr>
        <w:t xml:space="preserve"> til en cirkulær økonomi, og opfordrer indtrængende til tidlig foregribelse af indvirkningen på arbejdsmarkedet. Udvalget efterlyser garanteret adgang </w:t>
      </w:r>
      <w:r>
        <w:rPr>
          <w:b/>
          <w:sz w:val="22"/>
        </w:rPr>
        <w:t>til opkvalificerings- og omskolingsmuligheder</w:t>
      </w:r>
      <w:r>
        <w:rPr>
          <w:sz w:val="22"/>
        </w:rPr>
        <w:t xml:space="preserve"> for at støtte gnidningsløse </w:t>
      </w:r>
      <w:proofErr w:type="spellStart"/>
      <w:r>
        <w:rPr>
          <w:sz w:val="22"/>
        </w:rPr>
        <w:t>jobskift</w:t>
      </w:r>
      <w:proofErr w:type="spellEnd"/>
      <w:r>
        <w:rPr>
          <w:sz w:val="22"/>
        </w:rPr>
        <w:t xml:space="preserve"> med henblik på at sikre, at arbejdstagerne kan deltage fuldt ud i og drage fuld fordel af den cirkulære økonomi under udvikling</w:t>
      </w:r>
    </w:p>
    <w:p w14:paraId="007B96EB" w14:textId="5D88D92A" w:rsidR="00DA2E9E" w:rsidRPr="001D3475" w:rsidRDefault="00DA2E9E" w:rsidP="00DA2E9E">
      <w:pPr>
        <w:pStyle w:val="NormalWeb"/>
        <w:numPr>
          <w:ilvl w:val="0"/>
          <w:numId w:val="43"/>
        </w:numPr>
        <w:spacing w:before="0" w:beforeAutospacing="0" w:after="0" w:afterAutospacing="0" w:line="281" w:lineRule="auto"/>
        <w:ind w:left="641" w:hanging="357"/>
        <w:jc w:val="both"/>
        <w:rPr>
          <w:sz w:val="22"/>
          <w:szCs w:val="22"/>
        </w:rPr>
      </w:pPr>
      <w:r>
        <w:rPr>
          <w:b/>
          <w:sz w:val="22"/>
        </w:rPr>
        <w:t>slår til lyd for stærkere social dialog og kollektive overenskomstforhandlinger på alle niveauer</w:t>
      </w:r>
      <w:r>
        <w:rPr>
          <w:sz w:val="22"/>
        </w:rPr>
        <w:t>, herunder internt i virksomheder, for at sikre, at arbejdstagerne informeres, høres og inddrages i omstillingen til cirkulære forretningsmodeller.</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Kontakt</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 xml:space="preserve">Adam </w:t>
            </w:r>
            <w:proofErr w:type="spellStart"/>
            <w:r>
              <w:rPr>
                <w:i/>
              </w:rPr>
              <w:t>Dorywalski</w:t>
            </w:r>
            <w:proofErr w:type="spellEnd"/>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Tlf.</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E-mail</w:t>
            </w:r>
          </w:p>
        </w:tc>
        <w:tc>
          <w:tcPr>
            <w:tcW w:w="3923" w:type="pct"/>
            <w:hideMark/>
          </w:tcPr>
          <w:p w14:paraId="6BD8C4E6" w14:textId="77777777" w:rsidR="00ED76AC" w:rsidRPr="00ED76AC" w:rsidRDefault="00300901" w:rsidP="00ED76AC">
            <w:pPr>
              <w:overflowPunct w:val="0"/>
              <w:autoSpaceDE w:val="0"/>
              <w:autoSpaceDN w:val="0"/>
              <w:adjustRightInd w:val="0"/>
              <w:rPr>
                <w:i/>
              </w:rPr>
            </w:pPr>
            <w:hyperlink r:id="rId52" w:history="1">
              <w:r w:rsidR="00797C5C">
                <w:rPr>
                  <w:i/>
                  <w:color w:val="0000FF"/>
                  <w:u w:val="single"/>
                </w:rPr>
                <w:t>Adam.Dorywalski@eesc.europa.eu</w:t>
              </w:r>
            </w:hyperlink>
          </w:p>
        </w:tc>
      </w:tr>
    </w:tbl>
    <w:p w14:paraId="1D4DBE8E" w14:textId="77777777" w:rsidR="00ED76AC" w:rsidRDefault="00ED76AC">
      <w:pPr>
        <w:spacing w:after="160" w:line="259" w:lineRule="auto"/>
        <w:jc w:val="left"/>
      </w:pPr>
      <w:r>
        <w:br w:type="page"/>
      </w:r>
    </w:p>
    <w:p w14:paraId="1EC58FCD" w14:textId="7D7DDC9D" w:rsidR="009F1AE3" w:rsidRPr="00DB0977" w:rsidRDefault="00300901" w:rsidP="009F1AE3">
      <w:pPr>
        <w:widowControl w:val="0"/>
        <w:numPr>
          <w:ilvl w:val="0"/>
          <w:numId w:val="4"/>
        </w:numPr>
        <w:overflowPunct w:val="0"/>
        <w:autoSpaceDE w:val="0"/>
        <w:autoSpaceDN w:val="0"/>
        <w:adjustRightInd w:val="0"/>
        <w:ind w:hanging="567"/>
        <w:textAlignment w:val="baseline"/>
        <w:rPr>
          <w:sz w:val="28"/>
          <w:szCs w:val="28"/>
        </w:rPr>
      </w:pPr>
      <w:hyperlink r:id="rId53" w:history="1">
        <w:r w:rsidR="00D64D94">
          <w:rPr>
            <w:b/>
            <w:i/>
            <w:color w:val="0000FF"/>
            <w:sz w:val="28"/>
            <w:u w:val="single"/>
          </w:rPr>
          <w:t>Industrielle kooperativer: et værktøj til håndtering af udfordringen med inklusiv og bæredygtig konkurrenceevne</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bCs/>
              </w:rPr>
              <w:t>Ordfører</w:t>
            </w:r>
          </w:p>
        </w:tc>
        <w:tc>
          <w:tcPr>
            <w:tcW w:w="3923" w:type="pct"/>
          </w:tcPr>
          <w:p w14:paraId="1A4CBD2C" w14:textId="1B6CA6B4" w:rsidR="009F1AE3" w:rsidRPr="009F1AE3" w:rsidRDefault="009F1AE3" w:rsidP="009F1AE3">
            <w:pPr>
              <w:tabs>
                <w:tab w:val="center" w:pos="284"/>
              </w:tabs>
              <w:overflowPunct w:val="0"/>
              <w:autoSpaceDE w:val="0"/>
              <w:autoSpaceDN w:val="0"/>
              <w:adjustRightInd w:val="0"/>
              <w:ind w:left="266" w:right="-3091" w:hanging="266"/>
              <w:textAlignment w:val="baseline"/>
            </w:pPr>
            <w:r>
              <w:t xml:space="preserve">Giuseppe </w:t>
            </w:r>
            <w:proofErr w:type="spellStart"/>
            <w:r w:rsidR="00D64D94">
              <w:t>Guerini</w:t>
            </w:r>
            <w:proofErr w:type="spellEnd"/>
            <w:r w:rsidR="00D64D94">
              <w:t xml:space="preserve"> </w:t>
            </w:r>
            <w:r>
              <w:t>(</w:t>
            </w:r>
            <w:r w:rsidR="00D64D94" w:rsidRPr="00D64D94">
              <w:t>Gruppen af civilsamfundsorganisationer – IT</w:t>
            </w:r>
            <w:r>
              <w:t>)</w:t>
            </w:r>
          </w:p>
        </w:tc>
      </w:tr>
      <w:tr w:rsidR="009F1AE3" w:rsidRPr="009F1AE3" w14:paraId="33F2C2EB" w14:textId="77777777" w:rsidTr="007C5DD5">
        <w:tc>
          <w:tcPr>
            <w:tcW w:w="1077" w:type="pct"/>
          </w:tcPr>
          <w:p w14:paraId="1F1A83E5" w14:textId="6DB5EBEB" w:rsidR="009F1AE3" w:rsidRPr="009F1AE3" w:rsidRDefault="00D64D94" w:rsidP="009F1AE3">
            <w:pPr>
              <w:tabs>
                <w:tab w:val="center" w:pos="284"/>
              </w:tabs>
              <w:overflowPunct w:val="0"/>
              <w:autoSpaceDE w:val="0"/>
              <w:autoSpaceDN w:val="0"/>
              <w:adjustRightInd w:val="0"/>
              <w:ind w:left="266" w:hanging="266"/>
              <w:textAlignment w:val="baseline"/>
              <w:rPr>
                <w:b/>
              </w:rPr>
            </w:pPr>
            <w:r>
              <w:rPr>
                <w:b/>
              </w:rPr>
              <w:t>Medordfører</w:t>
            </w:r>
          </w:p>
        </w:tc>
        <w:tc>
          <w:tcPr>
            <w:tcW w:w="3923" w:type="pct"/>
          </w:tcPr>
          <w:p w14:paraId="33B4BB5B" w14:textId="37EA75C5" w:rsidR="009F1AE3" w:rsidRDefault="009F1AE3" w:rsidP="009F1AE3">
            <w:pPr>
              <w:tabs>
                <w:tab w:val="center" w:pos="284"/>
              </w:tabs>
              <w:overflowPunct w:val="0"/>
              <w:autoSpaceDE w:val="0"/>
              <w:autoSpaceDN w:val="0"/>
              <w:adjustRightInd w:val="0"/>
              <w:ind w:left="266" w:right="-3091" w:hanging="266"/>
              <w:textAlignment w:val="baseline"/>
            </w:pPr>
            <w:r>
              <w:t xml:space="preserve">Michal </w:t>
            </w:r>
            <w:proofErr w:type="spellStart"/>
            <w:r w:rsidR="00D64D94">
              <w:t>Pintér</w:t>
            </w:r>
            <w:proofErr w:type="spellEnd"/>
            <w:r w:rsidR="00D64D94">
              <w:t xml:space="preserve"> </w:t>
            </w:r>
            <w:r>
              <w:t>(</w:t>
            </w:r>
            <w:r w:rsidR="00D64D94" w:rsidRPr="00D64D94">
              <w:t>Arbejdsgivergruppen – SK</w:t>
            </w:r>
            <w:r>
              <w:t>)</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Ref.</w:t>
            </w:r>
          </w:p>
        </w:tc>
        <w:tc>
          <w:tcPr>
            <w:tcW w:w="3923" w:type="pct"/>
          </w:tcPr>
          <w:p w14:paraId="0B0CF888" w14:textId="3BB3C935" w:rsidR="005A2512" w:rsidRDefault="00514509" w:rsidP="009F1AE3">
            <w:pPr>
              <w:tabs>
                <w:tab w:val="center" w:pos="284"/>
              </w:tabs>
              <w:overflowPunct w:val="0"/>
              <w:autoSpaceDE w:val="0"/>
              <w:autoSpaceDN w:val="0"/>
              <w:adjustRightInd w:val="0"/>
              <w:ind w:left="266" w:right="-3091" w:hanging="266"/>
              <w:textAlignment w:val="baseline"/>
            </w:pPr>
            <w:r>
              <w:t>Initiativudtalelse</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Hovedpunkter</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EØSU:</w:t>
      </w:r>
    </w:p>
    <w:p w14:paraId="483DA650" w14:textId="77777777" w:rsidR="00D64D94" w:rsidRDefault="00D64D94" w:rsidP="00D64D94">
      <w:pPr>
        <w:widowControl w:val="0"/>
        <w:numPr>
          <w:ilvl w:val="0"/>
          <w:numId w:val="35"/>
        </w:numPr>
        <w:overflowPunct w:val="0"/>
        <w:autoSpaceDE w:val="0"/>
        <w:autoSpaceDN w:val="0"/>
        <w:adjustRightInd w:val="0"/>
        <w:textAlignment w:val="baseline"/>
        <w:rPr>
          <w:bCs/>
          <w:iCs/>
        </w:rPr>
      </w:pPr>
      <w:r>
        <w:t>bemærker, at FN har udråbt 2025 til det internationale år for kooperativer med temaet "</w:t>
      </w:r>
      <w:proofErr w:type="spellStart"/>
      <w:r>
        <w:t>Cooperatives</w:t>
      </w:r>
      <w:proofErr w:type="spellEnd"/>
      <w:r>
        <w:t xml:space="preserve"> </w:t>
      </w:r>
      <w:proofErr w:type="spellStart"/>
      <w:r>
        <w:t>Build</w:t>
      </w:r>
      <w:proofErr w:type="spellEnd"/>
      <w:r>
        <w:t xml:space="preserve"> a </w:t>
      </w:r>
      <w:proofErr w:type="spellStart"/>
      <w:r>
        <w:t>Better</w:t>
      </w:r>
      <w:proofErr w:type="spellEnd"/>
      <w:r>
        <w:t xml:space="preserve"> World", hvilket afspejler den stigende internationale anerkendelse af den kooperative model på tværs af sektorer</w:t>
      </w:r>
    </w:p>
    <w:p w14:paraId="00222CB3" w14:textId="77777777" w:rsidR="00D64D94" w:rsidRDefault="00D64D94" w:rsidP="00D64D94">
      <w:pPr>
        <w:widowControl w:val="0"/>
        <w:numPr>
          <w:ilvl w:val="0"/>
          <w:numId w:val="35"/>
        </w:numPr>
        <w:overflowPunct w:val="0"/>
        <w:autoSpaceDE w:val="0"/>
        <w:autoSpaceDN w:val="0"/>
        <w:adjustRightInd w:val="0"/>
        <w:textAlignment w:val="baseline"/>
        <w:rPr>
          <w:bCs/>
          <w:iCs/>
        </w:rPr>
      </w:pPr>
      <w:r>
        <w:t>anbefaler, at man integrerer undervisning i kooperative virksomheder i de generelle iværksætteri- og erhvervsuddannelser, herunder oplysningsaktiviteter for finansielle institutioner og muligheder inden for rammerne af Erasmus+</w:t>
      </w:r>
    </w:p>
    <w:p w14:paraId="3A197624" w14:textId="77777777" w:rsidR="00D64D94" w:rsidRPr="00277EB3" w:rsidRDefault="00D64D94" w:rsidP="00D64D94">
      <w:pPr>
        <w:widowControl w:val="0"/>
        <w:numPr>
          <w:ilvl w:val="0"/>
          <w:numId w:val="35"/>
        </w:numPr>
        <w:overflowPunct w:val="0"/>
        <w:autoSpaceDE w:val="0"/>
        <w:autoSpaceDN w:val="0"/>
        <w:adjustRightInd w:val="0"/>
        <w:textAlignment w:val="baseline"/>
        <w:rPr>
          <w:bCs/>
          <w:iCs/>
        </w:rPr>
      </w:pPr>
      <w:r>
        <w:t>mener, at kooperativer bør fremmes aktivt blandt startupvirksomheder og unge iværksættere</w:t>
      </w:r>
    </w:p>
    <w:p w14:paraId="7DD615DF" w14:textId="77777777" w:rsidR="00D64D94" w:rsidRPr="00277EB3" w:rsidRDefault="00D64D94" w:rsidP="00D64D94">
      <w:pPr>
        <w:widowControl w:val="0"/>
        <w:numPr>
          <w:ilvl w:val="0"/>
          <w:numId w:val="35"/>
        </w:numPr>
        <w:overflowPunct w:val="0"/>
        <w:autoSpaceDE w:val="0"/>
        <w:autoSpaceDN w:val="0"/>
        <w:adjustRightInd w:val="0"/>
        <w:textAlignment w:val="baseline"/>
        <w:rPr>
          <w:bCs/>
          <w:iCs/>
        </w:rPr>
      </w:pPr>
      <w:r>
        <w:t>opfordrer til, at industrielle kooperativer anerkendes som centrale økonomiske aktører og efterlyser målrettede finansielle incitamenter på EU-plan, nationalt og regionalt plan (skattelettelser, tilskud, finansiering med lav rente), der kan støtte industriel symbiose og cirkularitet</w:t>
      </w:r>
    </w:p>
    <w:p w14:paraId="19120F97" w14:textId="77777777" w:rsidR="00D64D94" w:rsidRPr="00277EB3" w:rsidRDefault="00D64D94" w:rsidP="00D64D94">
      <w:pPr>
        <w:widowControl w:val="0"/>
        <w:numPr>
          <w:ilvl w:val="0"/>
          <w:numId w:val="35"/>
        </w:numPr>
        <w:overflowPunct w:val="0"/>
        <w:autoSpaceDE w:val="0"/>
        <w:autoSpaceDN w:val="0"/>
        <w:adjustRightInd w:val="0"/>
        <w:textAlignment w:val="baseline"/>
        <w:rPr>
          <w:bCs/>
          <w:iCs/>
        </w:rPr>
      </w:pPr>
      <w:r>
        <w:t>tilskynder til investeringer i fælles industriparker, miljøindustrizoner og kooperative videndelingsplatforme, der kan styrke etableringen af kooperativer på lokalt plan og deres bæredygtige produktion</w:t>
      </w:r>
    </w:p>
    <w:p w14:paraId="64ECC5D5" w14:textId="77777777" w:rsidR="00D64D94" w:rsidRPr="00277EB3" w:rsidRDefault="00D64D94" w:rsidP="00D64D94">
      <w:pPr>
        <w:widowControl w:val="0"/>
        <w:numPr>
          <w:ilvl w:val="0"/>
          <w:numId w:val="35"/>
        </w:numPr>
        <w:overflowPunct w:val="0"/>
        <w:autoSpaceDE w:val="0"/>
        <w:autoSpaceDN w:val="0"/>
        <w:adjustRightInd w:val="0"/>
        <w:textAlignment w:val="baseline"/>
        <w:rPr>
          <w:bCs/>
          <w:iCs/>
        </w:rPr>
      </w:pPr>
      <w:r>
        <w:t>opfordrer indtrængende til, at der indarbejdes politiske foranstaltninger møntet på kooperativer i EU's samhørighedsprogrammer og regionale udviklingsstrategier. Initiativer, der ledes af kooperativer, bør prioriteres for at øge den regionale modstandsdygtighed og bæredygtighed</w:t>
      </w:r>
    </w:p>
    <w:p w14:paraId="6A6E5C23" w14:textId="77777777" w:rsidR="00D64D94" w:rsidRPr="00277EB3" w:rsidRDefault="00D64D94" w:rsidP="00D64D94">
      <w:pPr>
        <w:widowControl w:val="0"/>
        <w:numPr>
          <w:ilvl w:val="0"/>
          <w:numId w:val="35"/>
        </w:numPr>
        <w:overflowPunct w:val="0"/>
        <w:autoSpaceDE w:val="0"/>
        <w:autoSpaceDN w:val="0"/>
        <w:adjustRightInd w:val="0"/>
        <w:textAlignment w:val="baseline"/>
        <w:rPr>
          <w:bCs/>
          <w:iCs/>
        </w:rPr>
      </w:pPr>
      <w:r>
        <w:t>fremhæver den voksende strategiske betydning af datadrevne kooperativer og opfordrer EU og de nationale myndigheder til at støtte fælles initiativer til forvaltning og udveksling af industrielle data</w:t>
      </w:r>
    </w:p>
    <w:p w14:paraId="79564FBF" w14:textId="26D189CD" w:rsidR="009F1AE3" w:rsidRPr="009F1AE3" w:rsidRDefault="00D64D94" w:rsidP="00D64D94">
      <w:pPr>
        <w:widowControl w:val="0"/>
        <w:numPr>
          <w:ilvl w:val="0"/>
          <w:numId w:val="35"/>
        </w:numPr>
        <w:overflowPunct w:val="0"/>
        <w:autoSpaceDE w:val="0"/>
        <w:autoSpaceDN w:val="0"/>
        <w:adjustRightInd w:val="0"/>
        <w:textAlignment w:val="baseline"/>
        <w:rPr>
          <w:bCs/>
          <w:iCs/>
        </w:rPr>
      </w:pPr>
      <w:r>
        <w:t>understreger, at den kooperative model skaber en unik merværdi gennem demokratisk forvaltning, retfærdig fordeling af velstand, et stærkt engagement i lokalsamfundet og en stærk tilpasningsevne, der styrker EU's strategiske autonomi.</w:t>
      </w: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23DAFD40" w14:textId="77777777" w:rsidTr="007C5DD5">
        <w:tc>
          <w:tcPr>
            <w:tcW w:w="1077" w:type="pct"/>
          </w:tcPr>
          <w:p w14:paraId="4CF24E66" w14:textId="77777777" w:rsidR="009F1AE3" w:rsidRPr="009F1AE3" w:rsidRDefault="009F1AE3" w:rsidP="009F1AE3">
            <w:pPr>
              <w:overflowPunct w:val="0"/>
              <w:autoSpaceDE w:val="0"/>
              <w:autoSpaceDN w:val="0"/>
              <w:adjustRightInd w:val="0"/>
              <w:textAlignment w:val="baseline"/>
              <w:rPr>
                <w:i/>
              </w:rPr>
            </w:pPr>
            <w:r>
              <w:rPr>
                <w:b/>
                <w:i/>
              </w:rPr>
              <w:t>Kontakt</w:t>
            </w:r>
          </w:p>
        </w:tc>
        <w:tc>
          <w:tcPr>
            <w:tcW w:w="3923" w:type="pct"/>
          </w:tcPr>
          <w:p w14:paraId="06B68A0E" w14:textId="546486E8" w:rsidR="009F1AE3" w:rsidRPr="009F1AE3" w:rsidRDefault="009F1AE3" w:rsidP="009F1AE3">
            <w:pPr>
              <w:overflowPunct w:val="0"/>
              <w:autoSpaceDE w:val="0"/>
              <w:autoSpaceDN w:val="0"/>
              <w:adjustRightInd w:val="0"/>
              <w:textAlignment w:val="baseline"/>
              <w:rPr>
                <w:i/>
              </w:rPr>
            </w:pPr>
            <w:r>
              <w:rPr>
                <w:i/>
              </w:rPr>
              <w:t xml:space="preserve">Adam </w:t>
            </w:r>
            <w:proofErr w:type="spellStart"/>
            <w:r>
              <w:rPr>
                <w:i/>
              </w:rPr>
              <w:t>Dorywalski</w:t>
            </w:r>
            <w:proofErr w:type="spellEnd"/>
          </w:p>
        </w:tc>
      </w:tr>
      <w:tr w:rsidR="009F1AE3" w:rsidRPr="009F1AE3" w14:paraId="7AF1CC27" w14:textId="77777777" w:rsidTr="007C5DD5">
        <w:tc>
          <w:tcPr>
            <w:tcW w:w="1077" w:type="pct"/>
          </w:tcPr>
          <w:p w14:paraId="233242A3" w14:textId="77777777" w:rsidR="009F1AE3" w:rsidRPr="009F1AE3" w:rsidRDefault="009F1AE3" w:rsidP="009F1AE3">
            <w:pPr>
              <w:overflowPunct w:val="0"/>
              <w:autoSpaceDE w:val="0"/>
              <w:autoSpaceDN w:val="0"/>
              <w:adjustRightInd w:val="0"/>
              <w:textAlignment w:val="baseline"/>
              <w:rPr>
                <w:i/>
              </w:rPr>
            </w:pPr>
            <w:r>
              <w:rPr>
                <w:i/>
              </w:rPr>
              <w:t>Tlf.</w:t>
            </w:r>
          </w:p>
        </w:tc>
        <w:tc>
          <w:tcPr>
            <w:tcW w:w="3923" w:type="pct"/>
          </w:tcPr>
          <w:p w14:paraId="5A333E81" w14:textId="57587EA1" w:rsidR="009F1AE3" w:rsidRPr="009F1AE3" w:rsidRDefault="00D64D94" w:rsidP="009F1AE3">
            <w:pPr>
              <w:overflowPunct w:val="0"/>
              <w:autoSpaceDE w:val="0"/>
              <w:autoSpaceDN w:val="0"/>
              <w:adjustRightInd w:val="0"/>
              <w:textAlignment w:val="baseline"/>
              <w:rPr>
                <w:i/>
              </w:rPr>
            </w:pPr>
            <w:r w:rsidRPr="00D64D94">
              <w:rPr>
                <w:i/>
              </w:rPr>
              <w:t>00 32 2 546 93 97</w:t>
            </w:r>
          </w:p>
        </w:tc>
      </w:tr>
      <w:tr w:rsidR="009F1AE3" w:rsidRPr="009F1AE3" w14:paraId="7ABF5273" w14:textId="77777777" w:rsidTr="007C5DD5">
        <w:tc>
          <w:tcPr>
            <w:tcW w:w="1077" w:type="pct"/>
          </w:tcPr>
          <w:p w14:paraId="2931E696" w14:textId="77777777" w:rsidR="009F1AE3" w:rsidRPr="009F1AE3" w:rsidRDefault="009F1AE3" w:rsidP="009F1AE3">
            <w:pPr>
              <w:overflowPunct w:val="0"/>
              <w:autoSpaceDE w:val="0"/>
              <w:autoSpaceDN w:val="0"/>
              <w:adjustRightInd w:val="0"/>
              <w:textAlignment w:val="baseline"/>
              <w:rPr>
                <w:i/>
              </w:rPr>
            </w:pPr>
            <w:r>
              <w:rPr>
                <w:i/>
              </w:rPr>
              <w:t>E-mail</w:t>
            </w:r>
          </w:p>
        </w:tc>
        <w:tc>
          <w:tcPr>
            <w:tcW w:w="3923" w:type="pct"/>
          </w:tcPr>
          <w:p w14:paraId="7A67CA0D" w14:textId="77777777" w:rsidR="009F1AE3" w:rsidRPr="009F1AE3" w:rsidRDefault="00300901" w:rsidP="009F1AE3">
            <w:pPr>
              <w:overflowPunct w:val="0"/>
              <w:autoSpaceDE w:val="0"/>
              <w:autoSpaceDN w:val="0"/>
              <w:adjustRightInd w:val="0"/>
              <w:textAlignment w:val="baseline"/>
              <w:rPr>
                <w:i/>
              </w:rPr>
            </w:pPr>
            <w:hyperlink r:id="rId54" w:history="1">
              <w:r w:rsidR="00797C5C">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CAE4" w14:textId="77777777" w:rsidR="00797C5C" w:rsidRDefault="00797C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300901">
      <w:fldChar w:fldCharType="begin"/>
    </w:r>
    <w:r w:rsidR="00300901">
      <w:instrText xml:space="preserve"> NUMPAGES </w:instrText>
    </w:r>
    <w:r w:rsidR="00300901">
      <w:fldChar w:fldCharType="separate"/>
    </w:r>
    <w:r w:rsidR="008541DE">
      <w:t>1</w:t>
    </w:r>
    <w:r w:rsidR="0030090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ED104" w14:textId="77777777" w:rsidR="00797C5C" w:rsidRDefault="00797C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300901">
      <w:fldChar w:fldCharType="begin"/>
    </w:r>
    <w:r w:rsidR="00300901">
      <w:instrText xml:space="preserve"> NUMPAGES </w:instrText>
    </w:r>
    <w:r w:rsidR="00300901">
      <w:fldChar w:fldCharType="separate"/>
    </w:r>
    <w:r w:rsidR="008541DE">
      <w:t>16</w:t>
    </w:r>
    <w:r w:rsidR="00300901">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7D996219" w14:textId="77777777" w:rsidR="00347751" w:rsidRDefault="00347751" w:rsidP="00347751">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https://eur-lex.europa.eu/legal-content/DA/TXT/?uri=legissum:4623532</w:t>
        </w:r>
      </w:hyperlink>
      <w:r>
        <w:t>.</w:t>
      </w:r>
    </w:p>
  </w:footnote>
  <w:footnote w:id="2">
    <w:p w14:paraId="005565CD" w14:textId="77777777" w:rsidR="00347751" w:rsidRPr="00ED3E39" w:rsidRDefault="00347751" w:rsidP="00347751">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https://eur-lex.europa.eu/legal-content/DA/TXT/?uri=CELEX%3A52022XC0930%2802%29</w:t>
        </w:r>
      </w:hyperlink>
      <w:r>
        <w:t>.</w:t>
      </w:r>
    </w:p>
  </w:footnote>
  <w:footnote w:id="3">
    <w:p w14:paraId="672F21BE" w14:textId="77777777" w:rsidR="00347751" w:rsidRPr="0023267D" w:rsidRDefault="00347751" w:rsidP="00347751">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https://digital-strategy.ec.europa.eu/da/library/recommendation-protection-safety-and-empowerment-journalists</w:t>
        </w:r>
      </w:hyperlink>
      <w:r>
        <w:t>.</w:t>
      </w:r>
    </w:p>
  </w:footnote>
  <w:footnote w:id="4">
    <w:p w14:paraId="162E5FAD" w14:textId="77777777" w:rsidR="00347751" w:rsidRPr="00C510E4" w:rsidRDefault="00347751" w:rsidP="00347751">
      <w:pPr>
        <w:keepLines/>
        <w:spacing w:after="60" w:line="240" w:lineRule="auto"/>
        <w:ind w:left="567" w:hanging="567"/>
      </w:pPr>
      <w:r>
        <w:rPr>
          <w:rStyle w:val="FootnoteReference"/>
        </w:rPr>
        <w:footnoteRef/>
      </w:r>
      <w:r>
        <w:tab/>
      </w:r>
      <w:r>
        <w:rPr>
          <w:sz w:val="16"/>
        </w:rPr>
        <w:t>EUT C, C/2025/114, 10.1.2025, ELI:</w:t>
      </w:r>
      <w:r>
        <w:t xml:space="preserve"> </w:t>
      </w:r>
      <w:hyperlink r:id="rId4" w:history="1">
        <w:r>
          <w:rPr>
            <w:rStyle w:val="Hyperlink"/>
            <w:sz w:val="16"/>
          </w:rPr>
          <w:t>http://data.europa.eu/eli/C/2025/114/oj</w:t>
        </w:r>
      </w:hyperlink>
      <w:r>
        <w:t>.</w:t>
      </w:r>
    </w:p>
  </w:footnote>
  <w:footnote w:id="5">
    <w:p w14:paraId="385CD6C0" w14:textId="77777777" w:rsidR="00912E3C" w:rsidRPr="00360DD3" w:rsidRDefault="00912E3C" w:rsidP="00912E3C">
      <w:pPr>
        <w:pStyle w:val="FootnoteText"/>
      </w:pPr>
      <w:r>
        <w:rPr>
          <w:rStyle w:val="FootnoteReference"/>
        </w:rPr>
        <w:footnoteRef/>
      </w:r>
      <w:r>
        <w:tab/>
      </w:r>
      <w:r>
        <w:t xml:space="preserve">EØSU's initiativudtalelse om </w:t>
      </w:r>
      <w:hyperlink r:id="rId5" w:history="1">
        <w:r>
          <w:rPr>
            <w:rStyle w:val="Hyperlink"/>
            <w:i/>
          </w:rPr>
          <w:t>Skovrydning i regnskoven i Amazonas – indvirkningen på klimaændringerne og det globale miljø – konsekvenserne for virksomheder, arbejdstagere og befolkningen</w:t>
        </w:r>
      </w:hyperlink>
      <w:r>
        <w:t xml:space="preserve">, </w:t>
      </w:r>
      <w:hyperlink r:id="rId6" w:history="1">
        <w:r>
          <w:rPr>
            <w:rStyle w:val="Hyperlink"/>
          </w:rPr>
          <w:t>EUT C/2024/6882, 28.11.2024</w:t>
        </w:r>
      </w:hyperlink>
      <w:r>
        <w:t>.</w:t>
      </w:r>
    </w:p>
  </w:footnote>
  <w:footnote w:id="6">
    <w:p w14:paraId="5CA76707" w14:textId="77777777" w:rsidR="00912E3C" w:rsidRPr="00360DD3" w:rsidRDefault="00912E3C" w:rsidP="00912E3C">
      <w:pPr>
        <w:pStyle w:val="FootnoteText"/>
      </w:pPr>
      <w:r>
        <w:rPr>
          <w:rStyle w:val="FootnoteReference"/>
        </w:rPr>
        <w:footnoteRef/>
      </w:r>
      <w:r>
        <w:tab/>
      </w:r>
      <w:r>
        <w:t xml:space="preserve">EØSU's udtalelse om </w:t>
      </w:r>
      <w:hyperlink r:id="rId7" w:history="1">
        <w:r>
          <w:rPr>
            <w:rStyle w:val="Hyperlink"/>
            <w:i/>
          </w:rPr>
          <w:t>Minimering af risikoen for skovrydning og skovforringelse i forbindelse med produkter, der markedsføres i EU</w:t>
        </w:r>
      </w:hyperlink>
      <w:r>
        <w:t xml:space="preserve">, </w:t>
      </w:r>
      <w:hyperlink r:id="rId8" w:history="1">
        <w:r>
          <w:rPr>
            <w:rStyle w:val="Hyperlink"/>
          </w:rPr>
          <w:t>EUT C 275 af 18.7.2022, s.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96985" w14:textId="77777777" w:rsidR="00797C5C" w:rsidRDefault="00797C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C443F" w14:textId="77777777" w:rsidR="00797C5C" w:rsidRDefault="00797C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19ADC" w14:textId="77777777" w:rsidR="00797C5C" w:rsidRDefault="00797C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0F63753D"/>
    <w:multiLevelType w:val="singleLevel"/>
    <w:tmpl w:val="A8C2A524"/>
    <w:lvl w:ilvl="0">
      <w:numFmt w:val="decimal"/>
      <w:lvlText w:val="*"/>
      <w:lvlJc w:val="left"/>
    </w:lvl>
  </w:abstractNum>
  <w:abstractNum w:abstractNumId="5"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6"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7C5C34"/>
    <w:multiLevelType w:val="hybridMultilevel"/>
    <w:tmpl w:val="F6E694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9" w15:restartNumberingAfterBreak="0">
    <w:nsid w:val="40B3452C"/>
    <w:multiLevelType w:val="hybridMultilevel"/>
    <w:tmpl w:val="CE621784"/>
    <w:lvl w:ilvl="0" w:tplc="4AC01F86">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20"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41C5B"/>
    <w:multiLevelType w:val="singleLevel"/>
    <w:tmpl w:val="A8C2A524"/>
    <w:lvl w:ilvl="0">
      <w:numFmt w:val="decimal"/>
      <w:lvlText w:val="*"/>
      <w:lvlJc w:val="left"/>
    </w:lvl>
  </w:abstractNum>
  <w:abstractNum w:abstractNumId="22" w15:restartNumberingAfterBreak="0">
    <w:nsid w:val="4BBD4A9E"/>
    <w:multiLevelType w:val="hybridMultilevel"/>
    <w:tmpl w:val="89DA0278"/>
    <w:lvl w:ilvl="0" w:tplc="4AC01F86">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6" w15:restartNumberingAfterBreak="0">
    <w:nsid w:val="57CB5105"/>
    <w:multiLevelType w:val="singleLevel"/>
    <w:tmpl w:val="A8C2A524"/>
    <w:lvl w:ilvl="0">
      <w:numFmt w:val="decimal"/>
      <w:lvlText w:val="*"/>
      <w:lvlJc w:val="left"/>
    </w:lvl>
  </w:abstractNum>
  <w:abstractNum w:abstractNumId="27" w15:restartNumberingAfterBreak="0">
    <w:nsid w:val="5C7B22F7"/>
    <w:multiLevelType w:val="singleLevel"/>
    <w:tmpl w:val="A8C2A524"/>
    <w:lvl w:ilvl="0">
      <w:numFmt w:val="decimal"/>
      <w:lvlText w:val="*"/>
      <w:lvlJc w:val="left"/>
    </w:lvl>
  </w:abstractNum>
  <w:abstractNum w:abstractNumId="28"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0"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B3BD3"/>
    <w:multiLevelType w:val="hybridMultilevel"/>
    <w:tmpl w:val="808260C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2"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33"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4"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5"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56A2975"/>
    <w:multiLevelType w:val="hybridMultilevel"/>
    <w:tmpl w:val="577A4B42"/>
    <w:lvl w:ilvl="0" w:tplc="4AC01F86">
      <w:start w:val="1"/>
      <w:numFmt w:val="bullet"/>
      <w:lvlText w:val=""/>
      <w:lvlJc w:val="left"/>
      <w:pPr>
        <w:ind w:left="644" w:hanging="360"/>
      </w:pPr>
      <w:rPr>
        <w:rFonts w:ascii="Symbol" w:hAnsi="Symbol" w:hint="default"/>
      </w:rPr>
    </w:lvl>
    <w:lvl w:ilvl="1" w:tplc="10000003" w:tentative="1">
      <w:start w:val="1"/>
      <w:numFmt w:val="bullet"/>
      <w:lvlText w:val="o"/>
      <w:lvlJc w:val="left"/>
      <w:pPr>
        <w:ind w:left="1364" w:hanging="360"/>
      </w:pPr>
      <w:rPr>
        <w:rFonts w:ascii="Courier New" w:hAnsi="Courier New" w:cs="Courier New" w:hint="default"/>
      </w:rPr>
    </w:lvl>
    <w:lvl w:ilvl="2" w:tplc="10000005" w:tentative="1">
      <w:start w:val="1"/>
      <w:numFmt w:val="bullet"/>
      <w:lvlText w:val=""/>
      <w:lvlJc w:val="left"/>
      <w:pPr>
        <w:ind w:left="2084" w:hanging="360"/>
      </w:pPr>
      <w:rPr>
        <w:rFonts w:ascii="Wingdings" w:hAnsi="Wingdings" w:hint="default"/>
      </w:rPr>
    </w:lvl>
    <w:lvl w:ilvl="3" w:tplc="10000001" w:tentative="1">
      <w:start w:val="1"/>
      <w:numFmt w:val="bullet"/>
      <w:lvlText w:val=""/>
      <w:lvlJc w:val="left"/>
      <w:pPr>
        <w:ind w:left="2804" w:hanging="360"/>
      </w:pPr>
      <w:rPr>
        <w:rFonts w:ascii="Symbol" w:hAnsi="Symbol" w:hint="default"/>
      </w:rPr>
    </w:lvl>
    <w:lvl w:ilvl="4" w:tplc="10000003" w:tentative="1">
      <w:start w:val="1"/>
      <w:numFmt w:val="bullet"/>
      <w:lvlText w:val="o"/>
      <w:lvlJc w:val="left"/>
      <w:pPr>
        <w:ind w:left="3524" w:hanging="360"/>
      </w:pPr>
      <w:rPr>
        <w:rFonts w:ascii="Courier New" w:hAnsi="Courier New" w:cs="Courier New" w:hint="default"/>
      </w:rPr>
    </w:lvl>
    <w:lvl w:ilvl="5" w:tplc="10000005" w:tentative="1">
      <w:start w:val="1"/>
      <w:numFmt w:val="bullet"/>
      <w:lvlText w:val=""/>
      <w:lvlJc w:val="left"/>
      <w:pPr>
        <w:ind w:left="4244" w:hanging="360"/>
      </w:pPr>
      <w:rPr>
        <w:rFonts w:ascii="Wingdings" w:hAnsi="Wingdings" w:hint="default"/>
      </w:rPr>
    </w:lvl>
    <w:lvl w:ilvl="6" w:tplc="10000001" w:tentative="1">
      <w:start w:val="1"/>
      <w:numFmt w:val="bullet"/>
      <w:lvlText w:val=""/>
      <w:lvlJc w:val="left"/>
      <w:pPr>
        <w:ind w:left="4964" w:hanging="360"/>
      </w:pPr>
      <w:rPr>
        <w:rFonts w:ascii="Symbol" w:hAnsi="Symbol" w:hint="default"/>
      </w:rPr>
    </w:lvl>
    <w:lvl w:ilvl="7" w:tplc="10000003" w:tentative="1">
      <w:start w:val="1"/>
      <w:numFmt w:val="bullet"/>
      <w:lvlText w:val="o"/>
      <w:lvlJc w:val="left"/>
      <w:pPr>
        <w:ind w:left="5684" w:hanging="360"/>
      </w:pPr>
      <w:rPr>
        <w:rFonts w:ascii="Courier New" w:hAnsi="Courier New" w:cs="Courier New" w:hint="default"/>
      </w:rPr>
    </w:lvl>
    <w:lvl w:ilvl="8" w:tplc="10000005" w:tentative="1">
      <w:start w:val="1"/>
      <w:numFmt w:val="bullet"/>
      <w:lvlText w:val=""/>
      <w:lvlJc w:val="left"/>
      <w:pPr>
        <w:ind w:left="6404" w:hanging="360"/>
      </w:pPr>
      <w:rPr>
        <w:rFonts w:ascii="Wingdings" w:hAnsi="Wingdings" w:hint="default"/>
      </w:rPr>
    </w:lvl>
  </w:abstractNum>
  <w:abstractNum w:abstractNumId="39"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7E5EEB"/>
    <w:multiLevelType w:val="singleLevel"/>
    <w:tmpl w:val="A8C2A524"/>
    <w:lvl w:ilvl="0">
      <w:numFmt w:val="decimal"/>
      <w:lvlText w:val="*"/>
      <w:lvlJc w:val="left"/>
    </w:lvl>
  </w:abstractNum>
  <w:abstractNum w:abstractNumId="41"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33"/>
  </w:num>
  <w:num w:numId="3">
    <w:abstractNumId w:val="39"/>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34"/>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9"/>
  </w:num>
  <w:num w:numId="8">
    <w:abstractNumId w:val="6"/>
  </w:num>
  <w:num w:numId="9">
    <w:abstractNumId w:val="36"/>
  </w:num>
  <w:num w:numId="10">
    <w:abstractNumId w:val="14"/>
  </w:num>
  <w:num w:numId="11">
    <w:abstractNumId w:val="16"/>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5"/>
  </w:num>
  <w:num w:numId="14">
    <w:abstractNumId w:val="30"/>
  </w:num>
  <w:num w:numId="15">
    <w:abstractNumId w:val="32"/>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5"/>
  </w:num>
  <w:num w:numId="18">
    <w:abstractNumId w:val="8"/>
  </w:num>
  <w:num w:numId="19">
    <w:abstractNumId w:val="5"/>
  </w:num>
  <w:num w:numId="20">
    <w:abstractNumId w:val="18"/>
  </w:num>
  <w:num w:numId="21">
    <w:abstractNumId w:val="37"/>
  </w:num>
  <w:num w:numId="22">
    <w:abstractNumId w:val="13"/>
  </w:num>
  <w:num w:numId="23">
    <w:abstractNumId w:val="41"/>
  </w:num>
  <w:num w:numId="24">
    <w:abstractNumId w:val="35"/>
  </w:num>
  <w:num w:numId="25">
    <w:abstractNumId w:val="2"/>
  </w:num>
  <w:num w:numId="26">
    <w:abstractNumId w:val="20"/>
  </w:num>
  <w:num w:numId="27">
    <w:abstractNumId w:val="23"/>
  </w:num>
  <w:num w:numId="28">
    <w:abstractNumId w:val="24"/>
  </w:num>
  <w:num w:numId="29">
    <w:abstractNumId w:val="3"/>
  </w:num>
  <w:num w:numId="30">
    <w:abstractNumId w:val="11"/>
  </w:num>
  <w:num w:numId="31">
    <w:abstractNumId w:val="28"/>
  </w:num>
  <w:num w:numId="32">
    <w:abstractNumId w:val="10"/>
  </w:num>
  <w:num w:numId="33">
    <w:abstractNumId w:val="7"/>
  </w:num>
  <w:num w:numId="34">
    <w:abstractNumId w:val="29"/>
  </w:num>
  <w:num w:numId="35">
    <w:abstractNumId w:val="12"/>
  </w:num>
  <w:num w:numId="36">
    <w:abstractNumId w:val="17"/>
  </w:num>
  <w:num w:numId="37">
    <w:abstractNumId w:val="31"/>
  </w:num>
  <w:num w:numId="38">
    <w:abstractNumId w:val="21"/>
  </w:num>
  <w:num w:numId="39">
    <w:abstractNumId w:val="4"/>
  </w:num>
  <w:num w:numId="40">
    <w:abstractNumId w:val="26"/>
  </w:num>
  <w:num w:numId="41">
    <w:abstractNumId w:val="38"/>
  </w:num>
  <w:num w:numId="42">
    <w:abstractNumId w:val="27"/>
  </w:num>
  <w:num w:numId="43">
    <w:abstractNumId w:val="19"/>
  </w:num>
  <w:num w:numId="44">
    <w:abstractNumId w:val="40"/>
  </w:num>
  <w:num w:numId="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94C"/>
    <w:rsid w:val="000C7C8B"/>
    <w:rsid w:val="000D33C5"/>
    <w:rsid w:val="000D394D"/>
    <w:rsid w:val="000E7346"/>
    <w:rsid w:val="00111B8B"/>
    <w:rsid w:val="001307DF"/>
    <w:rsid w:val="00145DF7"/>
    <w:rsid w:val="00194E7D"/>
    <w:rsid w:val="001A7442"/>
    <w:rsid w:val="001E391D"/>
    <w:rsid w:val="001F0212"/>
    <w:rsid w:val="00237C67"/>
    <w:rsid w:val="002A5636"/>
    <w:rsid w:val="002B0636"/>
    <w:rsid w:val="002B5AEF"/>
    <w:rsid w:val="002B7981"/>
    <w:rsid w:val="002D3663"/>
    <w:rsid w:val="003066BE"/>
    <w:rsid w:val="003227CC"/>
    <w:rsid w:val="00326313"/>
    <w:rsid w:val="00340927"/>
    <w:rsid w:val="00347751"/>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4580"/>
    <w:rsid w:val="004A5CD7"/>
    <w:rsid w:val="004A6CE5"/>
    <w:rsid w:val="004D7AC0"/>
    <w:rsid w:val="004E64BE"/>
    <w:rsid w:val="00505C80"/>
    <w:rsid w:val="00514509"/>
    <w:rsid w:val="00515DDF"/>
    <w:rsid w:val="00520D42"/>
    <w:rsid w:val="00532089"/>
    <w:rsid w:val="00537F29"/>
    <w:rsid w:val="005650A9"/>
    <w:rsid w:val="00586B4B"/>
    <w:rsid w:val="00591A62"/>
    <w:rsid w:val="00593110"/>
    <w:rsid w:val="005A0BDA"/>
    <w:rsid w:val="005A2512"/>
    <w:rsid w:val="005B225E"/>
    <w:rsid w:val="005B6DD4"/>
    <w:rsid w:val="005E7651"/>
    <w:rsid w:val="00601DF4"/>
    <w:rsid w:val="006056FF"/>
    <w:rsid w:val="00612898"/>
    <w:rsid w:val="00625CA3"/>
    <w:rsid w:val="00635A5E"/>
    <w:rsid w:val="00635AF7"/>
    <w:rsid w:val="00641262"/>
    <w:rsid w:val="00642D30"/>
    <w:rsid w:val="0064744C"/>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97C5C"/>
    <w:rsid w:val="007B245D"/>
    <w:rsid w:val="007B326F"/>
    <w:rsid w:val="007F5784"/>
    <w:rsid w:val="00802750"/>
    <w:rsid w:val="00803D75"/>
    <w:rsid w:val="0080647A"/>
    <w:rsid w:val="00811D4F"/>
    <w:rsid w:val="00836765"/>
    <w:rsid w:val="00845F24"/>
    <w:rsid w:val="008541DE"/>
    <w:rsid w:val="00871818"/>
    <w:rsid w:val="00874C5B"/>
    <w:rsid w:val="0088219D"/>
    <w:rsid w:val="00896BC8"/>
    <w:rsid w:val="008A27AD"/>
    <w:rsid w:val="008A6059"/>
    <w:rsid w:val="008C414B"/>
    <w:rsid w:val="008D0052"/>
    <w:rsid w:val="009041AE"/>
    <w:rsid w:val="00912E3C"/>
    <w:rsid w:val="00926A3C"/>
    <w:rsid w:val="00946B15"/>
    <w:rsid w:val="009679E7"/>
    <w:rsid w:val="00973F68"/>
    <w:rsid w:val="009E1915"/>
    <w:rsid w:val="009E4148"/>
    <w:rsid w:val="009F1AE3"/>
    <w:rsid w:val="00A20E9D"/>
    <w:rsid w:val="00A23E40"/>
    <w:rsid w:val="00A272B2"/>
    <w:rsid w:val="00A44608"/>
    <w:rsid w:val="00A50553"/>
    <w:rsid w:val="00A51688"/>
    <w:rsid w:val="00A74CF1"/>
    <w:rsid w:val="00A96C92"/>
    <w:rsid w:val="00AA61BE"/>
    <w:rsid w:val="00AE07F8"/>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4D87"/>
    <w:rsid w:val="00C7741D"/>
    <w:rsid w:val="00C821A5"/>
    <w:rsid w:val="00C82E34"/>
    <w:rsid w:val="00C913CA"/>
    <w:rsid w:val="00CC18D0"/>
    <w:rsid w:val="00D07777"/>
    <w:rsid w:val="00D16AA9"/>
    <w:rsid w:val="00D40BB6"/>
    <w:rsid w:val="00D43613"/>
    <w:rsid w:val="00D6499D"/>
    <w:rsid w:val="00D64D94"/>
    <w:rsid w:val="00D7076A"/>
    <w:rsid w:val="00D81F5E"/>
    <w:rsid w:val="00D82EC1"/>
    <w:rsid w:val="00D92269"/>
    <w:rsid w:val="00DA2E9E"/>
    <w:rsid w:val="00DB0977"/>
    <w:rsid w:val="00DB1B79"/>
    <w:rsid w:val="00DE176A"/>
    <w:rsid w:val="00DF03F8"/>
    <w:rsid w:val="00E00A6B"/>
    <w:rsid w:val="00E13363"/>
    <w:rsid w:val="00E22D43"/>
    <w:rsid w:val="00E77899"/>
    <w:rsid w:val="00E82D3E"/>
    <w:rsid w:val="00E95CBE"/>
    <w:rsid w:val="00E972B2"/>
    <w:rsid w:val="00EA023B"/>
    <w:rsid w:val="00EB462E"/>
    <w:rsid w:val="00ED76AC"/>
    <w:rsid w:val="00EE6F0B"/>
    <w:rsid w:val="00EF2BEB"/>
    <w:rsid w:val="00F104CA"/>
    <w:rsid w:val="00F2608E"/>
    <w:rsid w:val="00F26C84"/>
    <w:rsid w:val="00F40A52"/>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NormalWeb">
    <w:name w:val="Normal (Web)"/>
    <w:basedOn w:val="Normal"/>
    <w:uiPriority w:val="99"/>
    <w:unhideWhenUsed/>
    <w:rsid w:val="0064744C"/>
    <w:pPr>
      <w:spacing w:before="100" w:beforeAutospacing="1" w:after="100" w:afterAutospacing="1" w:line="240" w:lineRule="auto"/>
      <w:jc w:val="left"/>
    </w:pPr>
    <w:rPr>
      <w:sz w:val="24"/>
      <w:szCs w:val="24"/>
      <w:lang w:eastAsia="fr-BE"/>
    </w:rPr>
  </w:style>
  <w:style w:type="character" w:customStyle="1" w:styleId="ListParagraphChar">
    <w:name w:val="List Paragraph Char"/>
    <w:link w:val="ListParagraph"/>
    <w:uiPriority w:val="34"/>
    <w:locked/>
    <w:rsid w:val="00F40A52"/>
    <w:rPr>
      <w:rFonts w:ascii="Times New Roman" w:eastAsia="Times New Roman" w:hAnsi="Times New Roman" w:cs="Times New Roman"/>
    </w:rPr>
  </w:style>
  <w:style w:type="paragraph" w:styleId="TOC2">
    <w:name w:val="toc 2"/>
    <w:basedOn w:val="Normal"/>
    <w:next w:val="Normal"/>
    <w:autoRedefine/>
    <w:uiPriority w:val="39"/>
    <w:unhideWhenUsed/>
    <w:rsid w:val="0051450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da/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da/our-work/opinions-information-reports/opinions/single-market-strategy" TargetMode="External"/><Relationship Id="rId42" Type="http://schemas.openxmlformats.org/officeDocument/2006/relationships/hyperlink" Target="https://www.eesc.europa.eu/da/our-work/opinions-information-reports/opinions/amendment-deforestation-regulation-eu-20231115" TargetMode="External"/><Relationship Id="rId47" Type="http://schemas.openxmlformats.org/officeDocument/2006/relationships/hyperlink" Target="https://www.eesc.europa.eu/da/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da/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da/our-work/opinions-information-reports/opinions/labour-rights-journalists-and-media-professionals-safeguard-independence-and-truthful-information" TargetMode="External"/><Relationship Id="rId32" Type="http://schemas.openxmlformats.org/officeDocument/2006/relationships/hyperlink" Target="https://www.eesc.europa.eu/da/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da/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en/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da/our-work/opinions-information-reports/opinions/co2-emission-class-heavy-duty-vehicles-trailers-0" TargetMode="External"/><Relationship Id="rId36" Type="http://schemas.openxmlformats.org/officeDocument/2006/relationships/hyperlink" Target="https://www.eesc.europa.eu/da/our-work/opinions-information-reports/opinions/report-competition-policy-2024" TargetMode="External"/><Relationship Id="rId49" Type="http://schemas.openxmlformats.org/officeDocument/2006/relationships/hyperlink" Target="https://www.eesc.europa.eu/da/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da/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da/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da/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da/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da/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DA/TXT/?uri=uriserv%3AOJ.C_.2022.275.01.0088.01.DAN&amp;toc=OJ%3AC%3A2022%3A275%3ATOC" TargetMode="External"/><Relationship Id="rId3" Type="http://schemas.openxmlformats.org/officeDocument/2006/relationships/hyperlink" Target="https://digital-strategy.ec.europa.eu/da/library/recommendation-protection-safety-and-empowerment-journalists" TargetMode="External"/><Relationship Id="rId7" Type="http://schemas.openxmlformats.org/officeDocument/2006/relationships/hyperlink" Target="https://www.eesc.europa.eu/da/our-work/opinions-information-reports/opinions/minimising-risk-deforestation-and-forest-degradation-associated-products-placed-eu-market" TargetMode="External"/><Relationship Id="rId2" Type="http://schemas.openxmlformats.org/officeDocument/2006/relationships/hyperlink" Target="https://eur-lex.europa.eu/legal-content/DA/TXT/?uri=CELEX%3A52022XC0930%2802%29" TargetMode="External"/><Relationship Id="rId1" Type="http://schemas.openxmlformats.org/officeDocument/2006/relationships/hyperlink" Target="https://eur-lex.europa.eu/legal-content/DA/TXT/?uri=legissum:4623532" TargetMode="External"/><Relationship Id="rId6" Type="http://schemas.openxmlformats.org/officeDocument/2006/relationships/hyperlink" Target="https://eur-lex.europa.eu/legal-content/DA/TXT/?uri=OJ:C_202406882" TargetMode="External"/><Relationship Id="rId5" Type="http://schemas.openxmlformats.org/officeDocument/2006/relationships/hyperlink" Target="https://www.eesc.europa.eu/da/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A6WAAD5KZT2Q-284857674-6408</_dlc_DocId>
    <_dlc_DocIdUrl xmlns="1a33af13-4045-4f88-9d7b-618e30f79918">
      <Url>http://dm/eesc/2025/_layouts/15/DocIdRedir.aspx?ID=A6WAAD5KZT2Q-284857674-6408</Url>
      <Description>A6WAAD5KZT2Q-284857674-6408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Thystrup Elin</DisplayName>
        <AccountId>1507</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2.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3.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customXml/itemProps4.xml><?xml version="1.0" encoding="utf-8"?>
<ds:datastoreItem xmlns:ds="http://schemas.openxmlformats.org/officeDocument/2006/customXml" ds:itemID="{87137816-3FC8-453C-94C7-954F80FA25CE}"/>
</file>

<file path=docProps/app.xml><?xml version="1.0" encoding="utf-8"?>
<Properties xmlns="http://schemas.openxmlformats.org/officeDocument/2006/extended-properties" xmlns:vt="http://schemas.openxmlformats.org/officeDocument/2006/docPropsVTypes">
  <Template>Normal.dotm</Template>
  <TotalTime>0</TotalTime>
  <Pages>24</Pages>
  <Words>6101</Words>
  <Characters>40517</Characters>
  <Application>Microsoft Office Word</Application>
  <DocSecurity>0</DocSecurity>
  <Lines>604</Lines>
  <Paragraphs>128</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46490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Sammendrag af vedtagne udtalelser - 601. plenarforsamling - december 2025</dc:title>
  <dc:subject>ADMIN</dc:subject>
  <dc:creator/>
  <cp:keywords>COR-EESC-2022-02583-00-00-ADMIN-TRA-EN</cp:keywords>
  <dc:description>Rapporteur:  - Original language: EN - Date of document: 20/05/2022 - Date of meeting:  - External documents:  - Administrator:  SUCIU Serban</dc:description>
  <cp:lastModifiedBy/>
  <cp:revision>22</cp:revision>
  <dcterms:created xsi:type="dcterms:W3CDTF">2025-12-15T10:39:00Z</dcterms:created>
  <dcterms:modified xsi:type="dcterms:W3CDTF">2025-12-19T15:52:00Z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529e552d-ab57-4568-a001-61cea3a7257d</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34;#IT|0774613c-01ed-4e5d-a25d-11d2388de825;#13;#TRA|150d2a88-1431-44e6-a8ca-0bb753ab8672;#30;#LT|a7ff5ce7-6123-4f68-865a-a57c31810414;#67;#SPL-CES|32d8cb1f-c9ec-4365-95c7-8385a18618ac;#19;#TCD|cd9d6eb6-3f4f-424a-b2d1-57c9d450eaaf;#16;#ES|e7a6b05b-ae16-40c8-add9-68b64b03aeba;#15;#Unrestricted|826e22d7-d029-4ec0-a450-0c28ff673572;#50;#HR|2f555653-ed1a-4fe6-8362-9082d95989e5;#12;#FR|d2afafd3-4c81-4f60-8f52-ee33f2f54ff3;#8;#Final|ea5e6674-7b27-4bac-b091-73adbb394efe;#5;#EN|f2175f21-25d7-44a3-96da-d6a61b075e1b;#1;#EESC|422833ec-8d7e-4e65-8e4e-8bed07ffb729</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40;#DA|5d49c027-8956-412b-aa16-e85a0f96ad0e</vt:lpwstr>
  </property>
  <property fmtid="{D5CDD505-2E9C-101B-9397-08002B2CF9AE}" pid="33" name="AvailableTranslations_0">
    <vt:lpwstr>LT|a7ff5ce7-6123-4f68-865a-a57c31810414;EN|f2175f21-25d7-44a3-96da-d6a61b075e1b;IT|0774613c-01ed-4e5d-a25d-11d2388de825;FR|d2afafd3-4c81-4f60-8f52-ee33f2f54ff3;HR|2f555653-ed1a-4fe6-8362-9082d95989e5;ES|e7a6b05b-ae16-40c8-add9-68b64b03aeba</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y fmtid="{D5CDD505-2E9C-101B-9397-08002B2CF9AE}" pid="39" name="MeetingDate">
    <vt:filetime>2026-01-21T12:00:00Z</vt:filetime>
  </property>
</Properties>
</file>