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DD4D" w14:textId="2669EEDE" w:rsidR="004D7AC0" w:rsidRDefault="00207819" w:rsidP="004D7AC0">
      <w:pPr>
        <w:jc w:val="center"/>
      </w:pPr>
      <w:r>
        <w:rPr>
          <w:noProof/>
        </w:rPr>
        <w:drawing>
          <wp:inline distT="0" distB="0" distL="0" distR="0" wp14:anchorId="65F53BE9" wp14:editId="3287FFB7">
            <wp:extent cx="1792605" cy="1239520"/>
            <wp:effectExtent l="0" t="0" r="0" b="0"/>
            <wp:docPr id="1" name="Picture 1" title="EESCLogo_C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C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AC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982DE48" wp14:editId="48FD76E4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2DE54" w14:textId="77777777" w:rsidR="004D7AC0" w:rsidRPr="00260E65" w:rsidRDefault="004D7AC0" w:rsidP="004D7A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2DE4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4982DE54" w14:textId="77777777" w:rsidR="004D7AC0" w:rsidRPr="00260E65" w:rsidRDefault="004D7AC0" w:rsidP="004D7AC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82DD4E" w14:textId="77777777" w:rsidR="004D7AC0" w:rsidRDefault="004D7AC0" w:rsidP="004D7AC0"/>
    <w:p w14:paraId="4982DD4F" w14:textId="583AC3F3" w:rsidR="004D7AC0" w:rsidRDefault="004D7AC0" w:rsidP="004D7AC0">
      <w:pPr>
        <w:jc w:val="right"/>
      </w:pPr>
      <w:r>
        <w:t>V Bruselu dne 17. prosince 2025</w:t>
      </w:r>
    </w:p>
    <w:p w14:paraId="4982DD50" w14:textId="77777777" w:rsidR="004D7AC0" w:rsidRDefault="004D7AC0" w:rsidP="004D7AC0"/>
    <w:p w14:paraId="4982DD51" w14:textId="77777777" w:rsidR="004D7AC0" w:rsidRDefault="004D7AC0" w:rsidP="004D7AC0"/>
    <w:p w14:paraId="4982DD52" w14:textId="77777777" w:rsidR="004D7AC0" w:rsidRDefault="004D7AC0" w:rsidP="004D7AC0"/>
    <w:tbl>
      <w:tblPr>
        <w:tblW w:w="0" w:type="auto"/>
        <w:tblLook w:val="04A0" w:firstRow="1" w:lastRow="0" w:firstColumn="1" w:lastColumn="0" w:noHBand="0" w:noVBand="1"/>
      </w:tblPr>
      <w:tblGrid>
        <w:gridCol w:w="9289"/>
      </w:tblGrid>
      <w:tr w:rsidR="004D7AC0" w14:paraId="4982DD59" w14:textId="77777777" w:rsidTr="00600C84">
        <w:tc>
          <w:tcPr>
            <w:tcW w:w="9289" w:type="dxa"/>
            <w:tcBorders>
              <w:bottom w:val="double" w:sz="4" w:space="0" w:color="auto"/>
            </w:tcBorders>
          </w:tcPr>
          <w:p w14:paraId="4982DD53" w14:textId="02802AB8" w:rsidR="003066BE" w:rsidRDefault="00340927" w:rsidP="00600C8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601. PLENÁRNÍ ZASEDÁNÍ</w:t>
            </w:r>
          </w:p>
          <w:p w14:paraId="4982DD54" w14:textId="77777777" w:rsidR="003066BE" w:rsidRDefault="003066BE" w:rsidP="00600C84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4982DD55" w14:textId="2F334972" w:rsidR="003066BE" w:rsidRDefault="00340927" w:rsidP="00600C8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3. a 4. prosince 2025</w:t>
            </w:r>
          </w:p>
          <w:p w14:paraId="4982DD56" w14:textId="77777777" w:rsidR="003066BE" w:rsidRDefault="003066BE" w:rsidP="00600C84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4982DD57" w14:textId="5A35E792" w:rsidR="004D7AC0" w:rsidRPr="0081153B" w:rsidRDefault="00754027" w:rsidP="00600C84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SOUHRN PŘIJATÝCH STANOVISEK, USNESENÍ A INFORMAČNÍCH / HODNOTÍCÍCH ZPRÁV</w:t>
            </w:r>
          </w:p>
          <w:p w14:paraId="4982DD58" w14:textId="77777777" w:rsidR="004D7AC0" w:rsidRDefault="004D7AC0" w:rsidP="00600C84">
            <w:pPr>
              <w:snapToGrid w:val="0"/>
            </w:pPr>
          </w:p>
        </w:tc>
      </w:tr>
      <w:tr w:rsidR="004D7AC0" w14:paraId="4982DD5F" w14:textId="77777777" w:rsidTr="00600C84">
        <w:tc>
          <w:tcPr>
            <w:tcW w:w="9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2DD5A" w14:textId="0C0FF99D" w:rsidR="004D7AC0" w:rsidRPr="0081153B" w:rsidRDefault="004D7AC0" w:rsidP="00600C84">
            <w:pPr>
              <w:snapToGrid w:val="0"/>
              <w:jc w:val="center"/>
            </w:pPr>
            <w:r>
              <w:t>Tento dokument je k dispozici ve všech úředních jazycích Evropské unie na internetových stránkách EHSV na adrese:</w:t>
            </w:r>
            <w:r>
              <w:br/>
            </w:r>
            <w:r>
              <w:br/>
            </w:r>
            <w:hyperlink r:id="rId12" w:history="1">
              <w:r>
                <w:rPr>
                  <w:rStyle w:val="Hyperlink"/>
                </w:rPr>
                <w:t>https://www.eesc.europa.eu/cs/our-work/opinions-information-reports/plenary-session-summaries</w:t>
              </w:r>
            </w:hyperlink>
          </w:p>
          <w:p w14:paraId="4982DD5B" w14:textId="77777777" w:rsidR="004D7AC0" w:rsidRPr="0081153B" w:rsidRDefault="004D7AC0" w:rsidP="00600C84">
            <w:pPr>
              <w:snapToGrid w:val="0"/>
              <w:jc w:val="center"/>
            </w:pPr>
          </w:p>
          <w:p w14:paraId="4982DD5C" w14:textId="77777777" w:rsidR="004D7AC0" w:rsidRPr="0081153B" w:rsidRDefault="004D7AC0" w:rsidP="00600C84">
            <w:pPr>
              <w:snapToGrid w:val="0"/>
              <w:jc w:val="center"/>
              <w:rPr>
                <w:rFonts w:eastAsia="SimSun"/>
              </w:rPr>
            </w:pPr>
          </w:p>
          <w:p w14:paraId="4982DD5D" w14:textId="77777777" w:rsidR="004D7AC0" w:rsidRPr="00044561" w:rsidRDefault="004D7AC0" w:rsidP="00600C84">
            <w:pPr>
              <w:snapToGrid w:val="0"/>
              <w:jc w:val="center"/>
            </w:pPr>
            <w:r>
              <w:t>Uvedená stanoviska jsou k dispozici on-line prostřednictvím vyhledávače EHSV:</w:t>
            </w:r>
            <w:r>
              <w:br/>
            </w:r>
            <w:r>
              <w:br/>
            </w:r>
            <w:hyperlink r:id="rId13" w:history="1">
              <w:r>
                <w:rPr>
                  <w:rStyle w:val="Hyperlink"/>
                </w:rPr>
                <w:t>https://dmsearch.eesc.europa.eu/search/opinion</w:t>
              </w:r>
            </w:hyperlink>
          </w:p>
          <w:p w14:paraId="4982DD5E" w14:textId="77777777" w:rsidR="004D7AC0" w:rsidRPr="00044561" w:rsidRDefault="004D7AC0" w:rsidP="00600C84">
            <w:pPr>
              <w:snapToGrid w:val="0"/>
              <w:jc w:val="center"/>
            </w:pPr>
          </w:p>
        </w:tc>
      </w:tr>
    </w:tbl>
    <w:p w14:paraId="4982DD60" w14:textId="77777777" w:rsidR="004D7AC0" w:rsidRDefault="004D7AC0" w:rsidP="004D7AC0"/>
    <w:p w14:paraId="4982DD61" w14:textId="77777777" w:rsidR="004D7AC0" w:rsidRDefault="004D7AC0" w:rsidP="004D7AC0"/>
    <w:p w14:paraId="4982DD62" w14:textId="77777777" w:rsidR="004D7AC0" w:rsidRDefault="004D7AC0" w:rsidP="004D7AC0">
      <w:pPr>
        <w:sectPr w:rsidR="004D7AC0" w:rsidSect="00EE6F0B">
          <w:footerReference w:type="default" r:id="rId14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4982DD63" w14:textId="77777777" w:rsidR="004D7AC0" w:rsidRPr="00A81AFE" w:rsidRDefault="004D7AC0" w:rsidP="004D7AC0">
      <w:pPr>
        <w:rPr>
          <w:b/>
        </w:rPr>
      </w:pPr>
      <w:r>
        <w:rPr>
          <w:b/>
        </w:rPr>
        <w:lastRenderedPageBreak/>
        <w:t>Obsah: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170074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982DD64" w14:textId="77777777" w:rsidR="004D7AC0" w:rsidRPr="00A81AFE" w:rsidRDefault="004D7AC0" w:rsidP="004D7AC0">
          <w:pPr>
            <w:pStyle w:val="TOCHeading"/>
            <w:rPr>
              <w:rFonts w:ascii="Times New Roman" w:hAnsi="Times New Roman" w:cs="Times New Roman"/>
              <w:color w:val="auto"/>
              <w:sz w:val="22"/>
              <w:szCs w:val="22"/>
            </w:rPr>
          </w:pPr>
        </w:p>
        <w:p w14:paraId="02C4B2CE" w14:textId="66A23C4F" w:rsidR="00E6250D" w:rsidRDefault="004D7AC0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052793" w:history="1">
            <w:r w:rsidR="00E6250D" w:rsidRPr="00CC65EA">
              <w:rPr>
                <w:rStyle w:val="Hyperlink"/>
                <w:b/>
                <w:noProof/>
              </w:rPr>
              <w:t>1.</w:t>
            </w:r>
            <w:r w:rsidR="00E6250D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E6250D" w:rsidRPr="00CC65EA">
              <w:rPr>
                <w:rStyle w:val="Hyperlink"/>
                <w:b/>
                <w:noProof/>
              </w:rPr>
              <w:t>HOSPODÁŘSKÁ A MĚNOVÁ UNIE, HOSPODÁŘSKÁ A SOCIÁLNÍ SOUDRŽNOST</w:t>
            </w:r>
            <w:r w:rsidR="00E6250D">
              <w:rPr>
                <w:noProof/>
                <w:webHidden/>
              </w:rPr>
              <w:tab/>
            </w:r>
            <w:r w:rsidR="00E6250D">
              <w:rPr>
                <w:noProof/>
                <w:webHidden/>
              </w:rPr>
              <w:fldChar w:fldCharType="begin"/>
            </w:r>
            <w:r w:rsidR="00E6250D">
              <w:rPr>
                <w:noProof/>
                <w:webHidden/>
              </w:rPr>
              <w:instrText xml:space="preserve"> PAGEREF _Toc217052793 \h </w:instrText>
            </w:r>
            <w:r w:rsidR="00E6250D">
              <w:rPr>
                <w:noProof/>
                <w:webHidden/>
              </w:rPr>
            </w:r>
            <w:r w:rsidR="00E6250D">
              <w:rPr>
                <w:noProof/>
                <w:webHidden/>
              </w:rPr>
              <w:fldChar w:fldCharType="separate"/>
            </w:r>
            <w:r w:rsidR="001262F7">
              <w:rPr>
                <w:noProof/>
                <w:webHidden/>
              </w:rPr>
              <w:t>3</w:t>
            </w:r>
            <w:r w:rsidR="00E6250D">
              <w:rPr>
                <w:noProof/>
                <w:webHidden/>
              </w:rPr>
              <w:fldChar w:fldCharType="end"/>
            </w:r>
          </w:hyperlink>
        </w:p>
        <w:p w14:paraId="4F0C2CF3" w14:textId="3094C419" w:rsidR="00E6250D" w:rsidRDefault="00066DA5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17052794" w:history="1">
            <w:r w:rsidR="00E6250D" w:rsidRPr="00CC65EA">
              <w:rPr>
                <w:rStyle w:val="Hyperlink"/>
                <w:b/>
                <w:noProof/>
              </w:rPr>
              <w:t>2.</w:t>
            </w:r>
            <w:r w:rsidR="00E6250D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E6250D" w:rsidRPr="00CC65EA">
              <w:rPr>
                <w:rStyle w:val="Hyperlink"/>
                <w:b/>
                <w:noProof/>
              </w:rPr>
              <w:t>ZAMĚSTNANOST, SOCIÁLNÍ VĚCI, OBČANSTVÍ</w:t>
            </w:r>
            <w:r w:rsidR="00E6250D">
              <w:rPr>
                <w:noProof/>
                <w:webHidden/>
              </w:rPr>
              <w:tab/>
            </w:r>
            <w:r w:rsidR="00E6250D">
              <w:rPr>
                <w:noProof/>
                <w:webHidden/>
              </w:rPr>
              <w:fldChar w:fldCharType="begin"/>
            </w:r>
            <w:r w:rsidR="00E6250D">
              <w:rPr>
                <w:noProof/>
                <w:webHidden/>
              </w:rPr>
              <w:instrText xml:space="preserve"> PAGEREF _Toc217052794 \h </w:instrText>
            </w:r>
            <w:r w:rsidR="00E6250D">
              <w:rPr>
                <w:noProof/>
                <w:webHidden/>
              </w:rPr>
            </w:r>
            <w:r w:rsidR="00E6250D">
              <w:rPr>
                <w:noProof/>
                <w:webHidden/>
              </w:rPr>
              <w:fldChar w:fldCharType="separate"/>
            </w:r>
            <w:r w:rsidR="001262F7">
              <w:rPr>
                <w:noProof/>
                <w:webHidden/>
              </w:rPr>
              <w:t>6</w:t>
            </w:r>
            <w:r w:rsidR="00E6250D">
              <w:rPr>
                <w:noProof/>
                <w:webHidden/>
              </w:rPr>
              <w:fldChar w:fldCharType="end"/>
            </w:r>
          </w:hyperlink>
        </w:p>
        <w:p w14:paraId="50FB257F" w14:textId="3EF1C8F0" w:rsidR="00E6250D" w:rsidRDefault="00066DA5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17052799" w:history="1">
            <w:r w:rsidR="00E6250D" w:rsidRPr="00CC65EA">
              <w:rPr>
                <w:rStyle w:val="Hyperlink"/>
                <w:b/>
                <w:noProof/>
              </w:rPr>
              <w:t>3.</w:t>
            </w:r>
            <w:r w:rsidR="00E6250D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E6250D" w:rsidRPr="00CC65EA">
              <w:rPr>
                <w:rStyle w:val="Hyperlink"/>
                <w:b/>
                <w:noProof/>
              </w:rPr>
              <w:t>DOPRAVA, ENERGETIKA, INFRASTRUKTURA A INFORMAČNÍ SPOLEČNOST</w:t>
            </w:r>
            <w:r w:rsidR="00E6250D">
              <w:rPr>
                <w:noProof/>
                <w:webHidden/>
              </w:rPr>
              <w:tab/>
            </w:r>
            <w:r w:rsidR="00E6250D">
              <w:rPr>
                <w:noProof/>
                <w:webHidden/>
              </w:rPr>
              <w:fldChar w:fldCharType="begin"/>
            </w:r>
            <w:r w:rsidR="00E6250D">
              <w:rPr>
                <w:noProof/>
                <w:webHidden/>
              </w:rPr>
              <w:instrText xml:space="preserve"> PAGEREF _Toc217052799 \h </w:instrText>
            </w:r>
            <w:r w:rsidR="00E6250D">
              <w:rPr>
                <w:noProof/>
                <w:webHidden/>
              </w:rPr>
            </w:r>
            <w:r w:rsidR="00E6250D">
              <w:rPr>
                <w:noProof/>
                <w:webHidden/>
              </w:rPr>
              <w:fldChar w:fldCharType="separate"/>
            </w:r>
            <w:r w:rsidR="001262F7">
              <w:rPr>
                <w:noProof/>
                <w:webHidden/>
              </w:rPr>
              <w:t>8</w:t>
            </w:r>
            <w:r w:rsidR="00E6250D">
              <w:rPr>
                <w:noProof/>
                <w:webHidden/>
              </w:rPr>
              <w:fldChar w:fldCharType="end"/>
            </w:r>
          </w:hyperlink>
        </w:p>
        <w:p w14:paraId="4DDA52AD" w14:textId="6F6A2724" w:rsidR="00E6250D" w:rsidRDefault="00066DA5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17052800" w:history="1">
            <w:r w:rsidR="00E6250D" w:rsidRPr="00CC65EA">
              <w:rPr>
                <w:rStyle w:val="Hyperlink"/>
                <w:b/>
                <w:noProof/>
              </w:rPr>
              <w:t>4.</w:t>
            </w:r>
            <w:r w:rsidR="00E6250D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E6250D" w:rsidRPr="00CC65EA">
              <w:rPr>
                <w:rStyle w:val="Hyperlink"/>
                <w:b/>
                <w:noProof/>
              </w:rPr>
              <w:t>JEDNOTNÝ TRH, VÝROBA A SPOTŘEBA</w:t>
            </w:r>
            <w:r w:rsidR="00E6250D">
              <w:rPr>
                <w:noProof/>
                <w:webHidden/>
              </w:rPr>
              <w:tab/>
            </w:r>
            <w:r w:rsidR="00E6250D">
              <w:rPr>
                <w:noProof/>
                <w:webHidden/>
              </w:rPr>
              <w:fldChar w:fldCharType="begin"/>
            </w:r>
            <w:r w:rsidR="00E6250D">
              <w:rPr>
                <w:noProof/>
                <w:webHidden/>
              </w:rPr>
              <w:instrText xml:space="preserve"> PAGEREF _Toc217052800 \h </w:instrText>
            </w:r>
            <w:r w:rsidR="00E6250D">
              <w:rPr>
                <w:noProof/>
                <w:webHidden/>
              </w:rPr>
            </w:r>
            <w:r w:rsidR="00E6250D">
              <w:rPr>
                <w:noProof/>
                <w:webHidden/>
              </w:rPr>
              <w:fldChar w:fldCharType="separate"/>
            </w:r>
            <w:r w:rsidR="001262F7">
              <w:rPr>
                <w:noProof/>
                <w:webHidden/>
              </w:rPr>
              <w:t>11</w:t>
            </w:r>
            <w:r w:rsidR="00E6250D">
              <w:rPr>
                <w:noProof/>
                <w:webHidden/>
              </w:rPr>
              <w:fldChar w:fldCharType="end"/>
            </w:r>
          </w:hyperlink>
        </w:p>
        <w:p w14:paraId="4BA29302" w14:textId="010D3C02" w:rsidR="00E6250D" w:rsidRDefault="00066DA5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17052801" w:history="1">
            <w:r w:rsidR="00E6250D" w:rsidRPr="00CC65EA">
              <w:rPr>
                <w:rStyle w:val="Hyperlink"/>
                <w:b/>
                <w:noProof/>
              </w:rPr>
              <w:t>5.</w:t>
            </w:r>
            <w:r w:rsidR="00E6250D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E6250D" w:rsidRPr="00CC65EA">
              <w:rPr>
                <w:rStyle w:val="Hyperlink"/>
                <w:b/>
                <w:noProof/>
              </w:rPr>
              <w:t>ZEMĚDĚLSTVÍ, ROZVOJ VENKOVA, ŽIVOTNÍ PROSTŘEDÍ</w:t>
            </w:r>
            <w:r w:rsidR="00E6250D">
              <w:rPr>
                <w:noProof/>
                <w:webHidden/>
              </w:rPr>
              <w:tab/>
            </w:r>
            <w:r w:rsidR="00E6250D">
              <w:rPr>
                <w:noProof/>
                <w:webHidden/>
              </w:rPr>
              <w:fldChar w:fldCharType="begin"/>
            </w:r>
            <w:r w:rsidR="00E6250D">
              <w:rPr>
                <w:noProof/>
                <w:webHidden/>
              </w:rPr>
              <w:instrText xml:space="preserve"> PAGEREF _Toc217052801 \h </w:instrText>
            </w:r>
            <w:r w:rsidR="00E6250D">
              <w:rPr>
                <w:noProof/>
                <w:webHidden/>
              </w:rPr>
            </w:r>
            <w:r w:rsidR="00E6250D">
              <w:rPr>
                <w:noProof/>
                <w:webHidden/>
              </w:rPr>
              <w:fldChar w:fldCharType="separate"/>
            </w:r>
            <w:r w:rsidR="001262F7">
              <w:rPr>
                <w:noProof/>
                <w:webHidden/>
              </w:rPr>
              <w:t>15</w:t>
            </w:r>
            <w:r w:rsidR="00E6250D">
              <w:rPr>
                <w:noProof/>
                <w:webHidden/>
              </w:rPr>
              <w:fldChar w:fldCharType="end"/>
            </w:r>
          </w:hyperlink>
        </w:p>
        <w:p w14:paraId="36EE9D9A" w14:textId="17A8F685" w:rsidR="00E6250D" w:rsidRDefault="00066DA5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17052802" w:history="1">
            <w:r w:rsidR="00E6250D" w:rsidRPr="00CC65EA">
              <w:rPr>
                <w:rStyle w:val="Hyperlink"/>
                <w:b/>
                <w:noProof/>
              </w:rPr>
              <w:t>6.</w:t>
            </w:r>
            <w:r w:rsidR="00E6250D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E6250D" w:rsidRPr="00CC65EA">
              <w:rPr>
                <w:rStyle w:val="Hyperlink"/>
                <w:b/>
                <w:noProof/>
              </w:rPr>
              <w:t>VNĚJŠÍ VZTAHY</w:t>
            </w:r>
            <w:r w:rsidR="00E6250D">
              <w:rPr>
                <w:noProof/>
                <w:webHidden/>
              </w:rPr>
              <w:tab/>
            </w:r>
            <w:r w:rsidR="00E6250D">
              <w:rPr>
                <w:noProof/>
                <w:webHidden/>
              </w:rPr>
              <w:fldChar w:fldCharType="begin"/>
            </w:r>
            <w:r w:rsidR="00E6250D">
              <w:rPr>
                <w:noProof/>
                <w:webHidden/>
              </w:rPr>
              <w:instrText xml:space="preserve"> PAGEREF _Toc217052802 \h </w:instrText>
            </w:r>
            <w:r w:rsidR="00E6250D">
              <w:rPr>
                <w:noProof/>
                <w:webHidden/>
              </w:rPr>
            </w:r>
            <w:r w:rsidR="00E6250D">
              <w:rPr>
                <w:noProof/>
                <w:webHidden/>
              </w:rPr>
              <w:fldChar w:fldCharType="separate"/>
            </w:r>
            <w:r w:rsidR="001262F7">
              <w:rPr>
                <w:noProof/>
                <w:webHidden/>
              </w:rPr>
              <w:t>17</w:t>
            </w:r>
            <w:r w:rsidR="00E6250D">
              <w:rPr>
                <w:noProof/>
                <w:webHidden/>
              </w:rPr>
              <w:fldChar w:fldCharType="end"/>
            </w:r>
          </w:hyperlink>
        </w:p>
        <w:p w14:paraId="7B20E9AB" w14:textId="1FB92528" w:rsidR="00E6250D" w:rsidRDefault="00066DA5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17052803" w:history="1">
            <w:r w:rsidR="00E6250D" w:rsidRPr="00CC65EA">
              <w:rPr>
                <w:rStyle w:val="Hyperlink"/>
                <w:b/>
                <w:noProof/>
              </w:rPr>
              <w:t>7.</w:t>
            </w:r>
            <w:r w:rsidR="00E6250D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E6250D" w:rsidRPr="00CC65EA">
              <w:rPr>
                <w:rStyle w:val="Hyperlink"/>
                <w:b/>
                <w:noProof/>
              </w:rPr>
              <w:t>PORADNÍ KOMISE PRO PRŮMYSLOVÉ ZMĚNY</w:t>
            </w:r>
            <w:r w:rsidR="00E6250D">
              <w:rPr>
                <w:noProof/>
                <w:webHidden/>
              </w:rPr>
              <w:tab/>
            </w:r>
            <w:r w:rsidR="00E6250D">
              <w:rPr>
                <w:noProof/>
                <w:webHidden/>
              </w:rPr>
              <w:fldChar w:fldCharType="begin"/>
            </w:r>
            <w:r w:rsidR="00E6250D">
              <w:rPr>
                <w:noProof/>
                <w:webHidden/>
              </w:rPr>
              <w:instrText xml:space="preserve"> PAGEREF _Toc217052803 \h </w:instrText>
            </w:r>
            <w:r w:rsidR="00E6250D">
              <w:rPr>
                <w:noProof/>
                <w:webHidden/>
              </w:rPr>
            </w:r>
            <w:r w:rsidR="00E6250D">
              <w:rPr>
                <w:noProof/>
                <w:webHidden/>
              </w:rPr>
              <w:fldChar w:fldCharType="separate"/>
            </w:r>
            <w:r w:rsidR="001262F7">
              <w:rPr>
                <w:noProof/>
                <w:webHidden/>
              </w:rPr>
              <w:t>20</w:t>
            </w:r>
            <w:r w:rsidR="00E6250D">
              <w:rPr>
                <w:noProof/>
                <w:webHidden/>
              </w:rPr>
              <w:fldChar w:fldCharType="end"/>
            </w:r>
          </w:hyperlink>
        </w:p>
        <w:p w14:paraId="4982DD6B" w14:textId="48AA937C" w:rsidR="004D7AC0" w:rsidRDefault="004D7AC0" w:rsidP="004D7AC0">
          <w:r>
            <w:rPr>
              <w:b/>
            </w:rPr>
            <w:fldChar w:fldCharType="end"/>
          </w:r>
        </w:p>
      </w:sdtContent>
    </w:sdt>
    <w:p w14:paraId="4982DD6C" w14:textId="77777777" w:rsidR="004D7AC0" w:rsidRDefault="004D7AC0" w:rsidP="004D7AC0">
      <w:pPr>
        <w:spacing w:after="160" w:line="259" w:lineRule="auto"/>
        <w:jc w:val="left"/>
      </w:pPr>
      <w:r>
        <w:br w:type="page"/>
      </w:r>
    </w:p>
    <w:p w14:paraId="4982DD6D" w14:textId="77777777" w:rsidR="004D7AC0" w:rsidRDefault="004D7AC0" w:rsidP="004D7AC0">
      <w:pPr>
        <w:pStyle w:val="Heading1"/>
        <w:rPr>
          <w:b/>
        </w:rPr>
      </w:pPr>
      <w:bookmarkStart w:id="0" w:name="_Toc217052793"/>
      <w:r>
        <w:rPr>
          <w:b/>
        </w:rPr>
        <w:lastRenderedPageBreak/>
        <w:t>HOSPODÁŘSKÁ A MĚNOVÁ UNIE, HOSPODÁŘSKÁ A SOCIÁLNÍ SOUDRŽNOST</w:t>
      </w:r>
      <w:bookmarkEnd w:id="0"/>
    </w:p>
    <w:p w14:paraId="4982DD6E" w14:textId="77777777" w:rsidR="004D7AC0" w:rsidRDefault="004D7AC0" w:rsidP="004D7AC0"/>
    <w:p w14:paraId="7E506423" w14:textId="3DBBE7F8" w:rsidR="00612898" w:rsidRPr="00612898" w:rsidRDefault="00066DA5" w:rsidP="006128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hanging="567"/>
        <w:textAlignment w:val="baseline"/>
        <w:rPr>
          <w:b/>
          <w:i/>
          <w:iCs/>
          <w:sz w:val="28"/>
          <w:szCs w:val="28"/>
        </w:rPr>
      </w:pPr>
      <w:hyperlink r:id="rId15" w:history="1">
        <w:r w:rsidR="0022097D">
          <w:rPr>
            <w:rStyle w:val="Hyperlink"/>
            <w:b/>
            <w:i/>
            <w:sz w:val="28"/>
          </w:rPr>
          <w:t>Provádění makroregionálních strategií EU – 5. zpráva</w:t>
        </w:r>
      </w:hyperlink>
    </w:p>
    <w:p w14:paraId="71C210C7" w14:textId="77777777" w:rsidR="0022097D" w:rsidRPr="008151EF" w:rsidRDefault="0022097D" w:rsidP="0022097D">
      <w:pPr>
        <w:widowControl w:val="0"/>
        <w:ind w:left="284"/>
        <w:rPr>
          <w:b/>
          <w:i/>
          <w:iCs/>
          <w:sz w:val="20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21"/>
      </w:tblGrid>
      <w:tr w:rsidR="0022097D" w:rsidRPr="00A6689B" w14:paraId="6995BF5A" w14:textId="77777777" w:rsidTr="00320B62">
        <w:tc>
          <w:tcPr>
            <w:tcW w:w="1701" w:type="dxa"/>
          </w:tcPr>
          <w:p w14:paraId="3D0A86EC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Zpravodaj</w:t>
            </w:r>
          </w:p>
        </w:tc>
        <w:tc>
          <w:tcPr>
            <w:tcW w:w="7621" w:type="dxa"/>
          </w:tcPr>
          <w:p w14:paraId="57E6E379" w14:textId="77777777" w:rsidR="0022097D" w:rsidRDefault="0022097D" w:rsidP="00320B62">
            <w:pPr>
              <w:tabs>
                <w:tab w:val="center" w:pos="284"/>
              </w:tabs>
              <w:ind w:left="266" w:hanging="266"/>
            </w:pPr>
            <w:r>
              <w:t>Stefano PALMIERI (skupina Zaměstnanci – IT)</w:t>
            </w:r>
          </w:p>
          <w:p w14:paraId="4FB18DB2" w14:textId="77777777" w:rsidR="0022097D" w:rsidRPr="00A37E38" w:rsidRDefault="0022097D" w:rsidP="00320B62">
            <w:pPr>
              <w:tabs>
                <w:tab w:val="center" w:pos="284"/>
              </w:tabs>
              <w:ind w:left="266" w:hanging="266"/>
              <w:rPr>
                <w:bCs/>
              </w:rPr>
            </w:pPr>
          </w:p>
        </w:tc>
      </w:tr>
      <w:tr w:rsidR="0022097D" w:rsidRPr="00D12508" w14:paraId="4F00DF47" w14:textId="77777777" w:rsidTr="00320B62">
        <w:tc>
          <w:tcPr>
            <w:tcW w:w="1701" w:type="dxa"/>
          </w:tcPr>
          <w:p w14:paraId="30DAC9CC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Odkazy</w:t>
            </w:r>
          </w:p>
        </w:tc>
        <w:tc>
          <w:tcPr>
            <w:tcW w:w="7621" w:type="dxa"/>
          </w:tcPr>
          <w:p w14:paraId="547C5260" w14:textId="77777777" w:rsidR="0022097D" w:rsidRPr="00861FFD" w:rsidRDefault="0022097D" w:rsidP="00320B62">
            <w:pPr>
              <w:tabs>
                <w:tab w:val="center" w:pos="284"/>
              </w:tabs>
              <w:ind w:left="266" w:hanging="266"/>
            </w:pPr>
            <w:r>
              <w:t>COM(2025) 191 final; COM(2025) 196 final</w:t>
            </w:r>
          </w:p>
          <w:p w14:paraId="407120B7" w14:textId="77777777" w:rsidR="0022097D" w:rsidRPr="00861FFD" w:rsidRDefault="0022097D" w:rsidP="00320B62">
            <w:pPr>
              <w:tabs>
                <w:tab w:val="center" w:pos="284"/>
              </w:tabs>
              <w:ind w:left="266" w:hanging="266"/>
            </w:pPr>
            <w:r>
              <w:t>EESC-2025-02216-00-00-AC-TRA</w:t>
            </w:r>
          </w:p>
        </w:tc>
      </w:tr>
    </w:tbl>
    <w:p w14:paraId="6F82759D" w14:textId="77777777" w:rsidR="0022097D" w:rsidRDefault="0022097D" w:rsidP="0022097D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7AE70B88" w14:textId="77777777" w:rsidR="0022097D" w:rsidRDefault="0022097D" w:rsidP="0022097D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Hlavní body</w:t>
      </w:r>
    </w:p>
    <w:p w14:paraId="0CB25838" w14:textId="77777777" w:rsidR="0022097D" w:rsidRDefault="0022097D" w:rsidP="0022097D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30EF20E8" w14:textId="77777777" w:rsidR="0022097D" w:rsidRDefault="0022097D" w:rsidP="0022097D">
      <w:r>
        <w:t>EHSV:</w:t>
      </w:r>
    </w:p>
    <w:p w14:paraId="60CE1F79" w14:textId="77777777" w:rsidR="0022097D" w:rsidRDefault="0022097D" w:rsidP="0022097D">
      <w:pPr>
        <w:rPr>
          <w:bCs/>
          <w:iCs/>
        </w:rPr>
      </w:pPr>
    </w:p>
    <w:p w14:paraId="5E9A51D4" w14:textId="77777777" w:rsidR="0022097D" w:rsidRDefault="0022097D" w:rsidP="007F6329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uznává úlohu makroregionálních strategií při vytváření víceúrovňových synergií mezi opatřeními, programy a subjekty. Byly přínosem pro ekologickou a digitální transformaci a během pandemie a současných geopolitických krizí významným způsobem přispěly k odolnosti a solidaritě;</w:t>
      </w:r>
    </w:p>
    <w:p w14:paraId="614208EE" w14:textId="77777777" w:rsidR="0022097D" w:rsidRDefault="0022097D" w:rsidP="007F6329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požaduje posílit vertikální i horizontální víceúrovňovou správu a zajistit účast místních struktur;</w:t>
      </w:r>
    </w:p>
    <w:p w14:paraId="3D5D8746" w14:textId="77777777" w:rsidR="0022097D" w:rsidRDefault="0022097D" w:rsidP="007F6329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vítá revizi a vyzývá k posílení sociálního rozměru, občanské účasti (včasně účasti mladých lidí) a meziregionální spolupráce. Z makroregionálních strategií se musí stát laboratoře sociálního začleňování a sociálních inovací, musí podporovat environmentální zdanění a lidský kapitál;</w:t>
      </w:r>
    </w:p>
    <w:p w14:paraId="481B6916" w14:textId="77777777" w:rsidR="0022097D" w:rsidRDefault="0022097D" w:rsidP="007F6329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bere na vědomí výsledky makroregionální strategie pro region Baltského moře (EUSBSR), která prosazovala udržitelnost a propojení v oblasti Baltského moře. Při její revizi v roce 2021, v jejímž rámci byl zřízen strategický bod pro region Baltského moře, byla posílena spolupráce a správa. Strategie je i navzdory přerušení vztahů s Ruskem a Běloruskem nadále platná;</w:t>
      </w:r>
    </w:p>
    <w:p w14:paraId="5E9B56F8" w14:textId="77777777" w:rsidR="0022097D" w:rsidRDefault="0022097D" w:rsidP="007F6329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poukazuje na pokrok, kterého bylo dosaženo v rámci makroregionální strategie pro dunajský region (EUSDR). Při revizi v roce 2020 byl posílen soulad s prioritami EU a účast mladých lidí, i když nerovnoměrně a s nejednotnými politickými závazky. Předsednictví prosazovala inovace a správu věcí veřejných;</w:t>
      </w:r>
    </w:p>
    <w:p w14:paraId="08644A1B" w14:textId="77777777" w:rsidR="0022097D" w:rsidRDefault="0022097D" w:rsidP="007F6329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vyzdvihuje výsledky makroregionální strategie pro jadransko-jónský region (EUSAIR), jejíž akční plán byl nedávno aktualizován a byl do něj zapracován pátý sociální pilíř. Tato strategie je zaměřena na otázky rozšíření, oběhového hospodářství a digitalizace a posiluje partnerství a odolnost;</w:t>
      </w:r>
    </w:p>
    <w:p w14:paraId="0A7B9167" w14:textId="77777777" w:rsidR="0022097D" w:rsidRDefault="0022097D" w:rsidP="007F6329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hodnotí kladně makroregionální strategii pro alpský region (EUSALP), v níž byla upevněna spolupráce a stabilní správa věcí veřejných a umožněna účast třetích zemí. Při revizi byly doplněny priority v oblasti digitalizace, energetiky, vodních zdrojů a oběhového hospodářství;</w:t>
      </w:r>
    </w:p>
    <w:p w14:paraId="4185DA9C" w14:textId="77777777" w:rsidR="0022097D" w:rsidRDefault="0022097D" w:rsidP="007F6329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konstatuje, že rozšíření o země západního Balkánu, o Ukrajinu a Moldavsko je jednou ze strategických priorit a že makroregionální strategie mají potenciál posílit spolupráci a institucionální kapacity;</w:t>
      </w:r>
    </w:p>
    <w:p w14:paraId="4720635F" w14:textId="77777777" w:rsidR="0022097D" w:rsidRDefault="0022097D" w:rsidP="007F6329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poukazuje na skutečnost, že invaze Ruska na Ukrajinu ukázala funkci makroregionálních strategií coby nástrojů solidarity a odolnosti; </w:t>
      </w:r>
    </w:p>
    <w:p w14:paraId="4090FF0A" w14:textId="77777777" w:rsidR="0022097D" w:rsidRDefault="0022097D" w:rsidP="007F6329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domnívá se, že rozhodující význam má místní přístup makroregionálních strategií, který přizpůsobuje evropské priority specifikům jednotlivých území a podporuje soudržnost prostřednictvím nástrojů, jako je komunitně vedený místní rozvoj (CLLD) a inovační iniciativy, například na podporu účasti občanů a zaměstnanosti mladých lidí; </w:t>
      </w:r>
    </w:p>
    <w:p w14:paraId="15950012" w14:textId="77777777" w:rsidR="0022097D" w:rsidRDefault="0022097D" w:rsidP="007F6329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lastRenderedPageBreak/>
        <w:t xml:space="preserve">požaduje posílení správy věcí veřejných a financování a zohlednění priorit makroregionálních strategií v hlavních programech EU. Je třeba posílit místní kompetence, upevnit partnerství a aktivně zapojit občanskou společnost a mladé lidi; </w:t>
      </w:r>
    </w:p>
    <w:p w14:paraId="1030796D" w14:textId="77777777" w:rsidR="0022097D" w:rsidRDefault="0022097D" w:rsidP="007F6329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má za to, že nový víceletý finanční rámec (tj. rámec na období 2028–2034) představuje riziko pro řádné fungování makroregionálních strategií. Proto je nutné, aby v plánech partnerství byly zohledněny priority týkající se makroregionálních strategií;</w:t>
      </w:r>
    </w:p>
    <w:p w14:paraId="2EAEF7A2" w14:textId="77777777" w:rsidR="0022097D" w:rsidRDefault="0022097D" w:rsidP="007F6329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vyzdvihuje nutnost transparentní, odpovědné a etické správy ze strany institucí zapojených do makroregionálních strategií;</w:t>
      </w:r>
    </w:p>
    <w:p w14:paraId="095EBBB3" w14:textId="77777777" w:rsidR="0022097D" w:rsidRPr="00D12508" w:rsidRDefault="0022097D" w:rsidP="007F6329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požaduje vytvořit nový makroregion v oblasti Středozemního moře s cílem řešit společné problémy, jako je změna klimatu, migrační toky, transformace energetiky a modrá udržitelnost.</w:t>
      </w:r>
    </w:p>
    <w:p w14:paraId="12537E33" w14:textId="77777777" w:rsidR="0022097D" w:rsidRPr="00DE6065" w:rsidRDefault="0022097D" w:rsidP="0022097D">
      <w:pPr>
        <w:pStyle w:val="ListParagraph"/>
        <w:ind w:left="360"/>
        <w:rPr>
          <w:bCs/>
          <w:iCs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904"/>
      </w:tblGrid>
      <w:tr w:rsidR="0022097D" w:rsidRPr="00A6689B" w14:paraId="4982A6A4" w14:textId="77777777" w:rsidTr="00320B62">
        <w:tc>
          <w:tcPr>
            <w:tcW w:w="1418" w:type="dxa"/>
          </w:tcPr>
          <w:p w14:paraId="281D1889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7904" w:type="dxa"/>
          </w:tcPr>
          <w:p w14:paraId="7F430779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Georgios Meleas</w:t>
            </w:r>
          </w:p>
        </w:tc>
      </w:tr>
      <w:tr w:rsidR="0022097D" w:rsidRPr="00A6689B" w14:paraId="62DE63C2" w14:textId="77777777" w:rsidTr="00320B62">
        <w:tc>
          <w:tcPr>
            <w:tcW w:w="1418" w:type="dxa"/>
          </w:tcPr>
          <w:p w14:paraId="343FBAD2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7904" w:type="dxa"/>
          </w:tcPr>
          <w:p w14:paraId="0BEECA95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+32 2</w:t>
            </w:r>
            <w:r w:rsidRPr="001262F7">
              <w:rPr>
                <w:sz w:val="20"/>
                <w:szCs w:val="20"/>
              </w:rPr>
              <w:t xml:space="preserve"> </w:t>
            </w:r>
            <w:r w:rsidRPr="001262F7">
              <w:rPr>
                <w:i/>
                <w:sz w:val="20"/>
                <w:szCs w:val="20"/>
              </w:rPr>
              <w:t>546 9795</w:t>
            </w:r>
          </w:p>
        </w:tc>
      </w:tr>
      <w:tr w:rsidR="0022097D" w:rsidRPr="00A6689B" w14:paraId="5486F3D0" w14:textId="77777777" w:rsidTr="00320B62">
        <w:tc>
          <w:tcPr>
            <w:tcW w:w="1418" w:type="dxa"/>
          </w:tcPr>
          <w:p w14:paraId="08A5FB12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7904" w:type="dxa"/>
          </w:tcPr>
          <w:p w14:paraId="629DA319" w14:textId="77777777" w:rsidR="0022097D" w:rsidRPr="001262F7" w:rsidRDefault="00066DA5" w:rsidP="00320B62">
            <w:pPr>
              <w:rPr>
                <w:i/>
                <w:iCs/>
                <w:sz w:val="20"/>
                <w:szCs w:val="20"/>
              </w:rPr>
            </w:pPr>
            <w:hyperlink r:id="rId16" w:history="1">
              <w:r w:rsidR="0022097D" w:rsidRPr="001262F7">
                <w:rPr>
                  <w:rStyle w:val="Hyperlink"/>
                  <w:i/>
                  <w:sz w:val="20"/>
                  <w:szCs w:val="20"/>
                </w:rPr>
                <w:t>Georgios.Meleas@eesc.europa.eu</w:t>
              </w:r>
            </w:hyperlink>
          </w:p>
        </w:tc>
      </w:tr>
    </w:tbl>
    <w:p w14:paraId="58444475" w14:textId="77777777" w:rsidR="0022097D" w:rsidRDefault="0022097D" w:rsidP="0022097D"/>
    <w:p w14:paraId="3D5F647F" w14:textId="77777777" w:rsidR="0022097D" w:rsidRDefault="00612898" w:rsidP="0022097D">
      <w:pPr>
        <w:spacing w:after="160" w:line="259" w:lineRule="auto"/>
        <w:jc w:val="left"/>
      </w:pPr>
      <w:r>
        <w:br w:type="page"/>
      </w:r>
    </w:p>
    <w:p w14:paraId="0F9F21F9" w14:textId="30E6326C" w:rsidR="0022097D" w:rsidRDefault="00066DA5" w:rsidP="0022097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hanging="567"/>
        <w:textAlignment w:val="baseline"/>
        <w:rPr>
          <w:b/>
          <w:i/>
          <w:iCs/>
          <w:sz w:val="28"/>
          <w:szCs w:val="28"/>
        </w:rPr>
      </w:pPr>
      <w:hyperlink r:id="rId17" w:history="1">
        <w:r w:rsidR="0022097D">
          <w:rPr>
            <w:rStyle w:val="Hyperlink"/>
            <w:b/>
            <w:i/>
            <w:sz w:val="28"/>
          </w:rPr>
          <w:t>Zřízení Evropského fondu pro regionální rozvoj, včetně Evropské územní spolupráce (Interreg), a Fondu soudržnosti</w:t>
        </w:r>
      </w:hyperlink>
    </w:p>
    <w:p w14:paraId="66E70C05" w14:textId="77777777" w:rsidR="0022097D" w:rsidRPr="001262F7" w:rsidRDefault="0022097D" w:rsidP="0022097D">
      <w:pPr>
        <w:widowControl w:val="0"/>
        <w:ind w:left="284"/>
        <w:rPr>
          <w:b/>
          <w:i/>
          <w:iCs/>
          <w:sz w:val="16"/>
          <w:szCs w:val="16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21"/>
      </w:tblGrid>
      <w:tr w:rsidR="0022097D" w:rsidRPr="00A6689B" w14:paraId="66A8BD6E" w14:textId="77777777" w:rsidTr="00320B62">
        <w:tc>
          <w:tcPr>
            <w:tcW w:w="1701" w:type="dxa"/>
          </w:tcPr>
          <w:p w14:paraId="48C50F5B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Zpravodaj</w:t>
            </w:r>
          </w:p>
        </w:tc>
        <w:tc>
          <w:tcPr>
            <w:tcW w:w="7621" w:type="dxa"/>
          </w:tcPr>
          <w:p w14:paraId="4AEAF358" w14:textId="77777777" w:rsidR="0022097D" w:rsidRDefault="0022097D" w:rsidP="00320B62">
            <w:pPr>
              <w:tabs>
                <w:tab w:val="center" w:pos="284"/>
              </w:tabs>
              <w:ind w:left="266" w:hanging="266"/>
            </w:pPr>
            <w:r>
              <w:t>David SVENTEK (Zaměstnavatelé – CZ)</w:t>
            </w:r>
          </w:p>
          <w:p w14:paraId="32865647" w14:textId="77777777" w:rsidR="0022097D" w:rsidRPr="001262F7" w:rsidRDefault="0022097D" w:rsidP="00320B62">
            <w:pPr>
              <w:tabs>
                <w:tab w:val="center" w:pos="284"/>
              </w:tabs>
              <w:ind w:left="266" w:hanging="266"/>
              <w:rPr>
                <w:bCs/>
                <w:sz w:val="8"/>
                <w:szCs w:val="8"/>
              </w:rPr>
            </w:pPr>
          </w:p>
        </w:tc>
      </w:tr>
      <w:tr w:rsidR="0022097D" w:rsidRPr="009B5E14" w14:paraId="67EABCAE" w14:textId="77777777" w:rsidTr="00320B62">
        <w:tc>
          <w:tcPr>
            <w:tcW w:w="1701" w:type="dxa"/>
          </w:tcPr>
          <w:p w14:paraId="7278046B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Odkazy</w:t>
            </w:r>
          </w:p>
        </w:tc>
        <w:tc>
          <w:tcPr>
            <w:tcW w:w="7621" w:type="dxa"/>
          </w:tcPr>
          <w:p w14:paraId="014E6673" w14:textId="77777777" w:rsidR="0022097D" w:rsidRPr="00861FFD" w:rsidRDefault="0022097D" w:rsidP="00320B62">
            <w:pPr>
              <w:tabs>
                <w:tab w:val="center" w:pos="284"/>
              </w:tabs>
              <w:ind w:left="266" w:hanging="266"/>
            </w:pPr>
            <w:r>
              <w:t>COM(2025) 552 final</w:t>
            </w:r>
          </w:p>
          <w:p w14:paraId="37BCFAB5" w14:textId="77777777" w:rsidR="0022097D" w:rsidRPr="00861FFD" w:rsidRDefault="0022097D" w:rsidP="00320B62">
            <w:pPr>
              <w:tabs>
                <w:tab w:val="center" w:pos="284"/>
              </w:tabs>
              <w:ind w:left="266" w:hanging="266"/>
            </w:pPr>
            <w:r>
              <w:t>EESC-2025-03305-00-00-AC-TRA</w:t>
            </w:r>
          </w:p>
        </w:tc>
      </w:tr>
    </w:tbl>
    <w:p w14:paraId="33555D17" w14:textId="77777777" w:rsidR="0022097D" w:rsidRPr="001262F7" w:rsidRDefault="0022097D" w:rsidP="0022097D">
      <w:pPr>
        <w:keepNext/>
        <w:keepLines/>
        <w:tabs>
          <w:tab w:val="center" w:pos="284"/>
        </w:tabs>
        <w:ind w:left="266" w:hanging="266"/>
        <w:rPr>
          <w:b/>
          <w:sz w:val="16"/>
          <w:szCs w:val="16"/>
        </w:rPr>
      </w:pPr>
    </w:p>
    <w:p w14:paraId="6CE11B30" w14:textId="77777777" w:rsidR="0022097D" w:rsidRDefault="0022097D" w:rsidP="0022097D">
      <w:pPr>
        <w:keepNext/>
        <w:keepLines/>
        <w:tabs>
          <w:tab w:val="center" w:pos="284"/>
        </w:tabs>
        <w:ind w:left="266" w:hanging="266"/>
        <w:rPr>
          <w:b/>
        </w:rPr>
      </w:pPr>
      <w:r w:rsidRPr="003709BC">
        <w:rPr>
          <w:b/>
        </w:rPr>
        <w:t>Hlavní body</w:t>
      </w:r>
    </w:p>
    <w:p w14:paraId="12DCE67E" w14:textId="77777777" w:rsidR="0022097D" w:rsidRPr="001262F7" w:rsidRDefault="0022097D" w:rsidP="0022097D">
      <w:pPr>
        <w:keepNext/>
        <w:keepLines/>
        <w:tabs>
          <w:tab w:val="center" w:pos="284"/>
        </w:tabs>
        <w:ind w:left="266" w:hanging="266"/>
        <w:rPr>
          <w:b/>
          <w:sz w:val="16"/>
          <w:szCs w:val="16"/>
        </w:rPr>
      </w:pPr>
    </w:p>
    <w:p w14:paraId="3F833289" w14:textId="77777777" w:rsidR="0022097D" w:rsidRDefault="0022097D" w:rsidP="0022097D">
      <w:r w:rsidRPr="003709BC">
        <w:t>EHSV:</w:t>
      </w:r>
    </w:p>
    <w:p w14:paraId="2736858B" w14:textId="77777777" w:rsidR="0022097D" w:rsidRPr="001262F7" w:rsidRDefault="0022097D" w:rsidP="0022097D">
      <w:pPr>
        <w:rPr>
          <w:bCs/>
          <w:iCs/>
          <w:sz w:val="16"/>
          <w:szCs w:val="16"/>
        </w:rPr>
      </w:pPr>
    </w:p>
    <w:p w14:paraId="71ADDBD1" w14:textId="77777777" w:rsidR="0022097D" w:rsidRDefault="0022097D" w:rsidP="007F6329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 w:rsidRPr="003709BC">
        <w:t>zdůrazňuje, že potřeba snižovat rozdíly mezi regiony a územími zůstává jednou z klíčových priorit integrace EU a že využívání</w:t>
      </w:r>
      <w:r>
        <w:t xml:space="preserve"> tradičních, osvědčených a účinných nástrojů politiky soudržnosti představuje správný způsob, jak podporovat udržitelnou prosperitu ve všech regionech EU;</w:t>
      </w:r>
    </w:p>
    <w:p w14:paraId="35D6D537" w14:textId="77777777" w:rsidR="0022097D" w:rsidRDefault="0022097D" w:rsidP="007F6329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doporučuje vyjasnit úlohu Evropského fondu pro regionální rozvoj (EFRR) a Fondu soudržnosti v rámci Fondu národních a regionálních partnerství (NRPF), a to nejen prostřednictvím obecných a specifických cílů, ale také konkrétním rozpracováním ve předmětném nařízení. uvítal by, kdyby byl návrh nařízení, jenž je předmětem tohoto stanoviska, rozpracován a doplněn alespoň o přílohu s pokyny, jak účinně začlenit EFRR a Fond soudržnosti do NRPF;</w:t>
      </w:r>
    </w:p>
    <w:p w14:paraId="0DBE753A" w14:textId="77777777" w:rsidR="0022097D" w:rsidRDefault="0022097D" w:rsidP="007F6329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trvá na tom, že nová úprava by neměla vést ke snížení významu a omezení poslání EFRR a Fondu soudržnosti, zejména pokud jde o podporu rozvoje zaostávajících regionů a transformace průmyslových oblastí. Zdůrazňuje rovněž význam zásady partnerství při vytváření budoucích programů;</w:t>
      </w:r>
    </w:p>
    <w:p w14:paraId="5EA3E82B" w14:textId="77777777" w:rsidR="0022097D" w:rsidRDefault="0022097D" w:rsidP="007F6329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souhlasí s obsahem a tematickým zaměřením budoucího programu Interreg i s tím, jak má být v konkrétních navržených případech zajištěna jeho součinnost s programem Globální Evropa;</w:t>
      </w:r>
    </w:p>
    <w:p w14:paraId="510E9901" w14:textId="77777777" w:rsidR="0022097D" w:rsidRDefault="0022097D" w:rsidP="007F6329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celkově souhlasí s inovativním přístupem návrhu, co se týče budoucnosti zavedeného programu Interreg, zejména pokud jde o schválení prováděcí struktury na úrovni jednotlivých kapitol Plánu Interreg;</w:t>
      </w:r>
    </w:p>
    <w:p w14:paraId="38109DF8" w14:textId="77777777" w:rsidR="0022097D" w:rsidRDefault="0022097D" w:rsidP="007F6329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upozorňuje na riziko, že příslušné subjekty na regionální přeshraniční úrovni nebudou schopny dosáhnout dohody, neboť návrh nařízení není příliš podrobný. Doporučuje rovněž přijmout prováděcí akt ihned po přijetí nařízení;</w:t>
      </w:r>
    </w:p>
    <w:p w14:paraId="70890E6E" w14:textId="77777777" w:rsidR="0022097D" w:rsidRDefault="0022097D" w:rsidP="007F6329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doporučuje zajistit, aby výklad a provádění fondů na úrovni členských států byly srovnatelné a aby mezi členskými státy neexistovaly žádné významné rozdíly;</w:t>
      </w:r>
    </w:p>
    <w:p w14:paraId="54FB7BE9" w14:textId="77777777" w:rsidR="0022097D" w:rsidRDefault="0022097D" w:rsidP="007F6329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podporuje zjednodušení prováděcích a administrativních postupů za účelem účinnějšího využívání finančních prostředků;</w:t>
      </w:r>
    </w:p>
    <w:p w14:paraId="4ECD6D7D" w14:textId="77777777" w:rsidR="0022097D" w:rsidRPr="003709BC" w:rsidRDefault="0022097D" w:rsidP="007F6329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oceňuje, že návrh nařízení o EFRR a Fondu soudržnosti počítá také s možností podporovat udržitelný rozvoj měst a v rámci něj i integrované strategie rozvoje měst a území, které by se zaměřovaly na udržitelný rozvoj a řešily by výzvy v oblasti životního prostředí, energetiky a klimatu, ale i spravedlivé transformace na čisté, klimaticky neutrální a odolné hospodářství, přičemž by zvláštní pozornost věnovaly dostupnému bydlení, chudobě, kulturnímu dědictví a využití potenciálu digitálních technologií pro účely inovací a energetické účinnosti.</w:t>
      </w:r>
    </w:p>
    <w:p w14:paraId="39EE3811" w14:textId="77777777" w:rsidR="0022097D" w:rsidRPr="001262F7" w:rsidRDefault="0022097D" w:rsidP="0022097D">
      <w:pPr>
        <w:pStyle w:val="ListParagraph"/>
        <w:keepNext/>
        <w:keepLines/>
        <w:ind w:left="284"/>
        <w:rPr>
          <w:bCs/>
          <w:iCs/>
          <w:sz w:val="16"/>
          <w:szCs w:val="16"/>
        </w:rPr>
      </w:pPr>
    </w:p>
    <w:tbl>
      <w:tblPr>
        <w:tblStyle w:val="TableGrid"/>
        <w:tblW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920"/>
      </w:tblGrid>
      <w:tr w:rsidR="0022097D" w:rsidRPr="00A6689B" w14:paraId="5AC32D6A" w14:textId="77777777" w:rsidTr="001262F7">
        <w:tc>
          <w:tcPr>
            <w:tcW w:w="1418" w:type="dxa"/>
          </w:tcPr>
          <w:p w14:paraId="02E9ADFC" w14:textId="77777777" w:rsidR="0022097D" w:rsidRPr="001262F7" w:rsidRDefault="0022097D" w:rsidP="0022097D">
            <w:pPr>
              <w:keepNext/>
              <w:keepLines/>
              <w:rPr>
                <w:i/>
                <w:sz w:val="20"/>
                <w:szCs w:val="20"/>
              </w:rPr>
            </w:pPr>
            <w:r w:rsidRPr="001262F7">
              <w:rPr>
                <w:b/>
                <w:i/>
                <w:sz w:val="20"/>
                <w:szCs w:val="20"/>
              </w:rPr>
              <w:t>Kontakt</w:t>
            </w:r>
          </w:p>
        </w:tc>
        <w:tc>
          <w:tcPr>
            <w:tcW w:w="5920" w:type="dxa"/>
          </w:tcPr>
          <w:p w14:paraId="59C44CCD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Georgios MELEAS</w:t>
            </w:r>
          </w:p>
        </w:tc>
      </w:tr>
      <w:tr w:rsidR="0022097D" w:rsidRPr="00A6689B" w14:paraId="1AF8DD2A" w14:textId="77777777" w:rsidTr="001262F7">
        <w:tc>
          <w:tcPr>
            <w:tcW w:w="1418" w:type="dxa"/>
          </w:tcPr>
          <w:p w14:paraId="0CB21D4B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5920" w:type="dxa"/>
          </w:tcPr>
          <w:p w14:paraId="281A7B4C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+32 2</w:t>
            </w:r>
            <w:r w:rsidRPr="001262F7">
              <w:rPr>
                <w:sz w:val="20"/>
                <w:szCs w:val="20"/>
              </w:rPr>
              <w:t xml:space="preserve"> </w:t>
            </w:r>
            <w:r w:rsidRPr="001262F7">
              <w:rPr>
                <w:i/>
                <w:sz w:val="20"/>
                <w:szCs w:val="20"/>
              </w:rPr>
              <w:t>546 9795</w:t>
            </w:r>
          </w:p>
        </w:tc>
      </w:tr>
      <w:tr w:rsidR="0022097D" w:rsidRPr="00A6689B" w14:paraId="7BBCC87B" w14:textId="77777777" w:rsidTr="001262F7">
        <w:tc>
          <w:tcPr>
            <w:tcW w:w="1418" w:type="dxa"/>
          </w:tcPr>
          <w:p w14:paraId="584963D5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5920" w:type="dxa"/>
          </w:tcPr>
          <w:p w14:paraId="1287B87A" w14:textId="77777777" w:rsidR="0022097D" w:rsidRPr="001262F7" w:rsidRDefault="00066DA5" w:rsidP="00320B62">
            <w:pPr>
              <w:rPr>
                <w:i/>
                <w:iCs/>
                <w:sz w:val="20"/>
                <w:szCs w:val="20"/>
              </w:rPr>
            </w:pPr>
            <w:hyperlink r:id="rId18" w:history="1">
              <w:r w:rsidR="0022097D" w:rsidRPr="001262F7">
                <w:rPr>
                  <w:rStyle w:val="Hyperlink"/>
                  <w:i/>
                  <w:sz w:val="20"/>
                  <w:szCs w:val="20"/>
                </w:rPr>
                <w:t>Georgios.Meleas@eesc.europa.eu</w:t>
              </w:r>
            </w:hyperlink>
          </w:p>
        </w:tc>
      </w:tr>
    </w:tbl>
    <w:p w14:paraId="7BEA414F" w14:textId="5B1FFEA1" w:rsidR="0022097D" w:rsidRDefault="0022097D" w:rsidP="0022097D">
      <w:pPr>
        <w:spacing w:after="160" w:line="259" w:lineRule="auto"/>
        <w:jc w:val="left"/>
      </w:pPr>
      <w:r>
        <w:br w:type="page"/>
      </w:r>
    </w:p>
    <w:p w14:paraId="4982DD99" w14:textId="4F8B0BF7" w:rsidR="004D7AC0" w:rsidRDefault="004D7AC0" w:rsidP="004D7AC0">
      <w:pPr>
        <w:pStyle w:val="Heading1"/>
        <w:rPr>
          <w:b/>
        </w:rPr>
      </w:pPr>
      <w:bookmarkStart w:id="1" w:name="_Toc75527081"/>
      <w:bookmarkStart w:id="2" w:name="_Toc217052794"/>
      <w:r>
        <w:rPr>
          <w:b/>
        </w:rPr>
        <w:lastRenderedPageBreak/>
        <w:t>ZAMĚSTNANOST, SOCIÁLNÍ VĚCI, OBČANSTVÍ</w:t>
      </w:r>
      <w:bookmarkEnd w:id="1"/>
      <w:bookmarkEnd w:id="2"/>
    </w:p>
    <w:p w14:paraId="0203F323" w14:textId="77777777" w:rsidR="00C24C34" w:rsidRPr="001262F7" w:rsidRDefault="00C24C34" w:rsidP="004D7AC0">
      <w:pPr>
        <w:rPr>
          <w:sz w:val="16"/>
          <w:szCs w:val="16"/>
        </w:rPr>
      </w:pPr>
    </w:p>
    <w:p w14:paraId="0D85C8AE" w14:textId="5AE63280" w:rsidR="00E972B2" w:rsidRPr="00E972B2" w:rsidRDefault="00066DA5" w:rsidP="00E972B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/>
        </w:rPr>
      </w:pPr>
      <w:hyperlink r:id="rId19" w:history="1">
        <w:r w:rsidR="0022097D">
          <w:rPr>
            <w:rStyle w:val="Hyperlink"/>
            <w:b/>
            <w:i/>
            <w:sz w:val="28"/>
          </w:rPr>
          <w:t>Pracovní práva novinářů</w:t>
        </w:r>
      </w:hyperlink>
    </w:p>
    <w:p w14:paraId="2E793C76" w14:textId="77777777" w:rsidR="0022097D" w:rsidRPr="001262F7" w:rsidRDefault="0022097D" w:rsidP="0022097D">
      <w:pPr>
        <w:tabs>
          <w:tab w:val="center" w:pos="284"/>
        </w:tabs>
        <w:ind w:left="567" w:hanging="567"/>
        <w:rPr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8"/>
        <w:gridCol w:w="6237"/>
      </w:tblGrid>
      <w:tr w:rsidR="0022097D" w:rsidRPr="00C67392" w14:paraId="50C4486F" w14:textId="77777777" w:rsidTr="00320B62">
        <w:tc>
          <w:tcPr>
            <w:tcW w:w="1701" w:type="dxa"/>
          </w:tcPr>
          <w:p w14:paraId="7C113C5A" w14:textId="77777777" w:rsidR="0022097D" w:rsidRDefault="0022097D" w:rsidP="00320B62">
            <w:pPr>
              <w:tabs>
                <w:tab w:val="center" w:pos="284"/>
              </w:tabs>
              <w:ind w:left="567" w:hanging="567"/>
              <w:rPr>
                <w:b/>
              </w:rPr>
            </w:pPr>
            <w:r>
              <w:rPr>
                <w:b/>
              </w:rPr>
              <w:t>Zpravodaj</w:t>
            </w:r>
          </w:p>
          <w:p w14:paraId="3C453F75" w14:textId="77777777" w:rsidR="0022097D" w:rsidRPr="00A6689B" w:rsidRDefault="0022097D" w:rsidP="00320B62">
            <w:pPr>
              <w:tabs>
                <w:tab w:val="center" w:pos="284"/>
              </w:tabs>
              <w:ind w:left="567" w:hanging="567"/>
              <w:rPr>
                <w:b/>
              </w:rPr>
            </w:pPr>
            <w:r>
              <w:rPr>
                <w:b/>
              </w:rPr>
              <w:t>Spoluzpravodaj</w:t>
            </w:r>
          </w:p>
        </w:tc>
        <w:tc>
          <w:tcPr>
            <w:tcW w:w="6237" w:type="dxa"/>
          </w:tcPr>
          <w:p w14:paraId="47A04199" w14:textId="77777777" w:rsidR="0022097D" w:rsidRDefault="0022097D" w:rsidP="00320B62">
            <w:pPr>
              <w:ind w:left="567" w:hanging="567"/>
            </w:pPr>
            <w:r>
              <w:t>José Antonio MORENO DÍAZ (Zaměstnanci – ES)</w:t>
            </w:r>
          </w:p>
          <w:p w14:paraId="6A01591B" w14:textId="77777777" w:rsidR="0022097D" w:rsidRPr="00C67392" w:rsidRDefault="0022097D" w:rsidP="00320B62">
            <w:pPr>
              <w:ind w:left="567" w:hanging="567"/>
            </w:pPr>
            <w:r>
              <w:t>Christian MOOS (Organizace občanské společnosti – DE)</w:t>
            </w:r>
          </w:p>
        </w:tc>
      </w:tr>
      <w:tr w:rsidR="0022097D" w:rsidRPr="00CA1E86" w14:paraId="4A6C3F78" w14:textId="77777777" w:rsidTr="00320B62">
        <w:tc>
          <w:tcPr>
            <w:tcW w:w="1701" w:type="dxa"/>
            <w:vMerge w:val="restart"/>
          </w:tcPr>
          <w:p w14:paraId="151BAC2F" w14:textId="77777777" w:rsidR="0022097D" w:rsidRPr="00D15CFB" w:rsidRDefault="0022097D" w:rsidP="00320B62">
            <w:pPr>
              <w:tabs>
                <w:tab w:val="center" w:pos="284"/>
              </w:tabs>
              <w:ind w:left="567" w:hanging="567"/>
              <w:rPr>
                <w:b/>
                <w:sz w:val="14"/>
                <w:szCs w:val="14"/>
                <w:lang w:val="en-US"/>
              </w:rPr>
            </w:pPr>
          </w:p>
          <w:p w14:paraId="61A94317" w14:textId="77777777" w:rsidR="0022097D" w:rsidRPr="00A6689B" w:rsidRDefault="0022097D" w:rsidP="00320B62">
            <w:pPr>
              <w:tabs>
                <w:tab w:val="center" w:pos="284"/>
              </w:tabs>
              <w:ind w:left="567" w:hanging="567"/>
              <w:rPr>
                <w:b/>
              </w:rPr>
            </w:pPr>
            <w:r>
              <w:rPr>
                <w:b/>
              </w:rPr>
              <w:t>Odkaz</w:t>
            </w:r>
          </w:p>
        </w:tc>
        <w:tc>
          <w:tcPr>
            <w:tcW w:w="6237" w:type="dxa"/>
          </w:tcPr>
          <w:p w14:paraId="357FB627" w14:textId="77777777" w:rsidR="0022097D" w:rsidRPr="00D15CFB" w:rsidRDefault="0022097D" w:rsidP="00320B62">
            <w:pPr>
              <w:tabs>
                <w:tab w:val="center" w:pos="284"/>
              </w:tabs>
              <w:ind w:left="567" w:hanging="567"/>
              <w:rPr>
                <w:sz w:val="14"/>
                <w:szCs w:val="14"/>
                <w:lang w:val="pt-PT"/>
              </w:rPr>
            </w:pPr>
          </w:p>
          <w:p w14:paraId="7F7BC61D" w14:textId="77777777" w:rsidR="0022097D" w:rsidRPr="00A04AFA" w:rsidRDefault="0022097D" w:rsidP="00320B62">
            <w:pPr>
              <w:tabs>
                <w:tab w:val="center" w:pos="284"/>
              </w:tabs>
              <w:ind w:left="567" w:hanging="567"/>
            </w:pPr>
            <w:r>
              <w:t>EESC-2025-01400-00-00-AC-TRA</w:t>
            </w:r>
          </w:p>
        </w:tc>
      </w:tr>
      <w:tr w:rsidR="0022097D" w:rsidRPr="00CA1E86" w14:paraId="27F7B568" w14:textId="77777777" w:rsidTr="00320B62">
        <w:tc>
          <w:tcPr>
            <w:tcW w:w="1701" w:type="dxa"/>
            <w:vMerge/>
          </w:tcPr>
          <w:p w14:paraId="35CBBF07" w14:textId="77777777" w:rsidR="0022097D" w:rsidRPr="00A04AFA" w:rsidRDefault="0022097D" w:rsidP="00320B62">
            <w:pPr>
              <w:tabs>
                <w:tab w:val="center" w:pos="284"/>
              </w:tabs>
              <w:ind w:left="266" w:hanging="266"/>
              <w:rPr>
                <w:b/>
                <w:lang w:val="pt-PT"/>
              </w:rPr>
            </w:pPr>
          </w:p>
        </w:tc>
        <w:tc>
          <w:tcPr>
            <w:tcW w:w="6237" w:type="dxa"/>
          </w:tcPr>
          <w:p w14:paraId="646C409D" w14:textId="77777777" w:rsidR="0022097D" w:rsidRPr="001262F7" w:rsidRDefault="0022097D" w:rsidP="00320B62">
            <w:pPr>
              <w:tabs>
                <w:tab w:val="center" w:pos="284"/>
              </w:tabs>
              <w:ind w:left="266" w:hanging="266"/>
              <w:rPr>
                <w:sz w:val="16"/>
                <w:szCs w:val="16"/>
                <w:lang w:val="pt-PT"/>
              </w:rPr>
            </w:pPr>
          </w:p>
        </w:tc>
      </w:tr>
    </w:tbl>
    <w:p w14:paraId="64F71F9C" w14:textId="77777777" w:rsidR="0022097D" w:rsidRDefault="0022097D" w:rsidP="0022097D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Hlavní body</w:t>
      </w:r>
    </w:p>
    <w:p w14:paraId="778492CA" w14:textId="77777777" w:rsidR="0022097D" w:rsidRPr="001262F7" w:rsidRDefault="0022097D" w:rsidP="0022097D">
      <w:pPr>
        <w:keepNext/>
        <w:keepLines/>
        <w:tabs>
          <w:tab w:val="center" w:pos="284"/>
        </w:tabs>
        <w:ind w:left="266" w:hanging="266"/>
        <w:rPr>
          <w:b/>
          <w:sz w:val="16"/>
          <w:szCs w:val="16"/>
        </w:rPr>
      </w:pPr>
    </w:p>
    <w:p w14:paraId="34003789" w14:textId="77777777" w:rsidR="0022097D" w:rsidRDefault="0022097D" w:rsidP="0022097D">
      <w:pPr>
        <w:keepNext/>
        <w:keepLines/>
        <w:tabs>
          <w:tab w:val="center" w:pos="284"/>
        </w:tabs>
        <w:ind w:left="266" w:hanging="266"/>
      </w:pPr>
      <w:r>
        <w:t>EHSV:</w:t>
      </w:r>
    </w:p>
    <w:p w14:paraId="075F48D5" w14:textId="77777777" w:rsidR="0022097D" w:rsidRPr="001262F7" w:rsidRDefault="0022097D" w:rsidP="0022097D">
      <w:pPr>
        <w:keepNext/>
        <w:keepLines/>
        <w:tabs>
          <w:tab w:val="center" w:pos="284"/>
        </w:tabs>
        <w:ind w:left="266" w:hanging="266"/>
        <w:rPr>
          <w:b/>
          <w:bCs/>
          <w:sz w:val="16"/>
          <w:szCs w:val="16"/>
        </w:rPr>
      </w:pPr>
    </w:p>
    <w:p w14:paraId="6D79C07C" w14:textId="77777777" w:rsidR="0022097D" w:rsidRPr="00220959" w:rsidRDefault="0022097D" w:rsidP="001262F7">
      <w:pPr>
        <w:pStyle w:val="Heading2"/>
        <w:spacing w:line="264" w:lineRule="auto"/>
        <w:ind w:left="284" w:hanging="284"/>
      </w:pPr>
      <w:bookmarkStart w:id="3" w:name="_Toc217052795"/>
      <w:r>
        <w:t>naléhá na veřejné orgány, aby přijaly naléhavá ochranná opatření proti rostoucí nejistotě novinářů, a požaduje, aby byl v plném rozsahu uplatňován evropský akt o svobodě médií. Dále vyzývá, aby se kromě stávajících dotací poskytovala nezávislá podpora sdělovacím prostředkům s cílem zajistit udržitelnost evropského mediálního odvětví a aby byly výrazně navýšeny finanční prostředky na ochranu zdravého informačního ekosystému;</w:t>
      </w:r>
      <w:bookmarkEnd w:id="3"/>
    </w:p>
    <w:p w14:paraId="72DA3C38" w14:textId="77777777" w:rsidR="0022097D" w:rsidRPr="00443B69" w:rsidRDefault="0022097D" w:rsidP="001262F7">
      <w:pPr>
        <w:pStyle w:val="Heading2"/>
        <w:spacing w:line="264" w:lineRule="auto"/>
        <w:ind w:left="284" w:hanging="284"/>
        <w:rPr>
          <w:bCs/>
        </w:rPr>
      </w:pPr>
      <w:bookmarkStart w:id="4" w:name="_Toc217052796"/>
      <w:r>
        <w:t>vyzývá Komisi, aby předložila ambiciózní balíček politických a investičních opatření s cílem podpořit kvalitní pracovní místa v mediálním odvětví, a apeluje na vlády členských států, aby podporovaly sociální dialog a kolektivní vyjednávání, při nichž budou prosazována práva všech novinářů, včetně těch nezávislých, a případně provedly do svých právních řádů směrnici o přiměřených minimálních mzdách</w:t>
      </w:r>
      <w:r w:rsidRPr="00220959">
        <w:rPr>
          <w:sz w:val="24"/>
          <w:szCs w:val="24"/>
          <w:vertAlign w:val="superscript"/>
        </w:rPr>
        <w:footnoteReference w:id="1"/>
      </w:r>
      <w:r>
        <w:t xml:space="preserve"> a pokyny k uplatňování právních předpisů Unie v oblasti hospodářské soutěže na kolektivní smlouvy týkající se pracovních podmínek osob samostatně výdělečně činných bez zaměstnanců</w:t>
      </w:r>
      <w:r w:rsidRPr="00220959">
        <w:rPr>
          <w:sz w:val="24"/>
          <w:szCs w:val="24"/>
          <w:vertAlign w:val="superscript"/>
        </w:rPr>
        <w:footnoteReference w:id="2"/>
      </w:r>
      <w:r>
        <w:t>. Vyzývá také Komisi a členské státy, aby bojovaly proti falešné samostatné výdělečné činnosti;</w:t>
      </w:r>
      <w:bookmarkEnd w:id="4"/>
    </w:p>
    <w:p w14:paraId="39453531" w14:textId="77777777" w:rsidR="0022097D" w:rsidRPr="00E351AA" w:rsidRDefault="0022097D" w:rsidP="001262F7">
      <w:pPr>
        <w:pStyle w:val="Heading2"/>
        <w:spacing w:line="264" w:lineRule="auto"/>
        <w:ind w:left="284" w:hanging="284"/>
      </w:pPr>
      <w:bookmarkStart w:id="5" w:name="_Toc217052797"/>
      <w:r>
        <w:t>vyzývá Komisi, aby podnikla kroky v návaznosti na doporučení ohledně ochrany, bezpečnosti a posílení postavení novinářů</w:t>
      </w:r>
      <w:r w:rsidRPr="00220959">
        <w:rPr>
          <w:sz w:val="24"/>
          <w:szCs w:val="24"/>
          <w:vertAlign w:val="superscript"/>
        </w:rPr>
        <w:footnoteReference w:id="3"/>
      </w:r>
      <w:r>
        <w:t>, a vyzdvihuje nutnost hlubší spolupráce s organizacemi novinářů s cílem vybudovat struktury, které by zaručily bezpečnost novinářů. Novináři jsou při své práci do velké míry vystaveni stresu, pocitu vyhoření, online obtěžování a digitálnímu přetížení. Bylo by vhodné, aby Komise zvážila, jaká opatření by měla být přijata v návaznosti na usnesení Evropského parlamentu ze dne 10. března 2022, v němž se požaduje přijmout směrnici o psychosociálních rizicích. EHSV je připraven přijmout k této záležitosti stanovisko</w:t>
      </w:r>
      <w:r w:rsidRPr="00C510E4">
        <w:rPr>
          <w:rStyle w:val="FootnoteReference"/>
        </w:rPr>
        <w:footnoteReference w:id="4"/>
      </w:r>
      <w:r>
        <w:t>;</w:t>
      </w:r>
      <w:bookmarkEnd w:id="5"/>
    </w:p>
    <w:p w14:paraId="2F167497" w14:textId="77777777" w:rsidR="0022097D" w:rsidRDefault="0022097D" w:rsidP="001262F7">
      <w:pPr>
        <w:pStyle w:val="Heading2"/>
        <w:pBdr>
          <w:top w:val="nil"/>
          <w:left w:val="nil"/>
          <w:bottom w:val="nil"/>
          <w:right w:val="nil"/>
          <w:between w:val="nil"/>
        </w:pBdr>
        <w:spacing w:line="264" w:lineRule="auto"/>
        <w:ind w:left="284" w:hanging="284"/>
      </w:pPr>
      <w:bookmarkStart w:id="6" w:name="_Toc217052798"/>
      <w:r>
        <w:t>vyzývá Komisi, aby v zájmu ochrany novinářů monitorovala uplatňování legislativního rámce EU týkajícího se využívání umělé inteligence (AI), a vybízí odborové svazy novinářů a mediální organizace, aby se v rámci sociálního dialogu zabývaly otázkami souvisejícími s využíváním umělé inteligence v redakcích, Požaduje zajistit finanční prostředky na projekty zaměřené na rozvoj gramotnosti novinářů v oblasti AI, zvážit, jakým způsobem by mohly být spolufinancovány tzv. evropské akademie žurnalistiky, poskytovat školení a případně i dotace na platy pro mladé novináře z mediálních společností, které si udržují vysoký standard, pokud jde o kvalitní žurnalistiku a pracovní podmínky.</w:t>
      </w:r>
      <w:bookmarkEnd w:id="6"/>
    </w:p>
    <w:p w14:paraId="0B838BE4" w14:textId="77777777" w:rsidR="0022097D" w:rsidRPr="001262F7" w:rsidRDefault="0022097D" w:rsidP="0022097D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4493"/>
      </w:tblGrid>
      <w:tr w:rsidR="0022097D" w:rsidRPr="00A6689B" w14:paraId="4C9DC22F" w14:textId="77777777" w:rsidTr="00320B62">
        <w:tc>
          <w:tcPr>
            <w:tcW w:w="1210" w:type="dxa"/>
          </w:tcPr>
          <w:p w14:paraId="509A64CC" w14:textId="77777777" w:rsidR="0022097D" w:rsidRPr="001262F7" w:rsidRDefault="0022097D" w:rsidP="00320B62">
            <w:pPr>
              <w:spacing w:line="240" w:lineRule="auto"/>
              <w:rPr>
                <w:i/>
                <w:sz w:val="20"/>
                <w:szCs w:val="20"/>
              </w:rPr>
            </w:pPr>
            <w:r w:rsidRPr="001262F7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4493" w:type="dxa"/>
          </w:tcPr>
          <w:p w14:paraId="4E19BE13" w14:textId="77777777" w:rsidR="0022097D" w:rsidRPr="001262F7" w:rsidRDefault="0022097D" w:rsidP="00320B62">
            <w:pPr>
              <w:spacing w:line="240" w:lineRule="auto"/>
              <w:ind w:hanging="12"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June Bedaton</w:t>
            </w:r>
          </w:p>
        </w:tc>
      </w:tr>
      <w:tr w:rsidR="0022097D" w:rsidRPr="00A6689B" w14:paraId="59BFC0DC" w14:textId="77777777" w:rsidTr="00320B62">
        <w:tc>
          <w:tcPr>
            <w:tcW w:w="1210" w:type="dxa"/>
          </w:tcPr>
          <w:p w14:paraId="5B2F5266" w14:textId="77777777" w:rsidR="0022097D" w:rsidRPr="001262F7" w:rsidRDefault="0022097D" w:rsidP="00320B62">
            <w:pPr>
              <w:spacing w:line="240" w:lineRule="auto"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4493" w:type="dxa"/>
          </w:tcPr>
          <w:p w14:paraId="4178FE47" w14:textId="77777777" w:rsidR="0022097D" w:rsidRPr="001262F7" w:rsidRDefault="0022097D" w:rsidP="00320B62">
            <w:pPr>
              <w:spacing w:line="240" w:lineRule="auto"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+32 25468134</w:t>
            </w:r>
          </w:p>
        </w:tc>
      </w:tr>
      <w:tr w:rsidR="0022097D" w:rsidRPr="00A6689B" w14:paraId="44410643" w14:textId="77777777" w:rsidTr="00320B62">
        <w:tc>
          <w:tcPr>
            <w:tcW w:w="1210" w:type="dxa"/>
          </w:tcPr>
          <w:p w14:paraId="2C56944F" w14:textId="77777777" w:rsidR="0022097D" w:rsidRPr="001262F7" w:rsidRDefault="0022097D" w:rsidP="00320B62">
            <w:pPr>
              <w:spacing w:line="240" w:lineRule="auto"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4493" w:type="dxa"/>
          </w:tcPr>
          <w:p w14:paraId="1084731E" w14:textId="77777777" w:rsidR="0022097D" w:rsidRPr="001262F7" w:rsidRDefault="00066DA5" w:rsidP="00320B62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hyperlink r:id="rId20" w:history="1">
              <w:r w:rsidR="0022097D" w:rsidRPr="001262F7">
                <w:rPr>
                  <w:rStyle w:val="Hyperlink"/>
                  <w:i/>
                  <w:sz w:val="20"/>
                  <w:szCs w:val="20"/>
                </w:rPr>
                <w:t>june.bedaton@eesc.europa.eu</w:t>
              </w:r>
            </w:hyperlink>
            <w:r w:rsidR="0022097D" w:rsidRPr="001262F7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3BBEED3B" w14:textId="6580B867" w:rsidR="008D0052" w:rsidRPr="008D0052" w:rsidRDefault="004D7AC0" w:rsidP="008D005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/>
        </w:rPr>
      </w:pPr>
      <w:r>
        <w:br w:type="page"/>
      </w:r>
      <w:hyperlink r:id="rId21" w:history="1">
        <w:r w:rsidR="0022097D">
          <w:rPr>
            <w:rStyle w:val="Hyperlink"/>
            <w:b/>
            <w:i/>
            <w:sz w:val="28"/>
          </w:rPr>
          <w:t>Programy AgoraEU a Spravedlnost</w:t>
        </w:r>
      </w:hyperlink>
    </w:p>
    <w:p w14:paraId="429B2E53" w14:textId="77777777" w:rsidR="0022097D" w:rsidRPr="00175210" w:rsidRDefault="0022097D" w:rsidP="0022097D">
      <w:pPr>
        <w:tabs>
          <w:tab w:val="center" w:pos="284"/>
        </w:tabs>
        <w:spacing w:line="276" w:lineRule="auto"/>
        <w:ind w:left="567" w:hanging="567"/>
        <w:rPr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237"/>
      </w:tblGrid>
      <w:tr w:rsidR="0022097D" w:rsidRPr="00003787" w14:paraId="3284330A" w14:textId="77777777" w:rsidTr="00320B62">
        <w:tc>
          <w:tcPr>
            <w:tcW w:w="1701" w:type="dxa"/>
          </w:tcPr>
          <w:p w14:paraId="564D02EA" w14:textId="77777777" w:rsidR="0022097D" w:rsidRPr="00A6689B" w:rsidRDefault="0022097D" w:rsidP="00320B62">
            <w:pPr>
              <w:tabs>
                <w:tab w:val="center" w:pos="284"/>
              </w:tabs>
              <w:spacing w:line="276" w:lineRule="auto"/>
              <w:ind w:left="567" w:hanging="567"/>
              <w:rPr>
                <w:b/>
              </w:rPr>
            </w:pPr>
            <w:r>
              <w:rPr>
                <w:b/>
              </w:rPr>
              <w:t>Zpravodaj</w:t>
            </w:r>
          </w:p>
        </w:tc>
        <w:tc>
          <w:tcPr>
            <w:tcW w:w="6237" w:type="dxa"/>
          </w:tcPr>
          <w:p w14:paraId="63759FE6" w14:textId="77777777" w:rsidR="0022097D" w:rsidRPr="00003787" w:rsidRDefault="0022097D" w:rsidP="00320B62">
            <w:pPr>
              <w:spacing w:line="276" w:lineRule="auto"/>
              <w:ind w:left="567" w:hanging="567"/>
            </w:pPr>
            <w:r>
              <w:t>Ionuţ SIBIAN (Organizace občanské společnosti – RO)</w:t>
            </w:r>
          </w:p>
        </w:tc>
      </w:tr>
      <w:tr w:rsidR="0022097D" w:rsidRPr="00CA1E86" w14:paraId="0C9C4A3E" w14:textId="77777777" w:rsidTr="00320B62">
        <w:tc>
          <w:tcPr>
            <w:tcW w:w="1701" w:type="dxa"/>
            <w:vMerge w:val="restart"/>
          </w:tcPr>
          <w:p w14:paraId="14A6E379" w14:textId="77777777" w:rsidR="0022097D" w:rsidRPr="00011900" w:rsidRDefault="0022097D" w:rsidP="00320B62">
            <w:pPr>
              <w:tabs>
                <w:tab w:val="center" w:pos="284"/>
              </w:tabs>
              <w:spacing w:line="276" w:lineRule="auto"/>
              <w:ind w:left="567" w:hanging="567"/>
              <w:rPr>
                <w:b/>
                <w:sz w:val="14"/>
                <w:szCs w:val="14"/>
                <w:lang w:val="en-US"/>
              </w:rPr>
            </w:pPr>
          </w:p>
          <w:p w14:paraId="61714E74" w14:textId="77777777" w:rsidR="0022097D" w:rsidRPr="00A6689B" w:rsidRDefault="0022097D" w:rsidP="00320B62">
            <w:pPr>
              <w:tabs>
                <w:tab w:val="center" w:pos="284"/>
              </w:tabs>
              <w:spacing w:line="276" w:lineRule="auto"/>
              <w:ind w:left="567" w:hanging="567"/>
              <w:rPr>
                <w:b/>
              </w:rPr>
            </w:pPr>
            <w:r>
              <w:rPr>
                <w:b/>
              </w:rPr>
              <w:t>Odkaz</w:t>
            </w:r>
          </w:p>
        </w:tc>
        <w:tc>
          <w:tcPr>
            <w:tcW w:w="6237" w:type="dxa"/>
          </w:tcPr>
          <w:p w14:paraId="52DBAC81" w14:textId="77777777" w:rsidR="0022097D" w:rsidRPr="00011900" w:rsidRDefault="0022097D" w:rsidP="00320B62">
            <w:pPr>
              <w:tabs>
                <w:tab w:val="center" w:pos="284"/>
              </w:tabs>
              <w:spacing w:line="276" w:lineRule="auto"/>
              <w:ind w:left="567" w:hanging="567"/>
              <w:rPr>
                <w:sz w:val="14"/>
                <w:szCs w:val="14"/>
                <w:lang w:val="pt-PT"/>
              </w:rPr>
            </w:pPr>
          </w:p>
          <w:p w14:paraId="5075AE13" w14:textId="77777777" w:rsidR="0022097D" w:rsidRDefault="0022097D" w:rsidP="00320B62">
            <w:pPr>
              <w:tabs>
                <w:tab w:val="center" w:pos="284"/>
              </w:tabs>
              <w:spacing w:line="276" w:lineRule="auto"/>
              <w:ind w:left="567" w:hanging="567"/>
            </w:pPr>
            <w:r>
              <w:t>EESC-2025-02823-00-00-AC</w:t>
            </w:r>
          </w:p>
          <w:p w14:paraId="4DA3E73E" w14:textId="77777777" w:rsidR="0022097D" w:rsidRDefault="0022097D" w:rsidP="00320B62">
            <w:pPr>
              <w:tabs>
                <w:tab w:val="center" w:pos="284"/>
              </w:tabs>
              <w:spacing w:line="276" w:lineRule="auto"/>
              <w:ind w:left="567" w:hanging="567"/>
            </w:pPr>
            <w:r>
              <w:t>COM(2025) 463 final</w:t>
            </w:r>
          </w:p>
          <w:p w14:paraId="23EB1549" w14:textId="77777777" w:rsidR="0022097D" w:rsidRPr="00A04AFA" w:rsidRDefault="0022097D" w:rsidP="00320B62">
            <w:pPr>
              <w:tabs>
                <w:tab w:val="center" w:pos="284"/>
              </w:tabs>
              <w:spacing w:line="276" w:lineRule="auto"/>
              <w:ind w:left="567" w:hanging="567"/>
            </w:pPr>
            <w:r>
              <w:t>COM(2025) 550 final</w:t>
            </w:r>
          </w:p>
        </w:tc>
      </w:tr>
      <w:tr w:rsidR="0022097D" w:rsidRPr="00AF7F99" w14:paraId="642CBAC6" w14:textId="77777777" w:rsidTr="00320B62">
        <w:tc>
          <w:tcPr>
            <w:tcW w:w="1701" w:type="dxa"/>
            <w:vMerge/>
          </w:tcPr>
          <w:p w14:paraId="62D8F341" w14:textId="77777777" w:rsidR="0022097D" w:rsidRPr="00A04AFA" w:rsidRDefault="0022097D" w:rsidP="00320B62">
            <w:pPr>
              <w:tabs>
                <w:tab w:val="center" w:pos="284"/>
              </w:tabs>
              <w:spacing w:line="276" w:lineRule="auto"/>
              <w:ind w:left="266" w:hanging="266"/>
              <w:rPr>
                <w:b/>
                <w:lang w:val="pt-PT"/>
              </w:rPr>
            </w:pPr>
          </w:p>
        </w:tc>
        <w:tc>
          <w:tcPr>
            <w:tcW w:w="6237" w:type="dxa"/>
          </w:tcPr>
          <w:p w14:paraId="37F8F070" w14:textId="77777777" w:rsidR="0022097D" w:rsidRPr="00AF7F99" w:rsidRDefault="0022097D" w:rsidP="00320B62">
            <w:pPr>
              <w:tabs>
                <w:tab w:val="center" w:pos="284"/>
              </w:tabs>
              <w:spacing w:line="276" w:lineRule="auto"/>
              <w:ind w:left="266" w:hanging="266"/>
              <w:rPr>
                <w:sz w:val="2"/>
                <w:szCs w:val="2"/>
                <w:lang w:val="pt-PT"/>
              </w:rPr>
            </w:pPr>
          </w:p>
        </w:tc>
      </w:tr>
    </w:tbl>
    <w:p w14:paraId="23061FB7" w14:textId="77777777" w:rsidR="0022097D" w:rsidRPr="00011900" w:rsidRDefault="0022097D" w:rsidP="0022097D">
      <w:pPr>
        <w:keepNext/>
        <w:keepLines/>
        <w:tabs>
          <w:tab w:val="center" w:pos="284"/>
        </w:tabs>
        <w:spacing w:line="276" w:lineRule="auto"/>
        <w:ind w:left="266" w:hanging="266"/>
        <w:rPr>
          <w:b/>
          <w:sz w:val="16"/>
          <w:szCs w:val="16"/>
        </w:rPr>
      </w:pPr>
    </w:p>
    <w:p w14:paraId="3CFB6488" w14:textId="77777777" w:rsidR="0022097D" w:rsidRDefault="0022097D" w:rsidP="0022097D">
      <w:pPr>
        <w:keepNext/>
        <w:keepLines/>
        <w:tabs>
          <w:tab w:val="center" w:pos="284"/>
        </w:tabs>
        <w:spacing w:line="276" w:lineRule="auto"/>
        <w:ind w:left="266" w:hanging="266"/>
        <w:rPr>
          <w:b/>
        </w:rPr>
      </w:pPr>
      <w:r>
        <w:rPr>
          <w:b/>
        </w:rPr>
        <w:t>Hlavní body</w:t>
      </w:r>
    </w:p>
    <w:p w14:paraId="134C7FF7" w14:textId="77777777" w:rsidR="0022097D" w:rsidRPr="00011900" w:rsidRDefault="0022097D" w:rsidP="0022097D">
      <w:pPr>
        <w:keepNext/>
        <w:keepLines/>
        <w:tabs>
          <w:tab w:val="center" w:pos="284"/>
        </w:tabs>
        <w:spacing w:line="276" w:lineRule="auto"/>
        <w:ind w:left="266" w:hanging="266"/>
        <w:rPr>
          <w:b/>
          <w:sz w:val="16"/>
          <w:szCs w:val="16"/>
        </w:rPr>
      </w:pPr>
    </w:p>
    <w:p w14:paraId="78D5CFF0" w14:textId="77777777" w:rsidR="0022097D" w:rsidRPr="002010CB" w:rsidRDefault="0022097D" w:rsidP="0022097D">
      <w:pPr>
        <w:pStyle w:val="NormalWeb"/>
        <w:spacing w:before="0" w:beforeAutospacing="0" w:after="0" w:afterAutospacing="0" w:line="276" w:lineRule="auto"/>
        <w:rPr>
          <w:sz w:val="22"/>
          <w:szCs w:val="22"/>
        </w:rPr>
      </w:pPr>
      <w:r>
        <w:rPr>
          <w:rStyle w:val="Strong"/>
          <w:sz w:val="22"/>
        </w:rPr>
        <w:t>EHSV:</w:t>
      </w:r>
    </w:p>
    <w:p w14:paraId="3D9726A5" w14:textId="77777777" w:rsidR="0022097D" w:rsidRPr="002010CB" w:rsidRDefault="0022097D" w:rsidP="007F6329">
      <w:pPr>
        <w:pStyle w:val="NormalWeb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</w:rPr>
        <w:t>vítá návrhy Komise týkající se programů AgoraEU a Spravedlnost a naléhá na Evropský parlament a Radu, aby návrhy schválily bez škrtů v navrhovaném finančním krytí;</w:t>
      </w:r>
    </w:p>
    <w:p w14:paraId="6AB2568A" w14:textId="77777777" w:rsidR="0022097D" w:rsidRPr="002010CB" w:rsidRDefault="0022097D" w:rsidP="007F6329">
      <w:pPr>
        <w:pStyle w:val="NormalWeb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</w:rPr>
        <w:t>vyzývá k výslovnému uznání prosazování zájmů za klíčovou součást činnosti organizací občanské společnosti a jejich role při tvorbě politik s cílem posílit demokracii a odolnost;</w:t>
      </w:r>
    </w:p>
    <w:p w14:paraId="56AEDABA" w14:textId="77777777" w:rsidR="0022097D" w:rsidRPr="002010CB" w:rsidRDefault="0022097D" w:rsidP="007F6329">
      <w:pPr>
        <w:pStyle w:val="NormalWeb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</w:rPr>
        <w:t>doporučuje stanovit granty na provozní náklady u všech složek programu AgoraEU s cílem posílit institucionální stabilitu organizací občanské společnosti a požaduje rozšířit granty na provozní náklady v rámci programu Spravedlnost na neziskové organizace obecného evropského zájmu;</w:t>
      </w:r>
    </w:p>
    <w:p w14:paraId="0D09EF4F" w14:textId="77777777" w:rsidR="0022097D" w:rsidRPr="002010CB" w:rsidRDefault="0022097D" w:rsidP="007F6329">
      <w:pPr>
        <w:pStyle w:val="NormalWeb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</w:rPr>
        <w:t>podporuje rozhodnutí zachovat finanční podporu poskytovanou třetím stranám prostřednictvím zprostředkovatelských organizací s cílem oslovit menší a místní organizace a požaduje, aby hlavními kritérii při výběru zprostředkovatelů byla jejich prokázaná nezávislost a slučitelnost jejich řízení s Listinou základních práv EU. EHSV rovněž požaduje konkretizovat sazby spolufinancování a navrhuje až 100% financování z prostředků EU pro zprostředkovatele a konečné příjemce, kteří vykonávají delegovanou činnost;</w:t>
      </w:r>
    </w:p>
    <w:p w14:paraId="512E6617" w14:textId="77777777" w:rsidR="0022097D" w:rsidRPr="002010CB" w:rsidRDefault="0022097D" w:rsidP="007F6329">
      <w:pPr>
        <w:pStyle w:val="NormalWeb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</w:rPr>
        <w:t>konstatuje, že je třeba přizpůsobit mandát a zdroje kanceláří programu Kreativní Evropa tak, aby účinně podporovaly širší působnost AgoraEU v oblasti kultury, sdělovacích prostředků a občanské angažovanosti;</w:t>
      </w:r>
    </w:p>
    <w:p w14:paraId="7C0F69A0" w14:textId="77777777" w:rsidR="0022097D" w:rsidRPr="002010CB" w:rsidRDefault="0022097D" w:rsidP="007F6329">
      <w:pPr>
        <w:pStyle w:val="NormalWeb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</w:rPr>
        <w:t>požaduje flexibilitu a záruky (jako je indexace či nápravné mechanismy) při uplatňování paušálních částech a víceletých grantů, aby se zabránilo finanční zátěži pro příjemce;</w:t>
      </w:r>
    </w:p>
    <w:p w14:paraId="76542731" w14:textId="77777777" w:rsidR="0022097D" w:rsidRPr="002010CB" w:rsidRDefault="0022097D" w:rsidP="007F6329">
      <w:pPr>
        <w:pStyle w:val="NormalWeb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</w:rPr>
        <w:t>požaduje vyjasnění ohledně synergií mezi Evropským fondem pro konkurenceschopnost (ECF) a složkou MEDIA+ programu AgoraEU. Naléhá na Komisi, aby propojila příjemce grantů a vypracovala akční plán, který umožní realizovat kombinované a kumulativní financování stanovené v obou navrhovaných nařízeních, včetně společných výzev, spolupráce mezi generálními ředitelstvími a monitorování výkonnosti;</w:t>
      </w:r>
    </w:p>
    <w:p w14:paraId="15707D9C" w14:textId="77777777" w:rsidR="0022097D" w:rsidRPr="002010CB" w:rsidRDefault="0022097D" w:rsidP="007F6329">
      <w:pPr>
        <w:pStyle w:val="NormalWeb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</w:rPr>
        <w:t>doporučuje posílit zaměření programu Spravedlnost na práva obětí a jejich přístup ke spravedlnosti, včetně financování podpůrných sítí, školení pro justiční odborníky a přeshraniční právní pomoci;</w:t>
      </w:r>
    </w:p>
    <w:p w14:paraId="178F986D" w14:textId="77777777" w:rsidR="0022097D" w:rsidRPr="002010CB" w:rsidRDefault="0022097D" w:rsidP="007F6329">
      <w:pPr>
        <w:pStyle w:val="NormalWeb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</w:rPr>
        <w:t>vyzývá k řešení rozdílů ve financování v rámci EU u obou programů, zejména rozdílu mezi zeměmi západní a východní Evropy;</w:t>
      </w:r>
    </w:p>
    <w:p w14:paraId="7AD73D66" w14:textId="77777777" w:rsidR="0022097D" w:rsidRPr="002010CB" w:rsidRDefault="0022097D" w:rsidP="007F6329">
      <w:pPr>
        <w:pStyle w:val="NormalWeb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</w:rPr>
        <w:t>lituje, že z nařízení o programu AgoraEU byla vypuštěna pracovní skupina pro dialog s občany, a naléhá na její opětovné zařazení;</w:t>
      </w:r>
    </w:p>
    <w:p w14:paraId="2E5B6DEA" w14:textId="77777777" w:rsidR="0022097D" w:rsidRPr="00011900" w:rsidRDefault="0022097D" w:rsidP="007F6329">
      <w:pPr>
        <w:pStyle w:val="NormalWeb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</w:rPr>
        <w:t>zdůrazňuje, že dopad programu závisí na odpovídající infrastruktuře a spolufinancování v jednotlivých členských státech, a navrhuje, aby byl přístup k fondům EU se sdíleným řízením podmíněn doloženým závazkem členských států k prosazování cílů programu AgoraEU a Spravedlnost.</w:t>
      </w:r>
    </w:p>
    <w:p w14:paraId="0494673A" w14:textId="77777777" w:rsidR="0022097D" w:rsidRPr="00011900" w:rsidRDefault="0022097D" w:rsidP="0022097D">
      <w:pPr>
        <w:pStyle w:val="NormalWeb"/>
        <w:spacing w:before="0" w:beforeAutospacing="0" w:after="0" w:afterAutospacing="0" w:line="276" w:lineRule="auto"/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4493"/>
      </w:tblGrid>
      <w:tr w:rsidR="0022097D" w:rsidRPr="00A6689B" w14:paraId="6010A961" w14:textId="77777777" w:rsidTr="00320B62">
        <w:tc>
          <w:tcPr>
            <w:tcW w:w="1210" w:type="dxa"/>
          </w:tcPr>
          <w:p w14:paraId="4C48DEE8" w14:textId="77777777" w:rsidR="0022097D" w:rsidRPr="001262F7" w:rsidRDefault="0022097D" w:rsidP="00320B62">
            <w:pPr>
              <w:spacing w:line="240" w:lineRule="auto"/>
              <w:rPr>
                <w:i/>
                <w:sz w:val="20"/>
                <w:szCs w:val="20"/>
              </w:rPr>
            </w:pPr>
            <w:r w:rsidRPr="001262F7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4493" w:type="dxa"/>
          </w:tcPr>
          <w:p w14:paraId="229C4506" w14:textId="77777777" w:rsidR="0022097D" w:rsidRPr="001262F7" w:rsidRDefault="0022097D" w:rsidP="00320B62">
            <w:pPr>
              <w:spacing w:line="240" w:lineRule="auto"/>
              <w:ind w:hanging="12"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Alessia Cova</w:t>
            </w:r>
          </w:p>
        </w:tc>
      </w:tr>
      <w:tr w:rsidR="0022097D" w:rsidRPr="00A6689B" w14:paraId="0C3A7D70" w14:textId="77777777" w:rsidTr="00320B62">
        <w:tc>
          <w:tcPr>
            <w:tcW w:w="1210" w:type="dxa"/>
          </w:tcPr>
          <w:p w14:paraId="7A3EE2E6" w14:textId="77777777" w:rsidR="0022097D" w:rsidRPr="001262F7" w:rsidRDefault="0022097D" w:rsidP="00320B62">
            <w:pPr>
              <w:spacing w:line="240" w:lineRule="auto"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4493" w:type="dxa"/>
          </w:tcPr>
          <w:p w14:paraId="59938AA3" w14:textId="77777777" w:rsidR="0022097D" w:rsidRPr="001262F7" w:rsidRDefault="0022097D" w:rsidP="00320B62">
            <w:pPr>
              <w:spacing w:line="240" w:lineRule="auto"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+32 25469426</w:t>
            </w:r>
          </w:p>
        </w:tc>
      </w:tr>
      <w:tr w:rsidR="0022097D" w:rsidRPr="00A6689B" w14:paraId="75037006" w14:textId="77777777" w:rsidTr="00320B62">
        <w:tc>
          <w:tcPr>
            <w:tcW w:w="1210" w:type="dxa"/>
          </w:tcPr>
          <w:p w14:paraId="3AEAEC95" w14:textId="77777777" w:rsidR="0022097D" w:rsidRPr="001262F7" w:rsidRDefault="0022097D" w:rsidP="00320B62">
            <w:pPr>
              <w:spacing w:line="240" w:lineRule="auto"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4493" w:type="dxa"/>
          </w:tcPr>
          <w:p w14:paraId="6182E120" w14:textId="77777777" w:rsidR="0022097D" w:rsidRPr="001262F7" w:rsidRDefault="00066DA5" w:rsidP="00320B62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hyperlink r:id="rId22" w:history="1">
              <w:r w:rsidR="0022097D" w:rsidRPr="001262F7">
                <w:rPr>
                  <w:rStyle w:val="Hyperlink"/>
                  <w:i/>
                  <w:sz w:val="20"/>
                  <w:szCs w:val="20"/>
                </w:rPr>
                <w:t>Alessia.Cova@eesc.europa.eu</w:t>
              </w:r>
            </w:hyperlink>
          </w:p>
        </w:tc>
      </w:tr>
    </w:tbl>
    <w:p w14:paraId="4007CAD4" w14:textId="77777777" w:rsidR="0022097D" w:rsidRDefault="0022097D">
      <w:pPr>
        <w:spacing w:after="160" w:line="259" w:lineRule="auto"/>
        <w:jc w:val="left"/>
      </w:pPr>
      <w:r>
        <w:br w:type="page"/>
      </w:r>
    </w:p>
    <w:p w14:paraId="3680584C" w14:textId="77777777" w:rsidR="004D7AC0" w:rsidRDefault="004D7AC0" w:rsidP="004D7AC0">
      <w:pPr>
        <w:spacing w:after="160" w:line="259" w:lineRule="auto"/>
        <w:jc w:val="left"/>
      </w:pPr>
    </w:p>
    <w:p w14:paraId="4982DDC6" w14:textId="77777777" w:rsidR="004D7AC0" w:rsidRDefault="004D7AC0" w:rsidP="004D7AC0">
      <w:pPr>
        <w:pStyle w:val="Heading1"/>
        <w:rPr>
          <w:b/>
        </w:rPr>
      </w:pPr>
      <w:bookmarkStart w:id="7" w:name="_Toc24617160"/>
      <w:bookmarkStart w:id="8" w:name="_Toc75527082"/>
      <w:bookmarkStart w:id="9" w:name="_Toc217052799"/>
      <w:r>
        <w:rPr>
          <w:b/>
        </w:rPr>
        <w:t>DOPRAVA, ENERGETIKA, INFRASTRUKTURA A INFORMAČNÍ SPOLEČNOST</w:t>
      </w:r>
      <w:bookmarkEnd w:id="7"/>
      <w:bookmarkEnd w:id="8"/>
      <w:bookmarkEnd w:id="9"/>
    </w:p>
    <w:p w14:paraId="4982DDC7" w14:textId="77777777" w:rsidR="004D7AC0" w:rsidRDefault="004D7AC0" w:rsidP="004D7AC0"/>
    <w:p w14:paraId="34EB6B62" w14:textId="4B4D98B3" w:rsidR="00BC676C" w:rsidRPr="00BC676C" w:rsidRDefault="00066DA5" w:rsidP="00BC676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r:id="rId23" w:history="1">
        <w:r w:rsidR="0022097D">
          <w:rPr>
            <w:rStyle w:val="Hyperlink"/>
            <w:b/>
            <w:i/>
            <w:sz w:val="28"/>
          </w:rPr>
          <w:t>Emisní třída CO</w:t>
        </w:r>
        <w:r w:rsidR="0022097D">
          <w:rPr>
            <w:rStyle w:val="Hyperlink"/>
            <w:b/>
            <w:i/>
            <w:sz w:val="28"/>
            <w:vertAlign w:val="subscript"/>
          </w:rPr>
          <w:t>2</w:t>
        </w:r>
        <w:r w:rsidR="0022097D">
          <w:rPr>
            <w:rStyle w:val="Hyperlink"/>
            <w:b/>
            <w:i/>
            <w:sz w:val="28"/>
          </w:rPr>
          <w:t xml:space="preserve"> těžkých vozidel s přípojnými vozidly</w:t>
        </w:r>
      </w:hyperlink>
    </w:p>
    <w:p w14:paraId="1BBA4823" w14:textId="77777777" w:rsidR="0022097D" w:rsidRPr="00AC7B06" w:rsidRDefault="0022097D" w:rsidP="0022097D">
      <w:pPr>
        <w:widowControl w:val="0"/>
        <w:ind w:left="567"/>
        <w:rPr>
          <w:sz w:val="20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21"/>
      </w:tblGrid>
      <w:tr w:rsidR="0022097D" w:rsidRPr="00E454A2" w14:paraId="1E8AAA36" w14:textId="77777777" w:rsidTr="00320B62">
        <w:tc>
          <w:tcPr>
            <w:tcW w:w="1701" w:type="dxa"/>
          </w:tcPr>
          <w:p w14:paraId="546E1B8A" w14:textId="77777777" w:rsidR="0022097D" w:rsidRPr="00AC7B06" w:rsidRDefault="0022097D" w:rsidP="00320B62">
            <w:pPr>
              <w:tabs>
                <w:tab w:val="center" w:pos="284"/>
              </w:tabs>
              <w:ind w:left="596" w:hanging="596"/>
              <w:rPr>
                <w:b/>
              </w:rPr>
            </w:pPr>
            <w:r>
              <w:rPr>
                <w:b/>
              </w:rPr>
              <w:t>Zpravodaj</w:t>
            </w:r>
          </w:p>
        </w:tc>
        <w:tc>
          <w:tcPr>
            <w:tcW w:w="7621" w:type="dxa"/>
          </w:tcPr>
          <w:p w14:paraId="1F235926" w14:textId="77777777" w:rsidR="0022097D" w:rsidRDefault="0022097D" w:rsidP="00320B62">
            <w:pPr>
              <w:tabs>
                <w:tab w:val="center" w:pos="284"/>
              </w:tabs>
              <w:ind w:left="720" w:hanging="720"/>
            </w:pPr>
            <w:r>
              <w:t>stanovisko kategorie C</w:t>
            </w:r>
          </w:p>
          <w:p w14:paraId="2A1FBC61" w14:textId="77777777" w:rsidR="0022097D" w:rsidRPr="00C236E8" w:rsidRDefault="0022097D" w:rsidP="00320B62">
            <w:pPr>
              <w:tabs>
                <w:tab w:val="center" w:pos="284"/>
              </w:tabs>
              <w:ind w:left="720" w:hanging="720"/>
              <w:rPr>
                <w:bCs/>
                <w:sz w:val="14"/>
                <w:szCs w:val="14"/>
              </w:rPr>
            </w:pPr>
          </w:p>
        </w:tc>
      </w:tr>
      <w:tr w:rsidR="0022097D" w:rsidRPr="00E454A2" w14:paraId="79A79B0A" w14:textId="77777777" w:rsidTr="00320B62">
        <w:tc>
          <w:tcPr>
            <w:tcW w:w="1701" w:type="dxa"/>
          </w:tcPr>
          <w:p w14:paraId="48B08C58" w14:textId="77777777" w:rsidR="0022097D" w:rsidRPr="00AC7B06" w:rsidRDefault="0022097D" w:rsidP="00320B62">
            <w:pPr>
              <w:tabs>
                <w:tab w:val="center" w:pos="284"/>
              </w:tabs>
              <w:ind w:left="596" w:hanging="596"/>
              <w:rPr>
                <w:b/>
              </w:rPr>
            </w:pPr>
            <w:r>
              <w:rPr>
                <w:b/>
              </w:rPr>
              <w:t>Odkazy</w:t>
            </w:r>
          </w:p>
        </w:tc>
        <w:tc>
          <w:tcPr>
            <w:tcW w:w="7621" w:type="dxa"/>
          </w:tcPr>
          <w:p w14:paraId="3804E4AF" w14:textId="77777777" w:rsidR="0022097D" w:rsidRPr="00E454A2" w:rsidRDefault="0022097D" w:rsidP="00320B62">
            <w:pPr>
              <w:tabs>
                <w:tab w:val="center" w:pos="284"/>
              </w:tabs>
              <w:ind w:left="720" w:hanging="720"/>
              <w:rPr>
                <w:bCs/>
              </w:rPr>
            </w:pPr>
            <w:r>
              <w:t>COM(2025) 589 final – 2023/0134 (COD)</w:t>
            </w:r>
          </w:p>
          <w:p w14:paraId="2EC5E9D0" w14:textId="77777777" w:rsidR="0022097D" w:rsidRPr="00AC7B06" w:rsidRDefault="0022097D" w:rsidP="00320B62">
            <w:pPr>
              <w:tabs>
                <w:tab w:val="center" w:pos="284"/>
              </w:tabs>
              <w:ind w:left="720" w:hanging="720"/>
            </w:pPr>
            <w:r>
              <w:t>EESC-2023-03779-00-AC</w:t>
            </w:r>
          </w:p>
        </w:tc>
      </w:tr>
    </w:tbl>
    <w:p w14:paraId="2DF3BD9A" w14:textId="77777777" w:rsidR="0022097D" w:rsidRDefault="0022097D" w:rsidP="0022097D">
      <w:pPr>
        <w:keepNext/>
        <w:keepLines/>
        <w:tabs>
          <w:tab w:val="center" w:pos="284"/>
        </w:tabs>
        <w:ind w:left="720" w:hanging="720"/>
        <w:rPr>
          <w:b/>
        </w:rPr>
      </w:pPr>
    </w:p>
    <w:p w14:paraId="7ABD973B" w14:textId="77777777" w:rsidR="0022097D" w:rsidRPr="00AC7B06" w:rsidRDefault="0022097D" w:rsidP="0022097D">
      <w:pPr>
        <w:keepNext/>
        <w:keepLines/>
        <w:tabs>
          <w:tab w:val="center" w:pos="284"/>
        </w:tabs>
        <w:ind w:left="720" w:hanging="720"/>
        <w:rPr>
          <w:b/>
        </w:rPr>
      </w:pPr>
      <w:r>
        <w:rPr>
          <w:b/>
        </w:rPr>
        <w:t>Hlavní body</w:t>
      </w:r>
    </w:p>
    <w:p w14:paraId="565FADEA" w14:textId="77777777" w:rsidR="0022097D" w:rsidRPr="00AC7B06" w:rsidRDefault="0022097D" w:rsidP="0022097D">
      <w:pPr>
        <w:keepNext/>
        <w:keepLines/>
        <w:tabs>
          <w:tab w:val="center" w:pos="284"/>
        </w:tabs>
        <w:ind w:left="720" w:hanging="720"/>
        <w:rPr>
          <w:b/>
        </w:rPr>
      </w:pPr>
    </w:p>
    <w:p w14:paraId="2F9FD109" w14:textId="77777777" w:rsidR="0022097D" w:rsidRPr="0067326F" w:rsidRDefault="0022097D" w:rsidP="0067326F">
      <w:pPr>
        <w:pStyle w:val="ListParagraph"/>
        <w:numPr>
          <w:ilvl w:val="0"/>
          <w:numId w:val="47"/>
        </w:numPr>
        <w:ind w:left="284" w:hanging="284"/>
        <w:rPr>
          <w:bCs/>
          <w:iCs/>
        </w:rPr>
      </w:pPr>
      <w:r>
        <w:t>Vzhledem k tomu, že se Výbor již vyjádřil k obsahu návrhu ve svém stanovisku TEN/815 – Třída emisí CO</w:t>
      </w:r>
      <w:r w:rsidRPr="0067326F">
        <w:rPr>
          <w:vertAlign w:val="subscript"/>
        </w:rPr>
        <w:t>2</w:t>
      </w:r>
      <w:r>
        <w:t xml:space="preserve"> těžkých vozidel s přípojnými vozidly (</w:t>
      </w:r>
      <w:hyperlink r:id="rId24" w:history="1">
        <w:r>
          <w:rPr>
            <w:rStyle w:val="Hyperlink"/>
          </w:rPr>
          <w:t>COM(2023) 874 final</w:t>
        </w:r>
      </w:hyperlink>
      <w:r>
        <w:t>), přijatém dne 20. září 2023, rozhodl se nevypracovat k tomuto tématu nové stanovisko, ale odkázat na svůj postoj vyjádřený ve výše uvedeném dokumentu.</w:t>
      </w:r>
    </w:p>
    <w:p w14:paraId="212316BF" w14:textId="77777777" w:rsidR="0022097D" w:rsidRPr="00AC7B06" w:rsidRDefault="0022097D" w:rsidP="0022097D">
      <w:pPr>
        <w:widowControl w:val="0"/>
        <w:ind w:left="720" w:hanging="720"/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904"/>
      </w:tblGrid>
      <w:tr w:rsidR="0022097D" w:rsidRPr="00AC7B06" w14:paraId="17C392CE" w14:textId="77777777" w:rsidTr="00320B62">
        <w:tc>
          <w:tcPr>
            <w:tcW w:w="1418" w:type="dxa"/>
          </w:tcPr>
          <w:p w14:paraId="5A2C5402" w14:textId="77777777" w:rsidR="0022097D" w:rsidRPr="001262F7" w:rsidRDefault="0022097D" w:rsidP="00320B62">
            <w:pPr>
              <w:ind w:left="720" w:hanging="720"/>
              <w:rPr>
                <w:i/>
                <w:sz w:val="20"/>
                <w:szCs w:val="20"/>
              </w:rPr>
            </w:pPr>
            <w:r w:rsidRPr="001262F7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7904" w:type="dxa"/>
          </w:tcPr>
          <w:p w14:paraId="719FBA86" w14:textId="77777777" w:rsidR="0022097D" w:rsidRPr="001262F7" w:rsidRDefault="0022097D" w:rsidP="00320B62">
            <w:pPr>
              <w:ind w:left="720" w:hanging="720"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Maja RADMAN</w:t>
            </w:r>
          </w:p>
        </w:tc>
      </w:tr>
      <w:tr w:rsidR="0022097D" w:rsidRPr="00AC7B06" w14:paraId="46088190" w14:textId="77777777" w:rsidTr="00320B62">
        <w:tc>
          <w:tcPr>
            <w:tcW w:w="1418" w:type="dxa"/>
          </w:tcPr>
          <w:p w14:paraId="44E3A082" w14:textId="77777777" w:rsidR="0022097D" w:rsidRPr="001262F7" w:rsidRDefault="0022097D" w:rsidP="00320B62">
            <w:pPr>
              <w:ind w:left="720" w:hanging="720"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7904" w:type="dxa"/>
          </w:tcPr>
          <w:p w14:paraId="6B91737D" w14:textId="77777777" w:rsidR="0022097D" w:rsidRPr="001262F7" w:rsidRDefault="0022097D" w:rsidP="00320B62">
            <w:pPr>
              <w:ind w:left="720" w:hanging="720"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+32 25469051</w:t>
            </w:r>
          </w:p>
        </w:tc>
      </w:tr>
      <w:tr w:rsidR="0022097D" w:rsidRPr="00A6689B" w14:paraId="1DE377B9" w14:textId="77777777" w:rsidTr="00320B62">
        <w:tc>
          <w:tcPr>
            <w:tcW w:w="1418" w:type="dxa"/>
          </w:tcPr>
          <w:p w14:paraId="4F5F5498" w14:textId="77777777" w:rsidR="0022097D" w:rsidRPr="001262F7" w:rsidRDefault="0022097D" w:rsidP="00320B62">
            <w:pPr>
              <w:ind w:left="720" w:hanging="720"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7904" w:type="dxa"/>
          </w:tcPr>
          <w:p w14:paraId="173D188C" w14:textId="77777777" w:rsidR="0022097D" w:rsidRPr="001262F7" w:rsidRDefault="00066DA5" w:rsidP="00320B62">
            <w:pPr>
              <w:ind w:left="720" w:hanging="720"/>
              <w:rPr>
                <w:i/>
                <w:sz w:val="20"/>
                <w:szCs w:val="20"/>
              </w:rPr>
            </w:pPr>
            <w:hyperlink r:id="rId25" w:history="1">
              <w:r w:rsidR="0022097D" w:rsidRPr="001262F7">
                <w:rPr>
                  <w:rStyle w:val="Hyperlink"/>
                  <w:i/>
                  <w:sz w:val="20"/>
                  <w:szCs w:val="20"/>
                </w:rPr>
                <w:t>Maja.Radman@eesc.europa.eu</w:t>
              </w:r>
            </w:hyperlink>
          </w:p>
        </w:tc>
      </w:tr>
    </w:tbl>
    <w:p w14:paraId="3A74A4E9" w14:textId="77777777" w:rsidR="0022097D" w:rsidRDefault="0022097D" w:rsidP="0022097D"/>
    <w:p w14:paraId="4982DDF0" w14:textId="09A1E184" w:rsidR="0005334D" w:rsidRDefault="0005334D">
      <w:pPr>
        <w:spacing w:after="160" w:line="259" w:lineRule="auto"/>
        <w:jc w:val="left"/>
      </w:pPr>
      <w:r>
        <w:br w:type="page"/>
      </w:r>
    </w:p>
    <w:p w14:paraId="225530F0" w14:textId="77777777" w:rsidR="004D7AC0" w:rsidRDefault="004D7AC0" w:rsidP="004D7AC0">
      <w:pPr>
        <w:pStyle w:val="ListParagraph"/>
        <w:ind w:left="0"/>
      </w:pPr>
    </w:p>
    <w:p w14:paraId="07781D3F" w14:textId="77777777" w:rsidR="0022097D" w:rsidRPr="0067326F" w:rsidRDefault="0022097D" w:rsidP="0067326F">
      <w:pPr>
        <w:pStyle w:val="ListParagraph"/>
        <w:numPr>
          <w:ilvl w:val="0"/>
          <w:numId w:val="46"/>
        </w:numPr>
        <w:ind w:left="567" w:hanging="567"/>
        <w:rPr>
          <w:rStyle w:val="Hyperlink"/>
          <w:sz w:val="24"/>
          <w:szCs w:val="24"/>
        </w:rPr>
      </w:pPr>
      <w:r>
        <w:fldChar w:fldCharType="begin"/>
      </w:r>
      <w:r>
        <w:instrText xml:space="preserve"> HYPERLINK "https://www.eesc.europa.eu/cs/our-work/opinions-information-reports/opinions/eu-space-act" </w:instrText>
      </w:r>
      <w:r>
        <w:fldChar w:fldCharType="separate"/>
      </w:r>
      <w:r w:rsidRPr="0067326F">
        <w:rPr>
          <w:rStyle w:val="Hyperlink"/>
          <w:b/>
          <w:i/>
          <w:sz w:val="28"/>
        </w:rPr>
        <w:t>Akt EU o kosmu</w:t>
      </w:r>
    </w:p>
    <w:p w14:paraId="2606BDEC" w14:textId="496F6B9E" w:rsidR="0022097D" w:rsidRDefault="0022097D" w:rsidP="0022097D">
      <w:pPr>
        <w:tabs>
          <w:tab w:val="center" w:pos="284"/>
        </w:tabs>
        <w:ind w:left="266" w:hanging="266"/>
        <w:rPr>
          <w:b/>
          <w:i/>
          <w:sz w:val="28"/>
        </w:rPr>
      </w:pPr>
      <w:r>
        <w:rPr>
          <w:b/>
          <w:i/>
          <w:sz w:val="28"/>
        </w:rPr>
        <w:fldChar w:fldCharType="end"/>
      </w:r>
    </w:p>
    <w:p w14:paraId="52806809" w14:textId="77777777" w:rsidR="0067326F" w:rsidRPr="000D0411" w:rsidRDefault="0067326F" w:rsidP="0022097D">
      <w:pPr>
        <w:tabs>
          <w:tab w:val="center" w:pos="284"/>
        </w:tabs>
        <w:ind w:left="266" w:hanging="266"/>
        <w:rPr>
          <w:b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="0022097D" w:rsidRPr="0083314C" w14:paraId="64478360" w14:textId="77777777" w:rsidTr="00320B62">
        <w:tc>
          <w:tcPr>
            <w:tcW w:w="1701" w:type="dxa"/>
          </w:tcPr>
          <w:p w14:paraId="6BB0DDE0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Zpravodaj</w:t>
            </w:r>
          </w:p>
        </w:tc>
        <w:tc>
          <w:tcPr>
            <w:tcW w:w="5387" w:type="dxa"/>
          </w:tcPr>
          <w:p w14:paraId="7B3CBDBA" w14:textId="77777777" w:rsidR="0022097D" w:rsidRPr="0083314C" w:rsidRDefault="0022097D" w:rsidP="00320B62">
            <w:pPr>
              <w:tabs>
                <w:tab w:val="center" w:pos="284"/>
              </w:tabs>
              <w:ind w:left="266" w:hanging="266"/>
            </w:pPr>
            <w:r>
              <w:t>Angelo PAGLIARA (Zaměstnanci – IT)</w:t>
            </w:r>
          </w:p>
        </w:tc>
      </w:tr>
      <w:tr w:rsidR="0022097D" w:rsidRPr="00A6689B" w14:paraId="47E83614" w14:textId="77777777" w:rsidTr="00320B62">
        <w:tc>
          <w:tcPr>
            <w:tcW w:w="7088" w:type="dxa"/>
            <w:gridSpan w:val="2"/>
          </w:tcPr>
          <w:p w14:paraId="2687EEFD" w14:textId="77777777" w:rsidR="0022097D" w:rsidRPr="0083314C" w:rsidRDefault="0022097D" w:rsidP="00320B62">
            <w:pPr>
              <w:tabs>
                <w:tab w:val="center" w:pos="284"/>
              </w:tabs>
              <w:spacing w:line="160" w:lineRule="exact"/>
              <w:ind w:left="266" w:hanging="266"/>
              <w:rPr>
                <w:lang w:val="en-US"/>
              </w:rPr>
            </w:pPr>
          </w:p>
        </w:tc>
      </w:tr>
      <w:tr w:rsidR="0022097D" w:rsidRPr="00A6689B" w14:paraId="2279026B" w14:textId="77777777" w:rsidTr="00320B62">
        <w:tc>
          <w:tcPr>
            <w:tcW w:w="1701" w:type="dxa"/>
            <w:vMerge w:val="restart"/>
          </w:tcPr>
          <w:p w14:paraId="326F72C3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 xml:space="preserve">Odkazy </w:t>
            </w:r>
          </w:p>
        </w:tc>
        <w:tc>
          <w:tcPr>
            <w:tcW w:w="5387" w:type="dxa"/>
          </w:tcPr>
          <w:p w14:paraId="78925FFA" w14:textId="77777777" w:rsidR="0022097D" w:rsidRPr="0083314C" w:rsidRDefault="0022097D" w:rsidP="00320B62">
            <w:pPr>
              <w:tabs>
                <w:tab w:val="center" w:pos="284"/>
              </w:tabs>
              <w:ind w:left="266" w:hanging="266"/>
            </w:pPr>
            <w:r>
              <w:t>COM(2025) 335 final</w:t>
            </w:r>
          </w:p>
        </w:tc>
      </w:tr>
      <w:tr w:rsidR="0022097D" w:rsidRPr="00A6689B" w14:paraId="407A4E51" w14:textId="77777777" w:rsidTr="00320B62">
        <w:tc>
          <w:tcPr>
            <w:tcW w:w="1701" w:type="dxa"/>
            <w:vMerge/>
          </w:tcPr>
          <w:p w14:paraId="175E7B72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  <w:rPr>
                <w:b/>
                <w:lang w:val="en-US"/>
              </w:rPr>
            </w:pPr>
          </w:p>
        </w:tc>
        <w:tc>
          <w:tcPr>
            <w:tcW w:w="5387" w:type="dxa"/>
          </w:tcPr>
          <w:p w14:paraId="1EB27D36" w14:textId="77777777" w:rsidR="0022097D" w:rsidRPr="0083314C" w:rsidRDefault="0022097D" w:rsidP="00320B62">
            <w:pPr>
              <w:tabs>
                <w:tab w:val="center" w:pos="284"/>
              </w:tabs>
              <w:ind w:left="266" w:hanging="266"/>
            </w:pPr>
            <w:r>
              <w:t>EESC-2024-00225-00-00-AC</w:t>
            </w:r>
          </w:p>
        </w:tc>
      </w:tr>
    </w:tbl>
    <w:p w14:paraId="2F1B6121" w14:textId="77777777" w:rsidR="0022097D" w:rsidRPr="000D0411" w:rsidRDefault="0022097D" w:rsidP="0022097D">
      <w:pPr>
        <w:tabs>
          <w:tab w:val="center" w:pos="284"/>
        </w:tabs>
        <w:ind w:left="266" w:hanging="266"/>
        <w:rPr>
          <w:sz w:val="14"/>
          <w:szCs w:val="14"/>
        </w:rPr>
      </w:pPr>
    </w:p>
    <w:p w14:paraId="4869F173" w14:textId="77777777" w:rsidR="0022097D" w:rsidRPr="004F3EB7" w:rsidRDefault="0022097D" w:rsidP="0022097D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Hlavní body</w:t>
      </w:r>
    </w:p>
    <w:p w14:paraId="2360A70A" w14:textId="77777777" w:rsidR="0022097D" w:rsidRPr="004F3EB7" w:rsidRDefault="0022097D" w:rsidP="0022097D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4DF4F171" w14:textId="77777777" w:rsidR="0022097D" w:rsidRPr="004F3EB7" w:rsidRDefault="0022097D" w:rsidP="0022097D">
      <w:pPr>
        <w:rPr>
          <w:bCs/>
          <w:iCs/>
        </w:rPr>
      </w:pPr>
      <w:r>
        <w:t>EHSV:</w:t>
      </w:r>
    </w:p>
    <w:p w14:paraId="48DF487A" w14:textId="77777777" w:rsidR="0022097D" w:rsidRPr="004F3EB7" w:rsidRDefault="0022097D" w:rsidP="0022097D">
      <w:pPr>
        <w:rPr>
          <w:bCs/>
          <w:iCs/>
        </w:rPr>
      </w:pPr>
    </w:p>
    <w:p w14:paraId="38EC54A6" w14:textId="77777777" w:rsidR="0022097D" w:rsidRPr="004F3EB7" w:rsidRDefault="0022097D" w:rsidP="007F6329">
      <w:pPr>
        <w:numPr>
          <w:ilvl w:val="0"/>
          <w:numId w:val="45"/>
        </w:numPr>
        <w:spacing w:line="276" w:lineRule="auto"/>
        <w:ind w:left="284" w:hanging="284"/>
      </w:pPr>
      <w:r>
        <w:t xml:space="preserve">doporučuje, aby byly neprodleně strukturálním způsobem </w:t>
      </w:r>
      <w:r>
        <w:rPr>
          <w:b/>
        </w:rPr>
        <w:t>posíleny evropské veřejné investice související s kosmickým odvětvím</w:t>
      </w:r>
      <w:r>
        <w:t xml:space="preserve"> a aby byly navýšeny prostředky investované do tohoto odvětví tak, aby </w:t>
      </w:r>
      <w:r>
        <w:rPr>
          <w:b/>
        </w:rPr>
        <w:t>do roku 2030 dosáhly alespoň 0,2 % HDP</w:t>
      </w:r>
      <w:r>
        <w:t>;</w:t>
      </w:r>
    </w:p>
    <w:p w14:paraId="5D784676" w14:textId="77777777" w:rsidR="0022097D" w:rsidRPr="004F3EB7" w:rsidRDefault="0022097D" w:rsidP="007F6329">
      <w:pPr>
        <w:numPr>
          <w:ilvl w:val="0"/>
          <w:numId w:val="45"/>
        </w:numPr>
        <w:spacing w:line="276" w:lineRule="auto"/>
        <w:ind w:left="284" w:hanging="284"/>
      </w:pPr>
      <w:r>
        <w:t xml:space="preserve">doporučuje, aby bylo </w:t>
      </w:r>
      <w:r>
        <w:rPr>
          <w:b/>
        </w:rPr>
        <w:t>objasněno, v jakém směru by mohl článek 114 Smlouvy posloužit jako právní základ pro vnitřní trh s kosmickými výrobky, službami a daty</w:t>
      </w:r>
      <w:r>
        <w:t xml:space="preserve">. Navrhuje rovněž, aby bylo v nařízení uvedeno, že ustanovení aktu o kosmu je nutné vykládat se zohledněním </w:t>
      </w:r>
      <w:r>
        <w:rPr>
          <w:b/>
        </w:rPr>
        <w:t>mezinárodních závazků, které na sebe členské státy v minulosti vzaly</w:t>
      </w:r>
      <w:r>
        <w:t>;</w:t>
      </w:r>
    </w:p>
    <w:p w14:paraId="6A33F4C1" w14:textId="77777777" w:rsidR="0022097D" w:rsidRPr="004F3EB7" w:rsidRDefault="0022097D" w:rsidP="007F6329">
      <w:pPr>
        <w:numPr>
          <w:ilvl w:val="0"/>
          <w:numId w:val="45"/>
        </w:numPr>
        <w:spacing w:line="276" w:lineRule="auto"/>
        <w:ind w:left="284" w:hanging="284"/>
      </w:pPr>
      <w:r>
        <w:t xml:space="preserve">doporučuje vyjasnit, </w:t>
      </w:r>
      <w:r>
        <w:rPr>
          <w:b/>
        </w:rPr>
        <w:t>proč je v hlavě I uvedeno pouze kritérium státu, v němž je daný subjekt</w:t>
      </w:r>
      <w:r>
        <w:t xml:space="preserve"> či provozovatel kosmického zařízení ze třetí země </w:t>
      </w:r>
      <w:r>
        <w:rPr>
          <w:b/>
        </w:rPr>
        <w:t>usazen</w:t>
      </w:r>
      <w:r>
        <w:t xml:space="preserve">, a chybí v ní jakákoli zmínka o kritériu státní příslušnosti tohoto subjektu či provozovatele. Kromě toho doporučuje, aby byla </w:t>
      </w:r>
      <w:r>
        <w:rPr>
          <w:b/>
        </w:rPr>
        <w:t>vyjasněna ustanovení čl. 6 odst. 3 s cílem zaručit lepší koordinaci s právními předpisy členských států týkajícími se vesmíru</w:t>
      </w:r>
      <w:r>
        <w:t>, v nichž jsou subjekty či provozovatelé, kteří si musí vyžádat povolení ke kosmickým činnostem, definováni na základě státní příslušnosti či území, z něhož je daná kosmická činnost vykonávána;</w:t>
      </w:r>
    </w:p>
    <w:p w14:paraId="664192C9" w14:textId="77777777" w:rsidR="0022097D" w:rsidRPr="004F3EB7" w:rsidRDefault="0022097D" w:rsidP="007F6329">
      <w:pPr>
        <w:numPr>
          <w:ilvl w:val="0"/>
          <w:numId w:val="45"/>
        </w:numPr>
        <w:spacing w:line="276" w:lineRule="auto"/>
        <w:ind w:left="284" w:hanging="284"/>
      </w:pPr>
      <w:r>
        <w:t xml:space="preserve">doporučuje </w:t>
      </w:r>
      <w:r>
        <w:rPr>
          <w:b/>
        </w:rPr>
        <w:t>vyjasnit v hlavě II, jakým způsobem mají být v rámci udělování povolení uplatňovány výjimky a flexibilní postupy</w:t>
      </w:r>
      <w:r>
        <w:t>, a upřesnit při tom související lhůty, možnost uplatnění v případě nekomerčních misí, pravomoci Komise v oblasti kontroly a operativní úlohu Evropské kosmické agentury (ESA) a Agentury Evropské unie pro Kosmický program (EUSPA);</w:t>
      </w:r>
    </w:p>
    <w:p w14:paraId="7CA920D4" w14:textId="77777777" w:rsidR="0022097D" w:rsidRPr="004F3EB7" w:rsidRDefault="0022097D" w:rsidP="007F6329">
      <w:pPr>
        <w:numPr>
          <w:ilvl w:val="0"/>
          <w:numId w:val="45"/>
        </w:numPr>
        <w:spacing w:line="276" w:lineRule="auto"/>
        <w:ind w:left="284" w:hanging="284"/>
      </w:pPr>
      <w:r>
        <w:t>doporučuje přesně vymezit, v </w:t>
      </w:r>
      <w:r>
        <w:rPr>
          <w:b/>
        </w:rPr>
        <w:t>jakém rozsahu si smějí členské státy určovat přísnější požadavky</w:t>
      </w:r>
      <w:r>
        <w:t>, pokud jde o volný pohyb kosmických dat a kosmických služeb v Unii;</w:t>
      </w:r>
    </w:p>
    <w:p w14:paraId="7F5D4FDC" w14:textId="77777777" w:rsidR="0022097D" w:rsidRPr="004F3EB7" w:rsidRDefault="0022097D" w:rsidP="007F6329">
      <w:pPr>
        <w:numPr>
          <w:ilvl w:val="0"/>
          <w:numId w:val="45"/>
        </w:numPr>
        <w:spacing w:line="276" w:lineRule="auto"/>
        <w:ind w:left="284" w:hanging="284"/>
      </w:pPr>
      <w:r>
        <w:t xml:space="preserve">upozorňuje, že je nutné </w:t>
      </w:r>
      <w:r>
        <w:rPr>
          <w:b/>
        </w:rPr>
        <w:t>posílit zásadu vzájemného uznávání a společná pravidla s cílem zamezit roztříštěnosti</w:t>
      </w:r>
      <w:r>
        <w:t xml:space="preserve"> a byrokratickým překážkám;</w:t>
      </w:r>
    </w:p>
    <w:p w14:paraId="39CDAC06" w14:textId="77777777" w:rsidR="0022097D" w:rsidRPr="004F3EB7" w:rsidRDefault="0022097D" w:rsidP="007F6329">
      <w:pPr>
        <w:numPr>
          <w:ilvl w:val="0"/>
          <w:numId w:val="45"/>
        </w:numPr>
        <w:spacing w:line="276" w:lineRule="auto"/>
        <w:ind w:left="284" w:hanging="284"/>
      </w:pPr>
      <w:r>
        <w:t xml:space="preserve">doporučuje </w:t>
      </w:r>
      <w:r>
        <w:rPr>
          <w:b/>
        </w:rPr>
        <w:t>provázat evropskou kosmickou strategii s evropskou strategickou autonomií</w:t>
      </w:r>
      <w:r>
        <w:t xml:space="preserve"> a podpořit </w:t>
      </w:r>
      <w:r>
        <w:rPr>
          <w:b/>
        </w:rPr>
        <w:t>aktivaci doplňkových ekosystémů a multiplikační efekt kosmické ekonomiky</w:t>
      </w:r>
      <w:r>
        <w:t xml:space="preserve"> na pomoc určitým odvětvím;</w:t>
      </w:r>
    </w:p>
    <w:p w14:paraId="224D3AD2" w14:textId="77777777" w:rsidR="0022097D" w:rsidRPr="004F3EB7" w:rsidRDefault="0022097D" w:rsidP="007F6329">
      <w:pPr>
        <w:numPr>
          <w:ilvl w:val="0"/>
          <w:numId w:val="45"/>
        </w:numPr>
        <w:spacing w:line="276" w:lineRule="auto"/>
        <w:ind w:left="284" w:hanging="284"/>
      </w:pPr>
      <w:r>
        <w:t xml:space="preserve">doporučuje, aby byla vypracována </w:t>
      </w:r>
      <w:r>
        <w:rPr>
          <w:b/>
        </w:rPr>
        <w:t>integrovaná strategie zaměřená na dovednosti a pracovní místa v kosmickém odvětví</w:t>
      </w:r>
      <w:r>
        <w:t xml:space="preserve"> a aby byla přijata </w:t>
      </w:r>
      <w:r>
        <w:rPr>
          <w:b/>
        </w:rPr>
        <w:t>evropská agenda v oblasti kosmických dovedností</w:t>
      </w:r>
      <w:r>
        <w:t>;</w:t>
      </w:r>
    </w:p>
    <w:p w14:paraId="07D65F90" w14:textId="77777777" w:rsidR="0022097D" w:rsidRPr="000D0411" w:rsidRDefault="0022097D" w:rsidP="007F6329">
      <w:pPr>
        <w:numPr>
          <w:ilvl w:val="0"/>
          <w:numId w:val="45"/>
        </w:numPr>
        <w:spacing w:line="276" w:lineRule="auto"/>
        <w:ind w:left="284" w:hanging="284"/>
      </w:pPr>
      <w:r>
        <w:t xml:space="preserve">žádá, aby byly v příštím víceletém finančním rámci na období 2028–2034 vyčleněny dostatečné prostředky na </w:t>
      </w:r>
      <w:r>
        <w:rPr>
          <w:b/>
        </w:rPr>
        <w:t>posílení činnosti agentury EUSPA</w:t>
      </w:r>
      <w:r>
        <w:t>.</w:t>
      </w:r>
    </w:p>
    <w:p w14:paraId="461CBF8D" w14:textId="77777777" w:rsidR="0022097D" w:rsidRPr="000D0411" w:rsidRDefault="0022097D" w:rsidP="0022097D">
      <w:pPr>
        <w:widowControl w:val="0"/>
        <w:ind w:left="709"/>
        <w:rPr>
          <w:sz w:val="14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22097D" w:rsidRPr="004F3EB7" w14:paraId="60F20321" w14:textId="77777777" w:rsidTr="00320B62">
        <w:tc>
          <w:tcPr>
            <w:tcW w:w="1418" w:type="dxa"/>
          </w:tcPr>
          <w:p w14:paraId="57ED4C74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5670" w:type="dxa"/>
          </w:tcPr>
          <w:p w14:paraId="459ADBE0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Giorgia Bordignon</w:t>
            </w:r>
          </w:p>
        </w:tc>
      </w:tr>
      <w:tr w:rsidR="0022097D" w:rsidRPr="004F3EB7" w14:paraId="1E305ECE" w14:textId="77777777" w:rsidTr="00320B62">
        <w:tc>
          <w:tcPr>
            <w:tcW w:w="1418" w:type="dxa"/>
          </w:tcPr>
          <w:p w14:paraId="3F6EF243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5670" w:type="dxa"/>
          </w:tcPr>
          <w:p w14:paraId="1E50D60C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+32 25468</w:t>
            </w:r>
            <w:r w:rsidRPr="001262F7">
              <w:rPr>
                <w:sz w:val="20"/>
                <w:szCs w:val="20"/>
              </w:rPr>
              <w:t>535</w:t>
            </w:r>
          </w:p>
        </w:tc>
      </w:tr>
      <w:tr w:rsidR="0022097D" w:rsidRPr="004F3EB7" w14:paraId="47F979FF" w14:textId="77777777" w:rsidTr="00320B62">
        <w:tc>
          <w:tcPr>
            <w:tcW w:w="1418" w:type="dxa"/>
          </w:tcPr>
          <w:p w14:paraId="40B1D383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5670" w:type="dxa"/>
          </w:tcPr>
          <w:p w14:paraId="010C17CB" w14:textId="77777777" w:rsidR="0022097D" w:rsidRPr="001262F7" w:rsidRDefault="00066DA5" w:rsidP="00320B62">
            <w:pPr>
              <w:rPr>
                <w:i/>
                <w:sz w:val="20"/>
                <w:szCs w:val="20"/>
              </w:rPr>
            </w:pPr>
            <w:hyperlink r:id="rId26" w:history="1">
              <w:r w:rsidR="0022097D" w:rsidRPr="001262F7">
                <w:rPr>
                  <w:rStyle w:val="Hyperlink"/>
                  <w:i/>
                  <w:sz w:val="20"/>
                  <w:szCs w:val="20"/>
                </w:rPr>
                <w:t>GiorgiaAndrea.Bordignon@eesc.europa.eu</w:t>
              </w:r>
            </w:hyperlink>
            <w:r w:rsidR="0022097D" w:rsidRPr="001262F7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7416E75B" w14:textId="77777777" w:rsidR="00B8543B" w:rsidRDefault="00B8543B">
      <w:pPr>
        <w:spacing w:after="160" w:line="259" w:lineRule="auto"/>
        <w:jc w:val="left"/>
      </w:pPr>
      <w:r>
        <w:br w:type="page"/>
      </w:r>
    </w:p>
    <w:p w14:paraId="77FAB844" w14:textId="00B4B81E" w:rsidR="00B8543B" w:rsidRPr="0067326F" w:rsidRDefault="00066DA5" w:rsidP="0067326F">
      <w:pPr>
        <w:pStyle w:val="ListParagraph"/>
        <w:numPr>
          <w:ilvl w:val="0"/>
          <w:numId w:val="46"/>
        </w:numPr>
        <w:ind w:left="567" w:hanging="567"/>
        <w:rPr>
          <w:sz w:val="20"/>
          <w:szCs w:val="20"/>
        </w:rPr>
      </w:pPr>
      <w:hyperlink r:id="rId27" w:history="1">
        <w:r w:rsidR="0022097D" w:rsidRPr="0067326F">
          <w:rPr>
            <w:rStyle w:val="Hyperlink"/>
            <w:b/>
            <w:i/>
            <w:sz w:val="28"/>
          </w:rPr>
          <w:t>Jaderný ukázkový program</w:t>
        </w:r>
      </w:hyperlink>
    </w:p>
    <w:p w14:paraId="732FDC06" w14:textId="77777777" w:rsidR="0022097D" w:rsidRPr="00A6689B" w:rsidRDefault="0022097D" w:rsidP="0022097D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22097D" w:rsidRPr="00A6689B" w14:paraId="3FB49656" w14:textId="77777777" w:rsidTr="00320B62">
        <w:tc>
          <w:tcPr>
            <w:tcW w:w="1951" w:type="dxa"/>
          </w:tcPr>
          <w:p w14:paraId="0E18BEC1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Zpravodaj</w:t>
            </w:r>
          </w:p>
        </w:tc>
        <w:tc>
          <w:tcPr>
            <w:tcW w:w="7229" w:type="dxa"/>
          </w:tcPr>
          <w:p w14:paraId="665AAD3B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</w:pPr>
            <w:r>
              <w:t>Dumitru FORNEA (Zaměstnanci – RO)</w:t>
            </w:r>
          </w:p>
        </w:tc>
      </w:tr>
      <w:tr w:rsidR="0022097D" w:rsidRPr="00A6689B" w14:paraId="6D42CE41" w14:textId="77777777" w:rsidTr="00320B62">
        <w:tc>
          <w:tcPr>
            <w:tcW w:w="1951" w:type="dxa"/>
          </w:tcPr>
          <w:p w14:paraId="0DF83C49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Spoluzpravodajka</w:t>
            </w:r>
          </w:p>
        </w:tc>
        <w:tc>
          <w:tcPr>
            <w:tcW w:w="7229" w:type="dxa"/>
          </w:tcPr>
          <w:p w14:paraId="072D643C" w14:textId="77777777" w:rsidR="0022097D" w:rsidRDefault="0022097D" w:rsidP="00320B62">
            <w:pPr>
              <w:tabs>
                <w:tab w:val="center" w:pos="284"/>
              </w:tabs>
              <w:ind w:left="266" w:hanging="266"/>
            </w:pPr>
            <w:r>
              <w:t>Alena MASTANTUONO (Zaměstnavatelé – CZ)</w:t>
            </w:r>
          </w:p>
          <w:p w14:paraId="736B0F9C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</w:pPr>
          </w:p>
        </w:tc>
      </w:tr>
      <w:tr w:rsidR="0022097D" w:rsidRPr="00D25C71" w14:paraId="2049B9CB" w14:textId="77777777" w:rsidTr="00320B62">
        <w:tc>
          <w:tcPr>
            <w:tcW w:w="1951" w:type="dxa"/>
          </w:tcPr>
          <w:p w14:paraId="36EF73BF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Odkazy</w:t>
            </w:r>
          </w:p>
        </w:tc>
        <w:tc>
          <w:tcPr>
            <w:tcW w:w="7229" w:type="dxa"/>
          </w:tcPr>
          <w:p w14:paraId="1B384207" w14:textId="77777777" w:rsidR="0022097D" w:rsidRPr="00947EE1" w:rsidRDefault="0022097D" w:rsidP="00320B62">
            <w:pPr>
              <w:tabs>
                <w:tab w:val="center" w:pos="284"/>
              </w:tabs>
              <w:ind w:left="266" w:hanging="266"/>
            </w:pPr>
            <w:r>
              <w:t>COM(2025) 315 final</w:t>
            </w:r>
          </w:p>
          <w:p w14:paraId="5849BFA3" w14:textId="77777777" w:rsidR="0022097D" w:rsidRPr="00947EE1" w:rsidRDefault="0022097D" w:rsidP="00320B62">
            <w:pPr>
              <w:tabs>
                <w:tab w:val="center" w:pos="284"/>
              </w:tabs>
              <w:ind w:left="266" w:hanging="266"/>
            </w:pPr>
            <w:r>
              <w:t>EESC-2025-02173-00-00-AC</w:t>
            </w:r>
          </w:p>
        </w:tc>
      </w:tr>
    </w:tbl>
    <w:p w14:paraId="47695199" w14:textId="77777777" w:rsidR="0022097D" w:rsidRPr="00947EE1" w:rsidRDefault="0022097D" w:rsidP="0022097D">
      <w:pPr>
        <w:tabs>
          <w:tab w:val="center" w:pos="284"/>
        </w:tabs>
        <w:ind w:left="266" w:hanging="266"/>
        <w:rPr>
          <w:lang w:val="pt-PT"/>
        </w:rPr>
      </w:pPr>
    </w:p>
    <w:p w14:paraId="2E6C44E8" w14:textId="77777777" w:rsidR="0022097D" w:rsidRPr="00A6689B" w:rsidRDefault="0022097D" w:rsidP="0022097D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Hlavní body</w:t>
      </w:r>
    </w:p>
    <w:p w14:paraId="0A9C4875" w14:textId="77777777" w:rsidR="0022097D" w:rsidRPr="00A6689B" w:rsidRDefault="0022097D" w:rsidP="0022097D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2894719E" w14:textId="77777777" w:rsidR="0022097D" w:rsidRDefault="0022097D" w:rsidP="0022097D">
      <w:r>
        <w:t>EHSV:</w:t>
      </w:r>
    </w:p>
    <w:p w14:paraId="61D78E51" w14:textId="77777777" w:rsidR="0022097D" w:rsidRPr="00A6689B" w:rsidRDefault="0022097D" w:rsidP="0022097D">
      <w:pPr>
        <w:rPr>
          <w:bCs/>
          <w:iCs/>
        </w:rPr>
      </w:pPr>
    </w:p>
    <w:p w14:paraId="257BA40D" w14:textId="77777777" w:rsidR="0022097D" w:rsidRPr="00947EE1" w:rsidRDefault="0022097D" w:rsidP="007F6329">
      <w:pPr>
        <w:numPr>
          <w:ilvl w:val="0"/>
          <w:numId w:val="37"/>
        </w:numPr>
        <w:spacing w:line="276" w:lineRule="auto"/>
        <w:ind w:left="284" w:hanging="284"/>
        <w:rPr>
          <w:bCs/>
          <w:iCs/>
        </w:rPr>
      </w:pPr>
      <w:r>
        <w:t>domnívá se, že jaderná energie hraje a bude i nadále hrát zásadní roli při dekarbonizaci evropského kontinentu a upevňování jeho strategické autonomie v odvětví energetiky a technologií;</w:t>
      </w:r>
    </w:p>
    <w:p w14:paraId="13514C69" w14:textId="77777777" w:rsidR="0022097D" w:rsidRPr="00A6689B" w:rsidRDefault="0022097D" w:rsidP="007F6329">
      <w:pPr>
        <w:numPr>
          <w:ilvl w:val="0"/>
          <w:numId w:val="37"/>
        </w:numPr>
        <w:spacing w:line="276" w:lineRule="auto"/>
        <w:ind w:left="284" w:hanging="284"/>
        <w:rPr>
          <w:bCs/>
          <w:iCs/>
        </w:rPr>
      </w:pPr>
      <w:r>
        <w:t>doporučuje, aby byly pro investice do jaderné energetiky zavedeny stejné podmínky, jaké platí v případě obnovitelných zdrojů energie;</w:t>
      </w:r>
    </w:p>
    <w:p w14:paraId="30ED08C6" w14:textId="77777777" w:rsidR="0022097D" w:rsidRPr="00A6689B" w:rsidRDefault="0022097D" w:rsidP="007F6329">
      <w:pPr>
        <w:numPr>
          <w:ilvl w:val="0"/>
          <w:numId w:val="37"/>
        </w:numPr>
        <w:spacing w:line="276" w:lineRule="auto"/>
        <w:ind w:left="284" w:hanging="284"/>
        <w:rPr>
          <w:bCs/>
          <w:iCs/>
        </w:rPr>
      </w:pPr>
      <w:r>
        <w:t>doporučuje urychlit investice s pomocí konkrétních finančních a regulačních opatření – může jít například o zjednodušení procesu poskytování státní podpory, zajištění přístupu k finančním prostředkům EU určeným na posílení soudržnosti, udržitelné financování, zefektivnění procesu udělování povolení a rychlejší přijímání rozhodnutí na úrovni EU a na vnitrostátní úrovni;</w:t>
      </w:r>
    </w:p>
    <w:p w14:paraId="1076695A" w14:textId="77777777" w:rsidR="0022097D" w:rsidRDefault="0022097D" w:rsidP="007F6329">
      <w:pPr>
        <w:numPr>
          <w:ilvl w:val="0"/>
          <w:numId w:val="37"/>
        </w:numPr>
        <w:spacing w:line="276" w:lineRule="auto"/>
        <w:ind w:left="284" w:hanging="284"/>
        <w:rPr>
          <w:bCs/>
          <w:iCs/>
        </w:rPr>
      </w:pPr>
      <w:r>
        <w:t>domnívá se, že stěžejní roli hraje dialog s občanskou společností, který pomáhá posílit důvěru, odpovědnost a vstřícný postoj občanů;</w:t>
      </w:r>
    </w:p>
    <w:p w14:paraId="29B457DF" w14:textId="77777777" w:rsidR="0022097D" w:rsidRPr="00A6689B" w:rsidRDefault="0022097D" w:rsidP="007F6329">
      <w:pPr>
        <w:numPr>
          <w:ilvl w:val="0"/>
          <w:numId w:val="37"/>
        </w:numPr>
        <w:spacing w:line="276" w:lineRule="auto"/>
        <w:ind w:left="284" w:hanging="284"/>
        <w:rPr>
          <w:bCs/>
          <w:iCs/>
        </w:rPr>
      </w:pPr>
      <w:r>
        <w:t>vyzývá k prohloubení regulační spolupráce mezi členskými státy;</w:t>
      </w:r>
    </w:p>
    <w:p w14:paraId="069BC601" w14:textId="77777777" w:rsidR="0022097D" w:rsidRPr="0040261B" w:rsidRDefault="0022097D" w:rsidP="007F6329">
      <w:pPr>
        <w:numPr>
          <w:ilvl w:val="0"/>
          <w:numId w:val="37"/>
        </w:numPr>
        <w:spacing w:line="276" w:lineRule="auto"/>
        <w:ind w:left="284" w:hanging="284"/>
      </w:pPr>
      <w:r>
        <w:t>doporučuje zohlednit přínos jaderné energie z hlediska stabilizace soustavy a žádá, aby byl do jaderného ukázkového programu zahrnut výpočet systémových nákladů, které se díky jaderné energii podaří ušetřit.</w:t>
      </w:r>
    </w:p>
    <w:p w14:paraId="2107CC7D" w14:textId="77777777" w:rsidR="0022097D" w:rsidRPr="000624A9" w:rsidRDefault="0022097D" w:rsidP="0022097D">
      <w:pPr>
        <w:widowControl w:val="0"/>
        <w:ind w:left="709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22097D" w:rsidRPr="00A6689B" w14:paraId="2624875F" w14:textId="77777777" w:rsidTr="00320B62">
        <w:tc>
          <w:tcPr>
            <w:tcW w:w="1951" w:type="dxa"/>
          </w:tcPr>
          <w:p w14:paraId="433C8CC2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7229" w:type="dxa"/>
          </w:tcPr>
          <w:p w14:paraId="04F0D4E8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Albert Precup</w:t>
            </w:r>
          </w:p>
        </w:tc>
      </w:tr>
      <w:tr w:rsidR="0022097D" w:rsidRPr="00A6689B" w14:paraId="2DADC5D2" w14:textId="77777777" w:rsidTr="00320B62">
        <w:tc>
          <w:tcPr>
            <w:tcW w:w="1951" w:type="dxa"/>
          </w:tcPr>
          <w:p w14:paraId="626A1F1A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7229" w:type="dxa"/>
          </w:tcPr>
          <w:p w14:paraId="1C380F40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+32 25469326</w:t>
            </w:r>
          </w:p>
        </w:tc>
      </w:tr>
      <w:tr w:rsidR="0022097D" w:rsidRPr="00A6689B" w14:paraId="734B1634" w14:textId="77777777" w:rsidTr="00320B62">
        <w:tc>
          <w:tcPr>
            <w:tcW w:w="1951" w:type="dxa"/>
          </w:tcPr>
          <w:p w14:paraId="7E8ACC45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7229" w:type="dxa"/>
          </w:tcPr>
          <w:p w14:paraId="2DCB821B" w14:textId="77777777" w:rsidR="0022097D" w:rsidRPr="001262F7" w:rsidRDefault="00066DA5" w:rsidP="00320B62">
            <w:pPr>
              <w:rPr>
                <w:i/>
                <w:sz w:val="20"/>
                <w:szCs w:val="20"/>
              </w:rPr>
            </w:pPr>
            <w:hyperlink r:id="rId28" w:history="1">
              <w:r w:rsidR="0022097D" w:rsidRPr="001262F7">
                <w:rPr>
                  <w:rStyle w:val="Hyperlink"/>
                  <w:i/>
                  <w:sz w:val="20"/>
                  <w:szCs w:val="20"/>
                </w:rPr>
                <w:t>Albert.Precup@eesc.europa.eu</w:t>
              </w:r>
            </w:hyperlink>
          </w:p>
        </w:tc>
      </w:tr>
    </w:tbl>
    <w:p w14:paraId="229FC546" w14:textId="77777777" w:rsidR="0022097D" w:rsidRDefault="0022097D" w:rsidP="0022097D"/>
    <w:p w14:paraId="4982DDF2" w14:textId="0D337987" w:rsidR="00BC676C" w:rsidRDefault="004D7AC0">
      <w:pPr>
        <w:spacing w:after="160" w:line="259" w:lineRule="auto"/>
        <w:jc w:val="left"/>
      </w:pPr>
      <w:r>
        <w:br w:type="page"/>
      </w:r>
    </w:p>
    <w:p w14:paraId="64D55A18" w14:textId="77777777" w:rsidR="004D7AC0" w:rsidRDefault="004D7AC0" w:rsidP="004D7AC0">
      <w:pPr>
        <w:spacing w:after="160" w:line="259" w:lineRule="auto"/>
        <w:jc w:val="left"/>
      </w:pPr>
    </w:p>
    <w:p w14:paraId="4982DDF3" w14:textId="77777777" w:rsidR="004D7AC0" w:rsidRDefault="004D7AC0" w:rsidP="004D7AC0">
      <w:pPr>
        <w:pStyle w:val="Heading1"/>
        <w:rPr>
          <w:b/>
        </w:rPr>
      </w:pPr>
      <w:bookmarkStart w:id="10" w:name="_Toc75527083"/>
      <w:bookmarkStart w:id="11" w:name="_Toc217052800"/>
      <w:r>
        <w:rPr>
          <w:b/>
        </w:rPr>
        <w:t>JEDNOTNÝ TRH, VÝROBA A SPOTŘEBA</w:t>
      </w:r>
      <w:bookmarkEnd w:id="10"/>
      <w:bookmarkEnd w:id="11"/>
    </w:p>
    <w:p w14:paraId="4982DDF4" w14:textId="77777777" w:rsidR="004D7AC0" w:rsidRDefault="004D7AC0" w:rsidP="004D7AC0"/>
    <w:p w14:paraId="5D547137" w14:textId="0ABED5F8" w:rsidR="00465162" w:rsidRPr="0067326F" w:rsidRDefault="00066DA5" w:rsidP="0067326F">
      <w:pPr>
        <w:pStyle w:val="ListParagraph"/>
        <w:numPr>
          <w:ilvl w:val="0"/>
          <w:numId w:val="46"/>
        </w:numPr>
        <w:ind w:left="567" w:hanging="567"/>
        <w:rPr>
          <w:sz w:val="20"/>
          <w:szCs w:val="20"/>
        </w:rPr>
      </w:pPr>
      <w:hyperlink r:id="rId29" w:history="1">
        <w:r w:rsidR="0022097D" w:rsidRPr="0067326F">
          <w:rPr>
            <w:rStyle w:val="Hyperlink"/>
            <w:b/>
            <w:i/>
            <w:sz w:val="28"/>
          </w:rPr>
          <w:t>Strategie pro jednotný trh</w:t>
        </w:r>
      </w:hyperlink>
    </w:p>
    <w:p w14:paraId="0AED49E7" w14:textId="77777777" w:rsidR="0022097D" w:rsidRPr="00A6689B" w:rsidRDefault="0022097D" w:rsidP="0022097D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521"/>
      </w:tblGrid>
      <w:tr w:rsidR="0022097D" w:rsidRPr="00A6689B" w14:paraId="2A487B43" w14:textId="77777777" w:rsidTr="00320B62">
        <w:tc>
          <w:tcPr>
            <w:tcW w:w="1701" w:type="dxa"/>
          </w:tcPr>
          <w:p w14:paraId="4C38E827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Zpravodajové</w:t>
            </w:r>
          </w:p>
        </w:tc>
        <w:tc>
          <w:tcPr>
            <w:tcW w:w="6521" w:type="dxa"/>
          </w:tcPr>
          <w:p w14:paraId="3E2EF3B7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</w:pPr>
            <w:r>
              <w:t>Emilie PROUZET (Zaměstnavatelé – FR)</w:t>
            </w:r>
          </w:p>
        </w:tc>
      </w:tr>
      <w:tr w:rsidR="0022097D" w:rsidRPr="00A6689B" w14:paraId="1C40ECB8" w14:textId="77777777" w:rsidTr="00320B62">
        <w:tc>
          <w:tcPr>
            <w:tcW w:w="1701" w:type="dxa"/>
          </w:tcPr>
          <w:p w14:paraId="39AD93A1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  <w:rPr>
                <w:b/>
                <w:lang w:val="en-US"/>
              </w:rPr>
            </w:pPr>
          </w:p>
        </w:tc>
        <w:tc>
          <w:tcPr>
            <w:tcW w:w="6521" w:type="dxa"/>
          </w:tcPr>
          <w:p w14:paraId="53055C9B" w14:textId="77777777" w:rsidR="0022097D" w:rsidRDefault="0022097D" w:rsidP="00320B62">
            <w:pPr>
              <w:tabs>
                <w:tab w:val="center" w:pos="284"/>
              </w:tabs>
              <w:ind w:left="266" w:hanging="266"/>
            </w:pPr>
            <w:r>
              <w:t>Angelo PAGLIARA (Zaměstnanci – IT)</w:t>
            </w:r>
          </w:p>
          <w:p w14:paraId="0FBE8D57" w14:textId="77777777" w:rsidR="0022097D" w:rsidRPr="000F7665" w:rsidRDefault="0022097D" w:rsidP="00320B62">
            <w:pPr>
              <w:tabs>
                <w:tab w:val="center" w:pos="284"/>
              </w:tabs>
              <w:ind w:left="266" w:hanging="266"/>
            </w:pPr>
            <w:r>
              <w:t>Giuseppe GUERINI (Organizace občanské společnosti – IT)</w:t>
            </w:r>
          </w:p>
        </w:tc>
      </w:tr>
      <w:tr w:rsidR="0022097D" w:rsidRPr="00A6689B" w14:paraId="24CC9008" w14:textId="77777777" w:rsidTr="00320B62">
        <w:tc>
          <w:tcPr>
            <w:tcW w:w="8222" w:type="dxa"/>
            <w:gridSpan w:val="2"/>
          </w:tcPr>
          <w:p w14:paraId="01C60578" w14:textId="77777777" w:rsidR="0022097D" w:rsidRPr="00A6689B" w:rsidRDefault="0022097D" w:rsidP="00320B62">
            <w:pPr>
              <w:tabs>
                <w:tab w:val="center" w:pos="284"/>
              </w:tabs>
              <w:spacing w:line="160" w:lineRule="exact"/>
              <w:ind w:left="266" w:hanging="266"/>
              <w:rPr>
                <w:lang w:val="en-US"/>
              </w:rPr>
            </w:pPr>
          </w:p>
        </w:tc>
      </w:tr>
      <w:tr w:rsidR="0022097D" w:rsidRPr="00A6689B" w14:paraId="7054496C" w14:textId="77777777" w:rsidTr="00320B62">
        <w:tc>
          <w:tcPr>
            <w:tcW w:w="1701" w:type="dxa"/>
            <w:vMerge w:val="restart"/>
          </w:tcPr>
          <w:p w14:paraId="56BE48AA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Odkazy</w:t>
            </w:r>
          </w:p>
        </w:tc>
        <w:tc>
          <w:tcPr>
            <w:tcW w:w="6521" w:type="dxa"/>
          </w:tcPr>
          <w:p w14:paraId="5CF696B8" w14:textId="77777777" w:rsidR="0022097D" w:rsidRPr="0018587A" w:rsidRDefault="0022097D" w:rsidP="00320B62">
            <w:pPr>
              <w:tabs>
                <w:tab w:val="center" w:pos="284"/>
              </w:tabs>
              <w:ind w:left="266" w:hanging="266"/>
            </w:pPr>
            <w:r>
              <w:t>COM(2025) 500 final</w:t>
            </w:r>
          </w:p>
          <w:p w14:paraId="7B00FF6F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</w:pPr>
            <w:r>
              <w:t>EESC-2025-01859-00-00-AC</w:t>
            </w:r>
          </w:p>
        </w:tc>
      </w:tr>
      <w:tr w:rsidR="0022097D" w:rsidRPr="00A6689B" w14:paraId="1A32A39F" w14:textId="77777777" w:rsidTr="00320B62">
        <w:tc>
          <w:tcPr>
            <w:tcW w:w="1701" w:type="dxa"/>
            <w:vMerge/>
          </w:tcPr>
          <w:p w14:paraId="6C919710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  <w:rPr>
                <w:b/>
                <w:lang w:val="en-US"/>
              </w:rPr>
            </w:pPr>
          </w:p>
        </w:tc>
        <w:tc>
          <w:tcPr>
            <w:tcW w:w="6521" w:type="dxa"/>
          </w:tcPr>
          <w:p w14:paraId="285D3122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  <w:rPr>
                <w:lang w:val="en-US"/>
              </w:rPr>
            </w:pPr>
          </w:p>
        </w:tc>
      </w:tr>
    </w:tbl>
    <w:p w14:paraId="23BBBC11" w14:textId="77777777" w:rsidR="0022097D" w:rsidRPr="00A6689B" w:rsidRDefault="0022097D" w:rsidP="0022097D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Hlavní body</w:t>
      </w:r>
    </w:p>
    <w:p w14:paraId="742A9F94" w14:textId="77777777" w:rsidR="0022097D" w:rsidRPr="00A6689B" w:rsidRDefault="0022097D" w:rsidP="0022097D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2238F4F1" w14:textId="77777777" w:rsidR="0022097D" w:rsidRDefault="0022097D" w:rsidP="0022097D">
      <w:pPr>
        <w:rPr>
          <w:bCs/>
          <w:iCs/>
        </w:rPr>
      </w:pPr>
      <w:r>
        <w:t>EHSV:</w:t>
      </w:r>
    </w:p>
    <w:p w14:paraId="7E1984E8" w14:textId="77777777" w:rsidR="0022097D" w:rsidRPr="00A6689B" w:rsidRDefault="0022097D" w:rsidP="0022097D">
      <w:pPr>
        <w:rPr>
          <w:bCs/>
          <w:iCs/>
        </w:rPr>
      </w:pPr>
    </w:p>
    <w:p w14:paraId="340CC3CC" w14:textId="77777777" w:rsidR="0022097D" w:rsidRPr="00260B52" w:rsidRDefault="0022097D" w:rsidP="007F6329">
      <w:pPr>
        <w:numPr>
          <w:ilvl w:val="0"/>
          <w:numId w:val="44"/>
        </w:numPr>
        <w:spacing w:line="276" w:lineRule="auto"/>
        <w:ind w:left="284" w:hanging="284"/>
        <w:rPr>
          <w:bCs/>
          <w:iCs/>
        </w:rPr>
      </w:pPr>
      <w:r>
        <w:t>plně podporuje priority stanovené Komisí na základě problémů, na něž upozorňují zúčastněné strany;</w:t>
      </w:r>
    </w:p>
    <w:p w14:paraId="34172777" w14:textId="77777777" w:rsidR="0022097D" w:rsidRPr="00260B52" w:rsidRDefault="0022097D" w:rsidP="007F6329">
      <w:pPr>
        <w:numPr>
          <w:ilvl w:val="0"/>
          <w:numId w:val="44"/>
        </w:numPr>
        <w:spacing w:line="276" w:lineRule="auto"/>
        <w:ind w:left="284" w:hanging="284"/>
        <w:rPr>
          <w:bCs/>
          <w:iCs/>
        </w:rPr>
      </w:pPr>
      <w:r>
        <w:t>připomíná, že zjednodušení regulace musí zůstat plně v souladu se sociálními a pracovními právy. Proto je nezbytné již do raných fází legislativního procesu systematicky zapojit Evropský parlament, parlamenty členských států a sociální partnery;</w:t>
      </w:r>
    </w:p>
    <w:p w14:paraId="19E8790F" w14:textId="77777777" w:rsidR="0022097D" w:rsidRPr="00260B52" w:rsidRDefault="0022097D" w:rsidP="007F6329">
      <w:pPr>
        <w:numPr>
          <w:ilvl w:val="0"/>
          <w:numId w:val="44"/>
        </w:numPr>
        <w:spacing w:line="276" w:lineRule="auto"/>
        <w:ind w:left="284" w:hanging="284"/>
        <w:rPr>
          <w:bCs/>
          <w:iCs/>
        </w:rPr>
      </w:pPr>
      <w:r>
        <w:t>hodlá se aktivněji podílet na správě jednotného trhu, mimo jiné posílením své účasti na činnosti pracovní skupiny pro prosazování jednotného trhu (Single Market Enforcement Taskforce, SMET);</w:t>
      </w:r>
    </w:p>
    <w:p w14:paraId="696BA97D" w14:textId="77777777" w:rsidR="0022097D" w:rsidRPr="00260B52" w:rsidRDefault="0022097D" w:rsidP="007F6329">
      <w:pPr>
        <w:numPr>
          <w:ilvl w:val="0"/>
          <w:numId w:val="44"/>
        </w:numPr>
        <w:spacing w:line="276" w:lineRule="auto"/>
        <w:ind w:left="284" w:hanging="284"/>
        <w:rPr>
          <w:bCs/>
          <w:iCs/>
        </w:rPr>
      </w:pPr>
      <w:r>
        <w:t>vyzývá Komisi, aby připravila legislativní návrhy, jak řešit problém územních omezení dodávek a harmonizovat označování výrobků;</w:t>
      </w:r>
    </w:p>
    <w:p w14:paraId="01BA4FBB" w14:textId="77777777" w:rsidR="0022097D" w:rsidRPr="00260B52" w:rsidRDefault="0022097D" w:rsidP="007F6329">
      <w:pPr>
        <w:numPr>
          <w:ilvl w:val="0"/>
          <w:numId w:val="44"/>
        </w:numPr>
        <w:spacing w:line="276" w:lineRule="auto"/>
        <w:ind w:left="284" w:hanging="284"/>
        <w:rPr>
          <w:bCs/>
          <w:iCs/>
        </w:rPr>
      </w:pPr>
      <w:r>
        <w:t>vítá Komisí oznámený návrh na zavedení volitelného „28. režimu“ pro podniky, pokládá však za nezbytné zajistit účinná ochranná opatření proti možnému zneužití;</w:t>
      </w:r>
    </w:p>
    <w:p w14:paraId="5D99C293" w14:textId="77777777" w:rsidR="0022097D" w:rsidRPr="00260B52" w:rsidRDefault="0022097D" w:rsidP="007F6329">
      <w:pPr>
        <w:numPr>
          <w:ilvl w:val="0"/>
          <w:numId w:val="44"/>
        </w:numPr>
        <w:spacing w:line="276" w:lineRule="auto"/>
        <w:ind w:left="284" w:hanging="284"/>
        <w:rPr>
          <w:bCs/>
          <w:iCs/>
        </w:rPr>
      </w:pPr>
      <w:r>
        <w:t>souhlasí, že normalizace je významnou hnací silou integrace a inovace, poukazuje však na zásady transparentnosti, inkluzivnosti a strukturované účasti;</w:t>
      </w:r>
    </w:p>
    <w:p w14:paraId="6765654D" w14:textId="77777777" w:rsidR="0022097D" w:rsidRPr="00260B52" w:rsidRDefault="0022097D" w:rsidP="007F6329">
      <w:pPr>
        <w:numPr>
          <w:ilvl w:val="0"/>
          <w:numId w:val="44"/>
        </w:numPr>
        <w:spacing w:line="276" w:lineRule="auto"/>
        <w:ind w:left="284" w:hanging="284"/>
        <w:rPr>
          <w:bCs/>
          <w:iCs/>
        </w:rPr>
      </w:pPr>
      <w:r>
        <w:t>podporuje zjednodušení uznávání odborných kvalifikací, a to i pro státní příslušníky třetích zemí. Kvalifikace nicméně musí mít jasnou definici, možnost ověření a průkaznou kvalitu;</w:t>
      </w:r>
    </w:p>
    <w:p w14:paraId="79DE1F17" w14:textId="77777777" w:rsidR="0022097D" w:rsidRPr="00260B52" w:rsidRDefault="0022097D" w:rsidP="007F6329">
      <w:pPr>
        <w:numPr>
          <w:ilvl w:val="0"/>
          <w:numId w:val="44"/>
        </w:numPr>
        <w:spacing w:line="276" w:lineRule="auto"/>
        <w:ind w:left="284" w:hanging="284"/>
        <w:rPr>
          <w:bCs/>
          <w:iCs/>
        </w:rPr>
      </w:pPr>
      <w:r>
        <w:t>podporuje posílení Evropského orgánu pro pracovní záležitosti;</w:t>
      </w:r>
    </w:p>
    <w:p w14:paraId="2C2ED945" w14:textId="77777777" w:rsidR="0022097D" w:rsidRPr="00260B52" w:rsidRDefault="0022097D" w:rsidP="007F6329">
      <w:pPr>
        <w:numPr>
          <w:ilvl w:val="0"/>
          <w:numId w:val="44"/>
        </w:numPr>
        <w:spacing w:line="276" w:lineRule="auto"/>
        <w:ind w:left="284" w:hanging="284"/>
        <w:rPr>
          <w:bCs/>
          <w:iCs/>
        </w:rPr>
      </w:pPr>
      <w:r>
        <w:t xml:space="preserve">vyzývá k rozšíření oblasti působnosti jednotného trhu na strategická odvětví, jako jsou energetika a finance. Považuje za nutné zavést inkluzivní správu a vyzývá k revizi právních předpisů o zadávání veřejných zakázek. Zároveň by měly být nalezeny vhodné způsoby, jak zohlednit sociální, environmentální a inovační cíle. </w:t>
      </w:r>
    </w:p>
    <w:p w14:paraId="1C51F5CC" w14:textId="77777777" w:rsidR="0022097D" w:rsidRPr="000624A9" w:rsidRDefault="0022097D" w:rsidP="0022097D">
      <w:pPr>
        <w:widowControl w:val="0"/>
        <w:ind w:left="709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22097D" w:rsidRPr="00A6689B" w14:paraId="71853D89" w14:textId="77777777" w:rsidTr="00320B62">
        <w:tc>
          <w:tcPr>
            <w:tcW w:w="1418" w:type="dxa"/>
          </w:tcPr>
          <w:p w14:paraId="0F4F62C3" w14:textId="77777777" w:rsidR="0022097D" w:rsidRPr="001262F7" w:rsidRDefault="0022097D" w:rsidP="00320B62">
            <w:pPr>
              <w:spacing w:line="240" w:lineRule="auto"/>
              <w:rPr>
                <w:i/>
                <w:sz w:val="20"/>
                <w:szCs w:val="20"/>
              </w:rPr>
            </w:pPr>
            <w:r w:rsidRPr="001262F7">
              <w:rPr>
                <w:b/>
                <w:i/>
                <w:sz w:val="20"/>
                <w:szCs w:val="20"/>
              </w:rPr>
              <w:t>Kontakt</w:t>
            </w:r>
          </w:p>
        </w:tc>
        <w:tc>
          <w:tcPr>
            <w:tcW w:w="5670" w:type="dxa"/>
          </w:tcPr>
          <w:p w14:paraId="738C8989" w14:textId="77777777" w:rsidR="0022097D" w:rsidRPr="001262F7" w:rsidRDefault="0022097D" w:rsidP="00320B62">
            <w:pPr>
              <w:spacing w:line="240" w:lineRule="auto"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Annalisa Tessarolo</w:t>
            </w:r>
          </w:p>
        </w:tc>
      </w:tr>
      <w:tr w:rsidR="0022097D" w:rsidRPr="00A6689B" w14:paraId="16060475" w14:textId="77777777" w:rsidTr="00320B62">
        <w:tc>
          <w:tcPr>
            <w:tcW w:w="1418" w:type="dxa"/>
          </w:tcPr>
          <w:p w14:paraId="1F9698D9" w14:textId="77777777" w:rsidR="0022097D" w:rsidRPr="001262F7" w:rsidRDefault="0022097D" w:rsidP="00320B62">
            <w:pPr>
              <w:spacing w:line="240" w:lineRule="auto"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5670" w:type="dxa"/>
            <w:shd w:val="clear" w:color="auto" w:fill="auto"/>
          </w:tcPr>
          <w:p w14:paraId="6F727BD8" w14:textId="77777777" w:rsidR="0022097D" w:rsidRPr="001262F7" w:rsidRDefault="0022097D" w:rsidP="00320B62">
            <w:pPr>
              <w:spacing w:line="240" w:lineRule="auto"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+ 32 25469732</w:t>
            </w:r>
          </w:p>
        </w:tc>
      </w:tr>
      <w:tr w:rsidR="0022097D" w:rsidRPr="00A6689B" w14:paraId="3E13572B" w14:textId="77777777" w:rsidTr="00320B62">
        <w:tc>
          <w:tcPr>
            <w:tcW w:w="1418" w:type="dxa"/>
          </w:tcPr>
          <w:p w14:paraId="7FE5C10F" w14:textId="77777777" w:rsidR="0022097D" w:rsidRPr="001262F7" w:rsidRDefault="0022097D" w:rsidP="00320B62">
            <w:pPr>
              <w:spacing w:line="240" w:lineRule="auto"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5670" w:type="dxa"/>
          </w:tcPr>
          <w:p w14:paraId="2C2C645F" w14:textId="77777777" w:rsidR="0022097D" w:rsidRPr="001262F7" w:rsidRDefault="00066DA5" w:rsidP="00320B62">
            <w:pPr>
              <w:spacing w:line="240" w:lineRule="auto"/>
              <w:rPr>
                <w:i/>
                <w:sz w:val="20"/>
                <w:szCs w:val="20"/>
              </w:rPr>
            </w:pPr>
            <w:hyperlink r:id="rId30" w:history="1">
              <w:r w:rsidR="0022097D" w:rsidRPr="001262F7">
                <w:rPr>
                  <w:rStyle w:val="Hyperlink"/>
                  <w:i/>
                  <w:sz w:val="20"/>
                  <w:szCs w:val="20"/>
                </w:rPr>
                <w:t>Annalisa.Tessarolo@eesc.europa.eu</w:t>
              </w:r>
            </w:hyperlink>
          </w:p>
        </w:tc>
      </w:tr>
    </w:tbl>
    <w:p w14:paraId="0703F17A" w14:textId="77777777" w:rsidR="0022097D" w:rsidRDefault="0022097D" w:rsidP="0022097D"/>
    <w:p w14:paraId="7BF91C3B" w14:textId="5B7380F7" w:rsidR="008A6059" w:rsidRPr="0067326F" w:rsidRDefault="00465162" w:rsidP="0067326F">
      <w:pPr>
        <w:pStyle w:val="ListParagraph"/>
        <w:numPr>
          <w:ilvl w:val="0"/>
          <w:numId w:val="46"/>
        </w:numPr>
        <w:ind w:left="567" w:hanging="567"/>
        <w:rPr>
          <w:sz w:val="20"/>
          <w:szCs w:val="20"/>
        </w:rPr>
      </w:pPr>
      <w:r>
        <w:br w:type="page"/>
      </w:r>
      <w:hyperlink r:id="rId31" w:tgtFrame="_blank" w:history="1">
        <w:r w:rsidR="0022097D" w:rsidRPr="0067326F">
          <w:rPr>
            <w:rStyle w:val="Hyperlink"/>
            <w:b/>
            <w:i/>
            <w:sz w:val="28"/>
          </w:rPr>
          <w:t>Zpráva o politice hospodářské soutěže za rok 2024</w:t>
        </w:r>
      </w:hyperlink>
    </w:p>
    <w:p w14:paraId="5A2589D6" w14:textId="77777777" w:rsidR="0022097D" w:rsidRPr="00A6689B" w:rsidRDefault="0022097D" w:rsidP="0022097D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="0022097D" w:rsidRPr="00A6689B" w14:paraId="2B170A2E" w14:textId="77777777" w:rsidTr="00320B62">
        <w:tc>
          <w:tcPr>
            <w:tcW w:w="1701" w:type="dxa"/>
          </w:tcPr>
          <w:p w14:paraId="6D25BAB2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Zpravodaj</w:t>
            </w:r>
          </w:p>
        </w:tc>
        <w:tc>
          <w:tcPr>
            <w:tcW w:w="5387" w:type="dxa"/>
          </w:tcPr>
          <w:p w14:paraId="5B782457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</w:pPr>
            <w:r>
              <w:t>Andrea MONE (Zaměstnanci – IT)</w:t>
            </w:r>
          </w:p>
        </w:tc>
      </w:tr>
      <w:tr w:rsidR="0022097D" w:rsidRPr="00A6689B" w14:paraId="285D680D" w14:textId="77777777" w:rsidTr="00320B62">
        <w:tc>
          <w:tcPr>
            <w:tcW w:w="7088" w:type="dxa"/>
            <w:gridSpan w:val="2"/>
          </w:tcPr>
          <w:p w14:paraId="2DEE41C2" w14:textId="77777777" w:rsidR="0022097D" w:rsidRPr="00A6689B" w:rsidRDefault="0022097D" w:rsidP="00320B62">
            <w:pPr>
              <w:tabs>
                <w:tab w:val="center" w:pos="284"/>
              </w:tabs>
              <w:spacing w:line="160" w:lineRule="exact"/>
              <w:ind w:left="266" w:hanging="266"/>
              <w:rPr>
                <w:lang w:val="en-US"/>
              </w:rPr>
            </w:pPr>
          </w:p>
        </w:tc>
      </w:tr>
      <w:tr w:rsidR="0022097D" w:rsidRPr="00A6689B" w14:paraId="229B78FF" w14:textId="77777777" w:rsidTr="00320B62">
        <w:tc>
          <w:tcPr>
            <w:tcW w:w="1701" w:type="dxa"/>
            <w:vMerge w:val="restart"/>
          </w:tcPr>
          <w:p w14:paraId="226D7385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Odkazy</w:t>
            </w:r>
          </w:p>
        </w:tc>
        <w:tc>
          <w:tcPr>
            <w:tcW w:w="5387" w:type="dxa"/>
          </w:tcPr>
          <w:p w14:paraId="5BF58304" w14:textId="77777777" w:rsidR="0022097D" w:rsidRPr="0018587A" w:rsidRDefault="0022097D" w:rsidP="00320B62">
            <w:pPr>
              <w:tabs>
                <w:tab w:val="center" w:pos="284"/>
              </w:tabs>
              <w:ind w:left="266" w:hanging="266"/>
            </w:pPr>
            <w:r>
              <w:t>COM(2025) 181 final</w:t>
            </w:r>
          </w:p>
          <w:p w14:paraId="74B01827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</w:pPr>
            <w:r>
              <w:t>EESC-2025-02299-00-00-AC</w:t>
            </w:r>
          </w:p>
        </w:tc>
      </w:tr>
      <w:tr w:rsidR="0022097D" w:rsidRPr="00A6689B" w14:paraId="6792F015" w14:textId="77777777" w:rsidTr="00320B62">
        <w:tc>
          <w:tcPr>
            <w:tcW w:w="1701" w:type="dxa"/>
            <w:vMerge/>
          </w:tcPr>
          <w:p w14:paraId="417D869C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  <w:rPr>
                <w:b/>
                <w:lang w:val="en-US"/>
              </w:rPr>
            </w:pPr>
          </w:p>
        </w:tc>
        <w:tc>
          <w:tcPr>
            <w:tcW w:w="5387" w:type="dxa"/>
          </w:tcPr>
          <w:p w14:paraId="07A1DC74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  <w:rPr>
                <w:lang w:val="en-US"/>
              </w:rPr>
            </w:pPr>
          </w:p>
        </w:tc>
      </w:tr>
    </w:tbl>
    <w:p w14:paraId="0B113A56" w14:textId="77777777" w:rsidR="0022097D" w:rsidRPr="00A6689B" w:rsidRDefault="0022097D" w:rsidP="0022097D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Hlavní body</w:t>
      </w:r>
    </w:p>
    <w:p w14:paraId="2EF7AD84" w14:textId="77777777" w:rsidR="0022097D" w:rsidRPr="00A6689B" w:rsidRDefault="0022097D" w:rsidP="0022097D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6EC8643C" w14:textId="77777777" w:rsidR="0022097D" w:rsidRDefault="0022097D" w:rsidP="0022097D">
      <w:pPr>
        <w:rPr>
          <w:bCs/>
          <w:iCs/>
        </w:rPr>
      </w:pPr>
      <w:r>
        <w:t>EHSV:</w:t>
      </w:r>
    </w:p>
    <w:p w14:paraId="18BA5659" w14:textId="77777777" w:rsidR="0022097D" w:rsidRPr="0065464E" w:rsidRDefault="0022097D" w:rsidP="0022097D">
      <w:pPr>
        <w:rPr>
          <w:bCs/>
          <w:iCs/>
        </w:rPr>
      </w:pPr>
    </w:p>
    <w:p w14:paraId="3F8F543F" w14:textId="77777777" w:rsidR="0022097D" w:rsidRDefault="0022097D" w:rsidP="007F6329">
      <w:pPr>
        <w:numPr>
          <w:ilvl w:val="0"/>
          <w:numId w:val="8"/>
        </w:numPr>
        <w:tabs>
          <w:tab w:val="clear" w:pos="720"/>
        </w:tabs>
        <w:spacing w:line="276" w:lineRule="auto"/>
        <w:ind w:left="284" w:hanging="284"/>
      </w:pPr>
      <w:r>
        <w:t xml:space="preserve">vítá </w:t>
      </w:r>
      <w:r>
        <w:rPr>
          <w:b/>
        </w:rPr>
        <w:t>přístup k prosazování předpisů, který Komise přijala v roce 2024</w:t>
      </w:r>
      <w:r>
        <w:t xml:space="preserve"> a jenž slaďuje politiku hospodářské soutěže s cíli, které si EU vytkla v oblasti digitalizace, ekologie a odolnosti, a zároveň chrání dobře fungující a konkurenceschopný jednotný trh;</w:t>
      </w:r>
    </w:p>
    <w:p w14:paraId="25716B41" w14:textId="77777777" w:rsidR="0022097D" w:rsidRDefault="0022097D" w:rsidP="007F6329">
      <w:pPr>
        <w:numPr>
          <w:ilvl w:val="0"/>
          <w:numId w:val="8"/>
        </w:numPr>
        <w:tabs>
          <w:tab w:val="clear" w:pos="720"/>
        </w:tabs>
        <w:spacing w:line="276" w:lineRule="auto"/>
        <w:ind w:left="284" w:hanging="284"/>
      </w:pPr>
      <w:r>
        <w:t xml:space="preserve">podporuje úsilí Komise o zvýšení </w:t>
      </w:r>
      <w:r>
        <w:rPr>
          <w:b/>
        </w:rPr>
        <w:t>účinnosti a předvídatelnosti pravidel hospodářské soutěže</w:t>
      </w:r>
      <w:r>
        <w:t>, včetně vypracování nových pokynů týkajících se zneužívání dominantního postavení vylučujícího ostatní soutěžitele, modernizovaného sdělení o vymezení trhu a zdokonalených nástrojů pro posuzování dopadů na blahobyt spotřebitelů;</w:t>
      </w:r>
    </w:p>
    <w:p w14:paraId="3FE0BED1" w14:textId="75720410" w:rsidR="0022097D" w:rsidRDefault="0067326F" w:rsidP="007F6329">
      <w:pPr>
        <w:numPr>
          <w:ilvl w:val="0"/>
          <w:numId w:val="8"/>
        </w:numPr>
        <w:tabs>
          <w:tab w:val="clear" w:pos="720"/>
        </w:tabs>
        <w:spacing w:line="276" w:lineRule="auto"/>
        <w:ind w:left="284" w:hanging="284"/>
      </w:pPr>
      <w:r>
        <w:t>z</w:t>
      </w:r>
      <w:r w:rsidR="0022097D">
        <w:t xml:space="preserve">důrazňuje, že je důležité řešit výzvy v oblasti hospodářské soutěže na </w:t>
      </w:r>
      <w:r w:rsidR="0022097D">
        <w:rPr>
          <w:b/>
        </w:rPr>
        <w:t>digitálních trzích</w:t>
      </w:r>
      <w:r w:rsidR="0022097D">
        <w:t>, a vybízí Komisi, aby i nadále posilovala prosazování jak podle tradičních pravidel hospodářské soutěže, tak podle nařízení o digitálních trzích, a to vzhledem ke strukturální dominanci a vstupním překážkám v obchodních modelech založených na platformách;</w:t>
      </w:r>
    </w:p>
    <w:p w14:paraId="6075254D" w14:textId="77777777" w:rsidR="0022097D" w:rsidRDefault="0022097D" w:rsidP="007F6329">
      <w:pPr>
        <w:numPr>
          <w:ilvl w:val="0"/>
          <w:numId w:val="8"/>
        </w:numPr>
        <w:tabs>
          <w:tab w:val="clear" w:pos="720"/>
        </w:tabs>
        <w:spacing w:line="276" w:lineRule="auto"/>
        <w:ind w:left="284" w:hanging="284"/>
      </w:pPr>
      <w:r>
        <w:t>vyzývá k </w:t>
      </w:r>
      <w:r>
        <w:rPr>
          <w:b/>
        </w:rPr>
        <w:t>posílení kontroly spojování podniků</w:t>
      </w:r>
      <w:r>
        <w:t xml:space="preserve">, včetně zavedení rámce pro zkoumání akvizic pod prahovou hodnotou, které mohou poškodit hospodářskou soutěž (např. „likvidační akvizice“), a naléhavě vyzývá k tomu, aby se při posuzování spojování podniků </w:t>
      </w:r>
      <w:r>
        <w:rPr>
          <w:b/>
        </w:rPr>
        <w:t>více zohledňovaly dopady na trh práce a dynamika inovací</w:t>
      </w:r>
      <w:r>
        <w:t>;</w:t>
      </w:r>
    </w:p>
    <w:p w14:paraId="6857DAF4" w14:textId="77777777" w:rsidR="0022097D" w:rsidRPr="0065464E" w:rsidRDefault="0022097D" w:rsidP="007F6329">
      <w:pPr>
        <w:numPr>
          <w:ilvl w:val="0"/>
          <w:numId w:val="8"/>
        </w:numPr>
        <w:tabs>
          <w:tab w:val="clear" w:pos="720"/>
        </w:tabs>
        <w:spacing w:line="276" w:lineRule="auto"/>
        <w:ind w:left="284" w:hanging="284"/>
      </w:pPr>
      <w:r>
        <w:t xml:space="preserve">zdůrazňuje, že je třeba, aby </w:t>
      </w:r>
      <w:r>
        <w:rPr>
          <w:b/>
        </w:rPr>
        <w:t>pravidla státní podpory</w:t>
      </w:r>
      <w:r>
        <w:t xml:space="preserve"> – zejména nový rámec CISAF a procesy v souvislosti s významnými projekty společného evropského zájmu – prosazovala </w:t>
      </w:r>
      <w:r>
        <w:rPr>
          <w:b/>
        </w:rPr>
        <w:t>přeshraniční účast, snižovala roztříštěnost a podporovala strategické investice</w:t>
      </w:r>
      <w:r>
        <w:t xml:space="preserve"> nezbytné s ohledem na Dohodu o čistém průmyslu a zároveň zajišťovala soudržnost a rovné podmínky napříč členskými státy.</w:t>
      </w:r>
    </w:p>
    <w:p w14:paraId="0D77A3D3" w14:textId="77777777" w:rsidR="0022097D" w:rsidRPr="000624A9" w:rsidRDefault="0022097D" w:rsidP="0022097D">
      <w:pPr>
        <w:widowControl w:val="0"/>
        <w:ind w:left="709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22097D" w:rsidRPr="00A6689B" w14:paraId="0C5B15E1" w14:textId="77777777" w:rsidTr="00320B62">
        <w:tc>
          <w:tcPr>
            <w:tcW w:w="1418" w:type="dxa"/>
          </w:tcPr>
          <w:p w14:paraId="41D49FAF" w14:textId="77777777" w:rsidR="0022097D" w:rsidRPr="001262F7" w:rsidRDefault="0022097D" w:rsidP="00320B62">
            <w:pPr>
              <w:spacing w:line="240" w:lineRule="auto"/>
              <w:rPr>
                <w:i/>
                <w:sz w:val="20"/>
                <w:szCs w:val="20"/>
              </w:rPr>
            </w:pPr>
            <w:r w:rsidRPr="001262F7">
              <w:rPr>
                <w:b/>
                <w:i/>
                <w:sz w:val="20"/>
                <w:szCs w:val="20"/>
              </w:rPr>
              <w:t>Kontakt</w:t>
            </w:r>
          </w:p>
        </w:tc>
        <w:tc>
          <w:tcPr>
            <w:tcW w:w="5670" w:type="dxa"/>
          </w:tcPr>
          <w:p w14:paraId="14FEC1BC" w14:textId="77777777" w:rsidR="0022097D" w:rsidRPr="001262F7" w:rsidRDefault="0022097D" w:rsidP="00320B62">
            <w:pPr>
              <w:spacing w:line="240" w:lineRule="auto"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Silvia Staffa</w:t>
            </w:r>
          </w:p>
        </w:tc>
      </w:tr>
      <w:tr w:rsidR="0022097D" w:rsidRPr="00A6689B" w14:paraId="197DCF66" w14:textId="77777777" w:rsidTr="00320B62">
        <w:tc>
          <w:tcPr>
            <w:tcW w:w="1418" w:type="dxa"/>
          </w:tcPr>
          <w:p w14:paraId="1D62FE48" w14:textId="77777777" w:rsidR="0022097D" w:rsidRPr="001262F7" w:rsidRDefault="0022097D" w:rsidP="00320B62">
            <w:pPr>
              <w:spacing w:line="240" w:lineRule="auto"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5670" w:type="dxa"/>
            <w:shd w:val="clear" w:color="auto" w:fill="auto"/>
          </w:tcPr>
          <w:p w14:paraId="79C1C3B4" w14:textId="77777777" w:rsidR="0022097D" w:rsidRPr="001262F7" w:rsidRDefault="0022097D" w:rsidP="00320B62">
            <w:pPr>
              <w:spacing w:line="240" w:lineRule="auto"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+ 32 25468378</w:t>
            </w:r>
          </w:p>
        </w:tc>
      </w:tr>
      <w:tr w:rsidR="0022097D" w:rsidRPr="00A6689B" w14:paraId="67627537" w14:textId="77777777" w:rsidTr="00320B62">
        <w:tc>
          <w:tcPr>
            <w:tcW w:w="1418" w:type="dxa"/>
          </w:tcPr>
          <w:p w14:paraId="0A8A2B0A" w14:textId="77777777" w:rsidR="0022097D" w:rsidRPr="001262F7" w:rsidRDefault="0022097D" w:rsidP="00320B62">
            <w:pPr>
              <w:spacing w:line="240" w:lineRule="auto"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5670" w:type="dxa"/>
          </w:tcPr>
          <w:p w14:paraId="71A1CDD6" w14:textId="77777777" w:rsidR="0022097D" w:rsidRPr="001262F7" w:rsidRDefault="00066DA5" w:rsidP="00320B62">
            <w:pPr>
              <w:spacing w:line="240" w:lineRule="auto"/>
              <w:rPr>
                <w:i/>
                <w:sz w:val="20"/>
                <w:szCs w:val="20"/>
              </w:rPr>
            </w:pPr>
            <w:hyperlink r:id="rId32" w:history="1">
              <w:r w:rsidR="0022097D" w:rsidRPr="001262F7">
                <w:rPr>
                  <w:rStyle w:val="Hyperlink"/>
                  <w:i/>
                  <w:sz w:val="20"/>
                  <w:szCs w:val="20"/>
                </w:rPr>
                <w:t>Silvia.Staffa@eesc.europa.eu</w:t>
              </w:r>
            </w:hyperlink>
          </w:p>
        </w:tc>
      </w:tr>
    </w:tbl>
    <w:p w14:paraId="47379D2A" w14:textId="77777777" w:rsidR="0022097D" w:rsidRDefault="0022097D" w:rsidP="0022097D"/>
    <w:p w14:paraId="4E659D6D" w14:textId="7765710E" w:rsidR="00685A3A" w:rsidRPr="0067326F" w:rsidRDefault="004D7AC0" w:rsidP="0067326F">
      <w:pPr>
        <w:pStyle w:val="ListParagraph"/>
        <w:numPr>
          <w:ilvl w:val="0"/>
          <w:numId w:val="46"/>
        </w:numPr>
        <w:ind w:left="567" w:hanging="567"/>
        <w:rPr>
          <w:i/>
          <w:iCs/>
          <w:sz w:val="28"/>
          <w:szCs w:val="28"/>
        </w:rPr>
      </w:pPr>
      <w:r>
        <w:br w:type="page"/>
      </w:r>
      <w:hyperlink r:id="rId33" w:history="1">
        <w:r w:rsidR="0022097D" w:rsidRPr="0067326F">
          <w:rPr>
            <w:rStyle w:val="Hyperlink"/>
            <w:b/>
            <w:i/>
            <w:sz w:val="28"/>
          </w:rPr>
          <w:t>Fond pro konkurenceschopnost</w:t>
        </w:r>
      </w:hyperlink>
    </w:p>
    <w:p w14:paraId="6C9BD52A" w14:textId="77777777" w:rsidR="0022097D" w:rsidRPr="006F46D1" w:rsidRDefault="0022097D" w:rsidP="0022097D">
      <w:pPr>
        <w:tabs>
          <w:tab w:val="center" w:pos="284"/>
        </w:tabs>
        <w:ind w:left="266" w:hanging="266"/>
        <w:rPr>
          <w:b/>
          <w:lang w:val="en-US"/>
        </w:rPr>
      </w:pPr>
    </w:p>
    <w:tbl>
      <w:tblPr>
        <w:tblStyle w:val="TableGrid"/>
        <w:tblW w:w="49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7145"/>
      </w:tblGrid>
      <w:tr w:rsidR="0022097D" w:rsidRPr="00A6689B" w14:paraId="2B98A8E6" w14:textId="77777777" w:rsidTr="00320B62">
        <w:trPr>
          <w:trHeight w:val="406"/>
        </w:trPr>
        <w:tc>
          <w:tcPr>
            <w:tcW w:w="1108" w:type="pct"/>
          </w:tcPr>
          <w:p w14:paraId="314D8A98" w14:textId="77777777" w:rsidR="0022097D" w:rsidRPr="00A6689B" w:rsidRDefault="0022097D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Zpravodajka</w:t>
            </w:r>
          </w:p>
        </w:tc>
        <w:tc>
          <w:tcPr>
            <w:tcW w:w="3892" w:type="pct"/>
          </w:tcPr>
          <w:p w14:paraId="06CAC29D" w14:textId="77777777" w:rsidR="0022097D" w:rsidRPr="009E78F1" w:rsidRDefault="0022097D" w:rsidP="00320B62">
            <w:pPr>
              <w:tabs>
                <w:tab w:val="center" w:pos="0"/>
              </w:tabs>
              <w:ind w:left="266" w:hanging="266"/>
            </w:pPr>
            <w:r>
              <w:t>Milena ANGELOVA (Zaměstnavatelé – BG)</w:t>
            </w:r>
          </w:p>
        </w:tc>
      </w:tr>
      <w:tr w:rsidR="0022097D" w:rsidRPr="0004565E" w14:paraId="3F1DFC74" w14:textId="77777777" w:rsidTr="00320B62">
        <w:tc>
          <w:tcPr>
            <w:tcW w:w="1108" w:type="pct"/>
          </w:tcPr>
          <w:p w14:paraId="1A944B4F" w14:textId="77777777" w:rsidR="0022097D" w:rsidRPr="00CB5569" w:rsidRDefault="0022097D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Odkazy</w:t>
            </w:r>
          </w:p>
        </w:tc>
        <w:tc>
          <w:tcPr>
            <w:tcW w:w="3892" w:type="pct"/>
          </w:tcPr>
          <w:p w14:paraId="4619E1AD" w14:textId="77777777" w:rsidR="0022097D" w:rsidRPr="00AF47F8" w:rsidRDefault="0022097D" w:rsidP="00320B62">
            <w:pPr>
              <w:tabs>
                <w:tab w:val="center" w:pos="284"/>
              </w:tabs>
              <w:ind w:left="266" w:hanging="266"/>
            </w:pPr>
            <w:r>
              <w:t>COM(2025) 555 final – 2025/0555 (COD)</w:t>
            </w:r>
          </w:p>
          <w:p w14:paraId="69F38ABA" w14:textId="77777777" w:rsidR="0022097D" w:rsidRPr="00AF47F8" w:rsidRDefault="0022097D" w:rsidP="00320B62">
            <w:pPr>
              <w:tabs>
                <w:tab w:val="center" w:pos="284"/>
              </w:tabs>
              <w:ind w:left="266" w:hanging="266"/>
            </w:pPr>
            <w:r>
              <w:t>EESC-2025-02576-00-00-AC</w:t>
            </w:r>
          </w:p>
        </w:tc>
      </w:tr>
    </w:tbl>
    <w:p w14:paraId="7C6AC3C8" w14:textId="77777777" w:rsidR="0022097D" w:rsidRPr="00AF47F8" w:rsidRDefault="0022097D" w:rsidP="0022097D">
      <w:pPr>
        <w:keepNext/>
        <w:keepLines/>
        <w:tabs>
          <w:tab w:val="center" w:pos="284"/>
        </w:tabs>
        <w:ind w:left="266" w:hanging="266"/>
        <w:rPr>
          <w:b/>
          <w:lang w:val="pt-PT"/>
        </w:rPr>
      </w:pPr>
    </w:p>
    <w:p w14:paraId="26E5C119" w14:textId="77777777" w:rsidR="0022097D" w:rsidRPr="00CB5569" w:rsidRDefault="0022097D" w:rsidP="0022097D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Hlavní body</w:t>
      </w:r>
    </w:p>
    <w:p w14:paraId="572DB638" w14:textId="77777777" w:rsidR="0022097D" w:rsidRPr="00601171" w:rsidRDefault="0022097D" w:rsidP="0022097D">
      <w:pPr>
        <w:keepNext/>
        <w:keepLines/>
        <w:tabs>
          <w:tab w:val="center" w:pos="284"/>
        </w:tabs>
        <w:ind w:left="266" w:hanging="266"/>
        <w:rPr>
          <w:bCs/>
        </w:rPr>
      </w:pPr>
    </w:p>
    <w:p w14:paraId="0FB46FE4" w14:textId="77777777" w:rsidR="0022097D" w:rsidRPr="00601171" w:rsidRDefault="0022097D" w:rsidP="0022097D">
      <w:pPr>
        <w:rPr>
          <w:bCs/>
          <w:iCs/>
        </w:rPr>
      </w:pPr>
      <w:r>
        <w:t>EHSV:</w:t>
      </w:r>
    </w:p>
    <w:p w14:paraId="183546BC" w14:textId="77777777" w:rsidR="0022097D" w:rsidRPr="00601171" w:rsidRDefault="0022097D" w:rsidP="007F6329">
      <w:pPr>
        <w:numPr>
          <w:ilvl w:val="0"/>
          <w:numId w:val="9"/>
        </w:numPr>
        <w:spacing w:line="276" w:lineRule="auto"/>
        <w:ind w:left="284" w:hanging="284"/>
      </w:pPr>
      <w:r>
        <w:t xml:space="preserve">podporuje vznik Evropského fondu pro konkurenceschopnost (ECF), jenž se má stát základem příštího rozpočtu EU a hybnou silou inovací, odolnosti a bezpečnosti. Zdůrazňuje, že </w:t>
      </w:r>
      <w:r>
        <w:rPr>
          <w:b/>
          <w:bCs/>
        </w:rPr>
        <w:t>financování musí i nadále zůstat plně v souladu se zásadami udržitelnosti a sociálně tržního hospodářství EU</w:t>
      </w:r>
      <w:r>
        <w:t>;</w:t>
      </w:r>
    </w:p>
    <w:p w14:paraId="4EE76A05" w14:textId="77777777" w:rsidR="0022097D" w:rsidRPr="00601171" w:rsidRDefault="0022097D" w:rsidP="007F6329">
      <w:pPr>
        <w:numPr>
          <w:ilvl w:val="0"/>
          <w:numId w:val="9"/>
        </w:numPr>
        <w:spacing w:line="276" w:lineRule="auto"/>
        <w:ind w:left="284" w:hanging="284"/>
      </w:pPr>
      <w:r>
        <w:rPr>
          <w:b/>
          <w:bCs/>
        </w:rPr>
        <w:t>žádá, aby výběr projektů byl pojímán celounijně a zásluhově</w:t>
      </w:r>
      <w:r>
        <w:t xml:space="preserve"> dle jasných kritérií, jako je excelence, zaměření na budoucnost a hospodářský potenciál. </w:t>
      </w:r>
      <w:r>
        <w:rPr>
          <w:b/>
          <w:bCs/>
        </w:rPr>
        <w:t>Na obranu proti protekcionismu jednotlivých států</w:t>
      </w:r>
      <w:r>
        <w:t xml:space="preserve"> EHSV důrazně žádá transparentní postupy, rovný přístup žadatelů ve všech členských státech a aktivní zapojení sociálních partnerů a občanské společnosti do správy;</w:t>
      </w:r>
    </w:p>
    <w:p w14:paraId="1EDB25D9" w14:textId="77777777" w:rsidR="0022097D" w:rsidRPr="00601171" w:rsidRDefault="0022097D" w:rsidP="007F6329">
      <w:pPr>
        <w:numPr>
          <w:ilvl w:val="0"/>
          <w:numId w:val="9"/>
        </w:numPr>
        <w:spacing w:line="276" w:lineRule="auto"/>
        <w:ind w:left="284" w:hanging="284"/>
      </w:pPr>
      <w:r>
        <w:rPr>
          <w:b/>
          <w:bCs/>
        </w:rPr>
        <w:t>doporučuje zavést „tržní referendum“</w:t>
      </w:r>
      <w:r>
        <w:t xml:space="preserve"> coby povinnost žadatele mobilizovat určitý podíl soukromého financování, uchází-li se o výrazné navýšení z prostředků EU, jako je tomu v případě významných projektů společného evropského zájmu nebo jiných rozsáhlých investic. Tento tržní test by napomohl validaci kvality projektů, snížil riziko zpolitizovaného rozhodování o finanční podpoře a posílil vazbu mezi veřejnou podporou a skutečnou konkurenceschopností;</w:t>
      </w:r>
    </w:p>
    <w:p w14:paraId="5847BC1D" w14:textId="77777777" w:rsidR="0022097D" w:rsidRPr="00601171" w:rsidRDefault="0022097D" w:rsidP="007F6329">
      <w:pPr>
        <w:numPr>
          <w:ilvl w:val="0"/>
          <w:numId w:val="9"/>
        </w:numPr>
        <w:spacing w:line="276" w:lineRule="auto"/>
        <w:ind w:left="284" w:hanging="284"/>
      </w:pPr>
      <w:r>
        <w:rPr>
          <w:b/>
          <w:bCs/>
        </w:rPr>
        <w:t>pokládá za nutné zavést silné nástroje posouzení rizik a prevence</w:t>
      </w:r>
      <w:r>
        <w:t>, aby prostředky z ECF směřovaly pouze na projekty, jež skutečně zvýší konkurenceschopnost Evropy a nebudou opakovat dřívější nedostatky programů financování z EU;</w:t>
      </w:r>
    </w:p>
    <w:p w14:paraId="53088CE9" w14:textId="77777777" w:rsidR="0022097D" w:rsidRPr="00601171" w:rsidRDefault="0022097D" w:rsidP="007F6329">
      <w:pPr>
        <w:numPr>
          <w:ilvl w:val="0"/>
          <w:numId w:val="9"/>
        </w:numPr>
        <w:spacing w:line="276" w:lineRule="auto"/>
        <w:ind w:left="284" w:hanging="284"/>
      </w:pPr>
      <w:r>
        <w:t xml:space="preserve">pokládá za důležité </w:t>
      </w:r>
      <w:r>
        <w:rPr>
          <w:b/>
          <w:bCs/>
        </w:rPr>
        <w:t>podporovat MSP, regionální a přeshraniční inovační ekosystémy a investice do dovedností a důstojné práce</w:t>
      </w:r>
      <w:r>
        <w:t>. Zároveň prosazuje zjednodušení postupů a důraz na transparentní, předvídatelnou a inkluzivní správu.</w:t>
      </w:r>
    </w:p>
    <w:p w14:paraId="0A12A176" w14:textId="77777777" w:rsidR="0022097D" w:rsidRPr="00601171" w:rsidRDefault="0022097D" w:rsidP="0022097D">
      <w:pPr>
        <w:rPr>
          <w:bCs/>
          <w:i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7911"/>
      </w:tblGrid>
      <w:tr w:rsidR="0022097D" w:rsidRPr="00A6689B" w14:paraId="56FF50A8" w14:textId="77777777" w:rsidTr="00320B62">
        <w:tc>
          <w:tcPr>
            <w:tcW w:w="742" w:type="pct"/>
          </w:tcPr>
          <w:p w14:paraId="07C8E50B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4258" w:type="pct"/>
          </w:tcPr>
          <w:p w14:paraId="41077AD0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Silvia STAFFA</w:t>
            </w:r>
          </w:p>
        </w:tc>
      </w:tr>
      <w:tr w:rsidR="0022097D" w:rsidRPr="00A6689B" w14:paraId="3A83365D" w14:textId="77777777" w:rsidTr="00320B62">
        <w:tc>
          <w:tcPr>
            <w:tcW w:w="742" w:type="pct"/>
          </w:tcPr>
          <w:p w14:paraId="1BC627BB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4258" w:type="pct"/>
          </w:tcPr>
          <w:p w14:paraId="1BEEFD96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+32 254 68378</w:t>
            </w:r>
          </w:p>
        </w:tc>
      </w:tr>
      <w:tr w:rsidR="0022097D" w:rsidRPr="00A6689B" w14:paraId="58FDB367" w14:textId="77777777" w:rsidTr="00320B62">
        <w:tc>
          <w:tcPr>
            <w:tcW w:w="742" w:type="pct"/>
          </w:tcPr>
          <w:p w14:paraId="56C96394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4258" w:type="pct"/>
          </w:tcPr>
          <w:p w14:paraId="06FDFDC9" w14:textId="77777777" w:rsidR="0022097D" w:rsidRPr="001262F7" w:rsidRDefault="00066DA5" w:rsidP="00320B62">
            <w:pPr>
              <w:rPr>
                <w:i/>
                <w:iCs/>
                <w:sz w:val="20"/>
                <w:szCs w:val="20"/>
              </w:rPr>
            </w:pPr>
            <w:hyperlink r:id="rId34" w:history="1">
              <w:r w:rsidR="0022097D" w:rsidRPr="001262F7">
                <w:rPr>
                  <w:rStyle w:val="Hyperlink"/>
                  <w:i/>
                  <w:sz w:val="20"/>
                  <w:szCs w:val="20"/>
                </w:rPr>
                <w:t>Silvia.Staffa@eesc.europa.eu</w:t>
              </w:r>
            </w:hyperlink>
          </w:p>
        </w:tc>
      </w:tr>
    </w:tbl>
    <w:p w14:paraId="17D856C7" w14:textId="77777777" w:rsidR="0022097D" w:rsidRDefault="0022097D" w:rsidP="0022097D"/>
    <w:p w14:paraId="488199D1" w14:textId="11D4E664" w:rsidR="00685A3A" w:rsidRPr="0067326F" w:rsidRDefault="00685A3A" w:rsidP="0067326F">
      <w:pPr>
        <w:pStyle w:val="ListParagraph"/>
        <w:numPr>
          <w:ilvl w:val="0"/>
          <w:numId w:val="46"/>
        </w:numPr>
        <w:ind w:left="567" w:hanging="567"/>
        <w:rPr>
          <w:sz w:val="20"/>
          <w:szCs w:val="20"/>
        </w:rPr>
      </w:pPr>
      <w:r>
        <w:br w:type="page"/>
      </w:r>
      <w:hyperlink r:id="rId35" w:history="1">
        <w:r w:rsidR="0022097D" w:rsidRPr="0067326F">
          <w:rPr>
            <w:rStyle w:val="Hyperlink"/>
            <w:b/>
            <w:i/>
            <w:sz w:val="28"/>
          </w:rPr>
          <w:t>Přezkum evropského právního rámce pro zadávání veřejných zakázek</w:t>
        </w:r>
      </w:hyperlink>
    </w:p>
    <w:p w14:paraId="4C9DB75A" w14:textId="77777777" w:rsidR="0022097D" w:rsidRPr="005A0D2C" w:rsidRDefault="0022097D" w:rsidP="0022097D">
      <w:pPr>
        <w:tabs>
          <w:tab w:val="center" w:pos="284"/>
        </w:tabs>
        <w:ind w:left="266" w:hanging="266"/>
        <w:rPr>
          <w:b/>
          <w:lang w:val="en-US"/>
        </w:rPr>
      </w:pPr>
    </w:p>
    <w:tbl>
      <w:tblPr>
        <w:tblStyle w:val="TableGrid"/>
        <w:tblW w:w="49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7145"/>
      </w:tblGrid>
      <w:tr w:rsidR="0022097D" w:rsidRPr="005A0D2C" w14:paraId="6825F11E" w14:textId="77777777" w:rsidTr="00320B62">
        <w:trPr>
          <w:trHeight w:val="406"/>
        </w:trPr>
        <w:tc>
          <w:tcPr>
            <w:tcW w:w="1108" w:type="pct"/>
          </w:tcPr>
          <w:p w14:paraId="598FC7DE" w14:textId="77777777" w:rsidR="0022097D" w:rsidRPr="005A0D2C" w:rsidRDefault="0022097D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5A0D2C">
              <w:rPr>
                <w:b/>
              </w:rPr>
              <w:t>Zpravodaj</w:t>
            </w:r>
          </w:p>
        </w:tc>
        <w:tc>
          <w:tcPr>
            <w:tcW w:w="3892" w:type="pct"/>
          </w:tcPr>
          <w:p w14:paraId="7BF3771F" w14:textId="77777777" w:rsidR="0022097D" w:rsidRDefault="0022097D" w:rsidP="00320B62">
            <w:pPr>
              <w:tabs>
                <w:tab w:val="center" w:pos="0"/>
              </w:tabs>
              <w:ind w:left="266" w:hanging="266"/>
            </w:pPr>
            <w:r w:rsidRPr="005A0D2C">
              <w:t>Philip VON BROCKDORFF (Zaměstnanci – MT)</w:t>
            </w:r>
          </w:p>
          <w:p w14:paraId="462DDA8B" w14:textId="77777777" w:rsidR="0022097D" w:rsidRPr="005A0D2C" w:rsidRDefault="0022097D" w:rsidP="00320B62">
            <w:pPr>
              <w:tabs>
                <w:tab w:val="center" w:pos="0"/>
              </w:tabs>
              <w:ind w:left="266" w:hanging="266"/>
            </w:pPr>
          </w:p>
        </w:tc>
      </w:tr>
      <w:tr w:rsidR="0022097D" w:rsidRPr="005A0D2C" w14:paraId="76FF8190" w14:textId="77777777" w:rsidTr="00320B62">
        <w:tc>
          <w:tcPr>
            <w:tcW w:w="1108" w:type="pct"/>
          </w:tcPr>
          <w:p w14:paraId="129FF7F3" w14:textId="77777777" w:rsidR="0022097D" w:rsidRPr="005A0D2C" w:rsidRDefault="0022097D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5A0D2C">
              <w:rPr>
                <w:b/>
              </w:rPr>
              <w:t>Odkaz</w:t>
            </w:r>
          </w:p>
        </w:tc>
        <w:tc>
          <w:tcPr>
            <w:tcW w:w="3892" w:type="pct"/>
          </w:tcPr>
          <w:p w14:paraId="1DF7D5E9" w14:textId="77777777" w:rsidR="0022097D" w:rsidRPr="005A0D2C" w:rsidRDefault="0022097D" w:rsidP="00320B62">
            <w:pPr>
              <w:tabs>
                <w:tab w:val="center" w:pos="284"/>
              </w:tabs>
              <w:ind w:left="266" w:hanging="266"/>
            </w:pPr>
            <w:r w:rsidRPr="005A0D2C">
              <w:t>průzkumné stanovisko</w:t>
            </w:r>
          </w:p>
          <w:p w14:paraId="47D5FAB3" w14:textId="77777777" w:rsidR="0022097D" w:rsidRPr="005A0D2C" w:rsidRDefault="0022097D" w:rsidP="00320B62">
            <w:pPr>
              <w:tabs>
                <w:tab w:val="center" w:pos="284"/>
              </w:tabs>
              <w:ind w:left="266" w:hanging="266"/>
            </w:pPr>
            <w:r w:rsidRPr="005A0D2C">
              <w:t>EESC-2025-01402-00-00-AC</w:t>
            </w:r>
          </w:p>
        </w:tc>
      </w:tr>
    </w:tbl>
    <w:p w14:paraId="431A57AA" w14:textId="77777777" w:rsidR="0022097D" w:rsidRPr="005A0D2C" w:rsidRDefault="0022097D" w:rsidP="0022097D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64A1F364" w14:textId="77777777" w:rsidR="0022097D" w:rsidRPr="005A0D2C" w:rsidRDefault="0022097D" w:rsidP="0022097D">
      <w:pPr>
        <w:keepNext/>
        <w:keepLines/>
        <w:tabs>
          <w:tab w:val="center" w:pos="284"/>
        </w:tabs>
        <w:ind w:left="266" w:hanging="266"/>
        <w:rPr>
          <w:b/>
        </w:rPr>
      </w:pPr>
      <w:r w:rsidRPr="005A0D2C">
        <w:rPr>
          <w:b/>
        </w:rPr>
        <w:t>Hlavní body</w:t>
      </w:r>
    </w:p>
    <w:p w14:paraId="34032CFA" w14:textId="77777777" w:rsidR="0022097D" w:rsidRPr="005A0D2C" w:rsidRDefault="0022097D" w:rsidP="0022097D">
      <w:pPr>
        <w:keepNext/>
        <w:keepLines/>
        <w:tabs>
          <w:tab w:val="center" w:pos="284"/>
        </w:tabs>
        <w:ind w:left="266" w:hanging="266"/>
        <w:rPr>
          <w:bCs/>
        </w:rPr>
      </w:pPr>
    </w:p>
    <w:p w14:paraId="78E15101" w14:textId="77777777" w:rsidR="0022097D" w:rsidRPr="005A0D2C" w:rsidRDefault="0022097D" w:rsidP="0022097D">
      <w:r w:rsidRPr="005A0D2C">
        <w:t>EHSV:</w:t>
      </w:r>
    </w:p>
    <w:p w14:paraId="76ED7990" w14:textId="77777777" w:rsidR="0022097D" w:rsidRPr="005A0D2C" w:rsidRDefault="0022097D" w:rsidP="0022097D"/>
    <w:p w14:paraId="0F5D803A" w14:textId="77777777" w:rsidR="0022097D" w:rsidRPr="005A0D2C" w:rsidRDefault="0022097D" w:rsidP="007F6329">
      <w:pPr>
        <w:pStyle w:val="ListParagraph"/>
        <w:numPr>
          <w:ilvl w:val="0"/>
          <w:numId w:val="38"/>
        </w:numPr>
        <w:spacing w:line="276" w:lineRule="auto"/>
        <w:ind w:left="284" w:hanging="284"/>
        <w:contextualSpacing w:val="0"/>
      </w:pPr>
      <w:r w:rsidRPr="005A0D2C">
        <w:t>souhlasí s tím, že je nezbytné provést přezkum stávajících právních předpisů EU, aby se dosáhlo většího zjednodušení, snížily se administrativní náklady a podpořila se další harmonizace na jednotném trhu;</w:t>
      </w:r>
    </w:p>
    <w:p w14:paraId="110CEEBD" w14:textId="77777777" w:rsidR="0022097D" w:rsidRPr="005A0D2C" w:rsidRDefault="0022097D" w:rsidP="007F6329">
      <w:pPr>
        <w:pStyle w:val="ListParagraph"/>
        <w:numPr>
          <w:ilvl w:val="0"/>
          <w:numId w:val="38"/>
        </w:numPr>
        <w:spacing w:line="276" w:lineRule="auto"/>
        <w:ind w:left="284" w:hanging="284"/>
        <w:contextualSpacing w:val="0"/>
      </w:pPr>
      <w:r w:rsidRPr="005A0D2C">
        <w:t>se domnívá, že udržitelná politika EU v oblasti zadávání veřejných zakázek může přesáhnout úzký rámec paradigmatu selhání trhu a umožnit strategické zadávání zakázek zaměřených na veřejnou péči, zakotvit sociální a environmentální kritéria a kritéria zohledňující inovace jako rovnocenné cíle a zajistit spravedlivý přístup k veřejným zakázkám pro soukromé subjekty;</w:t>
      </w:r>
    </w:p>
    <w:p w14:paraId="382F8EF2" w14:textId="77777777" w:rsidR="0022097D" w:rsidRPr="005A0D2C" w:rsidRDefault="0022097D" w:rsidP="007F6329">
      <w:pPr>
        <w:pStyle w:val="ListParagraph"/>
        <w:numPr>
          <w:ilvl w:val="0"/>
          <w:numId w:val="38"/>
        </w:numPr>
        <w:spacing w:line="276" w:lineRule="auto"/>
        <w:ind w:left="284" w:hanging="284"/>
        <w:contextualSpacing w:val="0"/>
      </w:pPr>
      <w:r w:rsidRPr="005A0D2C">
        <w:t xml:space="preserve">vzhledem k tomu, že veřejné zakázky musí být udělovány na základě ekonomicky nejvýhodnější nabídky, přičemž je třeba klást důraz na to, že důležitá jsou i jiná než cenová kritéria, např. taková, jež zohledňují kvalitu, inovace, sociální a environmentální aspekty </w:t>
      </w:r>
      <w:r>
        <w:t>a </w:t>
      </w:r>
      <w:r w:rsidRPr="005A0D2C">
        <w:t>udržitelnost, zejména práva pracovníků a kolektivní smlouvy;</w:t>
      </w:r>
    </w:p>
    <w:p w14:paraId="138B9BEE" w14:textId="77777777" w:rsidR="0022097D" w:rsidRPr="005A0D2C" w:rsidRDefault="0022097D" w:rsidP="007F6329">
      <w:pPr>
        <w:pStyle w:val="ListParagraph"/>
        <w:numPr>
          <w:ilvl w:val="0"/>
          <w:numId w:val="38"/>
        </w:numPr>
        <w:spacing w:line="276" w:lineRule="auto"/>
        <w:ind w:left="284" w:hanging="284"/>
        <w:contextualSpacing w:val="0"/>
      </w:pPr>
      <w:r w:rsidRPr="005A0D2C">
        <w:t>požaduje, aby byl v případě opatření týkajících se služeb obecného zájmu uplatněn komplexní přístup;</w:t>
      </w:r>
    </w:p>
    <w:p w14:paraId="6DE9ADE9" w14:textId="77777777" w:rsidR="0022097D" w:rsidRPr="005A0D2C" w:rsidRDefault="0022097D" w:rsidP="007F6329">
      <w:pPr>
        <w:pStyle w:val="ListParagraph"/>
        <w:numPr>
          <w:ilvl w:val="0"/>
          <w:numId w:val="38"/>
        </w:numPr>
        <w:spacing w:line="276" w:lineRule="auto"/>
        <w:ind w:left="284" w:hanging="284"/>
        <w:contextualSpacing w:val="0"/>
      </w:pPr>
      <w:r w:rsidRPr="005A0D2C">
        <w:t>má za to, že veřejné zakázky by neměly být zadávány podnikům, které systematicky porušují základní práva pracovníků nebo kolektivní smlouvy, jež jsou pro ně závazné;</w:t>
      </w:r>
    </w:p>
    <w:p w14:paraId="38C1A32E" w14:textId="77777777" w:rsidR="0022097D" w:rsidRPr="005A0D2C" w:rsidRDefault="0022097D" w:rsidP="007F6329">
      <w:pPr>
        <w:pStyle w:val="ListParagraph"/>
        <w:numPr>
          <w:ilvl w:val="0"/>
          <w:numId w:val="38"/>
        </w:numPr>
        <w:spacing w:line="276" w:lineRule="auto"/>
        <w:ind w:left="284" w:hanging="284"/>
        <w:contextualSpacing w:val="0"/>
      </w:pPr>
      <w:r w:rsidRPr="005A0D2C">
        <w:t>zastává názor, že v rámci přezkumu směrnic EU o zadávání veřejných zakázek by měla být zachována možnost využívat zadávání zakázek uvnitř subjektů pro většinově ovládané právnické subjekty, i přímé zadávání zakázek. Na tyto možnosti by se však měly vztahovat odpovídající právní kritéria a narušení hospodářské soutěže nesmí přesáhnout minimální míru;</w:t>
      </w:r>
    </w:p>
    <w:p w14:paraId="779DE5F6" w14:textId="77777777" w:rsidR="0022097D" w:rsidRPr="005A0D2C" w:rsidRDefault="0022097D" w:rsidP="007F6329">
      <w:pPr>
        <w:pStyle w:val="ListParagraph"/>
        <w:numPr>
          <w:ilvl w:val="0"/>
          <w:numId w:val="38"/>
        </w:numPr>
        <w:spacing w:line="276" w:lineRule="auto"/>
        <w:ind w:left="284" w:hanging="284"/>
        <w:contextualSpacing w:val="0"/>
      </w:pPr>
      <w:r w:rsidRPr="005A0D2C">
        <w:t>doporučuje zavést právní povinnost vyhodnocovat dopady stávajících finančních limitů pro veřejné zakázky na služby;</w:t>
      </w:r>
    </w:p>
    <w:p w14:paraId="7F8C0ECA" w14:textId="77777777" w:rsidR="0022097D" w:rsidRPr="005A0D2C" w:rsidRDefault="0022097D" w:rsidP="007F6329">
      <w:pPr>
        <w:pStyle w:val="ListParagraph"/>
        <w:numPr>
          <w:ilvl w:val="0"/>
          <w:numId w:val="38"/>
        </w:numPr>
        <w:spacing w:line="276" w:lineRule="auto"/>
        <w:ind w:left="284" w:hanging="284"/>
        <w:contextualSpacing w:val="0"/>
      </w:pPr>
      <w:r w:rsidRPr="005A0D2C">
        <w:t>domnívá se, že veřejné zakázky mohou podpořit sociálně spravedlivou, ekologicky udržitelnou a ekonomicky odolnou Evropu s cílem zajistit obecné blaho;</w:t>
      </w:r>
    </w:p>
    <w:p w14:paraId="3B206879" w14:textId="77777777" w:rsidR="0022097D" w:rsidRPr="005A0D2C" w:rsidRDefault="0022097D" w:rsidP="007F6329">
      <w:pPr>
        <w:pStyle w:val="ListParagraph"/>
        <w:numPr>
          <w:ilvl w:val="0"/>
          <w:numId w:val="38"/>
        </w:numPr>
        <w:spacing w:line="276" w:lineRule="auto"/>
        <w:ind w:left="284" w:hanging="284"/>
        <w:contextualSpacing w:val="0"/>
      </w:pPr>
      <w:r w:rsidRPr="005A0D2C">
        <w:t xml:space="preserve">vyzývá k zavedení povinných doložek o revizi cen, aby tak bylo možné zohledňovat změny </w:t>
      </w:r>
      <w:r>
        <w:t>v </w:t>
      </w:r>
      <w:r w:rsidRPr="005A0D2C">
        <w:t xml:space="preserve">rámci kolektivních smluv nebo pracovněprávních předpisů související se mzdami či inflací </w:t>
      </w:r>
      <w:r>
        <w:t>a </w:t>
      </w:r>
      <w:r w:rsidRPr="005A0D2C">
        <w:t>další důležité faktory, jež ovlivňují plnění smlouvy, jako jsou například náklady na energii.</w:t>
      </w:r>
    </w:p>
    <w:p w14:paraId="6554C4FE" w14:textId="77777777" w:rsidR="0022097D" w:rsidRPr="005A0D2C" w:rsidRDefault="0022097D" w:rsidP="0022097D">
      <w:pPr>
        <w:pStyle w:val="ListParagraph"/>
        <w:ind w:left="567"/>
        <w:rPr>
          <w:bCs/>
          <w:iCs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9"/>
        <w:gridCol w:w="7622"/>
      </w:tblGrid>
      <w:tr w:rsidR="0022097D" w:rsidRPr="005A0D2C" w14:paraId="2FB571D5" w14:textId="77777777" w:rsidTr="00320B62">
        <w:tc>
          <w:tcPr>
            <w:tcW w:w="898" w:type="pct"/>
          </w:tcPr>
          <w:p w14:paraId="001638B7" w14:textId="77777777" w:rsidR="0022097D" w:rsidRPr="001262F7" w:rsidRDefault="0022097D" w:rsidP="00320B62">
            <w:pPr>
              <w:rPr>
                <w:b/>
                <w:i/>
                <w:sz w:val="20"/>
                <w:szCs w:val="20"/>
              </w:rPr>
            </w:pPr>
            <w:r w:rsidRPr="001262F7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4102" w:type="pct"/>
          </w:tcPr>
          <w:p w14:paraId="6F8A824B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Annalisa Tessarolo</w:t>
            </w:r>
          </w:p>
        </w:tc>
      </w:tr>
      <w:tr w:rsidR="0022097D" w:rsidRPr="005A0D2C" w14:paraId="2D140586" w14:textId="77777777" w:rsidTr="00320B62">
        <w:tc>
          <w:tcPr>
            <w:tcW w:w="898" w:type="pct"/>
          </w:tcPr>
          <w:p w14:paraId="5EDCBFEF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4102" w:type="pct"/>
          </w:tcPr>
          <w:p w14:paraId="55BC1F92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+ 32 25469732</w:t>
            </w:r>
          </w:p>
        </w:tc>
      </w:tr>
      <w:tr w:rsidR="0022097D" w:rsidRPr="005A0D2C" w14:paraId="72C3EDC0" w14:textId="77777777" w:rsidTr="00320B62">
        <w:tc>
          <w:tcPr>
            <w:tcW w:w="898" w:type="pct"/>
          </w:tcPr>
          <w:p w14:paraId="7424A537" w14:textId="77777777" w:rsidR="0022097D" w:rsidRPr="001262F7" w:rsidRDefault="0022097D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4102" w:type="pct"/>
          </w:tcPr>
          <w:p w14:paraId="3CE33062" w14:textId="77777777" w:rsidR="0022097D" w:rsidRPr="001262F7" w:rsidRDefault="00066DA5" w:rsidP="00320B62">
            <w:pPr>
              <w:rPr>
                <w:i/>
                <w:iCs/>
                <w:sz w:val="20"/>
                <w:szCs w:val="20"/>
              </w:rPr>
            </w:pPr>
            <w:hyperlink r:id="rId36" w:history="1">
              <w:r w:rsidR="0022097D" w:rsidRPr="001262F7">
                <w:rPr>
                  <w:rStyle w:val="Hyperlink"/>
                  <w:i/>
                  <w:sz w:val="20"/>
                  <w:szCs w:val="20"/>
                </w:rPr>
                <w:t>Annalisa.Tessarolo@eesc.europa.eu</w:t>
              </w:r>
            </w:hyperlink>
          </w:p>
        </w:tc>
      </w:tr>
    </w:tbl>
    <w:p w14:paraId="6184C9E5" w14:textId="77777777" w:rsidR="0022097D" w:rsidRDefault="0022097D" w:rsidP="0022097D"/>
    <w:p w14:paraId="1E327181" w14:textId="77777777" w:rsidR="00685A3A" w:rsidRDefault="00685A3A">
      <w:r>
        <w:br w:type="page"/>
      </w:r>
    </w:p>
    <w:p w14:paraId="4982DE1E" w14:textId="5B30CC22" w:rsidR="004D7AC0" w:rsidRDefault="004D7AC0" w:rsidP="004D7AC0">
      <w:pPr>
        <w:spacing w:after="160" w:line="259" w:lineRule="auto"/>
        <w:jc w:val="left"/>
      </w:pPr>
    </w:p>
    <w:p w14:paraId="4982DE1F" w14:textId="77777777" w:rsidR="004D7AC0" w:rsidRDefault="004D7AC0" w:rsidP="004D7AC0">
      <w:pPr>
        <w:pStyle w:val="Heading1"/>
        <w:rPr>
          <w:b/>
        </w:rPr>
      </w:pPr>
      <w:bookmarkStart w:id="12" w:name="_Toc70322234"/>
      <w:bookmarkStart w:id="13" w:name="_Toc75527084"/>
      <w:bookmarkStart w:id="14" w:name="_Toc217052801"/>
      <w:r>
        <w:rPr>
          <w:b/>
        </w:rPr>
        <w:t>ZEMĚDĚLSTVÍ, ROZVOJ VENKOVA, ŽIVOTNÍ PROSTŘEDÍ</w:t>
      </w:r>
      <w:bookmarkEnd w:id="12"/>
      <w:bookmarkEnd w:id="13"/>
      <w:bookmarkEnd w:id="14"/>
    </w:p>
    <w:p w14:paraId="4982DE20" w14:textId="77777777" w:rsidR="004D7AC0" w:rsidRDefault="004D7AC0" w:rsidP="004D7AC0"/>
    <w:p w14:paraId="280704BE" w14:textId="0BE8FD43" w:rsidR="00836765" w:rsidRPr="0067326F" w:rsidRDefault="00066DA5" w:rsidP="0067326F">
      <w:pPr>
        <w:pStyle w:val="ListParagraph"/>
        <w:numPr>
          <w:ilvl w:val="0"/>
          <w:numId w:val="46"/>
        </w:numPr>
        <w:ind w:left="567" w:hanging="567"/>
        <w:rPr>
          <w:b/>
        </w:rPr>
      </w:pPr>
      <w:hyperlink r:id="rId37" w:history="1">
        <w:r w:rsidR="007B498C" w:rsidRPr="0067326F">
          <w:rPr>
            <w:rStyle w:val="Hyperlink"/>
            <w:b/>
            <w:i/>
            <w:sz w:val="28"/>
          </w:rPr>
          <w:t>Změna nařízení proti odlesňování – nařízení (EU) 2023/1115</w:t>
        </w:r>
      </w:hyperlink>
    </w:p>
    <w:p w14:paraId="304DC66A" w14:textId="77777777" w:rsidR="00836765" w:rsidRPr="00836765" w:rsidRDefault="00836765" w:rsidP="00836765">
      <w:pPr>
        <w:widowControl w:val="0"/>
        <w:overflowPunct w:val="0"/>
        <w:autoSpaceDE w:val="0"/>
        <w:autoSpaceDN w:val="0"/>
        <w:adjustRightInd w:val="0"/>
        <w:ind w:left="266"/>
        <w:textAlignment w:val="baseline"/>
        <w:rPr>
          <w:b/>
          <w:bCs/>
          <w:i/>
          <w:iCs/>
          <w:sz w:val="28"/>
          <w:szCs w:val="28"/>
          <w:lang w:val="en-GB"/>
        </w:rPr>
      </w:pPr>
    </w:p>
    <w:p w14:paraId="32C19EBC" w14:textId="77777777" w:rsidR="00836765" w:rsidRPr="00836765" w:rsidRDefault="00836765" w:rsidP="00836765">
      <w:pPr>
        <w:widowControl w:val="0"/>
        <w:overflowPunct w:val="0"/>
        <w:autoSpaceDE w:val="0"/>
        <w:autoSpaceDN w:val="0"/>
        <w:adjustRightInd w:val="0"/>
        <w:ind w:left="266"/>
        <w:textAlignment w:val="baseline"/>
        <w:rPr>
          <w:b/>
          <w:lang w:val="en-GB"/>
        </w:rPr>
      </w:pPr>
    </w:p>
    <w:tbl>
      <w:tblPr>
        <w:tblStyle w:val="TableGrid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836765" w:rsidRPr="00836765" w14:paraId="353187E9" w14:textId="77777777" w:rsidTr="0036489A">
        <w:tc>
          <w:tcPr>
            <w:tcW w:w="1077" w:type="pct"/>
            <w:vMerge w:val="restart"/>
          </w:tcPr>
          <w:p w14:paraId="48F35E0D" w14:textId="77777777" w:rsidR="00836765" w:rsidRPr="00836765" w:rsidRDefault="00836765" w:rsidP="0083676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Odkaz(y)</w:t>
            </w:r>
          </w:p>
        </w:tc>
        <w:tc>
          <w:tcPr>
            <w:tcW w:w="3923" w:type="pct"/>
          </w:tcPr>
          <w:p w14:paraId="445830D4" w14:textId="19171181" w:rsidR="00B730AD" w:rsidRDefault="00B730AD" w:rsidP="0083676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stanovisko kategorie C</w:t>
            </w:r>
          </w:p>
          <w:p w14:paraId="3B6BE4B3" w14:textId="6F87B5D9" w:rsidR="00836765" w:rsidRPr="00836765" w:rsidRDefault="00836765" w:rsidP="0083676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COM(2025) 652 final</w:t>
            </w:r>
          </w:p>
        </w:tc>
      </w:tr>
      <w:tr w:rsidR="00836765" w:rsidRPr="00836765" w14:paraId="61D1A2FF" w14:textId="77777777" w:rsidTr="0036489A">
        <w:tc>
          <w:tcPr>
            <w:tcW w:w="1077" w:type="pct"/>
            <w:vMerge/>
          </w:tcPr>
          <w:p w14:paraId="4837CA2A" w14:textId="77777777" w:rsidR="00836765" w:rsidRPr="00836765" w:rsidRDefault="00836765" w:rsidP="0083676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923" w:type="pct"/>
          </w:tcPr>
          <w:p w14:paraId="1F5382E7" w14:textId="77777777" w:rsidR="00836765" w:rsidRPr="00836765" w:rsidRDefault="00836765" w:rsidP="0083676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EESC-2025-03869-00-00-AC-TRA</w:t>
            </w:r>
          </w:p>
        </w:tc>
      </w:tr>
    </w:tbl>
    <w:p w14:paraId="3CC99AA0" w14:textId="77777777" w:rsidR="007B498C" w:rsidRPr="00C37A01" w:rsidRDefault="007B498C" w:rsidP="007B498C">
      <w:pPr>
        <w:tabs>
          <w:tab w:val="center" w:pos="284"/>
        </w:tabs>
        <w:ind w:left="266" w:hanging="266"/>
        <w:rPr>
          <w:b/>
        </w:rPr>
      </w:pPr>
    </w:p>
    <w:p w14:paraId="1D3DC212" w14:textId="77777777" w:rsidR="007B498C" w:rsidRPr="00C37A01" w:rsidRDefault="007B498C" w:rsidP="007B498C">
      <w:pPr>
        <w:keepNext/>
        <w:keepLines/>
        <w:tabs>
          <w:tab w:val="center" w:pos="284"/>
        </w:tabs>
        <w:ind w:left="266" w:hanging="266"/>
        <w:rPr>
          <w:b/>
        </w:rPr>
      </w:pPr>
      <w:r w:rsidRPr="00C37A01">
        <w:rPr>
          <w:b/>
        </w:rPr>
        <w:t>Hlavní body</w:t>
      </w:r>
    </w:p>
    <w:p w14:paraId="654AED20" w14:textId="77777777" w:rsidR="007B498C" w:rsidRPr="00C37A01" w:rsidRDefault="007B498C" w:rsidP="007B498C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0677D47F" w14:textId="77777777" w:rsidR="007B498C" w:rsidRPr="00C37A01" w:rsidRDefault="007B498C" w:rsidP="007B498C">
      <w:pPr>
        <w:rPr>
          <w:bCs/>
          <w:iCs/>
        </w:rPr>
      </w:pPr>
      <w:r w:rsidRPr="00C37A01">
        <w:t>EHSV:</w:t>
      </w:r>
    </w:p>
    <w:p w14:paraId="3E1FC6E2" w14:textId="77777777" w:rsidR="007B498C" w:rsidRPr="00C37A01" w:rsidRDefault="007B498C" w:rsidP="007B498C">
      <w:pPr>
        <w:rPr>
          <w:bCs/>
          <w:iCs/>
        </w:rPr>
      </w:pPr>
    </w:p>
    <w:p w14:paraId="641D8F29" w14:textId="77777777" w:rsidR="007B498C" w:rsidRPr="00C37A01" w:rsidRDefault="007B498C" w:rsidP="007F6329">
      <w:pPr>
        <w:numPr>
          <w:ilvl w:val="0"/>
          <w:numId w:val="43"/>
        </w:numPr>
        <w:spacing w:line="276" w:lineRule="auto"/>
        <w:ind w:left="284" w:hanging="284"/>
        <w:rPr>
          <w:bCs/>
          <w:iCs/>
        </w:rPr>
      </w:pPr>
      <w:r w:rsidRPr="00C37A01">
        <w:t>se již vyjádřil k obsahu návrhu ve svých stanoviscích EESC-2024-01183-00-00-AC-TRA ze dne 19. září 2024</w:t>
      </w:r>
      <w:r w:rsidRPr="00C37A01">
        <w:rPr>
          <w:rStyle w:val="FootnoteReference"/>
          <w:szCs w:val="24"/>
        </w:rPr>
        <w:footnoteReference w:id="5"/>
      </w:r>
      <w:r w:rsidRPr="00C37A01">
        <w:t xml:space="preserve"> a EESC-2021-05690-00-00-AC-TRA ze dne 23. února 2022</w:t>
      </w:r>
      <w:r w:rsidRPr="00C37A01">
        <w:rPr>
          <w:rStyle w:val="FootnoteReference"/>
          <w:szCs w:val="24"/>
        </w:rPr>
        <w:footnoteReference w:id="6"/>
      </w:r>
      <w:r w:rsidRPr="00C37A01">
        <w:t>, a proto se rozhodl nevypracovat k tomuto tématu nové stanovisko, ale odkázat na svůj postoj vyjádřený ve výše uvedených dokumentech.</w:t>
      </w:r>
    </w:p>
    <w:p w14:paraId="5D0A0789" w14:textId="77777777" w:rsidR="007B498C" w:rsidRPr="00C37A01" w:rsidRDefault="007B498C" w:rsidP="007B498C">
      <w:pPr>
        <w:widowControl w:val="0"/>
        <w:ind w:left="709"/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3"/>
        <w:gridCol w:w="7288"/>
      </w:tblGrid>
      <w:tr w:rsidR="007B498C" w:rsidRPr="00C37A01" w14:paraId="39ECFF47" w14:textId="77777777" w:rsidTr="00320B62">
        <w:tc>
          <w:tcPr>
            <w:tcW w:w="1078" w:type="pct"/>
          </w:tcPr>
          <w:p w14:paraId="64D00555" w14:textId="77777777" w:rsidR="007B498C" w:rsidRPr="001262F7" w:rsidRDefault="007B498C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3922" w:type="pct"/>
          </w:tcPr>
          <w:p w14:paraId="1B6983AB" w14:textId="77777777" w:rsidR="007B498C" w:rsidRPr="001262F7" w:rsidRDefault="007B498C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Martine Delanoy</w:t>
            </w:r>
          </w:p>
        </w:tc>
      </w:tr>
      <w:tr w:rsidR="007B498C" w:rsidRPr="00C37A01" w14:paraId="2576D08E" w14:textId="77777777" w:rsidTr="00320B62">
        <w:tc>
          <w:tcPr>
            <w:tcW w:w="1078" w:type="pct"/>
          </w:tcPr>
          <w:p w14:paraId="540A1D8F" w14:textId="77777777" w:rsidR="007B498C" w:rsidRPr="001262F7" w:rsidRDefault="007B498C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3922" w:type="pct"/>
          </w:tcPr>
          <w:p w14:paraId="231CDDD4" w14:textId="77777777" w:rsidR="007B498C" w:rsidRPr="001262F7" w:rsidRDefault="007B498C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+32 25469</w:t>
            </w:r>
            <w:r w:rsidRPr="001262F7">
              <w:rPr>
                <w:sz w:val="20"/>
                <w:szCs w:val="20"/>
              </w:rPr>
              <w:t>802</w:t>
            </w:r>
          </w:p>
        </w:tc>
      </w:tr>
      <w:tr w:rsidR="007B498C" w:rsidRPr="00C37A01" w14:paraId="526E6BD1" w14:textId="77777777" w:rsidTr="00320B62">
        <w:tc>
          <w:tcPr>
            <w:tcW w:w="1078" w:type="pct"/>
          </w:tcPr>
          <w:p w14:paraId="5A2B9673" w14:textId="77777777" w:rsidR="007B498C" w:rsidRPr="001262F7" w:rsidRDefault="007B498C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3922" w:type="pct"/>
          </w:tcPr>
          <w:p w14:paraId="5537A2D3" w14:textId="77777777" w:rsidR="007B498C" w:rsidRPr="001262F7" w:rsidRDefault="00066DA5" w:rsidP="00320B62">
            <w:pPr>
              <w:rPr>
                <w:i/>
                <w:sz w:val="20"/>
                <w:szCs w:val="20"/>
              </w:rPr>
            </w:pPr>
            <w:hyperlink r:id="rId38" w:history="1">
              <w:r w:rsidR="007B498C" w:rsidRPr="001262F7">
                <w:rPr>
                  <w:rStyle w:val="Hyperlink"/>
                  <w:i/>
                  <w:sz w:val="20"/>
                  <w:szCs w:val="20"/>
                </w:rPr>
                <w:t>Martine.Delanoy@eesc.europa.eu</w:t>
              </w:r>
            </w:hyperlink>
          </w:p>
        </w:tc>
      </w:tr>
    </w:tbl>
    <w:p w14:paraId="712B11BB" w14:textId="77777777" w:rsidR="007B498C" w:rsidRPr="00C37A01" w:rsidRDefault="007B498C" w:rsidP="007B498C">
      <w:pPr>
        <w:jc w:val="center"/>
        <w:rPr>
          <w:lang w:val="nl-BE"/>
        </w:rPr>
      </w:pPr>
    </w:p>
    <w:p w14:paraId="7B893721" w14:textId="77777777" w:rsidR="00673B8C" w:rsidRDefault="00673B8C">
      <w:pPr>
        <w:spacing w:after="160" w:line="259" w:lineRule="auto"/>
        <w:jc w:val="left"/>
      </w:pPr>
    </w:p>
    <w:p w14:paraId="5314991A" w14:textId="1C3D270B" w:rsidR="000122F3" w:rsidRPr="0067326F" w:rsidRDefault="007F5784" w:rsidP="0067326F">
      <w:pPr>
        <w:pStyle w:val="ListParagraph"/>
        <w:numPr>
          <w:ilvl w:val="0"/>
          <w:numId w:val="46"/>
        </w:numPr>
        <w:ind w:left="567" w:hanging="567"/>
        <w:rPr>
          <w:sz w:val="20"/>
          <w:szCs w:val="20"/>
        </w:rPr>
      </w:pPr>
      <w:r>
        <w:br w:type="page"/>
      </w:r>
      <w:hyperlink r:id="rId39">
        <w:r w:rsidR="002803E2" w:rsidRPr="0067326F">
          <w:rPr>
            <w:rStyle w:val="Hyperlink"/>
            <w:b/>
            <w:i/>
            <w:sz w:val="28"/>
          </w:rPr>
          <w:t>Revize Mechanismu civilní ochrany Unie</w:t>
        </w:r>
      </w:hyperlink>
    </w:p>
    <w:p w14:paraId="2BB49F0D" w14:textId="77777777" w:rsidR="002803E2" w:rsidRPr="00A6689B" w:rsidRDefault="002803E2" w:rsidP="002803E2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2803E2" w:rsidRPr="00A6689B" w14:paraId="0569130A" w14:textId="77777777" w:rsidTr="00320B62">
        <w:tc>
          <w:tcPr>
            <w:tcW w:w="1077" w:type="pct"/>
          </w:tcPr>
          <w:p w14:paraId="4B466FA4" w14:textId="77777777" w:rsidR="002803E2" w:rsidRPr="00A6689B" w:rsidRDefault="002803E2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Zpravodaj</w:t>
            </w:r>
          </w:p>
        </w:tc>
        <w:tc>
          <w:tcPr>
            <w:tcW w:w="3923" w:type="pct"/>
          </w:tcPr>
          <w:p w14:paraId="6835D013" w14:textId="77777777" w:rsidR="002803E2" w:rsidRDefault="002803E2" w:rsidP="00320B62">
            <w:pPr>
              <w:tabs>
                <w:tab w:val="center" w:pos="284"/>
              </w:tabs>
              <w:ind w:left="266" w:right="-3091" w:hanging="266"/>
            </w:pPr>
            <w:r>
              <w:t>Florian MARIN</w:t>
            </w:r>
          </w:p>
          <w:p w14:paraId="737C5F83" w14:textId="77777777" w:rsidR="002803E2" w:rsidRPr="00AA236E" w:rsidRDefault="002803E2" w:rsidP="00320B62">
            <w:pPr>
              <w:tabs>
                <w:tab w:val="center" w:pos="284"/>
              </w:tabs>
              <w:ind w:left="266" w:right="-3091" w:hanging="266"/>
              <w:rPr>
                <w:sz w:val="14"/>
                <w:szCs w:val="14"/>
              </w:rPr>
            </w:pPr>
          </w:p>
        </w:tc>
      </w:tr>
      <w:tr w:rsidR="002803E2" w:rsidRPr="00A6689B" w14:paraId="3C311F4B" w14:textId="77777777" w:rsidTr="00320B62">
        <w:tc>
          <w:tcPr>
            <w:tcW w:w="1077" w:type="pct"/>
          </w:tcPr>
          <w:p w14:paraId="2B0C1038" w14:textId="77777777" w:rsidR="002803E2" w:rsidRPr="00A6689B" w:rsidRDefault="002803E2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Odkaz</w:t>
            </w:r>
          </w:p>
        </w:tc>
        <w:tc>
          <w:tcPr>
            <w:tcW w:w="3923" w:type="pct"/>
          </w:tcPr>
          <w:p w14:paraId="08D706EB" w14:textId="77777777" w:rsidR="002803E2" w:rsidRPr="00A6689B" w:rsidRDefault="002803E2" w:rsidP="00320B62">
            <w:pPr>
              <w:tabs>
                <w:tab w:val="center" w:pos="284"/>
              </w:tabs>
              <w:ind w:left="266" w:right="-3091" w:hanging="266"/>
            </w:pPr>
            <w:r>
              <w:t>EESC-2025-03573-00-00-AC</w:t>
            </w:r>
          </w:p>
        </w:tc>
      </w:tr>
    </w:tbl>
    <w:p w14:paraId="438A4362" w14:textId="77777777" w:rsidR="002803E2" w:rsidRDefault="002803E2" w:rsidP="002803E2">
      <w:pPr>
        <w:tabs>
          <w:tab w:val="center" w:pos="284"/>
        </w:tabs>
        <w:ind w:left="266" w:hanging="266"/>
        <w:rPr>
          <w:b/>
        </w:rPr>
      </w:pPr>
    </w:p>
    <w:p w14:paraId="2A47D6DA" w14:textId="77777777" w:rsidR="002803E2" w:rsidRPr="00A6689B" w:rsidRDefault="002803E2" w:rsidP="002803E2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Hlavní body</w:t>
      </w:r>
    </w:p>
    <w:p w14:paraId="210A3147" w14:textId="77777777" w:rsidR="002803E2" w:rsidRPr="00A6689B" w:rsidRDefault="002803E2" w:rsidP="002803E2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1F114098" w14:textId="77777777" w:rsidR="002803E2" w:rsidRDefault="002803E2" w:rsidP="002803E2">
      <w:r>
        <w:t>EHSV doporučuje:</w:t>
      </w:r>
    </w:p>
    <w:p w14:paraId="73E7CBDA" w14:textId="77777777" w:rsidR="002803E2" w:rsidRPr="00A6689B" w:rsidRDefault="002803E2" w:rsidP="002803E2"/>
    <w:p w14:paraId="1E8452B9" w14:textId="77777777" w:rsidR="002803E2" w:rsidRDefault="002803E2" w:rsidP="007F6329">
      <w:pPr>
        <w:numPr>
          <w:ilvl w:val="0"/>
          <w:numId w:val="17"/>
        </w:numPr>
        <w:spacing w:line="276" w:lineRule="auto"/>
        <w:ind w:left="284" w:hanging="284"/>
      </w:pPr>
      <w:r>
        <w:t xml:space="preserve">zaujmout při řešení problematiky snižování rizika katastrof a jejich předcházení </w:t>
      </w:r>
      <w:r>
        <w:rPr>
          <w:b/>
        </w:rPr>
        <w:t>ambicióznější přístup</w:t>
      </w:r>
      <w:r>
        <w:t xml:space="preserve"> a nesoustředit se v prvé řadě na kapacity pro odezvu na katastrofy. Při zavedení účinného a integrovaného Mechanismu civilní ochrany Unie (UCPM) musí být vytvořen komplexní </w:t>
      </w:r>
      <w:r>
        <w:rPr>
          <w:b/>
        </w:rPr>
        <w:t>rámec pro politiky snižování rizik</w:t>
      </w:r>
      <w:r>
        <w:t xml:space="preserve"> v celé EU. Navíc je třeba se více zaměřit na </w:t>
      </w:r>
      <w:r>
        <w:rPr>
          <w:b/>
        </w:rPr>
        <w:t>meziodvětvovou a přeshraniční</w:t>
      </w:r>
      <w:r>
        <w:t xml:space="preserve"> prevenci katastrof, jelikož se vše musí realizovat prostřednictvím uceleného systému řízení rizik;</w:t>
      </w:r>
    </w:p>
    <w:p w14:paraId="556645AB" w14:textId="77777777" w:rsidR="002803E2" w:rsidRDefault="002803E2" w:rsidP="007F6329">
      <w:pPr>
        <w:numPr>
          <w:ilvl w:val="0"/>
          <w:numId w:val="17"/>
        </w:numPr>
        <w:spacing w:line="276" w:lineRule="auto"/>
        <w:ind w:left="284" w:hanging="284"/>
      </w:pPr>
      <w:r>
        <w:rPr>
          <w:b/>
        </w:rPr>
        <w:t>omezit administrativní zátěž</w:t>
      </w:r>
      <w:r>
        <w:t>, zamezit překrývání, modernizovat neodpovídající datové a podpůrné systémy, zvýšit počet kvalifikovaných pracovníků a investovat do interoperabilních kapacit založených na společných normách a vzdělávacích programech, přičemž je třeba zajistit</w:t>
      </w:r>
      <w:r>
        <w:rPr>
          <w:b/>
        </w:rPr>
        <w:t xml:space="preserve"> kvalitní pracovní podmínky</w:t>
      </w:r>
      <w:r>
        <w:t>, které jsou předpokladem pro zvýšení odolnosti společnosti v rámci celospolečenského přístupu ke krizím;</w:t>
      </w:r>
    </w:p>
    <w:p w14:paraId="4F8B8F61" w14:textId="77777777" w:rsidR="002803E2" w:rsidRDefault="002803E2" w:rsidP="007F6329">
      <w:pPr>
        <w:numPr>
          <w:ilvl w:val="0"/>
          <w:numId w:val="17"/>
        </w:numPr>
        <w:spacing w:line="276" w:lineRule="auto"/>
        <w:ind w:left="284" w:hanging="284"/>
      </w:pPr>
      <w:r>
        <w:rPr>
          <w:b/>
        </w:rPr>
        <w:t>lépe předvídat a chápat</w:t>
      </w:r>
      <w:r>
        <w:t xml:space="preserve"> katastrofy a krize, přičemž je třeba mít na paměti úlohu propagandy a dezinformací při zesilování tlaku na společnost;</w:t>
      </w:r>
    </w:p>
    <w:p w14:paraId="38086969" w14:textId="77777777" w:rsidR="002803E2" w:rsidRDefault="002803E2" w:rsidP="007F6329">
      <w:pPr>
        <w:numPr>
          <w:ilvl w:val="0"/>
          <w:numId w:val="17"/>
        </w:numPr>
        <w:spacing w:line="276" w:lineRule="auto"/>
        <w:ind w:left="284" w:hanging="284"/>
      </w:pPr>
      <w:r>
        <w:t xml:space="preserve">posílit UCPM prostřednictvím </w:t>
      </w:r>
      <w:r>
        <w:rPr>
          <w:b/>
        </w:rPr>
        <w:t>doplňkového financování</w:t>
      </w:r>
      <w:r>
        <w:t>, zejména pokud jde o zranitelné skupiny a regiony, včetně nejvzdálenějších regionů a regionů nacházejících se v blízkosti válečných zón;</w:t>
      </w:r>
    </w:p>
    <w:p w14:paraId="35C0AD93" w14:textId="77777777" w:rsidR="002803E2" w:rsidRDefault="002803E2" w:rsidP="007F6329">
      <w:pPr>
        <w:numPr>
          <w:ilvl w:val="0"/>
          <w:numId w:val="17"/>
        </w:numPr>
        <w:spacing w:line="276" w:lineRule="auto"/>
        <w:ind w:left="284" w:hanging="284"/>
      </w:pPr>
      <w:r>
        <w:t xml:space="preserve">zajistit </w:t>
      </w:r>
      <w:r>
        <w:rPr>
          <w:b/>
        </w:rPr>
        <w:t>soudržnost s plány národního a regionálního partnerství</w:t>
      </w:r>
      <w:r>
        <w:t xml:space="preserve"> (NRPP) navrženými pro programové období 2028–2034;</w:t>
      </w:r>
    </w:p>
    <w:p w14:paraId="3BCF9E5E" w14:textId="77777777" w:rsidR="002803E2" w:rsidRDefault="002803E2" w:rsidP="007F6329">
      <w:pPr>
        <w:numPr>
          <w:ilvl w:val="0"/>
          <w:numId w:val="17"/>
        </w:numPr>
        <w:spacing w:line="276" w:lineRule="auto"/>
        <w:ind w:left="284" w:hanging="284"/>
      </w:pPr>
      <w:r>
        <w:t xml:space="preserve">podporovat </w:t>
      </w:r>
      <w:r>
        <w:rPr>
          <w:b/>
        </w:rPr>
        <w:t>větší doplňkovost</w:t>
      </w:r>
      <w:r>
        <w:t xml:space="preserve"> mezi stávajícími nástroji (jako je nástroj Bezpečnostní akce pro Evropu, Evropský sbor solidarity a UCPM);</w:t>
      </w:r>
    </w:p>
    <w:p w14:paraId="26FB5E4E" w14:textId="77777777" w:rsidR="002803E2" w:rsidRDefault="002803E2" w:rsidP="007F6329">
      <w:pPr>
        <w:numPr>
          <w:ilvl w:val="0"/>
          <w:numId w:val="17"/>
        </w:numPr>
        <w:spacing w:line="276" w:lineRule="auto"/>
        <w:ind w:left="284" w:hanging="284"/>
      </w:pPr>
      <w:r>
        <w:t xml:space="preserve">zajistit dostatečné a stabilní </w:t>
      </w:r>
      <w:r>
        <w:rPr>
          <w:b/>
        </w:rPr>
        <w:t>financování hasičů z povolání a zdravotnického personálu</w:t>
      </w:r>
      <w:r>
        <w:t xml:space="preserve"> s cílem zachovat efektivitu a rychlou odezvu v rámci UCPM, a zároveň posílit roli dobrovolníků;</w:t>
      </w:r>
    </w:p>
    <w:p w14:paraId="145DAE3B" w14:textId="77777777" w:rsidR="002803E2" w:rsidRDefault="002803E2" w:rsidP="007F6329">
      <w:pPr>
        <w:numPr>
          <w:ilvl w:val="0"/>
          <w:numId w:val="17"/>
        </w:numPr>
        <w:spacing w:line="276" w:lineRule="auto"/>
        <w:ind w:left="284" w:hanging="284"/>
      </w:pPr>
      <w:r>
        <w:rPr>
          <w:b/>
        </w:rPr>
        <w:t>zajistit flexibilitu UCPM</w:t>
      </w:r>
      <w:r>
        <w:t xml:space="preserve"> s cílem zohlednit rozmanitost vnitrostátních systémů řízení katastrof a zároveň</w:t>
      </w:r>
      <w:r>
        <w:rPr>
          <w:b/>
        </w:rPr>
        <w:t xml:space="preserve"> zaručit přeshraniční spolupráci</w:t>
      </w:r>
      <w:r>
        <w:t xml:space="preserve"> a koordinaci v zájmu rychlé a účinné odezvy na katastrofy, neboť katastrofy se nezastaví na hranicích. Do všech činností je třeba plně zapojit organizovanou občanskou společnost;</w:t>
      </w:r>
    </w:p>
    <w:p w14:paraId="68F1C361" w14:textId="77777777" w:rsidR="002803E2" w:rsidRDefault="002803E2" w:rsidP="007F6329">
      <w:pPr>
        <w:numPr>
          <w:ilvl w:val="0"/>
          <w:numId w:val="17"/>
        </w:numPr>
        <w:spacing w:line="276" w:lineRule="auto"/>
        <w:ind w:left="284" w:hanging="284"/>
      </w:pPr>
      <w:r>
        <w:t xml:space="preserve">přizpůsobit pravidla pro zadávání veřejných zakázek s cílem </w:t>
      </w:r>
      <w:r>
        <w:rPr>
          <w:b/>
        </w:rPr>
        <w:t>zaručit rychlé a účinné zajištění kriticky důležitých dodávek</w:t>
      </w:r>
      <w:r>
        <w:t xml:space="preserve"> a služeb v krizových situacích;</w:t>
      </w:r>
    </w:p>
    <w:p w14:paraId="1DE1580D" w14:textId="77777777" w:rsidR="002803E2" w:rsidRDefault="002803E2" w:rsidP="007F6329">
      <w:pPr>
        <w:numPr>
          <w:ilvl w:val="0"/>
          <w:numId w:val="17"/>
        </w:numPr>
        <w:spacing w:line="276" w:lineRule="auto"/>
        <w:ind w:left="284" w:hanging="284"/>
      </w:pPr>
      <w:r>
        <w:t xml:space="preserve">zajistit vyhotovení </w:t>
      </w:r>
      <w:r>
        <w:rPr>
          <w:b/>
        </w:rPr>
        <w:t>standardizovaného formuláře pro podávání zpráv</w:t>
      </w:r>
      <w:r>
        <w:t>, který budou používat všechny členské státy.</w:t>
      </w:r>
    </w:p>
    <w:p w14:paraId="68FBAF34" w14:textId="77777777" w:rsidR="002803E2" w:rsidRPr="000624A9" w:rsidRDefault="002803E2" w:rsidP="002803E2">
      <w:pPr>
        <w:widowControl w:val="0"/>
        <w:ind w:left="709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2803E2" w:rsidRPr="00A6689B" w14:paraId="2B6348A0" w14:textId="77777777" w:rsidTr="00320B62">
        <w:tc>
          <w:tcPr>
            <w:tcW w:w="1077" w:type="pct"/>
          </w:tcPr>
          <w:p w14:paraId="1A7D5ED8" w14:textId="77777777" w:rsidR="002803E2" w:rsidRPr="001262F7" w:rsidRDefault="002803E2" w:rsidP="00320B62">
            <w:pPr>
              <w:keepNext/>
              <w:keepLines/>
              <w:rPr>
                <w:i/>
                <w:iCs/>
                <w:sz w:val="20"/>
                <w:szCs w:val="20"/>
              </w:rPr>
            </w:pPr>
            <w:r w:rsidRPr="001262F7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3923" w:type="pct"/>
          </w:tcPr>
          <w:p w14:paraId="56AC4F19" w14:textId="77777777" w:rsidR="002803E2" w:rsidRPr="001262F7" w:rsidRDefault="002803E2" w:rsidP="00320B62">
            <w:pPr>
              <w:keepNext/>
              <w:keepLines/>
              <w:rPr>
                <w:i/>
                <w:iCs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Arturo Iniguez Yuste</w:t>
            </w:r>
          </w:p>
        </w:tc>
      </w:tr>
      <w:tr w:rsidR="002803E2" w:rsidRPr="00A6689B" w14:paraId="54D44E49" w14:textId="77777777" w:rsidTr="00320B62">
        <w:tc>
          <w:tcPr>
            <w:tcW w:w="1077" w:type="pct"/>
          </w:tcPr>
          <w:p w14:paraId="1AE5F419" w14:textId="77777777" w:rsidR="002803E2" w:rsidRPr="001262F7" w:rsidRDefault="002803E2" w:rsidP="00320B62">
            <w:pPr>
              <w:keepNext/>
              <w:keepLines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3923" w:type="pct"/>
          </w:tcPr>
          <w:p w14:paraId="02D231FC" w14:textId="77777777" w:rsidR="002803E2" w:rsidRPr="001262F7" w:rsidRDefault="002803E2" w:rsidP="00320B62">
            <w:pPr>
              <w:keepNext/>
              <w:keepLines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+32 25468768</w:t>
            </w:r>
          </w:p>
        </w:tc>
      </w:tr>
      <w:tr w:rsidR="002803E2" w:rsidRPr="00A6689B" w14:paraId="73B2A3DE" w14:textId="77777777" w:rsidTr="00320B62">
        <w:tc>
          <w:tcPr>
            <w:tcW w:w="1077" w:type="pct"/>
          </w:tcPr>
          <w:p w14:paraId="6FCC3A22" w14:textId="77777777" w:rsidR="002803E2" w:rsidRPr="001262F7" w:rsidRDefault="002803E2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3923" w:type="pct"/>
          </w:tcPr>
          <w:p w14:paraId="08DF259D" w14:textId="77777777" w:rsidR="002803E2" w:rsidRPr="001262F7" w:rsidRDefault="00066DA5" w:rsidP="00320B62">
            <w:pPr>
              <w:rPr>
                <w:i/>
                <w:sz w:val="20"/>
                <w:szCs w:val="20"/>
              </w:rPr>
            </w:pPr>
            <w:hyperlink r:id="rId40" w:history="1">
              <w:r w:rsidR="002803E2" w:rsidRPr="001262F7">
                <w:rPr>
                  <w:rStyle w:val="Hyperlink"/>
                  <w:i/>
                  <w:sz w:val="20"/>
                  <w:szCs w:val="20"/>
                </w:rPr>
                <w:t>Arturo.Iniguez@eesc.europa.eu</w:t>
              </w:r>
            </w:hyperlink>
          </w:p>
        </w:tc>
      </w:tr>
    </w:tbl>
    <w:p w14:paraId="27455F74" w14:textId="77777777" w:rsidR="002803E2" w:rsidRDefault="002803E2" w:rsidP="002803E2"/>
    <w:p w14:paraId="73A0193B" w14:textId="77777777" w:rsidR="00395794" w:rsidRDefault="00395794">
      <w:pPr>
        <w:spacing w:after="160" w:line="259" w:lineRule="auto"/>
        <w:jc w:val="left"/>
      </w:pPr>
      <w:r>
        <w:br w:type="page"/>
      </w:r>
    </w:p>
    <w:p w14:paraId="0B0F00AD" w14:textId="77777777" w:rsidR="007F5784" w:rsidRDefault="007F5784">
      <w:pPr>
        <w:spacing w:after="160" w:line="259" w:lineRule="auto"/>
        <w:jc w:val="left"/>
      </w:pPr>
    </w:p>
    <w:p w14:paraId="14026A78" w14:textId="4FAE1588" w:rsidR="007F5784" w:rsidRDefault="007F5784" w:rsidP="007F5784">
      <w:pPr>
        <w:pStyle w:val="Heading1"/>
        <w:rPr>
          <w:b/>
        </w:rPr>
      </w:pPr>
      <w:bookmarkStart w:id="15" w:name="_Toc217052802"/>
      <w:r>
        <w:rPr>
          <w:b/>
        </w:rPr>
        <w:t>VNĚJŠÍ VZTAHY</w:t>
      </w:r>
      <w:bookmarkEnd w:id="15"/>
    </w:p>
    <w:p w14:paraId="3BBB3E68" w14:textId="77777777" w:rsidR="007F5784" w:rsidRDefault="007F5784" w:rsidP="007F5784"/>
    <w:p w14:paraId="15F03B8E" w14:textId="7281741C" w:rsidR="00237C67" w:rsidRPr="00C62A6C" w:rsidRDefault="00237C67" w:rsidP="00237C6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76" w:lineRule="auto"/>
        <w:ind w:left="567" w:hanging="567"/>
        <w:contextualSpacing/>
        <w:jc w:val="left"/>
        <w:textAlignment w:val="baseline"/>
        <w:rPr>
          <w:sz w:val="28"/>
          <w:szCs w:val="28"/>
        </w:rPr>
      </w:pPr>
      <w:r w:rsidRPr="00C62A6C">
        <w:rPr>
          <w:b/>
          <w:i/>
          <w:sz w:val="28"/>
        </w:rPr>
        <w:fldChar w:fldCharType="begin"/>
      </w:r>
      <w:r w:rsidRPr="00C62A6C">
        <w:rPr>
          <w:b/>
          <w:i/>
          <w:sz w:val="28"/>
        </w:rPr>
        <w:instrText>HYPERLINK "https://www.eesc.europa.eu/en/our-work/opinions-information-reports/opinions/european-unions-strategic-approach-black-sea-region"</w:instrText>
      </w:r>
      <w:r w:rsidRPr="00C62A6C">
        <w:rPr>
          <w:b/>
          <w:i/>
          <w:sz w:val="28"/>
        </w:rPr>
        <w:fldChar w:fldCharType="separate"/>
      </w:r>
      <w:r w:rsidR="002803E2" w:rsidRPr="002803E2">
        <w:t xml:space="preserve"> </w:t>
      </w:r>
      <w:r w:rsidR="002803E2" w:rsidRPr="002803E2">
        <w:rPr>
          <w:b/>
          <w:i/>
          <w:color w:val="0000FF"/>
          <w:sz w:val="28"/>
          <w:u w:val="single"/>
        </w:rPr>
        <w:t>Strategický přístup Evropské unie k oblasti Černého moře</w:t>
      </w:r>
    </w:p>
    <w:p w14:paraId="0A3AF4AE" w14:textId="77777777" w:rsidR="002803E2" w:rsidRPr="00424775" w:rsidRDefault="00237C67" w:rsidP="002803E2">
      <w:pPr>
        <w:tabs>
          <w:tab w:val="center" w:pos="284"/>
        </w:tabs>
        <w:ind w:left="266" w:hanging="266"/>
        <w:rPr>
          <w:b/>
        </w:rPr>
      </w:pPr>
      <w:r w:rsidRPr="00C62A6C">
        <w:rPr>
          <w:b/>
          <w:i/>
          <w:sz w:val="28"/>
        </w:rPr>
        <w:fldChar w:fldCharType="end"/>
      </w:r>
    </w:p>
    <w:tbl>
      <w:tblPr>
        <w:tblStyle w:val="TableGrid"/>
        <w:tblW w:w="49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7112"/>
      </w:tblGrid>
      <w:tr w:rsidR="002803E2" w:rsidRPr="00424775" w14:paraId="13A5BE68" w14:textId="77777777" w:rsidTr="00320B62">
        <w:trPr>
          <w:trHeight w:val="445"/>
        </w:trPr>
        <w:tc>
          <w:tcPr>
            <w:tcW w:w="1111" w:type="pct"/>
          </w:tcPr>
          <w:p w14:paraId="12C969B7" w14:textId="77777777" w:rsidR="002803E2" w:rsidRPr="00424775" w:rsidRDefault="002803E2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424775">
              <w:rPr>
                <w:b/>
              </w:rPr>
              <w:t>Zpravodajka</w:t>
            </w:r>
          </w:p>
        </w:tc>
        <w:tc>
          <w:tcPr>
            <w:tcW w:w="3889" w:type="pct"/>
          </w:tcPr>
          <w:p w14:paraId="53E9554A" w14:textId="77777777" w:rsidR="002803E2" w:rsidRPr="00424775" w:rsidRDefault="002803E2" w:rsidP="00320B62">
            <w:pPr>
              <w:tabs>
                <w:tab w:val="center" w:pos="284"/>
              </w:tabs>
              <w:ind w:left="266" w:hanging="266"/>
            </w:pPr>
            <w:r w:rsidRPr="00424775">
              <w:t>Milena ANGELOVA (Zaměstnavatelé – BG)</w:t>
            </w:r>
          </w:p>
          <w:p w14:paraId="3979E07C" w14:textId="77777777" w:rsidR="002803E2" w:rsidRPr="00424775" w:rsidRDefault="002803E2" w:rsidP="00320B62">
            <w:pPr>
              <w:tabs>
                <w:tab w:val="center" w:pos="284"/>
              </w:tabs>
              <w:ind w:left="266" w:hanging="266"/>
            </w:pPr>
          </w:p>
        </w:tc>
      </w:tr>
      <w:tr w:rsidR="002803E2" w:rsidRPr="00424775" w14:paraId="158FB16E" w14:textId="77777777" w:rsidTr="00320B62">
        <w:tc>
          <w:tcPr>
            <w:tcW w:w="1111" w:type="pct"/>
          </w:tcPr>
          <w:p w14:paraId="58864896" w14:textId="77777777" w:rsidR="002803E2" w:rsidRPr="00424775" w:rsidRDefault="002803E2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424775">
              <w:rPr>
                <w:b/>
              </w:rPr>
              <w:t>Odkaz</w:t>
            </w:r>
          </w:p>
        </w:tc>
        <w:tc>
          <w:tcPr>
            <w:tcW w:w="3889" w:type="pct"/>
          </w:tcPr>
          <w:p w14:paraId="329B9429" w14:textId="77777777" w:rsidR="002803E2" w:rsidRPr="00424775" w:rsidRDefault="002803E2" w:rsidP="00320B62">
            <w:pPr>
              <w:tabs>
                <w:tab w:val="center" w:pos="284"/>
              </w:tabs>
              <w:ind w:left="266" w:hanging="266"/>
            </w:pPr>
            <w:r w:rsidRPr="00424775">
              <w:t>EESC-2025-02608-00-00-AC</w:t>
            </w:r>
          </w:p>
        </w:tc>
      </w:tr>
    </w:tbl>
    <w:p w14:paraId="449675D8" w14:textId="77777777" w:rsidR="002803E2" w:rsidRPr="00424775" w:rsidRDefault="002803E2" w:rsidP="002803E2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5B33B1BD" w14:textId="77777777" w:rsidR="002803E2" w:rsidRPr="00424775" w:rsidRDefault="002803E2" w:rsidP="002803E2">
      <w:pPr>
        <w:keepNext/>
        <w:keepLines/>
        <w:tabs>
          <w:tab w:val="center" w:pos="284"/>
        </w:tabs>
        <w:ind w:left="266" w:hanging="266"/>
        <w:rPr>
          <w:b/>
        </w:rPr>
      </w:pPr>
      <w:r w:rsidRPr="00424775">
        <w:rPr>
          <w:b/>
        </w:rPr>
        <w:t>Hlavní body</w:t>
      </w:r>
    </w:p>
    <w:p w14:paraId="69368A6E" w14:textId="77777777" w:rsidR="002803E2" w:rsidRPr="00424775" w:rsidRDefault="002803E2" w:rsidP="002803E2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6C6997F1" w14:textId="77777777" w:rsidR="002803E2" w:rsidRDefault="002803E2" w:rsidP="002803E2">
      <w:r>
        <w:t>EHSV:</w:t>
      </w:r>
    </w:p>
    <w:p w14:paraId="29F6EDAA" w14:textId="77777777" w:rsidR="002803E2" w:rsidRPr="00FC4BF3" w:rsidRDefault="002803E2" w:rsidP="002803E2">
      <w:pPr>
        <w:rPr>
          <w:bCs/>
          <w:iCs/>
        </w:rPr>
      </w:pPr>
    </w:p>
    <w:p w14:paraId="01086901" w14:textId="77777777" w:rsidR="002803E2" w:rsidRPr="0067326F" w:rsidRDefault="002803E2" w:rsidP="0067326F">
      <w:pPr>
        <w:pStyle w:val="ListParagraph"/>
        <w:numPr>
          <w:ilvl w:val="0"/>
          <w:numId w:val="50"/>
        </w:numPr>
        <w:ind w:left="284" w:hanging="284"/>
        <w:rPr>
          <w:bCs/>
          <w:iCs/>
        </w:rPr>
      </w:pPr>
      <w:r>
        <w:t xml:space="preserve">vítá </w:t>
      </w:r>
      <w:r w:rsidRPr="0067326F">
        <w:rPr>
          <w:b/>
        </w:rPr>
        <w:t>dlouho očekávanou iniciativu</w:t>
      </w:r>
      <w:r>
        <w:t xml:space="preserve">, jejímž účelem je věnovat </w:t>
      </w:r>
      <w:r w:rsidRPr="0067326F">
        <w:rPr>
          <w:b/>
        </w:rPr>
        <w:t>zvláštní pozornost oblasti Černého moře</w:t>
      </w:r>
      <w:r>
        <w:t xml:space="preserve"> a navrhnout pro ni strategický přístup Evropské unie, nicméně konstatuje, že iniciativa přichází s </w:t>
      </w:r>
      <w:r w:rsidRPr="0067326F">
        <w:rPr>
          <w:b/>
        </w:rPr>
        <w:t>určitým zpožděním</w:t>
      </w:r>
      <w:r>
        <w:t xml:space="preserve">, a požaduje, aby byly podniknuty </w:t>
      </w:r>
      <w:r w:rsidRPr="0067326F">
        <w:rPr>
          <w:b/>
        </w:rPr>
        <w:t>rychlé a rozhodné kroky k jejímu provedení a byly na ni vyčleněny dostatečné zdroje</w:t>
      </w:r>
      <w:r>
        <w:t>;</w:t>
      </w:r>
    </w:p>
    <w:p w14:paraId="3AB10176" w14:textId="77777777" w:rsidR="002803E2" w:rsidRPr="0067326F" w:rsidRDefault="002803E2" w:rsidP="0067326F">
      <w:pPr>
        <w:pStyle w:val="ListParagraph"/>
        <w:numPr>
          <w:ilvl w:val="0"/>
          <w:numId w:val="50"/>
        </w:numPr>
        <w:ind w:left="284" w:hanging="284"/>
        <w:rPr>
          <w:bCs/>
          <w:iCs/>
        </w:rPr>
      </w:pPr>
      <w:r>
        <w:t xml:space="preserve">poukazuje na to, že ačkoli </w:t>
      </w:r>
      <w:r w:rsidRPr="0067326F">
        <w:rPr>
          <w:b/>
        </w:rPr>
        <w:t>důsledky vojenských nepřátelských akcí dopadají na všechny země v této oblasti, ne všem se dostalo cílené sociální a hospodářské podpory, která by odpovídala jejich úsilí a obětem</w:t>
      </w:r>
      <w:r>
        <w:t>;</w:t>
      </w:r>
    </w:p>
    <w:p w14:paraId="3391EB41" w14:textId="77777777" w:rsidR="002803E2" w:rsidRPr="0067326F" w:rsidRDefault="002803E2" w:rsidP="0067326F">
      <w:pPr>
        <w:pStyle w:val="ListParagraph"/>
        <w:numPr>
          <w:ilvl w:val="0"/>
          <w:numId w:val="50"/>
        </w:numPr>
        <w:ind w:left="284" w:hanging="284"/>
        <w:rPr>
          <w:bCs/>
          <w:iCs/>
        </w:rPr>
      </w:pPr>
      <w:r>
        <w:t xml:space="preserve">vyzývá Komisi, aby po konzultaci s členskými státy EU, zeměmi černomořského regionu a všemi zúčastněnými stranami </w:t>
      </w:r>
      <w:r w:rsidRPr="0067326F">
        <w:rPr>
          <w:b/>
        </w:rPr>
        <w:t>urychleně vypracovala</w:t>
      </w:r>
      <w:r>
        <w:t xml:space="preserve"> (pokud možno do konce roku 2025) </w:t>
      </w:r>
      <w:r w:rsidRPr="0067326F">
        <w:rPr>
          <w:b/>
        </w:rPr>
        <w:t>pragmatickou a řádně financovanou strategii pro rozvoj tohoto regionu</w:t>
      </w:r>
      <w:r>
        <w:t>;</w:t>
      </w:r>
    </w:p>
    <w:p w14:paraId="7FFAE451" w14:textId="77777777" w:rsidR="002803E2" w:rsidRPr="0067326F" w:rsidRDefault="002803E2" w:rsidP="0067326F">
      <w:pPr>
        <w:pStyle w:val="ListParagraph"/>
        <w:numPr>
          <w:ilvl w:val="0"/>
          <w:numId w:val="50"/>
        </w:numPr>
        <w:ind w:left="284" w:hanging="284"/>
        <w:rPr>
          <w:bCs/>
          <w:iCs/>
        </w:rPr>
      </w:pPr>
      <w:r>
        <w:t xml:space="preserve">lituje, že </w:t>
      </w:r>
      <w:r w:rsidRPr="0067326F">
        <w:rPr>
          <w:b/>
        </w:rPr>
        <w:t>předchozí rámcová politika EU</w:t>
      </w:r>
      <w:r>
        <w:t xml:space="preserve"> pro tuto oblast (tzv. černomořská synergie z roku 2007) nezahrnovala žádné </w:t>
      </w:r>
      <w:r w:rsidRPr="0067326F">
        <w:rPr>
          <w:b/>
        </w:rPr>
        <w:t>bezpečnostní aspekty</w:t>
      </w:r>
      <w:r>
        <w:t xml:space="preserve">, a zdůrazňuje, že </w:t>
      </w:r>
      <w:r w:rsidRPr="0067326F">
        <w:rPr>
          <w:b/>
        </w:rPr>
        <w:t>bezpečnostní iniciativy EU v oblasti Černého moře musí přinést hmatatelné výsledky</w:t>
      </w:r>
      <w:r>
        <w:t>;</w:t>
      </w:r>
    </w:p>
    <w:p w14:paraId="5715F11C" w14:textId="77777777" w:rsidR="002803E2" w:rsidRPr="0067326F" w:rsidRDefault="002803E2" w:rsidP="0067326F">
      <w:pPr>
        <w:pStyle w:val="ListParagraph"/>
        <w:numPr>
          <w:ilvl w:val="0"/>
          <w:numId w:val="50"/>
        </w:numPr>
        <w:ind w:left="284" w:hanging="284"/>
        <w:rPr>
          <w:bCs/>
          <w:iCs/>
        </w:rPr>
      </w:pPr>
      <w:r>
        <w:t xml:space="preserve">podtrhuje, že </w:t>
      </w:r>
      <w:r w:rsidRPr="0067326F">
        <w:rPr>
          <w:b/>
        </w:rPr>
        <w:t>dosažení trvalého míru je nezbytným a zásadním předpokladem udržitelného hospodářského rozvoje</w:t>
      </w:r>
      <w:r>
        <w:t>, a s politováním konstatuje, že to není v tomto dokumentu uvedeno jako cíl;</w:t>
      </w:r>
    </w:p>
    <w:p w14:paraId="7FCF9868" w14:textId="77777777" w:rsidR="002803E2" w:rsidRPr="0067326F" w:rsidRDefault="002803E2" w:rsidP="0067326F">
      <w:pPr>
        <w:pStyle w:val="ListParagraph"/>
        <w:numPr>
          <w:ilvl w:val="0"/>
          <w:numId w:val="50"/>
        </w:numPr>
        <w:ind w:left="284" w:hanging="284"/>
        <w:rPr>
          <w:bCs/>
          <w:iCs/>
        </w:rPr>
      </w:pPr>
      <w:r>
        <w:t xml:space="preserve">domnívá se, že </w:t>
      </w:r>
      <w:r w:rsidRPr="0067326F">
        <w:rPr>
          <w:b/>
        </w:rPr>
        <w:t>hlavním omezením strategického přístupu</w:t>
      </w:r>
      <w:r>
        <w:t xml:space="preserve"> je skutečnost, že zcela závisí na </w:t>
      </w:r>
      <w:r w:rsidRPr="0067326F">
        <w:rPr>
          <w:b/>
        </w:rPr>
        <w:t>stávajících finančních nástrojích a rozpočtových zdrojích obsažených ve víceletém finančním rámci na období 2021–2027</w:t>
      </w:r>
      <w:r>
        <w:t xml:space="preserve">. Požaduje, aby byly </w:t>
      </w:r>
      <w:r w:rsidRPr="0067326F">
        <w:rPr>
          <w:b/>
        </w:rPr>
        <w:t>nástroje zjednodušeny, konsolidovány a byla jim dána taková priorita</w:t>
      </w:r>
      <w:r>
        <w:t>, aby měly okamžitý a viditelný účinek;</w:t>
      </w:r>
    </w:p>
    <w:p w14:paraId="5A16DACC" w14:textId="77777777" w:rsidR="002803E2" w:rsidRPr="0067326F" w:rsidRDefault="002803E2" w:rsidP="0067326F">
      <w:pPr>
        <w:pStyle w:val="ListParagraph"/>
        <w:numPr>
          <w:ilvl w:val="0"/>
          <w:numId w:val="50"/>
        </w:numPr>
        <w:ind w:left="284" w:hanging="284"/>
        <w:rPr>
          <w:bCs/>
          <w:iCs/>
        </w:rPr>
      </w:pPr>
      <w:r>
        <w:t xml:space="preserve">doporučuje </w:t>
      </w:r>
      <w:r w:rsidRPr="0067326F">
        <w:rPr>
          <w:b/>
        </w:rPr>
        <w:t>provést hloubkovou analýzu dopadu veškerých dosavadních nástrojů</w:t>
      </w:r>
      <w:r>
        <w:t xml:space="preserve"> a na jejím základě formulovat </w:t>
      </w:r>
      <w:r w:rsidRPr="0067326F">
        <w:rPr>
          <w:b/>
        </w:rPr>
        <w:t>konkrétnější a jasnější závazky</w:t>
      </w:r>
      <w:r>
        <w:t xml:space="preserve"> týkající se jejich budoucího využívání;</w:t>
      </w:r>
    </w:p>
    <w:p w14:paraId="39D49841" w14:textId="77777777" w:rsidR="002803E2" w:rsidRPr="00E24C2F" w:rsidRDefault="002803E2" w:rsidP="0067326F">
      <w:pPr>
        <w:pStyle w:val="ListParagraph"/>
        <w:numPr>
          <w:ilvl w:val="0"/>
          <w:numId w:val="50"/>
        </w:numPr>
        <w:ind w:left="284" w:hanging="284"/>
      </w:pPr>
      <w:r>
        <w:t xml:space="preserve">domnívá se, že by za tímto účelem měla být věnována větší pozornost </w:t>
      </w:r>
      <w:r w:rsidRPr="0067326F">
        <w:rPr>
          <w:b/>
        </w:rPr>
        <w:t>boji proti hybridním hrozbám a nedostatkům ve fungování veřejné správy</w:t>
      </w:r>
      <w:r>
        <w:t>, neboť to může narušit regionální stabilitu.</w:t>
      </w:r>
    </w:p>
    <w:p w14:paraId="2BE1CEC8" w14:textId="77777777" w:rsidR="002803E2" w:rsidRPr="00FC4BF3" w:rsidRDefault="002803E2" w:rsidP="002803E2">
      <w:pPr>
        <w:keepNext/>
        <w:keepLines/>
        <w:widowControl w:val="0"/>
        <w:ind w:left="709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5"/>
        <w:gridCol w:w="7264"/>
      </w:tblGrid>
      <w:tr w:rsidR="002803E2" w:rsidRPr="00A6689B" w14:paraId="6A96170A" w14:textId="77777777" w:rsidTr="00320B62">
        <w:tc>
          <w:tcPr>
            <w:tcW w:w="1090" w:type="pct"/>
          </w:tcPr>
          <w:p w14:paraId="10C687FB" w14:textId="77777777" w:rsidR="002803E2" w:rsidRPr="001262F7" w:rsidRDefault="002803E2" w:rsidP="00320B62">
            <w:pPr>
              <w:keepNext/>
              <w:keepLines/>
              <w:rPr>
                <w:i/>
                <w:sz w:val="20"/>
                <w:szCs w:val="20"/>
              </w:rPr>
            </w:pPr>
            <w:r w:rsidRPr="001262F7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3910" w:type="pct"/>
          </w:tcPr>
          <w:p w14:paraId="2B5B59F0" w14:textId="77777777" w:rsidR="002803E2" w:rsidRPr="001262F7" w:rsidRDefault="002803E2" w:rsidP="00320B62">
            <w:pPr>
              <w:keepNext/>
              <w:keepLines/>
              <w:rPr>
                <w:i/>
                <w:iCs/>
                <w:sz w:val="20"/>
                <w:szCs w:val="20"/>
              </w:rPr>
            </w:pPr>
            <w:r w:rsidRPr="001262F7">
              <w:rPr>
                <w:i/>
                <w:iCs/>
                <w:sz w:val="20"/>
                <w:szCs w:val="20"/>
              </w:rPr>
              <w:t>Marie-Laurence Drillon</w:t>
            </w:r>
          </w:p>
        </w:tc>
      </w:tr>
      <w:tr w:rsidR="002803E2" w:rsidRPr="00A6689B" w14:paraId="50F7C92F" w14:textId="77777777" w:rsidTr="00320B62">
        <w:tc>
          <w:tcPr>
            <w:tcW w:w="1090" w:type="pct"/>
          </w:tcPr>
          <w:p w14:paraId="1AFEC615" w14:textId="77777777" w:rsidR="002803E2" w:rsidRPr="001262F7" w:rsidRDefault="002803E2" w:rsidP="00320B62">
            <w:pPr>
              <w:keepNext/>
              <w:keepLines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3910" w:type="pct"/>
          </w:tcPr>
          <w:p w14:paraId="3B01D93D" w14:textId="77777777" w:rsidR="002803E2" w:rsidRPr="001262F7" w:rsidRDefault="002803E2" w:rsidP="00320B62">
            <w:pPr>
              <w:keepNext/>
              <w:keepLines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+32 2 546 8320</w:t>
            </w:r>
          </w:p>
        </w:tc>
      </w:tr>
      <w:tr w:rsidR="002803E2" w:rsidRPr="00A6689B" w14:paraId="40CF500A" w14:textId="77777777" w:rsidTr="00320B62">
        <w:tc>
          <w:tcPr>
            <w:tcW w:w="1090" w:type="pct"/>
          </w:tcPr>
          <w:p w14:paraId="4CEDE99D" w14:textId="77777777" w:rsidR="002803E2" w:rsidRPr="001262F7" w:rsidRDefault="002803E2" w:rsidP="00320B62">
            <w:pPr>
              <w:keepNext/>
              <w:keepLines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3910" w:type="pct"/>
          </w:tcPr>
          <w:p w14:paraId="5E280832" w14:textId="77777777" w:rsidR="002803E2" w:rsidRPr="001262F7" w:rsidRDefault="00066DA5" w:rsidP="00320B62">
            <w:pPr>
              <w:keepNext/>
              <w:keepLines/>
              <w:rPr>
                <w:i/>
                <w:sz w:val="20"/>
                <w:szCs w:val="20"/>
              </w:rPr>
            </w:pPr>
            <w:hyperlink r:id="rId41" w:history="1">
              <w:r w:rsidR="002803E2" w:rsidRPr="001262F7">
                <w:rPr>
                  <w:rStyle w:val="Hyperlink"/>
                  <w:i/>
                  <w:sz w:val="20"/>
                  <w:szCs w:val="20"/>
                </w:rPr>
                <w:t>Marie-Laurence.Drillon@eesc.europa.eu</w:t>
              </w:r>
            </w:hyperlink>
          </w:p>
        </w:tc>
      </w:tr>
    </w:tbl>
    <w:p w14:paraId="6C3E5C5B" w14:textId="77777777" w:rsidR="002803E2" w:rsidRDefault="002803E2" w:rsidP="002803E2"/>
    <w:p w14:paraId="74D4B137" w14:textId="2F6A0F43" w:rsidR="007F5784" w:rsidRDefault="007F5784" w:rsidP="002803E2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14:paraId="210E1333" w14:textId="77B3C5D4" w:rsidR="00C913CA" w:rsidRPr="0067326F" w:rsidRDefault="006D2C8A" w:rsidP="0067326F">
      <w:pPr>
        <w:pStyle w:val="ListParagraph"/>
        <w:numPr>
          <w:ilvl w:val="0"/>
          <w:numId w:val="13"/>
        </w:numPr>
        <w:ind w:left="567" w:hanging="567"/>
        <w:rPr>
          <w:sz w:val="20"/>
          <w:szCs w:val="20"/>
        </w:rPr>
      </w:pPr>
      <w:r>
        <w:br w:type="page"/>
      </w:r>
      <w:hyperlink r:id="rId42" w:history="1">
        <w:r w:rsidR="002803E2" w:rsidRPr="0067326F">
          <w:rPr>
            <w:rStyle w:val="Hyperlink"/>
            <w:b/>
            <w:i/>
            <w:sz w:val="28"/>
          </w:rPr>
          <w:t>Globální Evropa (návrh víceletého finančního rámce)</w:t>
        </w:r>
      </w:hyperlink>
    </w:p>
    <w:p w14:paraId="6AA29438" w14:textId="77777777" w:rsidR="002803E2" w:rsidRPr="00A6689B" w:rsidRDefault="002803E2" w:rsidP="002803E2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2803E2" w:rsidRPr="00A6689B" w14:paraId="5632951F" w14:textId="77777777" w:rsidTr="00320B62">
        <w:tc>
          <w:tcPr>
            <w:tcW w:w="1077" w:type="pct"/>
          </w:tcPr>
          <w:p w14:paraId="7A1D13DD" w14:textId="77777777" w:rsidR="002803E2" w:rsidRPr="00A6689B" w:rsidRDefault="002803E2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Zpravodaj</w:t>
            </w:r>
          </w:p>
        </w:tc>
        <w:tc>
          <w:tcPr>
            <w:tcW w:w="3923" w:type="pct"/>
          </w:tcPr>
          <w:p w14:paraId="488FF83A" w14:textId="77777777" w:rsidR="002803E2" w:rsidRPr="00A6689B" w:rsidRDefault="002803E2" w:rsidP="00320B62">
            <w:pPr>
              <w:tabs>
                <w:tab w:val="center" w:pos="284"/>
              </w:tabs>
              <w:ind w:left="266" w:right="-3091" w:hanging="266"/>
            </w:pPr>
            <w:r>
              <w:t>Mateusz SZYMAŃSKI (Zaměstnanci – PL)</w:t>
            </w:r>
          </w:p>
        </w:tc>
      </w:tr>
      <w:tr w:rsidR="002803E2" w:rsidRPr="00A6689B" w14:paraId="453F21E5" w14:textId="77777777" w:rsidTr="00320B62">
        <w:tc>
          <w:tcPr>
            <w:tcW w:w="1077" w:type="pct"/>
          </w:tcPr>
          <w:p w14:paraId="6D8FAE1C" w14:textId="77777777" w:rsidR="002803E2" w:rsidRPr="00A6689B" w:rsidRDefault="002803E2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Spoluzpravodaj</w:t>
            </w:r>
          </w:p>
        </w:tc>
        <w:tc>
          <w:tcPr>
            <w:tcW w:w="3923" w:type="pct"/>
          </w:tcPr>
          <w:p w14:paraId="3C175EEF" w14:textId="77777777" w:rsidR="002803E2" w:rsidRDefault="002803E2" w:rsidP="00320B62">
            <w:pPr>
              <w:tabs>
                <w:tab w:val="center" w:pos="284"/>
              </w:tabs>
              <w:ind w:left="266" w:right="-3091" w:hanging="266"/>
            </w:pPr>
            <w:r>
              <w:t>Luca JAHIER (Organizace občanské společnosti – IT)</w:t>
            </w:r>
          </w:p>
          <w:p w14:paraId="67A1CCEA" w14:textId="77777777" w:rsidR="002803E2" w:rsidRPr="005821D8" w:rsidRDefault="002803E2" w:rsidP="00320B62">
            <w:pPr>
              <w:tabs>
                <w:tab w:val="center" w:pos="284"/>
              </w:tabs>
              <w:ind w:left="266" w:right="-3091" w:hanging="266"/>
              <w:rPr>
                <w:sz w:val="14"/>
                <w:szCs w:val="14"/>
              </w:rPr>
            </w:pPr>
          </w:p>
        </w:tc>
      </w:tr>
      <w:tr w:rsidR="002803E2" w:rsidRPr="00A6689B" w14:paraId="6539FF09" w14:textId="77777777" w:rsidTr="00320B62">
        <w:tc>
          <w:tcPr>
            <w:tcW w:w="1077" w:type="pct"/>
          </w:tcPr>
          <w:p w14:paraId="220435D2" w14:textId="77777777" w:rsidR="002803E2" w:rsidRPr="00A6689B" w:rsidRDefault="002803E2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Odkaz</w:t>
            </w:r>
          </w:p>
        </w:tc>
        <w:tc>
          <w:tcPr>
            <w:tcW w:w="3923" w:type="pct"/>
          </w:tcPr>
          <w:p w14:paraId="169174C9" w14:textId="77777777" w:rsidR="002803E2" w:rsidRPr="00A6689B" w:rsidRDefault="002803E2" w:rsidP="00320B62">
            <w:pPr>
              <w:tabs>
                <w:tab w:val="center" w:pos="284"/>
              </w:tabs>
              <w:ind w:left="266" w:right="-3091" w:hanging="266"/>
            </w:pPr>
            <w:r>
              <w:t>EESC-2025-02605-00-00-AC-TRA</w:t>
            </w:r>
          </w:p>
        </w:tc>
      </w:tr>
    </w:tbl>
    <w:p w14:paraId="7CF9E910" w14:textId="77777777" w:rsidR="002803E2" w:rsidRDefault="002803E2" w:rsidP="002803E2">
      <w:pPr>
        <w:tabs>
          <w:tab w:val="center" w:pos="284"/>
        </w:tabs>
        <w:ind w:left="266" w:hanging="266"/>
        <w:rPr>
          <w:b/>
        </w:rPr>
      </w:pPr>
    </w:p>
    <w:p w14:paraId="1A6F0120" w14:textId="77777777" w:rsidR="002803E2" w:rsidRPr="00A6689B" w:rsidRDefault="002803E2" w:rsidP="002803E2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Hlavní body</w:t>
      </w:r>
    </w:p>
    <w:p w14:paraId="2F8AFB46" w14:textId="77777777" w:rsidR="002803E2" w:rsidRPr="00A6689B" w:rsidRDefault="002803E2" w:rsidP="002803E2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01D66D52" w14:textId="77777777" w:rsidR="002803E2" w:rsidRDefault="002803E2" w:rsidP="002803E2">
      <w:r>
        <w:t>EHSV:</w:t>
      </w:r>
    </w:p>
    <w:p w14:paraId="1A2CA1CE" w14:textId="77777777" w:rsidR="002803E2" w:rsidRPr="00A6689B" w:rsidRDefault="002803E2" w:rsidP="002803E2">
      <w:pPr>
        <w:rPr>
          <w:bCs/>
          <w:iCs/>
        </w:rPr>
      </w:pPr>
    </w:p>
    <w:p w14:paraId="3D482C76" w14:textId="77777777" w:rsidR="002803E2" w:rsidRPr="0067326F" w:rsidRDefault="002803E2" w:rsidP="0067326F">
      <w:pPr>
        <w:pStyle w:val="ListParagraph"/>
        <w:numPr>
          <w:ilvl w:val="0"/>
          <w:numId w:val="49"/>
        </w:numPr>
        <w:ind w:left="284" w:hanging="284"/>
        <w:rPr>
          <w:bCs/>
          <w:iCs/>
        </w:rPr>
      </w:pPr>
      <w:r>
        <w:t>vítá návrh Komise, podle nějž by měly být v příštím víceletém finančním rámci (VFR) navýšeny výdaje na vnější politiku EU, a to mj. v rámci nástroje Globální Evropa a také rezervy přidělené na podporu Ukrajiny. Domnívá se, že toto navýšení má zásadní význam pro to, aby EU mohla potvrdit své vedoucí postavení na mezinárodní scéně, prosazovat své hodnoty a dosáhnout strategické autonomie;</w:t>
      </w:r>
    </w:p>
    <w:p w14:paraId="14DE866F" w14:textId="77777777" w:rsidR="002803E2" w:rsidRPr="0067326F" w:rsidRDefault="002803E2" w:rsidP="0067326F">
      <w:pPr>
        <w:pStyle w:val="ListParagraph"/>
        <w:numPr>
          <w:ilvl w:val="0"/>
          <w:numId w:val="49"/>
        </w:numPr>
        <w:ind w:left="284" w:hanging="284"/>
        <w:rPr>
          <w:bCs/>
          <w:iCs/>
        </w:rPr>
      </w:pPr>
      <w:r>
        <w:t xml:space="preserve">domnívá se, že by se EU měla ujmout vedoucí role v rámci úsilí v oblasti rozvoje a humanitární pomoci a dát nový impuls systému OSN a že by se jejím hlavním nástrojem měla stát strategie Global Gateway; </w:t>
      </w:r>
    </w:p>
    <w:p w14:paraId="37D80274" w14:textId="77777777" w:rsidR="002803E2" w:rsidRPr="0067326F" w:rsidRDefault="002803E2" w:rsidP="0067326F">
      <w:pPr>
        <w:pStyle w:val="ListParagraph"/>
        <w:numPr>
          <w:ilvl w:val="0"/>
          <w:numId w:val="49"/>
        </w:numPr>
        <w:ind w:left="284" w:hanging="284"/>
        <w:rPr>
          <w:bCs/>
          <w:iCs/>
        </w:rPr>
      </w:pPr>
      <w:r>
        <w:t>poukazuje na to, že stávajícímu poradnímu výboru organizací občanské společnosti a místních orgánů pro strategii Global Gateway se nepodařilo zapojit do rozhodovacího procesu a že je v důsledku toho dialog roztříštěný. EHSV žádá, aby bylo zajištěno konstruktivní zapojení těchto subjektů a také EHSV a VR;</w:t>
      </w:r>
    </w:p>
    <w:p w14:paraId="74E2E378" w14:textId="77777777" w:rsidR="002803E2" w:rsidRPr="0067326F" w:rsidRDefault="002803E2" w:rsidP="0067326F">
      <w:pPr>
        <w:pStyle w:val="ListParagraph"/>
        <w:numPr>
          <w:ilvl w:val="0"/>
          <w:numId w:val="49"/>
        </w:numPr>
        <w:ind w:left="284" w:hanging="284"/>
        <w:rPr>
          <w:bCs/>
          <w:iCs/>
        </w:rPr>
      </w:pPr>
      <w:r>
        <w:t>zdůrazňuje, že je nutné zajistit soulad mezi zahraniční politikou, rozvojem, oblastí obchodu a Evropským fondem pro konkurenceschopnost, aby tak bylo možné docílit udržitelného rozvoje a hospodářské odolnosti;</w:t>
      </w:r>
    </w:p>
    <w:p w14:paraId="3F3D6FCD" w14:textId="77777777" w:rsidR="002803E2" w:rsidRPr="0067326F" w:rsidRDefault="002803E2" w:rsidP="0067326F">
      <w:pPr>
        <w:pStyle w:val="ListParagraph"/>
        <w:numPr>
          <w:ilvl w:val="0"/>
          <w:numId w:val="49"/>
        </w:numPr>
        <w:ind w:left="284" w:hanging="284"/>
        <w:rPr>
          <w:bCs/>
          <w:iCs/>
        </w:rPr>
      </w:pPr>
      <w:r>
        <w:t>vítá navrhovanou flexibilitu v rámci vnější činnosti, očekává však, že budou prostředky vynakládány zcela transparentním a odpovědným způsobem;</w:t>
      </w:r>
    </w:p>
    <w:p w14:paraId="32F6D308" w14:textId="77777777" w:rsidR="002803E2" w:rsidRPr="0067326F" w:rsidRDefault="002803E2" w:rsidP="0067326F">
      <w:pPr>
        <w:pStyle w:val="ListParagraph"/>
        <w:numPr>
          <w:ilvl w:val="0"/>
          <w:numId w:val="49"/>
        </w:numPr>
        <w:ind w:left="284" w:hanging="284"/>
        <w:rPr>
          <w:bCs/>
          <w:iCs/>
        </w:rPr>
      </w:pPr>
      <w:r>
        <w:t xml:space="preserve">Vyzývá k tomu, aby byl ukazatel nerovnosti zavedený Komisí používán i u projektu strategie Global Gateway; </w:t>
      </w:r>
    </w:p>
    <w:p w14:paraId="420A9F4A" w14:textId="77777777" w:rsidR="002803E2" w:rsidRPr="0067326F" w:rsidRDefault="002803E2" w:rsidP="0067326F">
      <w:pPr>
        <w:pStyle w:val="ListParagraph"/>
        <w:numPr>
          <w:ilvl w:val="0"/>
          <w:numId w:val="49"/>
        </w:numPr>
        <w:ind w:left="284" w:hanging="284"/>
        <w:rPr>
          <w:bCs/>
          <w:iCs/>
        </w:rPr>
      </w:pPr>
      <w:r>
        <w:t xml:space="preserve">očekává, že budou ve větší míře zapojeny stávající orgány – například platformy občanské společnosti – s cílem udržovat vztahy s organizacemi v partnerských zemích; </w:t>
      </w:r>
    </w:p>
    <w:p w14:paraId="2C8DBB5E" w14:textId="77777777" w:rsidR="002803E2" w:rsidRPr="0067326F" w:rsidRDefault="002803E2" w:rsidP="0067326F">
      <w:pPr>
        <w:pStyle w:val="ListParagraph"/>
        <w:numPr>
          <w:ilvl w:val="0"/>
          <w:numId w:val="49"/>
        </w:numPr>
        <w:ind w:left="284" w:hanging="284"/>
        <w:rPr>
          <w:bCs/>
          <w:iCs/>
        </w:rPr>
      </w:pPr>
      <w:r>
        <w:t>podporuje veškeré úsilí o posílení prosperity a bezpečnosti v našem sousedství a tím i v EU a také další rozšíření Unie;</w:t>
      </w:r>
    </w:p>
    <w:p w14:paraId="5459C4B0" w14:textId="77777777" w:rsidR="002803E2" w:rsidRPr="0067326F" w:rsidRDefault="002803E2" w:rsidP="0067326F">
      <w:pPr>
        <w:pStyle w:val="ListParagraph"/>
        <w:numPr>
          <w:ilvl w:val="0"/>
          <w:numId w:val="49"/>
        </w:numPr>
        <w:ind w:left="284" w:hanging="284"/>
        <w:rPr>
          <w:bCs/>
          <w:iCs/>
        </w:rPr>
      </w:pPr>
      <w:r>
        <w:t>zdůrazňuje, že je nutné zaručit organizacím občanské společnosti předvídatelnou a stabilní podporu, zejména s cílem posílit demokracii, občanský prostor a genderovou rovnost;</w:t>
      </w:r>
    </w:p>
    <w:p w14:paraId="12DB6EFA" w14:textId="77777777" w:rsidR="002803E2" w:rsidRPr="0067326F" w:rsidRDefault="002803E2" w:rsidP="0067326F">
      <w:pPr>
        <w:pStyle w:val="ListParagraph"/>
        <w:numPr>
          <w:ilvl w:val="0"/>
          <w:numId w:val="49"/>
        </w:numPr>
        <w:ind w:left="284" w:hanging="284"/>
        <w:rPr>
          <w:bCs/>
          <w:iCs/>
        </w:rPr>
      </w:pPr>
      <w:r>
        <w:t>očekává, že budou vedle cílů týkajících se hospodářské spolupráce a podnikání prosazovány také ambiciózní sociální, lidskoprávní a environmentální záruky;</w:t>
      </w:r>
    </w:p>
    <w:p w14:paraId="073D3AE6" w14:textId="77777777" w:rsidR="002803E2" w:rsidRPr="0067326F" w:rsidRDefault="002803E2" w:rsidP="0067326F">
      <w:pPr>
        <w:pStyle w:val="ListParagraph"/>
        <w:numPr>
          <w:ilvl w:val="0"/>
          <w:numId w:val="49"/>
        </w:numPr>
        <w:ind w:left="284" w:hanging="284"/>
        <w:rPr>
          <w:bCs/>
          <w:iCs/>
        </w:rPr>
      </w:pPr>
      <w:r>
        <w:t>nesouhlasí se záměrem umožnit pozastavování plateb v kontextu migrační politiky a zdůrazňuje, že k uskutečnění stanovených cílů jsou nezbytné pozitivní pobídky.</w:t>
      </w:r>
    </w:p>
    <w:p w14:paraId="5309475F" w14:textId="77777777" w:rsidR="002803E2" w:rsidRPr="000624A9" w:rsidRDefault="002803E2" w:rsidP="002803E2">
      <w:pPr>
        <w:widowControl w:val="0"/>
        <w:ind w:left="709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2803E2" w:rsidRPr="00A6689B" w14:paraId="21C4E8BE" w14:textId="77777777" w:rsidTr="00320B62">
        <w:tc>
          <w:tcPr>
            <w:tcW w:w="1077" w:type="pct"/>
          </w:tcPr>
          <w:p w14:paraId="2603DBBC" w14:textId="77777777" w:rsidR="002803E2" w:rsidRPr="001262F7" w:rsidRDefault="002803E2" w:rsidP="00320B62">
            <w:pPr>
              <w:keepNext/>
              <w:keepLines/>
              <w:rPr>
                <w:i/>
                <w:sz w:val="20"/>
                <w:szCs w:val="20"/>
              </w:rPr>
            </w:pPr>
            <w:r w:rsidRPr="001262F7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3923" w:type="pct"/>
          </w:tcPr>
          <w:p w14:paraId="7D117510" w14:textId="77777777" w:rsidR="002803E2" w:rsidRPr="001262F7" w:rsidRDefault="002803E2" w:rsidP="00320B62">
            <w:pPr>
              <w:keepNext/>
              <w:keepLines/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 xml:space="preserve">Daniele Vitali </w:t>
            </w:r>
          </w:p>
        </w:tc>
      </w:tr>
      <w:tr w:rsidR="002803E2" w:rsidRPr="00A6689B" w14:paraId="1434E720" w14:textId="77777777" w:rsidTr="00320B62">
        <w:tc>
          <w:tcPr>
            <w:tcW w:w="1077" w:type="pct"/>
          </w:tcPr>
          <w:p w14:paraId="1A21734E" w14:textId="77777777" w:rsidR="002803E2" w:rsidRPr="001262F7" w:rsidRDefault="002803E2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3923" w:type="pct"/>
          </w:tcPr>
          <w:p w14:paraId="1051263F" w14:textId="77777777" w:rsidR="002803E2" w:rsidRPr="001262F7" w:rsidRDefault="002803E2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+32 2 546 8817</w:t>
            </w:r>
          </w:p>
        </w:tc>
      </w:tr>
      <w:tr w:rsidR="002803E2" w:rsidRPr="00A6689B" w14:paraId="487EA100" w14:textId="77777777" w:rsidTr="00320B62">
        <w:tc>
          <w:tcPr>
            <w:tcW w:w="1077" w:type="pct"/>
          </w:tcPr>
          <w:p w14:paraId="4C937EDB" w14:textId="77777777" w:rsidR="002803E2" w:rsidRPr="001262F7" w:rsidRDefault="002803E2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3923" w:type="pct"/>
          </w:tcPr>
          <w:p w14:paraId="5176754B" w14:textId="77777777" w:rsidR="002803E2" w:rsidRPr="001262F7" w:rsidRDefault="00066DA5" w:rsidP="00320B62">
            <w:pPr>
              <w:rPr>
                <w:i/>
                <w:sz w:val="20"/>
                <w:szCs w:val="20"/>
              </w:rPr>
            </w:pPr>
            <w:hyperlink r:id="rId43" w:history="1">
              <w:r w:rsidR="002803E2" w:rsidRPr="001262F7">
                <w:rPr>
                  <w:rStyle w:val="Hyperlink"/>
                  <w:i/>
                  <w:sz w:val="20"/>
                  <w:szCs w:val="20"/>
                </w:rPr>
                <w:t>Daniele.Vitali@eesc.europa.eu</w:t>
              </w:r>
            </w:hyperlink>
          </w:p>
        </w:tc>
      </w:tr>
    </w:tbl>
    <w:p w14:paraId="0D67EAE9" w14:textId="2B51600C" w:rsidR="004503DC" w:rsidRPr="004503DC" w:rsidRDefault="00C913CA" w:rsidP="007F6329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r>
        <w:br w:type="page"/>
      </w:r>
      <w:hyperlink r:id="rId44" w:history="1">
        <w:r w:rsidR="00523C23">
          <w:rPr>
            <w:rStyle w:val="Hyperlink"/>
            <w:b/>
            <w:i/>
            <w:sz w:val="28"/>
          </w:rPr>
          <w:t>Předvídatelný a společný evropský přístup pro Ukrajince v EU</w:t>
        </w:r>
      </w:hyperlink>
    </w:p>
    <w:p w14:paraId="2BA85754" w14:textId="77777777" w:rsidR="00523C23" w:rsidRPr="001D72B0" w:rsidRDefault="00523C23" w:rsidP="00523C23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523C23" w:rsidRPr="00A6689B" w14:paraId="6C232667" w14:textId="77777777" w:rsidTr="00320B62">
        <w:tc>
          <w:tcPr>
            <w:tcW w:w="1077" w:type="pct"/>
          </w:tcPr>
          <w:p w14:paraId="742AF2A0" w14:textId="77777777" w:rsidR="00523C23" w:rsidRPr="00A6689B" w:rsidRDefault="00523C23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 xml:space="preserve">Zpravodaj </w:t>
            </w:r>
          </w:p>
        </w:tc>
        <w:tc>
          <w:tcPr>
            <w:tcW w:w="3923" w:type="pct"/>
          </w:tcPr>
          <w:p w14:paraId="2EAADE69" w14:textId="77777777" w:rsidR="00523C23" w:rsidRPr="00A6689B" w:rsidRDefault="00523C23" w:rsidP="00320B62">
            <w:pPr>
              <w:tabs>
                <w:tab w:val="center" w:pos="284"/>
              </w:tabs>
              <w:ind w:left="266" w:right="-3091" w:hanging="266"/>
            </w:pPr>
            <w:r>
              <w:t>Mateusz SZYMAŃSKI (Zaměstnanci – PL)</w:t>
            </w:r>
          </w:p>
        </w:tc>
      </w:tr>
      <w:tr w:rsidR="00523C23" w:rsidRPr="00A6689B" w14:paraId="1B5534F2" w14:textId="77777777" w:rsidTr="00320B62">
        <w:tc>
          <w:tcPr>
            <w:tcW w:w="1077" w:type="pct"/>
          </w:tcPr>
          <w:p w14:paraId="1B852978" w14:textId="77777777" w:rsidR="00523C23" w:rsidRPr="00A6689B" w:rsidRDefault="00523C23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Spoluzpravodaj</w:t>
            </w:r>
          </w:p>
        </w:tc>
        <w:tc>
          <w:tcPr>
            <w:tcW w:w="3923" w:type="pct"/>
          </w:tcPr>
          <w:p w14:paraId="5E94915F" w14:textId="77777777" w:rsidR="00523C23" w:rsidRDefault="00523C23" w:rsidP="00320B62">
            <w:pPr>
              <w:tabs>
                <w:tab w:val="center" w:pos="284"/>
              </w:tabs>
              <w:ind w:left="266" w:right="-3091" w:hanging="266"/>
            </w:pPr>
            <w:r>
              <w:t>Krzysztof BALON (Organizace občanské společnosti – PL)</w:t>
            </w:r>
          </w:p>
          <w:p w14:paraId="0499CCDF" w14:textId="77777777" w:rsidR="00523C23" w:rsidRPr="00676FBD" w:rsidRDefault="00523C23" w:rsidP="00320B62">
            <w:pPr>
              <w:tabs>
                <w:tab w:val="center" w:pos="284"/>
              </w:tabs>
              <w:ind w:left="266" w:right="-3091" w:hanging="266"/>
              <w:rPr>
                <w:sz w:val="14"/>
                <w:szCs w:val="14"/>
              </w:rPr>
            </w:pPr>
          </w:p>
        </w:tc>
      </w:tr>
      <w:tr w:rsidR="00523C23" w:rsidRPr="00A6689B" w14:paraId="1180D90A" w14:textId="77777777" w:rsidTr="00320B62">
        <w:tc>
          <w:tcPr>
            <w:tcW w:w="1077" w:type="pct"/>
          </w:tcPr>
          <w:p w14:paraId="2EDCE8A7" w14:textId="77777777" w:rsidR="00523C23" w:rsidRPr="00156DC6" w:rsidRDefault="00523C23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Odkaz</w:t>
            </w:r>
          </w:p>
        </w:tc>
        <w:tc>
          <w:tcPr>
            <w:tcW w:w="3923" w:type="pct"/>
          </w:tcPr>
          <w:p w14:paraId="6BD6261B" w14:textId="77777777" w:rsidR="00523C23" w:rsidRPr="00156DC6" w:rsidRDefault="00523C23" w:rsidP="00320B62">
            <w:pPr>
              <w:tabs>
                <w:tab w:val="center" w:pos="284"/>
              </w:tabs>
              <w:ind w:left="266" w:right="-3091" w:hanging="266"/>
            </w:pPr>
            <w:r>
              <w:t>EESC-2025-02613-00-00-AC</w:t>
            </w:r>
          </w:p>
        </w:tc>
      </w:tr>
    </w:tbl>
    <w:p w14:paraId="17131898" w14:textId="77777777" w:rsidR="00523C23" w:rsidRDefault="00523C23" w:rsidP="00523C23">
      <w:pPr>
        <w:tabs>
          <w:tab w:val="center" w:pos="284"/>
        </w:tabs>
        <w:ind w:left="266" w:hanging="266"/>
        <w:rPr>
          <w:b/>
        </w:rPr>
      </w:pPr>
    </w:p>
    <w:p w14:paraId="52A34F64" w14:textId="77777777" w:rsidR="00523C23" w:rsidRPr="00A6689B" w:rsidRDefault="00523C23" w:rsidP="00523C23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Hlavní body</w:t>
      </w:r>
    </w:p>
    <w:p w14:paraId="5E2996CD" w14:textId="77777777" w:rsidR="00523C23" w:rsidRPr="00A6689B" w:rsidRDefault="00523C23" w:rsidP="00523C23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7C8B30C1" w14:textId="77777777" w:rsidR="00523C23" w:rsidRDefault="00523C23" w:rsidP="00523C23">
      <w:r>
        <w:t>EHSV:</w:t>
      </w:r>
    </w:p>
    <w:p w14:paraId="02DA46BE" w14:textId="77777777" w:rsidR="00523C23" w:rsidRPr="00A6689B" w:rsidRDefault="00523C23" w:rsidP="00523C23">
      <w:pPr>
        <w:rPr>
          <w:bCs/>
          <w:iCs/>
        </w:rPr>
      </w:pPr>
    </w:p>
    <w:p w14:paraId="0AD8866C" w14:textId="77777777" w:rsidR="00523C23" w:rsidRDefault="00523C23" w:rsidP="007F6329">
      <w:pPr>
        <w:numPr>
          <w:ilvl w:val="0"/>
          <w:numId w:val="41"/>
        </w:numPr>
        <w:spacing w:line="276" w:lineRule="auto"/>
        <w:ind w:left="284" w:hanging="284"/>
        <w:rPr>
          <w:bCs/>
          <w:iCs/>
        </w:rPr>
      </w:pPr>
      <w:r>
        <w:t>opětovně vyjadřuje svou solidaritu ukrajinskému lidu. Připomíná, že ruská agrese vůči Ukrajině přiměla miliony Ukrajinců k útěku před nastalým nebezpečím, a upozorňuje na to, jaké úsilí vyvinuly organizace občanské společnosti v okamžiku největšího přílivu vysídlených osob z Ukrajiny;</w:t>
      </w:r>
    </w:p>
    <w:p w14:paraId="2FA994D6" w14:textId="77777777" w:rsidR="00523C23" w:rsidRPr="00B348D7" w:rsidRDefault="00523C23" w:rsidP="007F6329">
      <w:pPr>
        <w:numPr>
          <w:ilvl w:val="0"/>
          <w:numId w:val="41"/>
        </w:numPr>
        <w:spacing w:line="276" w:lineRule="auto"/>
        <w:ind w:left="284" w:hanging="284"/>
        <w:rPr>
          <w:bCs/>
          <w:iCs/>
        </w:rPr>
      </w:pPr>
      <w:r>
        <w:t>poukazuje na to, že mechanismus dočasné ochrany lidem vysídleným z Ukrajiny prokazatelně velmi pomáhá a že zároveň dosud nenastaly vhodné podmínky pro jejich návrat na Ukrajinu, poněvadž ruská agrese stále trvá. Vítá tudíž skutečnost, že bylo přijato rozhodnutí dále prodloužit uplatňování tohoto mechanismu;</w:t>
      </w:r>
    </w:p>
    <w:p w14:paraId="17BF97AC" w14:textId="77777777" w:rsidR="00523C23" w:rsidRPr="00A6689B" w:rsidRDefault="00523C23" w:rsidP="007F6329">
      <w:pPr>
        <w:numPr>
          <w:ilvl w:val="0"/>
          <w:numId w:val="41"/>
        </w:numPr>
        <w:spacing w:line="276" w:lineRule="auto"/>
        <w:ind w:left="284" w:hanging="284"/>
        <w:rPr>
          <w:bCs/>
          <w:iCs/>
        </w:rPr>
      </w:pPr>
      <w:r>
        <w:t>zdůrazňuje, že je nutné zaručit osobám požívajícím dočasné ochrany dlouhodobou perspektivu. Vyzývá Evropskou komisi a členské státy, aby podnikly kroky s cílem ulehčit jim přechod k trvalejší formě povolení k pobytu a postupně od používání mechanismu dočasné ochrany zcela upustit;</w:t>
      </w:r>
    </w:p>
    <w:p w14:paraId="2C2A6615" w14:textId="77777777" w:rsidR="00523C23" w:rsidRPr="00A6689B" w:rsidRDefault="00523C23" w:rsidP="007F6329">
      <w:pPr>
        <w:numPr>
          <w:ilvl w:val="0"/>
          <w:numId w:val="41"/>
        </w:numPr>
        <w:spacing w:line="276" w:lineRule="auto"/>
        <w:ind w:left="284" w:hanging="284"/>
        <w:rPr>
          <w:bCs/>
          <w:iCs/>
        </w:rPr>
      </w:pPr>
      <w:r>
        <w:t>upozorňuje, že v souvislosti se situací, která vznikla s příchodem Ukrajinců na území EU, vzrostl tlak na systémy veřejných služeb v členských státech. Zdůrazňuje, že je nutné navýšit investice do kvalitních služeb obecného zájmu – mj. i v oblasti bydlení –, k nimž by měli mít všichni lidé, kteří oprávněně pobývají v EU, zaručen stejný přístup;</w:t>
      </w:r>
    </w:p>
    <w:p w14:paraId="719B057C" w14:textId="77777777" w:rsidR="00523C23" w:rsidRPr="00A6689B" w:rsidRDefault="00523C23" w:rsidP="007F6329">
      <w:pPr>
        <w:numPr>
          <w:ilvl w:val="0"/>
          <w:numId w:val="41"/>
        </w:numPr>
        <w:spacing w:line="276" w:lineRule="auto"/>
        <w:ind w:left="284" w:hanging="284"/>
      </w:pPr>
      <w:r>
        <w:t>upozorňuje, že je třeba usilovat o to, aby se Ukrajinci v EU úspěšně integrovali, a sice prostřednictvím jazykových kurzů, podpory iniciativ místních obyvatel, vzdělávání ukrajinských dětí v členských státech a boje proti dezinformacím a ruským zpravodajským aktivitám, ale také zapojením Ukrajinců do organizací působících v dané místní komunitě;</w:t>
      </w:r>
    </w:p>
    <w:p w14:paraId="632E6409" w14:textId="77777777" w:rsidR="00523C23" w:rsidRPr="00B348D7" w:rsidRDefault="00523C23" w:rsidP="007F6329">
      <w:pPr>
        <w:numPr>
          <w:ilvl w:val="0"/>
          <w:numId w:val="41"/>
        </w:numPr>
        <w:spacing w:line="276" w:lineRule="auto"/>
        <w:ind w:left="284" w:hanging="284"/>
      </w:pPr>
      <w:r>
        <w:t>zdůrazňuje, že je nutné zaručit Ukrajincům spravedlivé pracovní podmínky, a to jak v EU, tak na Ukrajině. Členské státy by měly zamezit vykořisťování Ukrajinců a nerovnému zacházení s nimi ve světě práce a ukrajinská vláda by zase měla opětovně zavést opatření vytvářející příznivé podmínky pro pracovníky a činnost odborových organizací v rámci sociálního dialogu.</w:t>
      </w:r>
    </w:p>
    <w:p w14:paraId="05C0AAC7" w14:textId="77777777" w:rsidR="00523C23" w:rsidRPr="000624A9" w:rsidRDefault="00523C23" w:rsidP="00523C23">
      <w:pPr>
        <w:widowControl w:val="0"/>
        <w:ind w:left="709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523C23" w:rsidRPr="00A6689B" w14:paraId="2A76DFAA" w14:textId="77777777" w:rsidTr="00320B62">
        <w:tc>
          <w:tcPr>
            <w:tcW w:w="1077" w:type="pct"/>
          </w:tcPr>
          <w:p w14:paraId="4B645149" w14:textId="77777777" w:rsidR="00523C23" w:rsidRPr="001262F7" w:rsidRDefault="00523C23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3923" w:type="pct"/>
          </w:tcPr>
          <w:p w14:paraId="628F31D0" w14:textId="77777777" w:rsidR="00523C23" w:rsidRPr="001262F7" w:rsidRDefault="00523C23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Katarína GRZESZCZYK ALBRECHTOVÁ</w:t>
            </w:r>
          </w:p>
        </w:tc>
      </w:tr>
      <w:tr w:rsidR="00523C23" w:rsidRPr="00A6689B" w14:paraId="05884381" w14:textId="77777777" w:rsidTr="00320B62">
        <w:tc>
          <w:tcPr>
            <w:tcW w:w="1077" w:type="pct"/>
          </w:tcPr>
          <w:p w14:paraId="2D6F5433" w14:textId="77777777" w:rsidR="00523C23" w:rsidRPr="001262F7" w:rsidRDefault="00523C23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3923" w:type="pct"/>
          </w:tcPr>
          <w:p w14:paraId="22FE0165" w14:textId="77777777" w:rsidR="00523C23" w:rsidRPr="001262F7" w:rsidRDefault="00523C23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+32 25469460</w:t>
            </w:r>
          </w:p>
        </w:tc>
      </w:tr>
      <w:tr w:rsidR="00523C23" w:rsidRPr="00A6689B" w14:paraId="593D1FA4" w14:textId="77777777" w:rsidTr="00320B62">
        <w:tc>
          <w:tcPr>
            <w:tcW w:w="1077" w:type="pct"/>
          </w:tcPr>
          <w:p w14:paraId="57926E19" w14:textId="77777777" w:rsidR="00523C23" w:rsidRPr="001262F7" w:rsidRDefault="00523C23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3923" w:type="pct"/>
          </w:tcPr>
          <w:p w14:paraId="2796A4CD" w14:textId="77777777" w:rsidR="00523C23" w:rsidRPr="001262F7" w:rsidRDefault="00066DA5" w:rsidP="00320B62">
            <w:pPr>
              <w:rPr>
                <w:i/>
                <w:sz w:val="20"/>
                <w:szCs w:val="20"/>
              </w:rPr>
            </w:pPr>
            <w:hyperlink r:id="rId45" w:history="1">
              <w:r w:rsidR="00523C23" w:rsidRPr="001262F7">
                <w:rPr>
                  <w:rStyle w:val="Hyperlink"/>
                  <w:i/>
                  <w:sz w:val="20"/>
                  <w:szCs w:val="20"/>
                </w:rPr>
                <w:t>Katarina.Albrechtova@eesc.europa.eu</w:t>
              </w:r>
            </w:hyperlink>
            <w:r w:rsidR="00523C23" w:rsidRPr="001262F7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18F3C83F" w14:textId="77777777" w:rsidR="00523C23" w:rsidRDefault="00523C23" w:rsidP="00523C23"/>
    <w:p w14:paraId="28C69286" w14:textId="77777777" w:rsidR="004503DC" w:rsidRDefault="004503DC">
      <w:pPr>
        <w:spacing w:after="160" w:line="259" w:lineRule="auto"/>
        <w:jc w:val="left"/>
      </w:pPr>
      <w:r>
        <w:br w:type="page"/>
      </w:r>
    </w:p>
    <w:p w14:paraId="54681B02" w14:textId="77777777" w:rsidR="006D2C8A" w:rsidRDefault="006D2C8A">
      <w:pPr>
        <w:spacing w:after="160" w:line="259" w:lineRule="auto"/>
        <w:jc w:val="left"/>
      </w:pPr>
    </w:p>
    <w:p w14:paraId="528C73AA" w14:textId="46DE726B" w:rsidR="006D2C8A" w:rsidRPr="006D2C8A" w:rsidRDefault="006D2C8A" w:rsidP="006D2C8A">
      <w:pPr>
        <w:pStyle w:val="Heading1"/>
        <w:rPr>
          <w:b/>
        </w:rPr>
      </w:pPr>
      <w:bookmarkStart w:id="16" w:name="_Toc217052803"/>
      <w:r>
        <w:rPr>
          <w:b/>
          <w:color w:val="222A35" w:themeColor="text2" w:themeShade="80"/>
        </w:rPr>
        <w:t>PORADNÍ KOMISE PRO PRŮMYSLOVÉ ZMĚNY</w:t>
      </w:r>
      <w:bookmarkEnd w:id="16"/>
    </w:p>
    <w:p w14:paraId="713E272F" w14:textId="77777777" w:rsidR="006D2C8A" w:rsidRDefault="006D2C8A" w:rsidP="006D2C8A"/>
    <w:p w14:paraId="7383D97E" w14:textId="0210D6E5" w:rsidR="00ED76AC" w:rsidRPr="00ED76AC" w:rsidRDefault="00066DA5" w:rsidP="00ED76A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hanging="567"/>
        <w:rPr>
          <w:sz w:val="20"/>
          <w:szCs w:val="20"/>
        </w:rPr>
      </w:pPr>
      <w:hyperlink r:id="rId46" w:history="1">
        <w:r w:rsidR="00523C23">
          <w:rPr>
            <w:rStyle w:val="Hyperlink"/>
            <w:b/>
            <w:i/>
            <w:sz w:val="28"/>
          </w:rPr>
          <w:t>Rozvoj potenciálu trvalých materiálů v rámci oběhového hospodářství EU</w:t>
        </w:r>
      </w:hyperlink>
    </w:p>
    <w:p w14:paraId="22CB4EA4" w14:textId="77777777" w:rsidR="00523C23" w:rsidRPr="00DD6DE5" w:rsidRDefault="00523C23" w:rsidP="00523C23">
      <w:pPr>
        <w:widowControl w:val="0"/>
        <w:ind w:left="567" w:firstLine="720"/>
        <w:rPr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523C23" w:rsidRPr="008630AF" w14:paraId="3361D35A" w14:textId="77777777" w:rsidTr="00320B62">
        <w:tc>
          <w:tcPr>
            <w:tcW w:w="1077" w:type="pct"/>
          </w:tcPr>
          <w:p w14:paraId="6C94BADF" w14:textId="77777777" w:rsidR="00523C23" w:rsidRPr="00A6689B" w:rsidRDefault="00523C23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Zpravodaj</w:t>
            </w:r>
          </w:p>
        </w:tc>
        <w:tc>
          <w:tcPr>
            <w:tcW w:w="3923" w:type="pct"/>
          </w:tcPr>
          <w:p w14:paraId="20D2004A" w14:textId="77777777" w:rsidR="00523C23" w:rsidRPr="00C86E1C" w:rsidRDefault="00523C23" w:rsidP="00320B62">
            <w:pPr>
              <w:tabs>
                <w:tab w:val="center" w:pos="284"/>
              </w:tabs>
              <w:ind w:left="266" w:right="-3091" w:hanging="266"/>
            </w:pPr>
            <w:r>
              <w:t>Andrea MONE (Zaměstnanci – IT)</w:t>
            </w:r>
          </w:p>
        </w:tc>
      </w:tr>
      <w:tr w:rsidR="00523C23" w:rsidRPr="00A6689B" w14:paraId="207A7C17" w14:textId="77777777" w:rsidTr="00320B62">
        <w:tc>
          <w:tcPr>
            <w:tcW w:w="1077" w:type="pct"/>
          </w:tcPr>
          <w:p w14:paraId="4AF5ED93" w14:textId="77777777" w:rsidR="00523C23" w:rsidRPr="00A6689B" w:rsidRDefault="00523C23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Spoluzpravodaj</w:t>
            </w:r>
          </w:p>
        </w:tc>
        <w:tc>
          <w:tcPr>
            <w:tcW w:w="3923" w:type="pct"/>
          </w:tcPr>
          <w:p w14:paraId="57A7FDFD" w14:textId="77777777" w:rsidR="00523C23" w:rsidRDefault="00523C23" w:rsidP="00320B62">
            <w:pPr>
              <w:tabs>
                <w:tab w:val="center" w:pos="284"/>
              </w:tabs>
              <w:ind w:left="266" w:right="-3091" w:hanging="266"/>
            </w:pPr>
            <w:r>
              <w:t>Michal PINTÉR (Zaměstnavatelé – SK)</w:t>
            </w:r>
          </w:p>
          <w:p w14:paraId="62C7A7BA" w14:textId="77777777" w:rsidR="00523C23" w:rsidRPr="00AE7534" w:rsidRDefault="00523C23" w:rsidP="00320B62">
            <w:pPr>
              <w:tabs>
                <w:tab w:val="center" w:pos="284"/>
              </w:tabs>
              <w:ind w:left="266" w:right="-3091" w:hanging="266"/>
              <w:rPr>
                <w:sz w:val="14"/>
                <w:szCs w:val="14"/>
              </w:rPr>
            </w:pPr>
          </w:p>
        </w:tc>
      </w:tr>
      <w:tr w:rsidR="00523C23" w:rsidRPr="00A6689B" w14:paraId="57C139B9" w14:textId="77777777" w:rsidTr="00320B62">
        <w:tc>
          <w:tcPr>
            <w:tcW w:w="1077" w:type="pct"/>
          </w:tcPr>
          <w:p w14:paraId="15F738F4" w14:textId="77777777" w:rsidR="00523C23" w:rsidRPr="00A6689B" w:rsidRDefault="00523C23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Odkaz</w:t>
            </w:r>
          </w:p>
        </w:tc>
        <w:tc>
          <w:tcPr>
            <w:tcW w:w="3923" w:type="pct"/>
          </w:tcPr>
          <w:p w14:paraId="48509DC4" w14:textId="77777777" w:rsidR="00523C23" w:rsidRPr="00A6689B" w:rsidRDefault="00523C23" w:rsidP="00320B62">
            <w:pPr>
              <w:tabs>
                <w:tab w:val="center" w:pos="284"/>
              </w:tabs>
              <w:ind w:left="266" w:right="-3091" w:hanging="266"/>
            </w:pPr>
            <w:r>
              <w:t>EESC-2025-02364-00-00-AC</w:t>
            </w:r>
          </w:p>
        </w:tc>
      </w:tr>
    </w:tbl>
    <w:p w14:paraId="2AD06006" w14:textId="77777777" w:rsidR="00523C23" w:rsidRDefault="00523C23" w:rsidP="00523C23">
      <w:pPr>
        <w:tabs>
          <w:tab w:val="center" w:pos="284"/>
        </w:tabs>
        <w:ind w:left="266" w:hanging="266"/>
        <w:rPr>
          <w:b/>
        </w:rPr>
      </w:pPr>
    </w:p>
    <w:p w14:paraId="17009CA6" w14:textId="77777777" w:rsidR="00523C23" w:rsidRPr="00A6689B" w:rsidRDefault="00523C23" w:rsidP="00523C23">
      <w:pPr>
        <w:keepNext/>
        <w:keepLines/>
        <w:tabs>
          <w:tab w:val="center" w:pos="284"/>
        </w:tabs>
        <w:spacing w:line="276" w:lineRule="auto"/>
        <w:ind w:left="266" w:hanging="266"/>
        <w:rPr>
          <w:b/>
        </w:rPr>
      </w:pPr>
      <w:r>
        <w:rPr>
          <w:b/>
        </w:rPr>
        <w:t>Hlavní body</w:t>
      </w:r>
    </w:p>
    <w:p w14:paraId="0D865750" w14:textId="77777777" w:rsidR="00523C23" w:rsidRPr="00A6689B" w:rsidRDefault="00523C23" w:rsidP="00523C23">
      <w:pPr>
        <w:keepNext/>
        <w:keepLines/>
        <w:tabs>
          <w:tab w:val="center" w:pos="284"/>
        </w:tabs>
        <w:spacing w:line="276" w:lineRule="auto"/>
        <w:ind w:left="266" w:hanging="266"/>
        <w:rPr>
          <w:b/>
        </w:rPr>
      </w:pPr>
    </w:p>
    <w:p w14:paraId="75D044B8" w14:textId="77777777" w:rsidR="00523C23" w:rsidRPr="00A6689B" w:rsidRDefault="00523C23" w:rsidP="00523C23">
      <w:pPr>
        <w:spacing w:line="276" w:lineRule="auto"/>
        <w:rPr>
          <w:bCs/>
          <w:iCs/>
        </w:rPr>
      </w:pPr>
      <w:r>
        <w:t>EHSV:</w:t>
      </w:r>
    </w:p>
    <w:p w14:paraId="51E92A93" w14:textId="77777777" w:rsidR="00523C23" w:rsidRPr="001D3475" w:rsidRDefault="00523C23" w:rsidP="0067326F">
      <w:pPr>
        <w:pStyle w:val="ListParagraph"/>
        <w:numPr>
          <w:ilvl w:val="0"/>
          <w:numId w:val="48"/>
        </w:numPr>
        <w:ind w:left="284" w:hanging="284"/>
      </w:pPr>
      <w:r>
        <w:t>uznává klíčovou úlohu trvalých materiálů, pokud jde o umožnění skutečného oběhového hospodářství, zejména v oblasti obalů, a vyzývá k tomu, aby byly výslovně uznány v právních předpisech EU;</w:t>
      </w:r>
    </w:p>
    <w:p w14:paraId="79131A3F" w14:textId="77777777" w:rsidR="00523C23" w:rsidRPr="001D3475" w:rsidRDefault="00523C23" w:rsidP="0067326F">
      <w:pPr>
        <w:pStyle w:val="ListParagraph"/>
        <w:numPr>
          <w:ilvl w:val="0"/>
          <w:numId w:val="48"/>
        </w:numPr>
        <w:ind w:left="284" w:hanging="284"/>
      </w:pPr>
      <w:r w:rsidRPr="0067326F">
        <w:rPr>
          <w:bCs/>
        </w:rPr>
        <w:t>podporuje ambici EU dosáhnout do roku 2030 tříděného sběru 90 % obalových odpadů</w:t>
      </w:r>
      <w:r>
        <w:t xml:space="preserve"> a zdůrazňuje, že pokročilé a dobře financované systémy sběru, třídění a vysoce kvalitní recyklace mají zásadní význam pro maximalizaci zachování materiálů a umožnění recyklace trvalých materiálů v uzavřeném okruhu;</w:t>
      </w:r>
    </w:p>
    <w:p w14:paraId="6CE2E2B6" w14:textId="77777777" w:rsidR="00523C23" w:rsidRPr="001D3475" w:rsidRDefault="00523C23" w:rsidP="0067326F">
      <w:pPr>
        <w:pStyle w:val="ListParagraph"/>
        <w:numPr>
          <w:ilvl w:val="0"/>
          <w:numId w:val="48"/>
        </w:numPr>
        <w:ind w:left="284" w:hanging="284"/>
      </w:pPr>
      <w:r>
        <w:t>vyzývá k posílení a harmonizaci systémů rozšířené odpovědnosti výrobce ve všech členských státech. To zahrnuje prosazování ekologicky upravených poplatků na základě transparentních a jednotných kritérií, přiměřené struktury poplatků a vyčlenění příjmů ze systémů rozšířené odpovědnosti výrobce na reinvestice do stejného materiálového toku;</w:t>
      </w:r>
    </w:p>
    <w:p w14:paraId="57205BD3" w14:textId="77777777" w:rsidR="00523C23" w:rsidRPr="001D3475" w:rsidRDefault="00523C23" w:rsidP="0067326F">
      <w:pPr>
        <w:pStyle w:val="ListParagraph"/>
        <w:numPr>
          <w:ilvl w:val="0"/>
          <w:numId w:val="48"/>
        </w:numPr>
        <w:ind w:left="284" w:hanging="284"/>
      </w:pPr>
      <w:r>
        <w:t xml:space="preserve">konstatuje, že je třeba prioritně investovat do moderní infrastruktury pro tříděný sběr, třídění a recyklaci obalových odpadů. Zdůrazňuje, že </w:t>
      </w:r>
      <w:r w:rsidRPr="0067326F">
        <w:rPr>
          <w:bCs/>
        </w:rPr>
        <w:t>by se dodatečná podpora měla zaměřit na regiony s nižší výkonností nebo s omezenou investiční kapacitou</w:t>
      </w:r>
      <w:r>
        <w:t>, aby se zajistilo, že všechny členské státy budou moci splnit cíle oběhového hospodářství;</w:t>
      </w:r>
    </w:p>
    <w:p w14:paraId="0F6F834C" w14:textId="77777777" w:rsidR="00523C23" w:rsidRPr="001D3475" w:rsidRDefault="00523C23" w:rsidP="0067326F">
      <w:pPr>
        <w:pStyle w:val="ListParagraph"/>
        <w:numPr>
          <w:ilvl w:val="0"/>
          <w:numId w:val="48"/>
        </w:numPr>
        <w:ind w:left="284" w:hanging="284"/>
      </w:pPr>
      <w:r>
        <w:t>doporučuje komplexní celounijní posouzení chování občanů EU, co se týče recyklace, s cílem určit nedostatky, překážky a osvědčené postupy. EHSV požaduje, aby na základě tohoto posouzení byla přijata opatření k posílení účasti spotřebitelů na tříděném sběru obalových odpadů, přičemž uznává, že třídění v domácnostech je základním prvním krokem účinné recyklace;</w:t>
      </w:r>
    </w:p>
    <w:p w14:paraId="440CC5B0" w14:textId="77777777" w:rsidR="00523C23" w:rsidRPr="001D3475" w:rsidRDefault="00523C23" w:rsidP="0067326F">
      <w:pPr>
        <w:pStyle w:val="ListParagraph"/>
        <w:numPr>
          <w:ilvl w:val="0"/>
          <w:numId w:val="48"/>
        </w:numPr>
        <w:ind w:left="284" w:hanging="284"/>
      </w:pPr>
      <w:r w:rsidRPr="0067326F">
        <w:rPr>
          <w:bCs/>
        </w:rPr>
        <w:t>podtrhuje význam sociálně udržitelného přechodu</w:t>
      </w:r>
      <w:r>
        <w:t xml:space="preserve"> na oběhové hospodářství a naléhavě vyzývá k včasnému předjímání dopadů na trh práce. Volá po zajištění přístupu k příležitostem k prohlubování dovedností a změně kvalifikace na podporu hladkého přechodu z jednoho zaměstnání do druhého, aby se pracovníci mohli plně zapojit do vznikajícího oběhového hospodářství a těžit z něj;</w:t>
      </w:r>
    </w:p>
    <w:p w14:paraId="3908CAED" w14:textId="77777777" w:rsidR="00523C23" w:rsidRPr="001D3475" w:rsidRDefault="00523C23" w:rsidP="0067326F">
      <w:pPr>
        <w:pStyle w:val="ListParagraph"/>
        <w:numPr>
          <w:ilvl w:val="0"/>
          <w:numId w:val="48"/>
        </w:numPr>
        <w:ind w:left="284" w:hanging="284"/>
      </w:pPr>
      <w:r>
        <w:t>zasazuje se o silnější sociální dialog a kolektivní vyjednávání na všech úrovních, mimo jiné v rámci podniků, aby se zajistilo, že pracovníci budou informováni, budou s nimi vedeny konzultace a budou zapojeni do přechodu na oběhové obchodní modely.</w:t>
      </w:r>
    </w:p>
    <w:p w14:paraId="215DC5B5" w14:textId="77777777" w:rsidR="00523C23" w:rsidRPr="005A4174" w:rsidRDefault="00523C23" w:rsidP="00523C23">
      <w:pPr>
        <w:pStyle w:val="NormalWeb"/>
        <w:spacing w:before="0" w:beforeAutospacing="0" w:after="0" w:afterAutospacing="0" w:line="288" w:lineRule="auto"/>
        <w:ind w:left="567"/>
        <w:jc w:val="both"/>
        <w:rPr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523C23" w:rsidRPr="00A6689B" w14:paraId="2BB99AE7" w14:textId="77777777" w:rsidTr="00320B62">
        <w:tc>
          <w:tcPr>
            <w:tcW w:w="1077" w:type="pct"/>
          </w:tcPr>
          <w:p w14:paraId="257681E7" w14:textId="77777777" w:rsidR="00523C23" w:rsidRPr="001262F7" w:rsidRDefault="00523C23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b/>
                <w:i/>
                <w:sz w:val="20"/>
                <w:szCs w:val="20"/>
              </w:rPr>
              <w:t>Kontakt</w:t>
            </w:r>
          </w:p>
        </w:tc>
        <w:tc>
          <w:tcPr>
            <w:tcW w:w="3923" w:type="pct"/>
          </w:tcPr>
          <w:p w14:paraId="4E6249E4" w14:textId="77777777" w:rsidR="00523C23" w:rsidRPr="001262F7" w:rsidRDefault="00523C23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Adam DORYWALSKI</w:t>
            </w:r>
          </w:p>
        </w:tc>
      </w:tr>
      <w:tr w:rsidR="00523C23" w:rsidRPr="00A6689B" w14:paraId="16DB9294" w14:textId="77777777" w:rsidTr="00320B62">
        <w:tc>
          <w:tcPr>
            <w:tcW w:w="1077" w:type="pct"/>
          </w:tcPr>
          <w:p w14:paraId="0A78590D" w14:textId="77777777" w:rsidR="00523C23" w:rsidRPr="001262F7" w:rsidRDefault="00523C23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3923" w:type="pct"/>
          </w:tcPr>
          <w:p w14:paraId="45FD05FD" w14:textId="77777777" w:rsidR="00523C23" w:rsidRPr="001262F7" w:rsidRDefault="00523C23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+32 2 546 9397</w:t>
            </w:r>
          </w:p>
        </w:tc>
      </w:tr>
      <w:tr w:rsidR="00523C23" w:rsidRPr="00A6689B" w14:paraId="0F480D79" w14:textId="77777777" w:rsidTr="00320B62">
        <w:tc>
          <w:tcPr>
            <w:tcW w:w="1077" w:type="pct"/>
          </w:tcPr>
          <w:p w14:paraId="0092FF2D" w14:textId="77777777" w:rsidR="00523C23" w:rsidRPr="001262F7" w:rsidRDefault="00523C23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3923" w:type="pct"/>
          </w:tcPr>
          <w:p w14:paraId="225418CC" w14:textId="77777777" w:rsidR="00523C23" w:rsidRPr="001262F7" w:rsidRDefault="00066DA5" w:rsidP="00320B62">
            <w:pPr>
              <w:rPr>
                <w:i/>
                <w:sz w:val="20"/>
                <w:szCs w:val="20"/>
              </w:rPr>
            </w:pPr>
            <w:hyperlink r:id="rId47" w:history="1">
              <w:r w:rsidR="00523C23" w:rsidRPr="001262F7">
                <w:rPr>
                  <w:rStyle w:val="Hyperlink"/>
                  <w:i/>
                  <w:sz w:val="20"/>
                  <w:szCs w:val="20"/>
                </w:rPr>
                <w:t>Adam.Dorywalski@eesc.europa.eu</w:t>
              </w:r>
            </w:hyperlink>
          </w:p>
        </w:tc>
      </w:tr>
    </w:tbl>
    <w:p w14:paraId="1D4DBE8E" w14:textId="77777777" w:rsidR="00ED76AC" w:rsidRDefault="00ED76AC">
      <w:pPr>
        <w:spacing w:after="160" w:line="259" w:lineRule="auto"/>
        <w:jc w:val="left"/>
      </w:pPr>
      <w:r>
        <w:br w:type="page"/>
      </w:r>
    </w:p>
    <w:p w14:paraId="1EC58FCD" w14:textId="040338BD" w:rsidR="009F1AE3" w:rsidRPr="009F1AE3" w:rsidRDefault="00066DA5" w:rsidP="007F6329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r:id="rId48" w:history="1">
        <w:r w:rsidR="00523C23">
          <w:rPr>
            <w:rStyle w:val="Hyperlink"/>
            <w:b/>
            <w:i/>
            <w:sz w:val="28"/>
          </w:rPr>
          <w:t>Průmyslová družstva</w:t>
        </w:r>
      </w:hyperlink>
    </w:p>
    <w:p w14:paraId="12CB8A1F" w14:textId="77777777" w:rsidR="00523C23" w:rsidRPr="00A6689B" w:rsidRDefault="00523C23" w:rsidP="00523C23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523C23" w:rsidRPr="008630AF" w14:paraId="7315E19F" w14:textId="77777777" w:rsidTr="00320B62">
        <w:tc>
          <w:tcPr>
            <w:tcW w:w="1077" w:type="pct"/>
          </w:tcPr>
          <w:p w14:paraId="257E83BB" w14:textId="77777777" w:rsidR="00523C23" w:rsidRPr="00A6689B" w:rsidRDefault="00523C23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Zpravodaj</w:t>
            </w:r>
          </w:p>
        </w:tc>
        <w:tc>
          <w:tcPr>
            <w:tcW w:w="3923" w:type="pct"/>
          </w:tcPr>
          <w:p w14:paraId="019066D1" w14:textId="77777777" w:rsidR="00523C23" w:rsidRDefault="00523C23" w:rsidP="00320B62">
            <w:pPr>
              <w:tabs>
                <w:tab w:val="center" w:pos="284"/>
              </w:tabs>
              <w:ind w:left="266" w:right="-3091" w:hanging="266"/>
            </w:pPr>
            <w:r>
              <w:t>Giuseppe GUERINI (Organizace občanské společnosti – IT)</w:t>
            </w:r>
          </w:p>
          <w:p w14:paraId="1BC51727" w14:textId="77777777" w:rsidR="00523C23" w:rsidRPr="0027488D" w:rsidRDefault="00523C23" w:rsidP="00320B62">
            <w:pPr>
              <w:tabs>
                <w:tab w:val="center" w:pos="284"/>
              </w:tabs>
              <w:ind w:left="266" w:right="-3091" w:hanging="266"/>
            </w:pPr>
          </w:p>
        </w:tc>
      </w:tr>
      <w:tr w:rsidR="00523C23" w:rsidRPr="00A6689B" w14:paraId="27B556A5" w14:textId="77777777" w:rsidTr="00320B62">
        <w:tc>
          <w:tcPr>
            <w:tcW w:w="1077" w:type="pct"/>
          </w:tcPr>
          <w:p w14:paraId="297D8DC8" w14:textId="77777777" w:rsidR="00523C23" w:rsidRPr="00A6689B" w:rsidRDefault="00523C23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Spoluzpravodaj</w:t>
            </w:r>
          </w:p>
        </w:tc>
        <w:tc>
          <w:tcPr>
            <w:tcW w:w="3923" w:type="pct"/>
          </w:tcPr>
          <w:p w14:paraId="50B4FB03" w14:textId="77777777" w:rsidR="00523C23" w:rsidRDefault="00523C23" w:rsidP="00320B62">
            <w:pPr>
              <w:tabs>
                <w:tab w:val="center" w:pos="284"/>
              </w:tabs>
              <w:ind w:left="266" w:right="-3091" w:hanging="266"/>
            </w:pPr>
            <w:r>
              <w:t>Michal PINTÉR (Zaměstnavatelé – SK)</w:t>
            </w:r>
          </w:p>
          <w:p w14:paraId="4A0E7543" w14:textId="77777777" w:rsidR="00523C23" w:rsidRPr="00D97375" w:rsidRDefault="00523C23" w:rsidP="00320B62">
            <w:pPr>
              <w:tabs>
                <w:tab w:val="center" w:pos="284"/>
              </w:tabs>
              <w:ind w:left="266" w:right="-3091" w:hanging="266"/>
            </w:pPr>
          </w:p>
        </w:tc>
      </w:tr>
      <w:tr w:rsidR="00523C23" w:rsidRPr="00A6689B" w14:paraId="60D95E3C" w14:textId="77777777" w:rsidTr="00320B62">
        <w:tc>
          <w:tcPr>
            <w:tcW w:w="1077" w:type="pct"/>
          </w:tcPr>
          <w:p w14:paraId="72C9C078" w14:textId="77777777" w:rsidR="00523C23" w:rsidRPr="00A6689B" w:rsidRDefault="00523C23" w:rsidP="00320B62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Odkaz</w:t>
            </w:r>
          </w:p>
        </w:tc>
        <w:tc>
          <w:tcPr>
            <w:tcW w:w="3923" w:type="pct"/>
          </w:tcPr>
          <w:p w14:paraId="40E9B534" w14:textId="77777777" w:rsidR="00523C23" w:rsidRPr="00A6689B" w:rsidRDefault="00523C23" w:rsidP="00320B62">
            <w:pPr>
              <w:tabs>
                <w:tab w:val="center" w:pos="284"/>
              </w:tabs>
              <w:ind w:left="266" w:right="-3091" w:hanging="266"/>
            </w:pPr>
            <w:r>
              <w:t>EESC-2025-01083-00-00-AC</w:t>
            </w:r>
          </w:p>
        </w:tc>
      </w:tr>
    </w:tbl>
    <w:p w14:paraId="0E01158B" w14:textId="77777777" w:rsidR="00523C23" w:rsidRPr="000E24AB" w:rsidRDefault="00523C23" w:rsidP="00523C23">
      <w:pPr>
        <w:tabs>
          <w:tab w:val="center" w:pos="284"/>
        </w:tabs>
        <w:ind w:left="266" w:hanging="266"/>
        <w:rPr>
          <w:b/>
          <w:sz w:val="16"/>
          <w:szCs w:val="16"/>
        </w:rPr>
      </w:pPr>
    </w:p>
    <w:p w14:paraId="5AA41EA1" w14:textId="77777777" w:rsidR="00523C23" w:rsidRPr="00A6689B" w:rsidRDefault="00523C23" w:rsidP="00523C23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Hlavní body</w:t>
      </w:r>
    </w:p>
    <w:p w14:paraId="6537FBF9" w14:textId="77777777" w:rsidR="00523C23" w:rsidRPr="000E24AB" w:rsidRDefault="00523C23" w:rsidP="00523C23">
      <w:pPr>
        <w:keepNext/>
        <w:keepLines/>
        <w:tabs>
          <w:tab w:val="center" w:pos="284"/>
        </w:tabs>
        <w:ind w:left="266" w:hanging="266"/>
        <w:rPr>
          <w:b/>
          <w:sz w:val="16"/>
          <w:szCs w:val="16"/>
        </w:rPr>
      </w:pPr>
    </w:p>
    <w:p w14:paraId="2FCA7878" w14:textId="77777777" w:rsidR="00523C23" w:rsidRDefault="00523C23" w:rsidP="00523C23">
      <w:r>
        <w:t>EHSV:</w:t>
      </w:r>
    </w:p>
    <w:p w14:paraId="057C547C" w14:textId="77777777" w:rsidR="00523C23" w:rsidRPr="000E24AB" w:rsidRDefault="00523C23" w:rsidP="00523C23">
      <w:pPr>
        <w:rPr>
          <w:bCs/>
          <w:iCs/>
          <w:sz w:val="16"/>
          <w:szCs w:val="16"/>
        </w:rPr>
      </w:pPr>
    </w:p>
    <w:p w14:paraId="0DC1D811" w14:textId="77777777" w:rsidR="00523C23" w:rsidRDefault="00523C23" w:rsidP="007F6329">
      <w:pPr>
        <w:numPr>
          <w:ilvl w:val="0"/>
          <w:numId w:val="39"/>
        </w:numPr>
        <w:spacing w:line="276" w:lineRule="auto"/>
        <w:ind w:left="284" w:hanging="284"/>
        <w:rPr>
          <w:bCs/>
          <w:iCs/>
        </w:rPr>
      </w:pPr>
      <w:r>
        <w:t>konstatuje, že OSN vyhlásila rok 2025 Mezinárodním rokem družstev s tématem „Družstva vytvářejí lepší svět“, neboť mezinárodní instituce stále více uznávají, že družstva hrají důležitou roli v různých odvětvích;</w:t>
      </w:r>
    </w:p>
    <w:p w14:paraId="608AAE6F" w14:textId="77777777" w:rsidR="00523C23" w:rsidRDefault="00523C23" w:rsidP="007F6329">
      <w:pPr>
        <w:numPr>
          <w:ilvl w:val="0"/>
          <w:numId w:val="39"/>
        </w:numPr>
        <w:spacing w:line="276" w:lineRule="auto"/>
        <w:ind w:left="284" w:hanging="284"/>
        <w:rPr>
          <w:bCs/>
          <w:iCs/>
        </w:rPr>
      </w:pPr>
      <w:r>
        <w:t>doporučuje začlenit vzdělávání v oblasti družstevního podnikání do hlavního proudu podnikatelské a odborné přípravy, včetně osvětových kampaní pro finanční instituce a příležitostí v programu Erasmus+;</w:t>
      </w:r>
    </w:p>
    <w:p w14:paraId="4352C33F" w14:textId="77777777" w:rsidR="00523C23" w:rsidRPr="00277EB3" w:rsidRDefault="00523C23" w:rsidP="007F6329">
      <w:pPr>
        <w:numPr>
          <w:ilvl w:val="0"/>
          <w:numId w:val="39"/>
        </w:numPr>
        <w:spacing w:line="276" w:lineRule="auto"/>
        <w:ind w:left="284" w:hanging="284"/>
        <w:rPr>
          <w:bCs/>
          <w:iCs/>
        </w:rPr>
      </w:pPr>
      <w:r>
        <w:t>domnívá se, že je třeba podporovat družstva mezi začínajícími a mladými podnikateli;</w:t>
      </w:r>
    </w:p>
    <w:p w14:paraId="59192971" w14:textId="77777777" w:rsidR="00523C23" w:rsidRPr="00277EB3" w:rsidRDefault="00523C23" w:rsidP="007F6329">
      <w:pPr>
        <w:numPr>
          <w:ilvl w:val="0"/>
          <w:numId w:val="39"/>
        </w:numPr>
        <w:spacing w:line="276" w:lineRule="auto"/>
        <w:ind w:left="284" w:hanging="284"/>
        <w:rPr>
          <w:bCs/>
          <w:iCs/>
        </w:rPr>
      </w:pPr>
      <w:r>
        <w:t>žádá uznání průmyslových družstev jako hlavních hybných sil a cílené finanční pobídky na unijní, vnitrostátní a regionální úrovni (daňové úlevy, granty, nízkoúročené financování) na podporu průmyslové symbiózy a oběhovosti;</w:t>
      </w:r>
    </w:p>
    <w:p w14:paraId="3557C0EC" w14:textId="77777777" w:rsidR="00523C23" w:rsidRPr="00277EB3" w:rsidRDefault="00523C23" w:rsidP="007F6329">
      <w:pPr>
        <w:numPr>
          <w:ilvl w:val="0"/>
          <w:numId w:val="39"/>
        </w:numPr>
        <w:spacing w:line="276" w:lineRule="auto"/>
        <w:ind w:left="284" w:hanging="284"/>
        <w:rPr>
          <w:bCs/>
          <w:iCs/>
        </w:rPr>
      </w:pPr>
      <w:r>
        <w:t>je příznivcem investic do sdílených průmyslových parků a ekologických průmyslových zón a kooperativních platforem pro sdílení znalostí, které umožní lokalizaci družstev a udržitelnou výrobu;</w:t>
      </w:r>
    </w:p>
    <w:p w14:paraId="0290F4A8" w14:textId="77777777" w:rsidR="00523C23" w:rsidRPr="00277EB3" w:rsidRDefault="00523C23" w:rsidP="007F6329">
      <w:pPr>
        <w:numPr>
          <w:ilvl w:val="0"/>
          <w:numId w:val="39"/>
        </w:numPr>
        <w:spacing w:line="276" w:lineRule="auto"/>
        <w:ind w:left="284" w:hanging="284"/>
        <w:rPr>
          <w:bCs/>
          <w:iCs/>
        </w:rPr>
      </w:pPr>
      <w:r>
        <w:t>naléhavě žádá politická opatření specificky zaměřená na družstva v programech EU na podporu soudržnosti a ve strategiích regionálního rozvoje, jež upřednostní iniciativy vedené družstvy s cílem zvýšit regionální odolnost a udržitelnost;</w:t>
      </w:r>
    </w:p>
    <w:p w14:paraId="0E06791F" w14:textId="77777777" w:rsidR="00523C23" w:rsidRPr="00277EB3" w:rsidRDefault="00523C23" w:rsidP="007F6329">
      <w:pPr>
        <w:numPr>
          <w:ilvl w:val="0"/>
          <w:numId w:val="39"/>
        </w:numPr>
        <w:spacing w:line="276" w:lineRule="auto"/>
        <w:ind w:left="284" w:hanging="284"/>
        <w:rPr>
          <w:bCs/>
          <w:iCs/>
        </w:rPr>
      </w:pPr>
      <w:r>
        <w:t>poukazuje na rostoucí strategický význam družstev založených na datech a vyzývá orgány EU a členských států k podpoře kolektivních iniciativ v oblasti správy a výměny dat;</w:t>
      </w:r>
    </w:p>
    <w:p w14:paraId="2961548F" w14:textId="77777777" w:rsidR="00523C23" w:rsidRPr="00A6689B" w:rsidRDefault="00523C23" w:rsidP="007F6329">
      <w:pPr>
        <w:numPr>
          <w:ilvl w:val="0"/>
          <w:numId w:val="39"/>
        </w:numPr>
        <w:spacing w:line="276" w:lineRule="auto"/>
        <w:ind w:left="284" w:hanging="284"/>
        <w:rPr>
          <w:bCs/>
          <w:iCs/>
        </w:rPr>
      </w:pPr>
      <w:r>
        <w:t>zdůrazňuje, že družstevní model skýtá zvláštní přidanou hodnotu díky demokratické správě, rovnoměrnému rozdělení bohatství, účasti komunity a vysoké adaptabilitě, čímž posiluje strategickou autonomii EU.</w:t>
      </w:r>
    </w:p>
    <w:p w14:paraId="15F5C892" w14:textId="77777777" w:rsidR="00523C23" w:rsidRPr="000E24AB" w:rsidRDefault="00523C23" w:rsidP="00523C23">
      <w:pPr>
        <w:widowControl w:val="0"/>
        <w:ind w:left="567"/>
        <w:rPr>
          <w:bCs/>
          <w:iCs/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523C23" w:rsidRPr="00A6689B" w14:paraId="2CDC8DD4" w14:textId="77777777" w:rsidTr="00320B62">
        <w:tc>
          <w:tcPr>
            <w:tcW w:w="1077" w:type="pct"/>
          </w:tcPr>
          <w:p w14:paraId="111C3B9E" w14:textId="77777777" w:rsidR="00523C23" w:rsidRPr="001262F7" w:rsidRDefault="00523C23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3923" w:type="pct"/>
          </w:tcPr>
          <w:p w14:paraId="0327E72E" w14:textId="77777777" w:rsidR="00523C23" w:rsidRPr="001262F7" w:rsidRDefault="00523C23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Adam Dorywalski</w:t>
            </w:r>
          </w:p>
        </w:tc>
      </w:tr>
      <w:tr w:rsidR="00523C23" w:rsidRPr="00A6689B" w14:paraId="355040A1" w14:textId="77777777" w:rsidTr="00320B62">
        <w:tc>
          <w:tcPr>
            <w:tcW w:w="1077" w:type="pct"/>
          </w:tcPr>
          <w:p w14:paraId="2439C7C0" w14:textId="77777777" w:rsidR="00523C23" w:rsidRPr="001262F7" w:rsidRDefault="00523C23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3923" w:type="pct"/>
          </w:tcPr>
          <w:p w14:paraId="57B0D10A" w14:textId="77777777" w:rsidR="00523C23" w:rsidRPr="001262F7" w:rsidRDefault="00523C23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+32 25469397</w:t>
            </w:r>
          </w:p>
        </w:tc>
      </w:tr>
      <w:tr w:rsidR="00523C23" w:rsidRPr="00A6689B" w14:paraId="5847B425" w14:textId="77777777" w:rsidTr="00320B62">
        <w:tc>
          <w:tcPr>
            <w:tcW w:w="1077" w:type="pct"/>
          </w:tcPr>
          <w:p w14:paraId="62CC2BB7" w14:textId="77777777" w:rsidR="00523C23" w:rsidRPr="001262F7" w:rsidRDefault="00523C23" w:rsidP="00320B62">
            <w:pPr>
              <w:rPr>
                <w:i/>
                <w:sz w:val="20"/>
                <w:szCs w:val="20"/>
              </w:rPr>
            </w:pPr>
            <w:r w:rsidRPr="001262F7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3923" w:type="pct"/>
          </w:tcPr>
          <w:p w14:paraId="4DB5F368" w14:textId="77777777" w:rsidR="00523C23" w:rsidRPr="001262F7" w:rsidRDefault="00066DA5" w:rsidP="00320B62">
            <w:pPr>
              <w:rPr>
                <w:i/>
                <w:sz w:val="20"/>
                <w:szCs w:val="20"/>
              </w:rPr>
            </w:pPr>
            <w:hyperlink r:id="rId49" w:history="1">
              <w:r w:rsidR="00523C23" w:rsidRPr="001262F7">
                <w:rPr>
                  <w:rStyle w:val="Hyperlink"/>
                  <w:i/>
                  <w:sz w:val="20"/>
                  <w:szCs w:val="20"/>
                </w:rPr>
                <w:t>Adam.Dorywalski@eesc.europa.eu</w:t>
              </w:r>
            </w:hyperlink>
          </w:p>
        </w:tc>
      </w:tr>
    </w:tbl>
    <w:p w14:paraId="51D6E7B3" w14:textId="77777777" w:rsidR="00523C23" w:rsidRDefault="00523C23" w:rsidP="00523C23"/>
    <w:p w14:paraId="2E28EF19" w14:textId="3B368787" w:rsidR="000D394D" w:rsidRDefault="00EB462E" w:rsidP="00054C58">
      <w:pPr>
        <w:spacing w:after="160" w:line="259" w:lineRule="auto"/>
        <w:jc w:val="center"/>
      </w:pPr>
      <w:r>
        <w:t>______________</w:t>
      </w:r>
    </w:p>
    <w:sectPr w:rsidR="000D394D" w:rsidSect="00EE6F0B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83ED" w14:textId="77777777" w:rsidR="007068C8" w:rsidRDefault="007068C8" w:rsidP="00B518C9">
      <w:pPr>
        <w:spacing w:line="240" w:lineRule="auto"/>
      </w:pPr>
      <w:r>
        <w:separator/>
      </w:r>
    </w:p>
  </w:endnote>
  <w:endnote w:type="continuationSeparator" w:id="0">
    <w:p w14:paraId="2DEC234A" w14:textId="77777777" w:rsidR="007068C8" w:rsidRDefault="007068C8" w:rsidP="00B51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DE51" w14:textId="3129FCBE" w:rsidR="00B518C9" w:rsidRPr="00EE6F0B" w:rsidRDefault="00EE6F0B" w:rsidP="00EE6F0B">
    <w:pPr>
      <w:pStyle w:val="Footer"/>
    </w:pPr>
    <w:r>
      <w:t xml:space="preserve">EESC-2025-03552-00-00-TCD-TRA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8541DE">
      <w:t>1</w:t>
    </w:r>
    <w:r>
      <w:fldChar w:fldCharType="end"/>
    </w:r>
    <w:r>
      <w:t>/</w:t>
    </w:r>
    <w:fldSimple w:instr=" NUMPAGES ">
      <w:r w:rsidR="008541DE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5BF5" w14:textId="77777777" w:rsidR="00EE6F0B" w:rsidRPr="00EE6F0B" w:rsidRDefault="00EE6F0B" w:rsidP="00EE6F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AE1F" w14:textId="4BF61E79" w:rsidR="00EE6F0B" w:rsidRPr="00EE6F0B" w:rsidRDefault="00EE6F0B" w:rsidP="00EE6F0B">
    <w:pPr>
      <w:pStyle w:val="Footer"/>
    </w:pPr>
    <w:r>
      <w:t xml:space="preserve">EESC-2025-03552-00-00-TCD-TRA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8541DE">
      <w:t>16</w:t>
    </w:r>
    <w:r>
      <w:fldChar w:fldCharType="end"/>
    </w:r>
    <w:r>
      <w:t>/</w:t>
    </w:r>
    <w:fldSimple w:instr=" NUMPAGES ">
      <w:r w:rsidR="008541DE">
        <w:t>16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A5D8" w14:textId="77777777" w:rsidR="00EE6F0B" w:rsidRPr="00EE6F0B" w:rsidRDefault="00EE6F0B" w:rsidP="00EE6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B7AD" w14:textId="77777777" w:rsidR="007068C8" w:rsidRDefault="007068C8" w:rsidP="00B518C9">
      <w:pPr>
        <w:spacing w:line="240" w:lineRule="auto"/>
      </w:pPr>
      <w:r>
        <w:separator/>
      </w:r>
    </w:p>
  </w:footnote>
  <w:footnote w:type="continuationSeparator" w:id="0">
    <w:p w14:paraId="1C004BEA" w14:textId="77777777" w:rsidR="007068C8" w:rsidRDefault="007068C8" w:rsidP="00B518C9">
      <w:pPr>
        <w:spacing w:line="240" w:lineRule="auto"/>
      </w:pPr>
      <w:r>
        <w:continuationSeparator/>
      </w:r>
    </w:p>
  </w:footnote>
  <w:footnote w:id="1">
    <w:p w14:paraId="6AE35E71" w14:textId="77777777" w:rsidR="0022097D" w:rsidRDefault="0022097D" w:rsidP="0022097D">
      <w:pPr>
        <w:keepLines/>
        <w:spacing w:after="60" w:line="240" w:lineRule="auto"/>
        <w:ind w:left="567" w:hanging="567"/>
        <w:rPr>
          <w:sz w:val="16"/>
          <w:szCs w:val="16"/>
        </w:rPr>
      </w:pPr>
      <w:r>
        <w:rPr>
          <w:rStyle w:val="FootnoteReference"/>
        </w:rPr>
        <w:footnoteRef/>
      </w:r>
      <w:r>
        <w:rPr>
          <w:sz w:val="16"/>
        </w:rPr>
        <w:tab/>
      </w:r>
      <w:hyperlink r:id="rId1">
        <w:r>
          <w:rPr>
            <w:color w:val="0000FF"/>
            <w:sz w:val="16"/>
            <w:u w:val="single"/>
          </w:rPr>
          <w:t>https://eur-lex.europa.eu/legal-content/CS/TXT/?uri=legissum:4623532</w:t>
        </w:r>
      </w:hyperlink>
      <w:r>
        <w:rPr>
          <w:sz w:val="16"/>
        </w:rPr>
        <w:t>.</w:t>
      </w:r>
    </w:p>
  </w:footnote>
  <w:footnote w:id="2">
    <w:p w14:paraId="2FAAFD5A" w14:textId="77777777" w:rsidR="0022097D" w:rsidRPr="00ED3E39" w:rsidRDefault="0022097D" w:rsidP="0022097D">
      <w:pPr>
        <w:keepLines/>
        <w:spacing w:after="60" w:line="240" w:lineRule="auto"/>
        <w:ind w:left="567" w:hanging="567"/>
      </w:pPr>
      <w:r>
        <w:rPr>
          <w:rStyle w:val="FootnoteReference"/>
        </w:rPr>
        <w:footnoteRef/>
      </w:r>
      <w:r>
        <w:rPr>
          <w:sz w:val="16"/>
        </w:rPr>
        <w:tab/>
      </w:r>
      <w:hyperlink r:id="rId2">
        <w:r>
          <w:rPr>
            <w:color w:val="0000FF"/>
            <w:sz w:val="16"/>
            <w:u w:val="single"/>
          </w:rPr>
          <w:t>https://eur-lex.europa.eu/legal-content/CS/TXT/?uri=CELEX%3A52022XC0930%2802%29</w:t>
        </w:r>
      </w:hyperlink>
      <w:r>
        <w:rPr>
          <w:sz w:val="16"/>
        </w:rPr>
        <w:t>.</w:t>
      </w:r>
    </w:p>
  </w:footnote>
  <w:footnote w:id="3">
    <w:p w14:paraId="4DC6398A" w14:textId="77777777" w:rsidR="0022097D" w:rsidRPr="0023267D" w:rsidRDefault="0022097D" w:rsidP="0022097D">
      <w:pPr>
        <w:keepLines/>
        <w:spacing w:after="60" w:line="240" w:lineRule="auto"/>
        <w:ind w:left="567" w:hanging="567"/>
        <w:rPr>
          <w:color w:val="0000FF"/>
          <w:sz w:val="16"/>
          <w:szCs w:val="16"/>
        </w:rPr>
      </w:pPr>
      <w:r>
        <w:rPr>
          <w:rStyle w:val="FootnoteReference"/>
        </w:rPr>
        <w:footnoteRef/>
      </w:r>
      <w:r>
        <w:rPr>
          <w:sz w:val="16"/>
        </w:rPr>
        <w:tab/>
      </w:r>
      <w:hyperlink r:id="rId3">
        <w:r>
          <w:rPr>
            <w:color w:val="0000FF"/>
            <w:sz w:val="16"/>
            <w:u w:val="single"/>
          </w:rPr>
          <w:t>https://digital-strategy.ec.europa.eu/en/library/recommendation-protection-safety-and-empowerment-journalists</w:t>
        </w:r>
      </w:hyperlink>
      <w:r>
        <w:rPr>
          <w:sz w:val="16"/>
        </w:rPr>
        <w:t>.</w:t>
      </w:r>
    </w:p>
  </w:footnote>
  <w:footnote w:id="4">
    <w:p w14:paraId="489A46CA" w14:textId="77777777" w:rsidR="0022097D" w:rsidRPr="00C510E4" w:rsidRDefault="0022097D" w:rsidP="0022097D">
      <w:pPr>
        <w:keepLines/>
        <w:spacing w:after="60" w:line="240" w:lineRule="auto"/>
        <w:ind w:left="567" w:hanging="567"/>
      </w:pPr>
      <w:r>
        <w:rPr>
          <w:rStyle w:val="FootnoteReference"/>
        </w:rPr>
        <w:footnoteRef/>
      </w:r>
      <w:r>
        <w:tab/>
      </w:r>
      <w:hyperlink r:id="rId4" w:history="1">
        <w:r>
          <w:rPr>
            <w:rStyle w:val="Hyperlink"/>
            <w:sz w:val="16"/>
          </w:rPr>
          <w:t>Úř. věst. C, C/2025/114, 10.1.2025, ELI: http://data.europa.eu/eli/C/2025/114/oj</w:t>
        </w:r>
      </w:hyperlink>
      <w:r>
        <w:t>.</w:t>
      </w:r>
    </w:p>
  </w:footnote>
  <w:footnote w:id="5">
    <w:p w14:paraId="1C5426DA" w14:textId="559B7B2F" w:rsidR="007B498C" w:rsidRPr="00360DD3" w:rsidRDefault="007B498C" w:rsidP="007B498C">
      <w:pPr>
        <w:pStyle w:val="FootnoteText"/>
      </w:pPr>
      <w:r>
        <w:rPr>
          <w:rStyle w:val="FootnoteReference"/>
        </w:rPr>
        <w:footnoteRef/>
      </w:r>
      <w:r>
        <w:tab/>
        <w:t xml:space="preserve">Stanovisko EHSV z vlastní iniciativy </w:t>
      </w:r>
      <w:hyperlink r:id="rId5" w:history="1">
        <w:r>
          <w:rPr>
            <w:rStyle w:val="Hyperlink"/>
            <w:i/>
          </w:rPr>
          <w:t>Odlesňování amazonského deštného pralesa – vliv na změnu klimatu a životní prostředí po celém světě, důsledky pro podniky, pracovníky a obyvatelstvo</w:t>
        </w:r>
      </w:hyperlink>
      <w:r>
        <w:t xml:space="preserve"> (zatím nebylo zveřejněno v Úředním věstníku).</w:t>
      </w:r>
    </w:p>
  </w:footnote>
  <w:footnote w:id="6">
    <w:p w14:paraId="63632CAB" w14:textId="07D8DF85" w:rsidR="007B498C" w:rsidRPr="00360DD3" w:rsidRDefault="007B498C" w:rsidP="007B498C">
      <w:pPr>
        <w:pStyle w:val="FootnoteText"/>
      </w:pPr>
      <w:r>
        <w:rPr>
          <w:rStyle w:val="FootnoteReference"/>
        </w:rPr>
        <w:footnoteRef/>
      </w:r>
      <w:r>
        <w:tab/>
        <w:t xml:space="preserve">Stanovisko EHSV </w:t>
      </w:r>
      <w:hyperlink r:id="rId6" w:history="1">
        <w:r>
          <w:rPr>
            <w:rStyle w:val="Hyperlink"/>
            <w:i/>
          </w:rPr>
          <w:t>Minimalizace rizika odlesňování a znehodnocování lesů spojeného s produkty uváděnými na trh v EU</w:t>
        </w:r>
      </w:hyperlink>
      <w:r>
        <w:t xml:space="preserve">, </w:t>
      </w:r>
      <w:hyperlink r:id="rId7" w:history="1">
        <w:r>
          <w:rPr>
            <w:rStyle w:val="Hyperlink"/>
          </w:rPr>
          <w:t>Úř. věst. C 275, 18.7.2022</w:t>
        </w:r>
      </w:hyperlink>
      <w:r>
        <w:t>, s. 88.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C11B" w14:textId="77777777" w:rsidR="00EE6F0B" w:rsidRPr="00EE6F0B" w:rsidRDefault="00EE6F0B" w:rsidP="00EE6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CF56" w14:textId="041A1C85" w:rsidR="00EE6F0B" w:rsidRPr="00EE6F0B" w:rsidRDefault="00EE6F0B" w:rsidP="00EE6F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285E" w14:textId="77777777" w:rsidR="00EE6F0B" w:rsidRPr="00EE6F0B" w:rsidRDefault="00EE6F0B" w:rsidP="00EE6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D2ADAF0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bullet"/>
      <w:pStyle w:val="Heading2"/>
      <w:lvlText w:val=""/>
      <w:lvlJc w:val="left"/>
      <w:rPr>
        <w:rFonts w:ascii="Symbol" w:hAnsi="Symbol" w:hint="default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9478576C"/>
    <w:lvl w:ilvl="0">
      <w:numFmt w:val="decimal"/>
      <w:lvlText w:val="*"/>
      <w:lvlJc w:val="left"/>
    </w:lvl>
  </w:abstractNum>
  <w:abstractNum w:abstractNumId="2" w15:restartNumberingAfterBreak="0">
    <w:nsid w:val="00B7256A"/>
    <w:multiLevelType w:val="hybridMultilevel"/>
    <w:tmpl w:val="268073A4"/>
    <w:lvl w:ilvl="0" w:tplc="58A04E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1AD6BFB"/>
    <w:multiLevelType w:val="hybridMultilevel"/>
    <w:tmpl w:val="8DE8923A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3615F3E"/>
    <w:multiLevelType w:val="hybridMultilevel"/>
    <w:tmpl w:val="5586915A"/>
    <w:lvl w:ilvl="0" w:tplc="067885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C6E7E92"/>
    <w:multiLevelType w:val="hybridMultilevel"/>
    <w:tmpl w:val="D852615C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2805E4A"/>
    <w:multiLevelType w:val="hybridMultilevel"/>
    <w:tmpl w:val="0E9A9FEC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25613C"/>
    <w:multiLevelType w:val="hybridMultilevel"/>
    <w:tmpl w:val="13228062"/>
    <w:lvl w:ilvl="0" w:tplc="58A04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A281C"/>
    <w:multiLevelType w:val="multilevel"/>
    <w:tmpl w:val="D16813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596CA9"/>
    <w:multiLevelType w:val="hybridMultilevel"/>
    <w:tmpl w:val="A2A65726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76B0C2D"/>
    <w:multiLevelType w:val="hybridMultilevel"/>
    <w:tmpl w:val="EA30BBB2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F36D6A"/>
    <w:multiLevelType w:val="hybridMultilevel"/>
    <w:tmpl w:val="B5EEE0EA"/>
    <w:lvl w:ilvl="0" w:tplc="067885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5421AD"/>
    <w:multiLevelType w:val="hybridMultilevel"/>
    <w:tmpl w:val="070EE71C"/>
    <w:lvl w:ilvl="0" w:tplc="AFA6E20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E64D01"/>
    <w:multiLevelType w:val="multilevel"/>
    <w:tmpl w:val="A3628F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E3335"/>
    <w:multiLevelType w:val="hybridMultilevel"/>
    <w:tmpl w:val="6742EDEA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4187467"/>
    <w:multiLevelType w:val="hybridMultilevel"/>
    <w:tmpl w:val="73644BDA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909E3"/>
    <w:multiLevelType w:val="hybridMultilevel"/>
    <w:tmpl w:val="FC481F60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5F726AB"/>
    <w:multiLevelType w:val="hybridMultilevel"/>
    <w:tmpl w:val="6428A888"/>
    <w:lvl w:ilvl="0" w:tplc="06788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F77B86"/>
    <w:multiLevelType w:val="hybridMultilevel"/>
    <w:tmpl w:val="2D104712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AD155A9"/>
    <w:multiLevelType w:val="hybridMultilevel"/>
    <w:tmpl w:val="F09C53E4"/>
    <w:lvl w:ilvl="0" w:tplc="DDE08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C0C48"/>
    <w:multiLevelType w:val="hybridMultilevel"/>
    <w:tmpl w:val="8EF4B43A"/>
    <w:lvl w:ilvl="0" w:tplc="58A04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7D4BED2">
      <w:start w:val="1"/>
      <w:numFmt w:val="lowerLetter"/>
      <w:lvlText w:val="%2."/>
      <w:lvlJc w:val="left"/>
      <w:pPr>
        <w:ind w:left="1440" w:hanging="360"/>
      </w:pPr>
    </w:lvl>
    <w:lvl w:ilvl="2" w:tplc="EDDA7C24">
      <w:start w:val="1"/>
      <w:numFmt w:val="lowerRoman"/>
      <w:lvlText w:val="%3."/>
      <w:lvlJc w:val="right"/>
      <w:pPr>
        <w:ind w:left="2160" w:hanging="180"/>
      </w:pPr>
    </w:lvl>
    <w:lvl w:ilvl="3" w:tplc="D6D8B25C">
      <w:start w:val="1"/>
      <w:numFmt w:val="decimal"/>
      <w:lvlText w:val="%4."/>
      <w:lvlJc w:val="left"/>
      <w:pPr>
        <w:ind w:left="2880" w:hanging="360"/>
      </w:pPr>
    </w:lvl>
    <w:lvl w:ilvl="4" w:tplc="15BC3358">
      <w:start w:val="1"/>
      <w:numFmt w:val="lowerLetter"/>
      <w:lvlText w:val="%5."/>
      <w:lvlJc w:val="left"/>
      <w:pPr>
        <w:ind w:left="3600" w:hanging="360"/>
      </w:pPr>
    </w:lvl>
    <w:lvl w:ilvl="5" w:tplc="286291C8">
      <w:start w:val="1"/>
      <w:numFmt w:val="lowerRoman"/>
      <w:lvlText w:val="%6."/>
      <w:lvlJc w:val="right"/>
      <w:pPr>
        <w:ind w:left="4320" w:hanging="180"/>
      </w:pPr>
    </w:lvl>
    <w:lvl w:ilvl="6" w:tplc="18BA1814">
      <w:start w:val="1"/>
      <w:numFmt w:val="decimal"/>
      <w:lvlText w:val="%7."/>
      <w:lvlJc w:val="left"/>
      <w:pPr>
        <w:ind w:left="5040" w:hanging="360"/>
      </w:pPr>
    </w:lvl>
    <w:lvl w:ilvl="7" w:tplc="288E5478">
      <w:start w:val="1"/>
      <w:numFmt w:val="lowerLetter"/>
      <w:lvlText w:val="%8."/>
      <w:lvlJc w:val="left"/>
      <w:pPr>
        <w:ind w:left="5760" w:hanging="360"/>
      </w:pPr>
    </w:lvl>
    <w:lvl w:ilvl="8" w:tplc="FE92EFC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E296A"/>
    <w:multiLevelType w:val="hybridMultilevel"/>
    <w:tmpl w:val="474C91D2"/>
    <w:lvl w:ilvl="0" w:tplc="DDE08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77714"/>
    <w:multiLevelType w:val="multilevel"/>
    <w:tmpl w:val="CEC6278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3" w15:restartNumberingAfterBreak="0">
    <w:nsid w:val="40820EE3"/>
    <w:multiLevelType w:val="hybridMultilevel"/>
    <w:tmpl w:val="8188E63C"/>
    <w:lvl w:ilvl="0" w:tplc="067885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0BB0637"/>
    <w:multiLevelType w:val="multilevel"/>
    <w:tmpl w:val="D5C0BC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CE355C"/>
    <w:multiLevelType w:val="hybridMultilevel"/>
    <w:tmpl w:val="B24A36EE"/>
    <w:lvl w:ilvl="0" w:tplc="C5C24BD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77E7569"/>
    <w:multiLevelType w:val="hybridMultilevel"/>
    <w:tmpl w:val="3F7E49C4"/>
    <w:lvl w:ilvl="0" w:tplc="58A04E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149250A"/>
    <w:multiLevelType w:val="hybridMultilevel"/>
    <w:tmpl w:val="153E2CAC"/>
    <w:lvl w:ilvl="0" w:tplc="29FCED8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2327BE6"/>
    <w:multiLevelType w:val="hybridMultilevel"/>
    <w:tmpl w:val="8EA829E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21321"/>
    <w:multiLevelType w:val="hybridMultilevel"/>
    <w:tmpl w:val="401829F8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72E15"/>
    <w:multiLevelType w:val="hybridMultilevel"/>
    <w:tmpl w:val="0BE25216"/>
    <w:lvl w:ilvl="0" w:tplc="AD8ED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4394E770">
      <w:start w:val="1"/>
      <w:numFmt w:val="lowerLetter"/>
      <w:lvlText w:val="%2."/>
      <w:lvlJc w:val="left"/>
      <w:pPr>
        <w:ind w:left="1440" w:hanging="360"/>
      </w:pPr>
    </w:lvl>
    <w:lvl w:ilvl="2" w:tplc="48F2FBB0">
      <w:start w:val="1"/>
      <w:numFmt w:val="lowerRoman"/>
      <w:lvlText w:val="%3."/>
      <w:lvlJc w:val="right"/>
      <w:pPr>
        <w:ind w:left="2160" w:hanging="180"/>
      </w:pPr>
    </w:lvl>
    <w:lvl w:ilvl="3" w:tplc="194A9B02">
      <w:start w:val="1"/>
      <w:numFmt w:val="decimal"/>
      <w:lvlText w:val="%4."/>
      <w:lvlJc w:val="left"/>
      <w:pPr>
        <w:ind w:left="2880" w:hanging="360"/>
      </w:pPr>
    </w:lvl>
    <w:lvl w:ilvl="4" w:tplc="10E6AFD6">
      <w:start w:val="1"/>
      <w:numFmt w:val="lowerLetter"/>
      <w:lvlText w:val="%5."/>
      <w:lvlJc w:val="left"/>
      <w:pPr>
        <w:ind w:left="3600" w:hanging="360"/>
      </w:pPr>
    </w:lvl>
    <w:lvl w:ilvl="5" w:tplc="59546A76">
      <w:start w:val="1"/>
      <w:numFmt w:val="lowerRoman"/>
      <w:lvlText w:val="%6."/>
      <w:lvlJc w:val="right"/>
      <w:pPr>
        <w:ind w:left="4320" w:hanging="180"/>
      </w:pPr>
    </w:lvl>
    <w:lvl w:ilvl="6" w:tplc="B28879B6">
      <w:start w:val="1"/>
      <w:numFmt w:val="decimal"/>
      <w:lvlText w:val="%7."/>
      <w:lvlJc w:val="left"/>
      <w:pPr>
        <w:ind w:left="5040" w:hanging="360"/>
      </w:pPr>
    </w:lvl>
    <w:lvl w:ilvl="7" w:tplc="C930E540">
      <w:start w:val="1"/>
      <w:numFmt w:val="lowerLetter"/>
      <w:lvlText w:val="%8."/>
      <w:lvlJc w:val="left"/>
      <w:pPr>
        <w:ind w:left="5760" w:hanging="360"/>
      </w:pPr>
    </w:lvl>
    <w:lvl w:ilvl="8" w:tplc="766A47C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A6BF8"/>
    <w:multiLevelType w:val="hybridMultilevel"/>
    <w:tmpl w:val="9A2AC15E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34897"/>
    <w:multiLevelType w:val="hybridMultilevel"/>
    <w:tmpl w:val="2DF20D56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FF9141A"/>
    <w:multiLevelType w:val="hybridMultilevel"/>
    <w:tmpl w:val="9B547950"/>
    <w:lvl w:ilvl="0" w:tplc="58A04E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2227A7A"/>
    <w:multiLevelType w:val="hybridMultilevel"/>
    <w:tmpl w:val="F454F776"/>
    <w:lvl w:ilvl="0" w:tplc="58A04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6E239B"/>
    <w:multiLevelType w:val="hybridMultilevel"/>
    <w:tmpl w:val="68EA3110"/>
    <w:lvl w:ilvl="0" w:tplc="58A04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F1DCB"/>
    <w:multiLevelType w:val="hybridMultilevel"/>
    <w:tmpl w:val="5F1059D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E014D1"/>
    <w:multiLevelType w:val="hybridMultilevel"/>
    <w:tmpl w:val="84DED000"/>
    <w:lvl w:ilvl="0" w:tplc="4D64522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8" w15:restartNumberingAfterBreak="0">
    <w:nsid w:val="6AAD371A"/>
    <w:multiLevelType w:val="hybridMultilevel"/>
    <w:tmpl w:val="1DAC9116"/>
    <w:lvl w:ilvl="0" w:tplc="58A04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767B2"/>
    <w:multiLevelType w:val="hybridMultilevel"/>
    <w:tmpl w:val="34D2D3AE"/>
    <w:lvl w:ilvl="0" w:tplc="58A04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051B82"/>
    <w:multiLevelType w:val="hybridMultilevel"/>
    <w:tmpl w:val="06A2BD0C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D790D12"/>
    <w:multiLevelType w:val="hybridMultilevel"/>
    <w:tmpl w:val="5F0CC5D4"/>
    <w:lvl w:ilvl="0" w:tplc="58A04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BC55E4"/>
    <w:multiLevelType w:val="multilevel"/>
    <w:tmpl w:val="3FF64D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7D7BDC"/>
    <w:multiLevelType w:val="hybridMultilevel"/>
    <w:tmpl w:val="193433BE"/>
    <w:lvl w:ilvl="0" w:tplc="89029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05596"/>
    <w:multiLevelType w:val="hybridMultilevel"/>
    <w:tmpl w:val="3730B994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BD61DA3"/>
    <w:multiLevelType w:val="hybridMultilevel"/>
    <w:tmpl w:val="5CFCAC4E"/>
    <w:lvl w:ilvl="0" w:tplc="58A04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43204"/>
    <w:multiLevelType w:val="hybridMultilevel"/>
    <w:tmpl w:val="E00E1CA0"/>
    <w:lvl w:ilvl="0" w:tplc="58A04E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43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5">
    <w:abstractNumId w:val="39"/>
  </w:num>
  <w:num w:numId="6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7">
    <w:abstractNumId w:val="13"/>
  </w:num>
  <w:num w:numId="8">
    <w:abstractNumId w:val="8"/>
  </w:num>
  <w:num w:numId="9">
    <w:abstractNumId w:val="41"/>
  </w:num>
  <w:num w:numId="10">
    <w:abstractNumId w:val="19"/>
  </w:num>
  <w:num w:numId="11">
    <w:abstractNumId w:val="21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35"/>
  </w:num>
  <w:num w:numId="15">
    <w:abstractNumId w:val="36"/>
  </w:num>
  <w:num w:numId="16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17">
    <w:abstractNumId w:val="20"/>
  </w:num>
  <w:num w:numId="18">
    <w:abstractNumId w:val="10"/>
  </w:num>
  <w:num w:numId="19">
    <w:abstractNumId w:val="6"/>
  </w:num>
  <w:num w:numId="20">
    <w:abstractNumId w:val="22"/>
  </w:num>
  <w:num w:numId="21">
    <w:abstractNumId w:val="42"/>
  </w:num>
  <w:num w:numId="22">
    <w:abstractNumId w:val="18"/>
  </w:num>
  <w:num w:numId="23">
    <w:abstractNumId w:val="44"/>
  </w:num>
  <w:num w:numId="24">
    <w:abstractNumId w:val="40"/>
  </w:num>
  <w:num w:numId="25">
    <w:abstractNumId w:val="3"/>
  </w:num>
  <w:num w:numId="26">
    <w:abstractNumId w:val="24"/>
  </w:num>
  <w:num w:numId="27">
    <w:abstractNumId w:val="28"/>
  </w:num>
  <w:num w:numId="28">
    <w:abstractNumId w:val="29"/>
  </w:num>
  <w:num w:numId="29">
    <w:abstractNumId w:val="5"/>
  </w:num>
  <w:num w:numId="30">
    <w:abstractNumId w:val="15"/>
  </w:num>
  <w:num w:numId="31">
    <w:abstractNumId w:val="31"/>
  </w:num>
  <w:num w:numId="32">
    <w:abstractNumId w:val="14"/>
  </w:num>
  <w:num w:numId="33">
    <w:abstractNumId w:val="9"/>
  </w:num>
  <w:num w:numId="34">
    <w:abstractNumId w:val="32"/>
  </w:num>
  <w:num w:numId="35">
    <w:abstractNumId w:val="16"/>
  </w:num>
  <w:num w:numId="36">
    <w:abstractNumId w:val="11"/>
  </w:num>
  <w:num w:numId="37">
    <w:abstractNumId w:val="4"/>
  </w:num>
  <w:num w:numId="38">
    <w:abstractNumId w:val="17"/>
  </w:num>
  <w:num w:numId="39">
    <w:abstractNumId w:val="23"/>
  </w:num>
  <w:num w:numId="40">
    <w:abstractNumId w:val="27"/>
  </w:num>
  <w:num w:numId="41">
    <w:abstractNumId w:val="33"/>
  </w:num>
  <w:num w:numId="42">
    <w:abstractNumId w:val="12"/>
  </w:num>
  <w:num w:numId="43">
    <w:abstractNumId w:val="26"/>
  </w:num>
  <w:num w:numId="44">
    <w:abstractNumId w:val="46"/>
  </w:num>
  <w:num w:numId="45">
    <w:abstractNumId w:val="2"/>
  </w:num>
  <w:num w:numId="46">
    <w:abstractNumId w:val="25"/>
  </w:num>
  <w:num w:numId="47">
    <w:abstractNumId w:val="7"/>
  </w:num>
  <w:num w:numId="48">
    <w:abstractNumId w:val="45"/>
  </w:num>
  <w:num w:numId="49">
    <w:abstractNumId w:val="34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0"/>
    <w:rsid w:val="00010A4D"/>
    <w:rsid w:val="000122F3"/>
    <w:rsid w:val="00034990"/>
    <w:rsid w:val="0005334D"/>
    <w:rsid w:val="00054433"/>
    <w:rsid w:val="00054C58"/>
    <w:rsid w:val="00056F0F"/>
    <w:rsid w:val="00063DFF"/>
    <w:rsid w:val="00066DA5"/>
    <w:rsid w:val="00085AF6"/>
    <w:rsid w:val="000A1597"/>
    <w:rsid w:val="000C7C8B"/>
    <w:rsid w:val="000D394D"/>
    <w:rsid w:val="000E7346"/>
    <w:rsid w:val="001262F7"/>
    <w:rsid w:val="001307DF"/>
    <w:rsid w:val="00145DF7"/>
    <w:rsid w:val="00194E7D"/>
    <w:rsid w:val="001A7442"/>
    <w:rsid w:val="001E391D"/>
    <w:rsid w:val="00207819"/>
    <w:rsid w:val="0022097D"/>
    <w:rsid w:val="00237C67"/>
    <w:rsid w:val="002803E2"/>
    <w:rsid w:val="002A5636"/>
    <w:rsid w:val="002B0636"/>
    <w:rsid w:val="002B5AEF"/>
    <w:rsid w:val="002B7981"/>
    <w:rsid w:val="002D3663"/>
    <w:rsid w:val="003066BE"/>
    <w:rsid w:val="003227CC"/>
    <w:rsid w:val="00326313"/>
    <w:rsid w:val="00340927"/>
    <w:rsid w:val="00366C6A"/>
    <w:rsid w:val="00381A92"/>
    <w:rsid w:val="00384191"/>
    <w:rsid w:val="00395794"/>
    <w:rsid w:val="003C16C3"/>
    <w:rsid w:val="003D4EDF"/>
    <w:rsid w:val="003F190C"/>
    <w:rsid w:val="003F326D"/>
    <w:rsid w:val="003F79EF"/>
    <w:rsid w:val="0040402B"/>
    <w:rsid w:val="0043191A"/>
    <w:rsid w:val="00446882"/>
    <w:rsid w:val="004503DC"/>
    <w:rsid w:val="00463600"/>
    <w:rsid w:val="00465162"/>
    <w:rsid w:val="004A5CD7"/>
    <w:rsid w:val="004A6CE5"/>
    <w:rsid w:val="004D7AC0"/>
    <w:rsid w:val="004E64BE"/>
    <w:rsid w:val="00505C80"/>
    <w:rsid w:val="00515DDF"/>
    <w:rsid w:val="00523C23"/>
    <w:rsid w:val="00532089"/>
    <w:rsid w:val="00537F29"/>
    <w:rsid w:val="005650A9"/>
    <w:rsid w:val="00586B4B"/>
    <w:rsid w:val="00591A62"/>
    <w:rsid w:val="00593110"/>
    <w:rsid w:val="005A0BDA"/>
    <w:rsid w:val="005A2512"/>
    <w:rsid w:val="005B225E"/>
    <w:rsid w:val="005B6DD4"/>
    <w:rsid w:val="005E7651"/>
    <w:rsid w:val="00601DF4"/>
    <w:rsid w:val="00612898"/>
    <w:rsid w:val="00625CA3"/>
    <w:rsid w:val="00635AF7"/>
    <w:rsid w:val="00641262"/>
    <w:rsid w:val="006559C7"/>
    <w:rsid w:val="00665929"/>
    <w:rsid w:val="0067326F"/>
    <w:rsid w:val="00673B8C"/>
    <w:rsid w:val="0068013D"/>
    <w:rsid w:val="00685A3A"/>
    <w:rsid w:val="006D249E"/>
    <w:rsid w:val="006D2C8A"/>
    <w:rsid w:val="006D2D64"/>
    <w:rsid w:val="006E6F14"/>
    <w:rsid w:val="007068C8"/>
    <w:rsid w:val="00707689"/>
    <w:rsid w:val="0072769B"/>
    <w:rsid w:val="00740A23"/>
    <w:rsid w:val="007417EF"/>
    <w:rsid w:val="0075213C"/>
    <w:rsid w:val="00754027"/>
    <w:rsid w:val="00766B1A"/>
    <w:rsid w:val="0076787A"/>
    <w:rsid w:val="007B245D"/>
    <w:rsid w:val="007B326F"/>
    <w:rsid w:val="007B498C"/>
    <w:rsid w:val="007F5784"/>
    <w:rsid w:val="007F6329"/>
    <w:rsid w:val="00802750"/>
    <w:rsid w:val="00803D75"/>
    <w:rsid w:val="0080647A"/>
    <w:rsid w:val="00811D4F"/>
    <w:rsid w:val="00836765"/>
    <w:rsid w:val="00845F24"/>
    <w:rsid w:val="008541DE"/>
    <w:rsid w:val="00871818"/>
    <w:rsid w:val="0088219D"/>
    <w:rsid w:val="00896BC8"/>
    <w:rsid w:val="008A27AD"/>
    <w:rsid w:val="008A6059"/>
    <w:rsid w:val="008C414B"/>
    <w:rsid w:val="008D0052"/>
    <w:rsid w:val="009041AE"/>
    <w:rsid w:val="00926A3C"/>
    <w:rsid w:val="00946B15"/>
    <w:rsid w:val="009679E7"/>
    <w:rsid w:val="00973F68"/>
    <w:rsid w:val="009E1915"/>
    <w:rsid w:val="009E4148"/>
    <w:rsid w:val="009F1AE3"/>
    <w:rsid w:val="00A20E9D"/>
    <w:rsid w:val="00A23E40"/>
    <w:rsid w:val="00A272B2"/>
    <w:rsid w:val="00A44608"/>
    <w:rsid w:val="00A50553"/>
    <w:rsid w:val="00A51688"/>
    <w:rsid w:val="00A96C92"/>
    <w:rsid w:val="00AA61BE"/>
    <w:rsid w:val="00B203DA"/>
    <w:rsid w:val="00B3176C"/>
    <w:rsid w:val="00B518C9"/>
    <w:rsid w:val="00B730AD"/>
    <w:rsid w:val="00B8543B"/>
    <w:rsid w:val="00B94F6D"/>
    <w:rsid w:val="00BA2A2C"/>
    <w:rsid w:val="00BC676C"/>
    <w:rsid w:val="00BE54B3"/>
    <w:rsid w:val="00BF235F"/>
    <w:rsid w:val="00C008B4"/>
    <w:rsid w:val="00C1207D"/>
    <w:rsid w:val="00C17ABD"/>
    <w:rsid w:val="00C2078A"/>
    <w:rsid w:val="00C24C34"/>
    <w:rsid w:val="00C26C67"/>
    <w:rsid w:val="00C61F36"/>
    <w:rsid w:val="00C62A6C"/>
    <w:rsid w:val="00C7741D"/>
    <w:rsid w:val="00C821A5"/>
    <w:rsid w:val="00C82E34"/>
    <w:rsid w:val="00C913CA"/>
    <w:rsid w:val="00CC18D0"/>
    <w:rsid w:val="00D07777"/>
    <w:rsid w:val="00D40BB6"/>
    <w:rsid w:val="00D43613"/>
    <w:rsid w:val="00D6499D"/>
    <w:rsid w:val="00D7076A"/>
    <w:rsid w:val="00D81F5E"/>
    <w:rsid w:val="00D92269"/>
    <w:rsid w:val="00DB1B79"/>
    <w:rsid w:val="00DE176A"/>
    <w:rsid w:val="00DF03F8"/>
    <w:rsid w:val="00E00A6B"/>
    <w:rsid w:val="00E13363"/>
    <w:rsid w:val="00E22D43"/>
    <w:rsid w:val="00E6250D"/>
    <w:rsid w:val="00E77899"/>
    <w:rsid w:val="00E82D3E"/>
    <w:rsid w:val="00E95CBE"/>
    <w:rsid w:val="00E972B2"/>
    <w:rsid w:val="00EA023B"/>
    <w:rsid w:val="00EB462E"/>
    <w:rsid w:val="00ED76AC"/>
    <w:rsid w:val="00EE6F0B"/>
    <w:rsid w:val="00EF2BEB"/>
    <w:rsid w:val="00F104CA"/>
    <w:rsid w:val="00F2608E"/>
    <w:rsid w:val="00F26C84"/>
    <w:rsid w:val="00F41BE1"/>
    <w:rsid w:val="00F65006"/>
    <w:rsid w:val="00F733BE"/>
    <w:rsid w:val="00F73CD8"/>
    <w:rsid w:val="00F83C17"/>
    <w:rsid w:val="00F96D7F"/>
    <w:rsid w:val="00FC43EF"/>
    <w:rsid w:val="00FC456F"/>
    <w:rsid w:val="00FE5F71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2DD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C0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D7AC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D7AC0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AC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aliases w:val="Footnote symbol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7AC0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B518C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612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82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E97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8D0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BC6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053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B85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465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8A6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685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685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836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012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237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C91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450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rsid w:val="00ED7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rsid w:val="009F1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A27A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6F0F"/>
    <w:rPr>
      <w:color w:val="605E5C"/>
      <w:shd w:val="clear" w:color="auto" w:fill="E1DFDD"/>
    </w:rPr>
  </w:style>
  <w:style w:type="table" w:customStyle="1" w:styleId="TableGrid19">
    <w:name w:val="Table Grid19"/>
    <w:basedOn w:val="TableNormal"/>
    <w:next w:val="TableGrid"/>
    <w:rsid w:val="00CC1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1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1DE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22097D"/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22097D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22097D"/>
    <w:pPr>
      <w:spacing w:before="100" w:beforeAutospacing="1" w:after="100" w:afterAutospacing="1" w:line="240" w:lineRule="auto"/>
      <w:jc w:val="left"/>
    </w:pPr>
    <w:rPr>
      <w:sz w:val="24"/>
      <w:szCs w:val="24"/>
      <w:lang w:eastAsia="fr-BE"/>
    </w:rPr>
  </w:style>
  <w:style w:type="character" w:styleId="Strong">
    <w:name w:val="Strong"/>
    <w:basedOn w:val="DefaultParagraphFont"/>
    <w:uiPriority w:val="22"/>
    <w:qFormat/>
    <w:rsid w:val="00220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msearch.eesc.europa.eu/search/opinion" TargetMode="External"/><Relationship Id="rId18" Type="http://schemas.openxmlformats.org/officeDocument/2006/relationships/hyperlink" Target="mailto:Georgios.Meleas@eesc.europa.eu" TargetMode="External"/><Relationship Id="rId26" Type="http://schemas.openxmlformats.org/officeDocument/2006/relationships/hyperlink" Target="mailto:GiorgiaAndrea.Bordignon@eesc.europa.eu" TargetMode="External"/><Relationship Id="rId39" Type="http://schemas.openxmlformats.org/officeDocument/2006/relationships/hyperlink" Target="https://www.eesc.europa.eu/cs/our-work/opinions-information-reports/opinions/revision-union-civil-protection-mechanism" TargetMode="External"/><Relationship Id="rId21" Type="http://schemas.openxmlformats.org/officeDocument/2006/relationships/hyperlink" Target="https://www.eesc.europa.eu/cs/our-work/opinions-information-reports/opinions/agoraeu-and-justice-programmes" TargetMode="External"/><Relationship Id="rId34" Type="http://schemas.openxmlformats.org/officeDocument/2006/relationships/hyperlink" Target="mailto:Silvia.Staffa@eesc.europa.eu" TargetMode="External"/><Relationship Id="rId42" Type="http://schemas.openxmlformats.org/officeDocument/2006/relationships/hyperlink" Target="https://www.eesc.europa.eu/cs/our-work/opinions-information-reports/opinions/global-europe-multiannual-financial-framework-proposal" TargetMode="External"/><Relationship Id="rId47" Type="http://schemas.openxmlformats.org/officeDocument/2006/relationships/hyperlink" Target="mailto:Adam.Dorywalski@eesc.europa.eu" TargetMode="External"/><Relationship Id="rId50" Type="http://schemas.openxmlformats.org/officeDocument/2006/relationships/header" Target="header1.xml"/><Relationship Id="rId55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s://www.eesc.europa.eu/cs/our-work/opinions-information-reports/plenary-session-summaries" TargetMode="External"/><Relationship Id="rId17" Type="http://schemas.openxmlformats.org/officeDocument/2006/relationships/hyperlink" Target="https://www.eesc.europa.eu/cs/our-work/opinions-information-reports/opinions/establishing-european-fund-regional-development-including-european-territorial-cooperation-interreg-and-cohesion-fund" TargetMode="External"/><Relationship Id="rId25" Type="http://schemas.openxmlformats.org/officeDocument/2006/relationships/hyperlink" Target="mailto:Maja.Radman@eesc.europa.eu" TargetMode="External"/><Relationship Id="rId33" Type="http://schemas.openxmlformats.org/officeDocument/2006/relationships/hyperlink" Target="https://www.eesc.europa.eu/cs/our-work/opinions-information-reports/opinions/competitiveness-fund" TargetMode="External"/><Relationship Id="rId38" Type="http://schemas.openxmlformats.org/officeDocument/2006/relationships/hyperlink" Target="mailto:Martine.Delanoy@eesc.europa.eu" TargetMode="External"/><Relationship Id="rId46" Type="http://schemas.openxmlformats.org/officeDocument/2006/relationships/hyperlink" Target="https://www.eesc.europa.eu/cs/our-work/opinions-information-reports/opinions/facilitating-potential-permanent-materials-eu-circular-econom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eorgios.Meleas@eesc.europa.eu" TargetMode="External"/><Relationship Id="rId20" Type="http://schemas.openxmlformats.org/officeDocument/2006/relationships/hyperlink" Target="mailto:june.bedaton@eesc.europa.eu" TargetMode="External"/><Relationship Id="rId29" Type="http://schemas.openxmlformats.org/officeDocument/2006/relationships/hyperlink" Target="https://www.eesc.europa.eu/cs/our-work/opinions-information-reports/opinions/single-market-strategy" TargetMode="External"/><Relationship Id="rId41" Type="http://schemas.openxmlformats.org/officeDocument/2006/relationships/hyperlink" Target="mailto:Marie-Laurence.Drillon@eesc.europa.eu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ur-lex.europa.eu/eli/C/2023/874/oj" TargetMode="External"/><Relationship Id="rId32" Type="http://schemas.openxmlformats.org/officeDocument/2006/relationships/hyperlink" Target="mailto:Silvia.Staffa@eesc.europa.eu" TargetMode="External"/><Relationship Id="rId37" Type="http://schemas.openxmlformats.org/officeDocument/2006/relationships/hyperlink" Target="https://www.eesc.europa.eu/cs/our-work/opinions-information-reports/opinions/amendment-deforestation-regulation-eu-20231115" TargetMode="External"/><Relationship Id="rId40" Type="http://schemas.openxmlformats.org/officeDocument/2006/relationships/hyperlink" Target="mailto:Arturo.Iniguez@eesc.europa.eu" TargetMode="External"/><Relationship Id="rId45" Type="http://schemas.openxmlformats.org/officeDocument/2006/relationships/hyperlink" Target="mailto:Katarina.Albrechtova@eesc.europa.eu" TargetMode="External"/><Relationship Id="rId53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eesc.europa.eu/cs/our-work/opinions-information-reports/opinions/implementation-eu-macro-regional-strategies-5th-report" TargetMode="External"/><Relationship Id="rId23" Type="http://schemas.openxmlformats.org/officeDocument/2006/relationships/hyperlink" Target="https://www.eesc.europa.eu/cs/our-work/opinions-information-reports/opinions/co2-emission-class-heavy-duty-vehicles-trailers-0" TargetMode="External"/><Relationship Id="rId28" Type="http://schemas.openxmlformats.org/officeDocument/2006/relationships/hyperlink" Target="mailto:Albert.Precup@eesc.europa.eu" TargetMode="External"/><Relationship Id="rId36" Type="http://schemas.openxmlformats.org/officeDocument/2006/relationships/hyperlink" Target="mailto:Annalisa.Tessarolo@eesc.europa.eu" TargetMode="External"/><Relationship Id="rId49" Type="http://schemas.openxmlformats.org/officeDocument/2006/relationships/hyperlink" Target="mailto:Adam.Dorywalski@eesc.europa.eu" TargetMode="External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eesc.europa.eu/cs/our-work/opinions-information-reports/opinions/labour-rights-journalists-and-media-professionals-safeguard-independence-and-truthful-information" TargetMode="External"/><Relationship Id="rId31" Type="http://schemas.openxmlformats.org/officeDocument/2006/relationships/hyperlink" Target="https://www.eesc.europa.eu/cs/our-work/opinions-information-reports/opinions/report-competition-policy-2024" TargetMode="External"/><Relationship Id="rId44" Type="http://schemas.openxmlformats.org/officeDocument/2006/relationships/hyperlink" Target="https://www.eesc.europa.eu/cs/our-work/opinions-information-reports/opinions/predictable-and-common-european-way-forward-ukrainians-eu" TargetMode="External"/><Relationship Id="rId52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Alessia.Cova@eesc.europa.eu" TargetMode="External"/><Relationship Id="rId27" Type="http://schemas.openxmlformats.org/officeDocument/2006/relationships/hyperlink" Target="https://www.eesc.europa.eu/cs/our-work/opinions-information-reports/opinions/nuclear-illustrative-programme-1" TargetMode="External"/><Relationship Id="rId30" Type="http://schemas.openxmlformats.org/officeDocument/2006/relationships/hyperlink" Target="mailto:Annalisa.Tessarolo@eesc.europa.eu" TargetMode="External"/><Relationship Id="rId35" Type="http://schemas.openxmlformats.org/officeDocument/2006/relationships/hyperlink" Target="https://www.eesc.europa.eu/cs/our-work/opinions-information-reports/opinions/review-european-public-procurement-legal-framework" TargetMode="External"/><Relationship Id="rId43" Type="http://schemas.openxmlformats.org/officeDocument/2006/relationships/hyperlink" Target="mailto:Daniele.Vitali@eesc.europa.eu" TargetMode="External"/><Relationship Id="rId48" Type="http://schemas.openxmlformats.org/officeDocument/2006/relationships/hyperlink" Target="https://www.eesc.europa.eu/cs/our-work/opinions-information-reports/opinions/industrial-cooperatives-tool-challenge-inclusive-and-sustainable-competitiveness" TargetMode="External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eader" Target="header2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igital-strategy.ec.europa.eu/en/library/recommendation-protection-safety-and-empowerment-journalists" TargetMode="External"/><Relationship Id="rId7" Type="http://schemas.openxmlformats.org/officeDocument/2006/relationships/hyperlink" Target="https://eur-lex.europa.eu/legal-content/CS/TXT/?uri=uriserv%3AOJ.C_.2022.275.01.0088.01.CES&amp;toc=OJ%3AC%3A2022%3A275%3ATOC" TargetMode="External"/><Relationship Id="rId2" Type="http://schemas.openxmlformats.org/officeDocument/2006/relationships/hyperlink" Target="https://eur-lex.europa.eu/legal-content/CS/TXT/?uri=CELEX%3A52022XC0930%2802%29" TargetMode="External"/><Relationship Id="rId1" Type="http://schemas.openxmlformats.org/officeDocument/2006/relationships/hyperlink" Target="https://eur-lex.europa.eu/legal-content/CS/TXT/?uri=legissum:4623532" TargetMode="External"/><Relationship Id="rId6" Type="http://schemas.openxmlformats.org/officeDocument/2006/relationships/hyperlink" Target="https://www.eesc.europa.eu/cs/our-work/opinions-information-reports/opinions/minimising-risk-deforestation-and-forest-degradation-associated-products-placed-eu-market" TargetMode="External"/><Relationship Id="rId5" Type="http://schemas.openxmlformats.org/officeDocument/2006/relationships/hyperlink" Target="https://www.eesc.europa.eu/cs/our-work/opinions-information-reports/opinions/deforestation-amazon-rainforest-impact-climate-change-and-global-environment-consequences-companies-workers-and" TargetMode="External"/><Relationship Id="rId4" Type="http://schemas.openxmlformats.org/officeDocument/2006/relationships/hyperlink" Target="http://data.europa.eu/eli/C/2025/114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192796EE9568A4C8E77C6EF5F22B614" ma:contentTypeVersion="4" ma:contentTypeDescription="Defines the documents for Document Manager V2" ma:contentTypeScope="" ma:versionID="b9faea45a7e02bbb816d4162149d5e49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27994258-8564-426c-a7a1-d6286d62992e" targetNamespace="http://schemas.microsoft.com/office/2006/metadata/properties" ma:root="true" ma:fieldsID="af51dee0f9c2d9a0a51b5858d1a4441d" ns2:_="" ns3:_="" ns4:_="">
    <xsd:import namespace="1a33af13-4045-4f88-9d7b-618e30f79918"/>
    <xsd:import namespace="http://schemas.microsoft.com/sharepoint/v3/fields"/>
    <xsd:import namespace="27994258-8564-426c-a7a1-d6286d6299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4258-8564-426c-a7a1-d6286d62992e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A6WAAD5KZT2Q-284857674-6447</_dlc_DocId>
    <_dlc_DocIdUrl xmlns="1a33af13-4045-4f88-9d7b-618e30f79918">
      <Url>http://dm/eesc/2025/_layouts/15/DocIdRedir.aspx?ID=A6WAAD5KZT2Q-284857674-6447</Url>
      <Description>A6WAAD5KZT2Q-284857674-6447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2025-12-22T12:00:00+00:00</ProductionDate>
    <DocumentNumber xmlns="27994258-8564-426c-a7a1-d6286d62992e">3552</DocumentNumber>
    <FicheYear xmlns="1a33af13-4045-4f88-9d7b-618e30f79918" xsi:nil="true"/>
    <DossierNumbe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TaxCatchAll xmlns="1a33af13-4045-4f88-9d7b-618e30f79918">
      <Value>67</Value>
      <Value>50</Value>
      <Value>47</Value>
      <Value>46</Value>
      <Value>42</Value>
      <Value>41</Value>
      <Value>40</Value>
      <Value>39</Value>
      <Value>37</Value>
      <Value>36</Value>
      <Value>35</Value>
      <Value>34</Value>
      <Value>33</Value>
      <Value>31</Value>
      <Value>30</Value>
      <Value>29</Value>
      <Value>28</Value>
      <Value>27</Value>
      <Value>24</Value>
      <Value>23</Value>
      <Value>19</Value>
      <Value>16</Value>
      <Value>15</Value>
      <Value>13</Value>
      <Value>12</Value>
      <Value>8</Value>
      <Value>5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DocumentLanguage_0>
    <MeetingDate xmlns="1a33af13-4045-4f88-9d7b-618e30f79918">2026-01-21T12:00:00+00:00</MeetingDate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297819</FicheNumber>
    <OriginalSender xmlns="1a33af13-4045-4f88-9d7b-618e30f79918">
      <UserInfo>
        <DisplayName>Sigmund Vaclav</DisplayName>
        <AccountId>1654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27994258-8564-426c-a7a1-d6286d62992e" xsi:nil="true"/>
    <DossierName_0 xmlns="http://schemas.microsoft.com/sharepoint/v3/fields">
      <Terms xmlns="http://schemas.microsoft.com/office/infopath/2007/PartnerControls"/>
    </DossierName_0>
    <DocumentVersion xmlns="1a33af13-4045-4f88-9d7b-618e30f79918">0</DocumentVersion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982D98-2B49-4D8D-9E82-3A196D630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88A6D-3ACA-49E5-A469-DA808E282629}"/>
</file>

<file path=customXml/itemProps3.xml><?xml version="1.0" encoding="utf-8"?>
<ds:datastoreItem xmlns:ds="http://schemas.openxmlformats.org/officeDocument/2006/customXml" ds:itemID="{FA5B0471-EE33-4BA9-BB89-D492EFC236E6}">
  <ds:schemaRefs>
    <ds:schemaRef ds:uri="http://schemas.microsoft.com/office/2006/metadata/properties"/>
    <ds:schemaRef ds:uri="http://schemas.microsoft.com/office/infopath/2007/PartnerControls"/>
    <ds:schemaRef ds:uri="bdd5dab9-bfdd-4431-a245-30f3c6677de9"/>
    <ds:schemaRef ds:uri="http://schemas.microsoft.com/sharepoint/v3/fields"/>
    <ds:schemaRef ds:uri="eb21defb-1074-42ca-8d3e-c3f375910b41"/>
  </ds:schemaRefs>
</ds:datastoreItem>
</file>

<file path=customXml/itemProps4.xml><?xml version="1.0" encoding="utf-8"?>
<ds:datastoreItem xmlns:ds="http://schemas.openxmlformats.org/officeDocument/2006/customXml" ds:itemID="{4550B7D9-B944-4719-A93C-2F495E0415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6012</Words>
  <Characters>38123</Characters>
  <Application>Microsoft Office Word</Application>
  <DocSecurity>0</DocSecurity>
  <Lines>1003</Lines>
  <Paragraphs>525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EESC new model</vt:lpstr>
    </vt:vector>
  </TitlesOfParts>
  <Manager/>
  <Company/>
  <LinksUpToDate>false</LinksUpToDate>
  <CharactersWithSpaces>43610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přijatých stanovisek - 601. plenární zasedání - prosinec 2025</dc:title>
  <dc:subject>ADMIN</dc:subject>
  <dc:creator/>
  <cp:keywords>COR-EESC-2022-02583-00-00-ADMIN-TRA-EN</cp:keywords>
  <dc:description>Rapporteur:  - Original language: EN - Date of document: 20/05/2022 - Date of meeting:  - External documents:  - Administrator:  SUCIU Serban</dc:description>
  <cp:lastModifiedBy/>
  <cp:revision>12</cp:revision>
  <dcterms:created xsi:type="dcterms:W3CDTF">2025-12-15T10:39:00Z</dcterms:created>
  <dcterms:modified xsi:type="dcterms:W3CDTF">2025-12-22T10:51:00Z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15/12/2025, 02/05/2022, 02/05/2022, 28/06/2021</vt:lpwstr>
  </property>
  <property fmtid="{D5CDD505-2E9C-101B-9397-08002B2CF9AE}" pid="4" name="Pref_Time">
    <vt:lpwstr>11:21:32, 12:28:29, 12:25:37, 08:41:48</vt:lpwstr>
  </property>
  <property fmtid="{D5CDD505-2E9C-101B-9397-08002B2CF9AE}" pid="5" name="Pref_User">
    <vt:lpwstr>jhvi, enied, enied, enied</vt:lpwstr>
  </property>
  <property fmtid="{D5CDD505-2E9C-101B-9397-08002B2CF9AE}" pid="6" name="Pref_FileName">
    <vt:lpwstr>EESC-2025-03552-00-00-TCD-ORI.docx, Summary of opinions.docx, COR-EESC-2022-02370-00-00-ADMIN-ORI.docx, Synthese des avis Template.docx</vt:lpwstr>
  </property>
  <property fmtid="{D5CDD505-2E9C-101B-9397-08002B2CF9AE}" pid="7" name="ContentTypeId">
    <vt:lpwstr>0x010100EA97B91038054C99906057A708A1480A00B192796EE9568A4C8E77C6EF5F22B614</vt:lpwstr>
  </property>
  <property fmtid="{D5CDD505-2E9C-101B-9397-08002B2CF9AE}" pid="8" name="_dlc_DocIdItemGuid">
    <vt:lpwstr>42b75408-9c3a-41bf-8604-a3f1abcbb699</vt:lpwstr>
  </property>
  <property fmtid="{D5CDD505-2E9C-101B-9397-08002B2CF9AE}" pid="9" name="AvailableTranslations">
    <vt:lpwstr>23;#DE|f6b31e5a-26fa-4935-b661-318e46daf27e;#30;#LT|a7ff5ce7-6123-4f68-865a-a57c31810414;#28;#SV|c2ed69e7-a339-43d7-8f22-d93680a92aa0;#27;#NL|55c6556c-b4f4-441d-9acf-c498d4f838bd;#41;#ET|ff6c3f4c-b02c-4c3c-ab07-2c37995a7a0a;#5;#EN|f2175f21-25d7-44a3-96da-d6a61b075e1b;#35;#FI|87606a43-d45f-42d6-b8c9-e1a3457db5b7;#39;#LV|46f7e311-5d9f-4663-b433-18aeccb7ace7;#40;#DA|5d49c027-8956-412b-aa16-e85a0f96ad0e;#42;#EL|6d4f4d51-af9b-4650-94b4-4276bee85c91;#34;#IT|0774613c-01ed-4e5d-a25d-11d2388de825;#46;#SK|46d9fce0-ef79-4f71-b89b-cd6aa82426b8;#12;#FR|d2afafd3-4c81-4f60-8f52-ee33f2f54ff3;#50;#HR|2f555653-ed1a-4fe6-8362-9082d95989e5;#31;#SL|98a412ae-eb01-49e9-ae3d-585a81724cfc;#29;#CS|72f9705b-0217-4fd3-bea2-cbc7ed80e26e;#37;#HU|6b229040-c589-4408-b4c1-4285663d20a8;#36;#RO|feb747a2-64cd-4299-af12-4833ddc30497;#16;#ES|e7a6b05b-ae16-40c8-add9-68b64b03aeba;#33;#PT|50ccc04a-eadd-42ae-a0cb-acaf45f812ba;#24;#PL|1e03da61-4678-4e07-b136-b5024ca9197b;#47;#BG|1a1b3951-7821-4e6a-85f5-5673fc08bd2c</vt:lpwstr>
  </property>
  <property fmtid="{D5CDD505-2E9C-101B-9397-08002B2CF9AE}" pid="10" name="DocumentType_0">
    <vt:lpwstr>TCD|cd9d6eb6-3f4f-424a-b2d1-57c9d450eaaf</vt:lpwstr>
  </property>
  <property fmtid="{D5CDD505-2E9C-101B-9397-08002B2CF9AE}" pid="11" name="DocumentSource_0">
    <vt:lpwstr>EESC|422833ec-8d7e-4e65-8e4e-8bed07ffb729</vt:lpwstr>
  </property>
  <property fmtid="{D5CDD505-2E9C-101B-9397-08002B2CF9AE}" pid="12" name="ProductionDate">
    <vt:filetime>2022-05-18T12:00:00Z</vt:filetime>
  </property>
  <property fmtid="{D5CDD505-2E9C-101B-9397-08002B2CF9AE}" pid="13" name="DocumentNumber">
    <vt:i4>3552</vt:i4>
  </property>
  <property fmtid="{D5CDD505-2E9C-101B-9397-08002B2CF9AE}" pid="14" name="DocumentVersion">
    <vt:i4>0</vt:i4>
  </property>
  <property fmtid="{D5CDD505-2E9C-101B-9397-08002B2CF9AE}" pid="15" name="DocumentStatus">
    <vt:lpwstr>13;#TRA|150d2a88-1431-44e6-a8ca-0bb753ab8672</vt:lpwstr>
  </property>
  <property fmtid="{D5CDD505-2E9C-101B-9397-08002B2CF9AE}" pid="16" name="DossierName">
    <vt:lpwstr/>
  </property>
  <property fmtid="{D5CDD505-2E9C-101B-9397-08002B2CF9AE}" pid="17" name="Confidentiality_0">
    <vt:lpwstr>Unrestricted|826e22d7-d029-4ec0-a450-0c28ff673572</vt:lpwstr>
  </property>
  <property fmtid="{D5CDD505-2E9C-101B-9397-08002B2CF9AE}" pid="18" name="Confidentiality">
    <vt:lpwstr>15;#Unrestricted|826e22d7-d029-4ec0-a450-0c28ff673572</vt:lpwstr>
  </property>
  <property fmtid="{D5CDD505-2E9C-101B-9397-08002B2CF9AE}" pid="19" name="OriginalLanguage">
    <vt:lpwstr>5;#EN|f2175f21-25d7-44a3-96da-d6a61b075e1b</vt:lpwstr>
  </property>
  <property fmtid="{D5CDD505-2E9C-101B-9397-08002B2CF9AE}" pid="20" name="MeetingName">
    <vt:lpwstr>67;#SPL-CES|32d8cb1f-c9ec-4365-95c7-8385a18618ac</vt:lpwstr>
  </property>
  <property fmtid="{D5CDD505-2E9C-101B-9397-08002B2CF9AE}" pid="21" name="TaxCatchAll">
    <vt:lpwstr>67;#SPL-CES|32d8cb1f-c9ec-4365-95c7-8385a18618ac;#50;#HR|2f555653-ed1a-4fe6-8362-9082d95989e5;#47;#BG|1a1b3951-7821-4e6a-85f5-5673fc08bd2c;#42;#EL|6d4f4d51-af9b-4650-94b4-4276bee85c91;#41;#ET|ff6c3f4c-b02c-4c3c-ab07-2c37995a7a0a;#40;#DA|5d49c027-8956-412b-aa16-e85a0f96ad0e;#39;#LV|46f7e311-5d9f-4663-b433-18aeccb7ace7;#37;#HU|6b229040-c589-4408-b4c1-4285663d20a8;#36;#RO|feb747a2-64cd-4299-af12-4833ddc30497;#35;#FI|87606a43-d45f-42d6-b8c9-e1a3457db5b7;#34;#IT|0774613c-01ed-4e5d-a25d-11d2388de825;#33;#PT|50ccc04a-eadd-42ae-a0cb-acaf45f812ba;#31;#SL|98a412ae-eb01-49e9-ae3d-585a81724cfc;#30;#LT|a7ff5ce7-6123-4f68-865a-a57c31810414;#28;#SV|c2ed69e7-a339-43d7-8f22-d93680a92aa0;#27;#NL|55c6556c-b4f4-441d-9acf-c498d4f838bd;#24;#PL|1e03da61-4678-4e07-b136-b5024ca9197b;#23;#DE|f6b31e5a-26fa-4935-b661-318e46daf27e;#19;#TCD|cd9d6eb6-3f4f-424a-b2d1-57c9d450eaaf;#16;#ES|e7a6b05b-ae16-40c8-add9-68b64b03aeba;#15;#Unrestricted|826e22d7-d029-4ec0-a450-0c28ff673572;#13;#TRA|150d2a88-1431-44e6-a8ca-0bb753ab8672;#12;#FR|d2afafd3-4c81-4f60-8f52-ee33f2f54ff3;#8;#Final|ea5e6674-7b27-4bac-b091-73adbb394efe;#5;#EN|f2175f21-25d7-44a3-96da-d6a61b075e1b;#1;#EESC|422833ec-8d7e-4e65-8e4e-8bed07ffb729</vt:lpwstr>
  </property>
  <property fmtid="{D5CDD505-2E9C-101B-9397-08002B2CF9AE}" pid="22" name="DocumentLanguage_0">
    <vt:lpwstr>EN|f2175f21-25d7-44a3-96da-d6a61b075e1b</vt:lpwstr>
  </property>
  <property fmtid="{D5CDD505-2E9C-101B-9397-08002B2CF9AE}" pid="23" name="VersionStatus_0">
    <vt:lpwstr>Final|ea5e6674-7b27-4bac-b091-73adbb394efe</vt:lpwstr>
  </property>
  <property fmtid="{D5CDD505-2E9C-101B-9397-08002B2CF9AE}" pid="24" name="VersionStatus">
    <vt:lpwstr>8;#Final|ea5e6674-7b27-4bac-b091-73adbb394efe</vt:lpwstr>
  </property>
  <property fmtid="{D5CDD505-2E9C-101B-9397-08002B2CF9AE}" pid="25" name="DocumentYear">
    <vt:i4>2025</vt:i4>
  </property>
  <property fmtid="{D5CDD505-2E9C-101B-9397-08002B2CF9AE}" pid="26" name="FicheNumber">
    <vt:i4>297819</vt:i4>
  </property>
  <property fmtid="{D5CDD505-2E9C-101B-9397-08002B2CF9AE}" pid="27" name="OriginalSender">
    <vt:lpwstr>1528;#TDriveSVCUserProd</vt:lpwstr>
  </property>
  <property fmtid="{D5CDD505-2E9C-101B-9397-08002B2CF9AE}" pid="28" name="DocumentPart">
    <vt:i4>0</vt:i4>
  </property>
  <property fmtid="{D5CDD505-2E9C-101B-9397-08002B2CF9AE}" pid="29" name="DocumentSource">
    <vt:lpwstr>1;#EESC|422833ec-8d7e-4e65-8e4e-8bed07ffb729</vt:lpwstr>
  </property>
  <property fmtid="{D5CDD505-2E9C-101B-9397-08002B2CF9AE}" pid="30" name="DocumentType">
    <vt:lpwstr>19;#TCD|cd9d6eb6-3f4f-424a-b2d1-57c9d450eaaf</vt:lpwstr>
  </property>
  <property fmtid="{D5CDD505-2E9C-101B-9397-08002B2CF9AE}" pid="31" name="RequestingService">
    <vt:lpwstr>Greffe</vt:lpwstr>
  </property>
  <property fmtid="{D5CDD505-2E9C-101B-9397-08002B2CF9AE}" pid="32" name="DocumentLanguage">
    <vt:lpwstr>29;#CS|72f9705b-0217-4fd3-bea2-cbc7ed80e26e</vt:lpwstr>
  </property>
  <property fmtid="{D5CDD505-2E9C-101B-9397-08002B2CF9AE}" pid="33" name="AvailableTranslations_0">
    <vt:lpwstr>DE|f6b31e5a-26fa-4935-b661-318e46daf27e;LT|a7ff5ce7-6123-4f68-865a-a57c31810414;SV|c2ed69e7-a339-43d7-8f22-d93680a92aa0;NL|55c6556c-b4f4-441d-9acf-c498d4f838bd;ET|ff6c3f4c-b02c-4c3c-ab07-2c37995a7a0a;EN|f2175f21-25d7-44a3-96da-d6a61b075e1b;FI|87606a43-d45f-42d6-b8c9-e1a3457db5b7;LV|46f7e311-5d9f-4663-b433-18aeccb7ace7;DA|5d49c027-8956-412b-aa16-e85a0f96ad0e;EL|6d4f4d51-af9b-4650-94b4-4276bee85c91;IT|0774613c-01ed-4e5d-a25d-11d2388de825;FR|d2afafd3-4c81-4f60-8f52-ee33f2f54ff3;HR|2f555653-ed1a-4fe6-8362-9082d95989e5;SL|98a412ae-eb01-49e9-ae3d-585a81724cfc;HU|6b229040-c589-4408-b4c1-4285663d20a8;RO|feb747a2-64cd-4299-af12-4833ddc30497;ES|e7a6b05b-ae16-40c8-add9-68b64b03aeba;PT|50ccc04a-eadd-42ae-a0cb-acaf45f812ba;PL|1e03da61-4678-4e07-b136-b5024ca9197b;BG|1a1b3951-7821-4e6a-85f5-5673fc08bd2c</vt:lpwstr>
  </property>
  <property fmtid="{D5CDD505-2E9C-101B-9397-08002B2CF9AE}" pid="34" name="DocumentStatus_0">
    <vt:lpwstr>TRA|150d2a88-1431-44e6-a8ca-0bb753ab8672</vt:lpwstr>
  </property>
  <property fmtid="{D5CDD505-2E9C-101B-9397-08002B2CF9AE}" pid="35" name="OriginalLanguage_0">
    <vt:lpwstr>EN|f2175f21-25d7-44a3-96da-d6a61b075e1b</vt:lpwstr>
  </property>
  <property fmtid="{D5CDD505-2E9C-101B-9397-08002B2CF9AE}" pid="36" name="_docset_NoMedatataSyncRequired">
    <vt:lpwstr>False</vt:lpwstr>
  </property>
  <property fmtid="{D5CDD505-2E9C-101B-9397-08002B2CF9AE}" pid="37" name="MeetingName_0">
    <vt:lpwstr>SPL-CES|32d8cb1f-c9ec-4365-95c7-8385a18618ac</vt:lpwstr>
  </property>
  <property fmtid="{D5CDD505-2E9C-101B-9397-08002B2CF9AE}" pid="38" name="DossierName_0">
    <vt:lpwstr/>
  </property>
  <property fmtid="{D5CDD505-2E9C-101B-9397-08002B2CF9AE}" pid="39" name="MeetingDate">
    <vt:filetime>2026-01-21T12:00:00Z</vt:filetime>
  </property>
</Properties>
</file>