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4F02531" w:rsidR="004D7AC0" w:rsidRDefault="00EB4F20" w:rsidP="004D7AC0">
      <w:pPr>
        <w:jc w:val="center"/>
      </w:pPr>
      <w:r>
        <w:rPr>
          <w:noProof/>
        </w:rPr>
        <w:drawing>
          <wp:inline distT="0" distB="0" distL="0" distR="0" wp14:anchorId="21D71FE1" wp14:editId="7D0444AE">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4F3B046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BG</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Брюксел, 17 декември 2025 г.</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601-ва ПЛЕНАРНА СЕСИЯ</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 и 4 декември 2025 г.</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Настоящият документ е достъпен на всички официални езици на Европейския съюз на уебсайта на ЕИСК на следния адрес:</w:t>
            </w:r>
            <w:r>
              <w:br/>
            </w:r>
            <w:r>
              <w:br/>
            </w:r>
            <w:hyperlink r:id="rId12" w:history="1">
              <w:r>
                <w:rPr>
                  <w:rStyle w:val="Hyperlink"/>
                </w:rPr>
                <w:t>https://www.eesc.europa.eu/bg/our-work/opinions-information-reports/plenary-session-summaries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Изброените становища могат да бъдат намерени онлайн чрез търсачката на ЕИСК:</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Съдържание:</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05C18B4C" w14:textId="79E6C4FE" w:rsidR="008E74F7" w:rsidRDefault="004D7AC0" w:rsidP="008E74F7">
          <w:pPr>
            <w:pStyle w:val="TOC1"/>
            <w:tabs>
              <w:tab w:val="left" w:pos="440"/>
              <w:tab w:val="right" w:leader="dot" w:pos="9063"/>
            </w:tabs>
            <w:ind w:left="440" w:hanging="440"/>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6959637" w:history="1">
            <w:r w:rsidR="008E74F7" w:rsidRPr="003173A7">
              <w:rPr>
                <w:rStyle w:val="Hyperlink"/>
                <w:b/>
                <w:noProof/>
              </w:rPr>
              <w:t>1.</w:t>
            </w:r>
            <w:r w:rsidR="008E74F7">
              <w:rPr>
                <w:rFonts w:asciiTheme="minorHAnsi" w:eastAsiaTheme="minorEastAsia" w:hAnsiTheme="minorHAnsi" w:cstheme="minorBidi"/>
                <w:noProof/>
                <w:lang w:val="en-US"/>
              </w:rPr>
              <w:tab/>
            </w:r>
            <w:r w:rsidR="008E74F7" w:rsidRPr="003173A7">
              <w:rPr>
                <w:rStyle w:val="Hyperlink"/>
                <w:b/>
                <w:noProof/>
              </w:rPr>
              <w:t>ИКОНОМИЧЕСКИ И ПАРИЧЕН СЪЮЗ, ИКОНОМИЧЕСКО И СОЦИАЛНО СБЛИЖАВАНЕ</w:t>
            </w:r>
            <w:r w:rsidR="008E74F7">
              <w:rPr>
                <w:noProof/>
                <w:webHidden/>
              </w:rPr>
              <w:tab/>
            </w:r>
            <w:r w:rsidR="008E74F7">
              <w:rPr>
                <w:noProof/>
                <w:webHidden/>
              </w:rPr>
              <w:fldChar w:fldCharType="begin"/>
            </w:r>
            <w:r w:rsidR="008E74F7">
              <w:rPr>
                <w:noProof/>
                <w:webHidden/>
              </w:rPr>
              <w:instrText xml:space="preserve"> PAGEREF _Toc216959637 \h </w:instrText>
            </w:r>
            <w:r w:rsidR="008E74F7">
              <w:rPr>
                <w:noProof/>
                <w:webHidden/>
              </w:rPr>
            </w:r>
            <w:r w:rsidR="008E74F7">
              <w:rPr>
                <w:noProof/>
                <w:webHidden/>
              </w:rPr>
              <w:fldChar w:fldCharType="separate"/>
            </w:r>
            <w:r w:rsidR="00413A6F">
              <w:rPr>
                <w:noProof/>
                <w:webHidden/>
              </w:rPr>
              <w:t>3</w:t>
            </w:r>
            <w:r w:rsidR="008E74F7">
              <w:rPr>
                <w:noProof/>
                <w:webHidden/>
              </w:rPr>
              <w:fldChar w:fldCharType="end"/>
            </w:r>
          </w:hyperlink>
        </w:p>
        <w:p w14:paraId="6D09A225" w14:textId="40974040" w:rsidR="008E74F7" w:rsidRDefault="00413A6F">
          <w:pPr>
            <w:pStyle w:val="TOC1"/>
            <w:tabs>
              <w:tab w:val="left" w:pos="440"/>
              <w:tab w:val="right" w:leader="dot" w:pos="9063"/>
            </w:tabs>
            <w:rPr>
              <w:rFonts w:asciiTheme="minorHAnsi" w:eastAsiaTheme="minorEastAsia" w:hAnsiTheme="minorHAnsi" w:cstheme="minorBidi"/>
              <w:noProof/>
              <w:lang w:val="en-US"/>
            </w:rPr>
          </w:pPr>
          <w:hyperlink w:anchor="_Toc216959638" w:history="1">
            <w:r w:rsidR="008E74F7" w:rsidRPr="003173A7">
              <w:rPr>
                <w:rStyle w:val="Hyperlink"/>
                <w:b/>
                <w:noProof/>
              </w:rPr>
              <w:t>2.</w:t>
            </w:r>
            <w:r w:rsidR="008E74F7">
              <w:rPr>
                <w:rFonts w:asciiTheme="minorHAnsi" w:eastAsiaTheme="minorEastAsia" w:hAnsiTheme="minorHAnsi" w:cstheme="minorBidi"/>
                <w:noProof/>
                <w:lang w:val="en-US"/>
              </w:rPr>
              <w:tab/>
            </w:r>
            <w:r w:rsidR="008E74F7" w:rsidRPr="003173A7">
              <w:rPr>
                <w:rStyle w:val="Hyperlink"/>
                <w:b/>
                <w:noProof/>
              </w:rPr>
              <w:t>ЗАЕТОСТ, СОЦИАЛНИ ВЪПРОСИ И ГРАЖДАНСТВО</w:t>
            </w:r>
            <w:r w:rsidR="008E74F7">
              <w:rPr>
                <w:noProof/>
                <w:webHidden/>
              </w:rPr>
              <w:tab/>
            </w:r>
            <w:r w:rsidR="008E74F7">
              <w:rPr>
                <w:noProof/>
                <w:webHidden/>
              </w:rPr>
              <w:fldChar w:fldCharType="begin"/>
            </w:r>
            <w:r w:rsidR="008E74F7">
              <w:rPr>
                <w:noProof/>
                <w:webHidden/>
              </w:rPr>
              <w:instrText xml:space="preserve"> PAGEREF _Toc216959638 \h </w:instrText>
            </w:r>
            <w:r w:rsidR="008E74F7">
              <w:rPr>
                <w:noProof/>
                <w:webHidden/>
              </w:rPr>
            </w:r>
            <w:r w:rsidR="008E74F7">
              <w:rPr>
                <w:noProof/>
                <w:webHidden/>
              </w:rPr>
              <w:fldChar w:fldCharType="separate"/>
            </w:r>
            <w:r>
              <w:rPr>
                <w:noProof/>
                <w:webHidden/>
              </w:rPr>
              <w:t>6</w:t>
            </w:r>
            <w:r w:rsidR="008E74F7">
              <w:rPr>
                <w:noProof/>
                <w:webHidden/>
              </w:rPr>
              <w:fldChar w:fldCharType="end"/>
            </w:r>
          </w:hyperlink>
        </w:p>
        <w:p w14:paraId="7E047382" w14:textId="66694343" w:rsidR="008E74F7" w:rsidRDefault="00413A6F" w:rsidP="008E74F7">
          <w:pPr>
            <w:pStyle w:val="TOC1"/>
            <w:tabs>
              <w:tab w:val="left" w:pos="440"/>
              <w:tab w:val="right" w:leader="dot" w:pos="9063"/>
            </w:tabs>
            <w:ind w:left="440" w:hanging="440"/>
            <w:rPr>
              <w:rFonts w:asciiTheme="minorHAnsi" w:eastAsiaTheme="minorEastAsia" w:hAnsiTheme="minorHAnsi" w:cstheme="minorBidi"/>
              <w:noProof/>
              <w:lang w:val="en-US"/>
            </w:rPr>
          </w:pPr>
          <w:hyperlink w:anchor="_Toc216959643" w:history="1">
            <w:r w:rsidR="008E74F7" w:rsidRPr="003173A7">
              <w:rPr>
                <w:rStyle w:val="Hyperlink"/>
                <w:b/>
                <w:noProof/>
              </w:rPr>
              <w:t>3.</w:t>
            </w:r>
            <w:r w:rsidR="008E74F7">
              <w:rPr>
                <w:rFonts w:asciiTheme="minorHAnsi" w:eastAsiaTheme="minorEastAsia" w:hAnsiTheme="minorHAnsi" w:cstheme="minorBidi"/>
                <w:noProof/>
                <w:lang w:val="en-US"/>
              </w:rPr>
              <w:tab/>
            </w:r>
            <w:r w:rsidR="008E74F7" w:rsidRPr="003173A7">
              <w:rPr>
                <w:rStyle w:val="Hyperlink"/>
                <w:b/>
                <w:noProof/>
              </w:rPr>
              <w:t>ТРАНСПОРТ, ЕНЕРГЕТИКА, ИНФРАСТРУКТУРИ, ИНФОРМАЦИОННО ОБЩЕСТВО</w:t>
            </w:r>
            <w:r w:rsidR="008E74F7">
              <w:rPr>
                <w:noProof/>
                <w:webHidden/>
              </w:rPr>
              <w:tab/>
            </w:r>
            <w:r w:rsidR="008E74F7">
              <w:rPr>
                <w:noProof/>
                <w:webHidden/>
              </w:rPr>
              <w:fldChar w:fldCharType="begin"/>
            </w:r>
            <w:r w:rsidR="008E74F7">
              <w:rPr>
                <w:noProof/>
                <w:webHidden/>
              </w:rPr>
              <w:instrText xml:space="preserve"> PAGEREF _Toc216959643 \h </w:instrText>
            </w:r>
            <w:r w:rsidR="008E74F7">
              <w:rPr>
                <w:noProof/>
                <w:webHidden/>
              </w:rPr>
            </w:r>
            <w:r w:rsidR="008E74F7">
              <w:rPr>
                <w:noProof/>
                <w:webHidden/>
              </w:rPr>
              <w:fldChar w:fldCharType="separate"/>
            </w:r>
            <w:r>
              <w:rPr>
                <w:noProof/>
                <w:webHidden/>
              </w:rPr>
              <w:t>9</w:t>
            </w:r>
            <w:r w:rsidR="008E74F7">
              <w:rPr>
                <w:noProof/>
                <w:webHidden/>
              </w:rPr>
              <w:fldChar w:fldCharType="end"/>
            </w:r>
          </w:hyperlink>
        </w:p>
        <w:p w14:paraId="0BD040A2" w14:textId="751F7C75" w:rsidR="008E74F7" w:rsidRDefault="00413A6F">
          <w:pPr>
            <w:pStyle w:val="TOC1"/>
            <w:tabs>
              <w:tab w:val="left" w:pos="440"/>
              <w:tab w:val="right" w:leader="dot" w:pos="9063"/>
            </w:tabs>
            <w:rPr>
              <w:rFonts w:asciiTheme="minorHAnsi" w:eastAsiaTheme="minorEastAsia" w:hAnsiTheme="minorHAnsi" w:cstheme="minorBidi"/>
              <w:noProof/>
              <w:lang w:val="en-US"/>
            </w:rPr>
          </w:pPr>
          <w:hyperlink w:anchor="_Toc216959644" w:history="1">
            <w:r w:rsidR="008E74F7" w:rsidRPr="003173A7">
              <w:rPr>
                <w:rStyle w:val="Hyperlink"/>
                <w:b/>
                <w:noProof/>
              </w:rPr>
              <w:t>4.</w:t>
            </w:r>
            <w:r w:rsidR="008E74F7">
              <w:rPr>
                <w:rFonts w:asciiTheme="minorHAnsi" w:eastAsiaTheme="minorEastAsia" w:hAnsiTheme="minorHAnsi" w:cstheme="minorBidi"/>
                <w:noProof/>
                <w:lang w:val="en-US"/>
              </w:rPr>
              <w:tab/>
            </w:r>
            <w:r w:rsidR="008E74F7" w:rsidRPr="003173A7">
              <w:rPr>
                <w:rStyle w:val="Hyperlink"/>
                <w:b/>
                <w:noProof/>
              </w:rPr>
              <w:t>ЕДИНЕН ПАЗАР, ПРОИЗВОДСТВО И ПОТРЕБЛЕНИЕ</w:t>
            </w:r>
            <w:r w:rsidR="008E74F7">
              <w:rPr>
                <w:noProof/>
                <w:webHidden/>
              </w:rPr>
              <w:tab/>
            </w:r>
            <w:r w:rsidR="008E74F7">
              <w:rPr>
                <w:noProof/>
                <w:webHidden/>
              </w:rPr>
              <w:fldChar w:fldCharType="begin"/>
            </w:r>
            <w:r w:rsidR="008E74F7">
              <w:rPr>
                <w:noProof/>
                <w:webHidden/>
              </w:rPr>
              <w:instrText xml:space="preserve"> PAGEREF _Toc216959644 \h </w:instrText>
            </w:r>
            <w:r w:rsidR="008E74F7">
              <w:rPr>
                <w:noProof/>
                <w:webHidden/>
              </w:rPr>
            </w:r>
            <w:r w:rsidR="008E74F7">
              <w:rPr>
                <w:noProof/>
                <w:webHidden/>
              </w:rPr>
              <w:fldChar w:fldCharType="separate"/>
            </w:r>
            <w:r>
              <w:rPr>
                <w:noProof/>
                <w:webHidden/>
              </w:rPr>
              <w:t>13</w:t>
            </w:r>
            <w:r w:rsidR="008E74F7">
              <w:rPr>
                <w:noProof/>
                <w:webHidden/>
              </w:rPr>
              <w:fldChar w:fldCharType="end"/>
            </w:r>
          </w:hyperlink>
        </w:p>
        <w:p w14:paraId="4F4C4AD0" w14:textId="3346D170" w:rsidR="008E74F7" w:rsidRDefault="00413A6F">
          <w:pPr>
            <w:pStyle w:val="TOC1"/>
            <w:tabs>
              <w:tab w:val="left" w:pos="440"/>
              <w:tab w:val="right" w:leader="dot" w:pos="9063"/>
            </w:tabs>
            <w:rPr>
              <w:rFonts w:asciiTheme="minorHAnsi" w:eastAsiaTheme="minorEastAsia" w:hAnsiTheme="minorHAnsi" w:cstheme="minorBidi"/>
              <w:noProof/>
              <w:lang w:val="en-US"/>
            </w:rPr>
          </w:pPr>
          <w:hyperlink w:anchor="_Toc216959645" w:history="1">
            <w:r w:rsidR="008E74F7" w:rsidRPr="003173A7">
              <w:rPr>
                <w:rStyle w:val="Hyperlink"/>
                <w:b/>
                <w:noProof/>
              </w:rPr>
              <w:t>5.</w:t>
            </w:r>
            <w:r w:rsidR="008E74F7">
              <w:rPr>
                <w:rFonts w:asciiTheme="minorHAnsi" w:eastAsiaTheme="minorEastAsia" w:hAnsiTheme="minorHAnsi" w:cstheme="minorBidi"/>
                <w:noProof/>
                <w:lang w:val="en-US"/>
              </w:rPr>
              <w:tab/>
            </w:r>
            <w:r w:rsidR="008E74F7" w:rsidRPr="003173A7">
              <w:rPr>
                <w:rStyle w:val="Hyperlink"/>
                <w:b/>
                <w:noProof/>
              </w:rPr>
              <w:t>ЗЕМЕДЕЛИЕ, РАЗВИТИЕ НА СЕЛСКИТЕ РАЙОНИ, ОКОЛНА СРЕДА</w:t>
            </w:r>
            <w:r w:rsidR="008E74F7">
              <w:rPr>
                <w:noProof/>
                <w:webHidden/>
              </w:rPr>
              <w:tab/>
            </w:r>
            <w:r w:rsidR="008E74F7">
              <w:rPr>
                <w:noProof/>
                <w:webHidden/>
              </w:rPr>
              <w:fldChar w:fldCharType="begin"/>
            </w:r>
            <w:r w:rsidR="008E74F7">
              <w:rPr>
                <w:noProof/>
                <w:webHidden/>
              </w:rPr>
              <w:instrText xml:space="preserve"> PAGEREF _Toc216959645 \h </w:instrText>
            </w:r>
            <w:r w:rsidR="008E74F7">
              <w:rPr>
                <w:noProof/>
                <w:webHidden/>
              </w:rPr>
            </w:r>
            <w:r w:rsidR="008E74F7">
              <w:rPr>
                <w:noProof/>
                <w:webHidden/>
              </w:rPr>
              <w:fldChar w:fldCharType="separate"/>
            </w:r>
            <w:r>
              <w:rPr>
                <w:noProof/>
                <w:webHidden/>
              </w:rPr>
              <w:t>18</w:t>
            </w:r>
            <w:r w:rsidR="008E74F7">
              <w:rPr>
                <w:noProof/>
                <w:webHidden/>
              </w:rPr>
              <w:fldChar w:fldCharType="end"/>
            </w:r>
          </w:hyperlink>
        </w:p>
        <w:p w14:paraId="3CDEDDBC" w14:textId="513D493A" w:rsidR="008E74F7" w:rsidRDefault="00413A6F">
          <w:pPr>
            <w:pStyle w:val="TOC1"/>
            <w:tabs>
              <w:tab w:val="left" w:pos="440"/>
              <w:tab w:val="right" w:leader="dot" w:pos="9063"/>
            </w:tabs>
            <w:rPr>
              <w:rFonts w:asciiTheme="minorHAnsi" w:eastAsiaTheme="minorEastAsia" w:hAnsiTheme="minorHAnsi" w:cstheme="minorBidi"/>
              <w:noProof/>
              <w:lang w:val="en-US"/>
            </w:rPr>
          </w:pPr>
          <w:hyperlink w:anchor="_Toc216959646" w:history="1">
            <w:r w:rsidR="008E74F7" w:rsidRPr="003173A7">
              <w:rPr>
                <w:rStyle w:val="Hyperlink"/>
                <w:b/>
                <w:noProof/>
              </w:rPr>
              <w:t>6.</w:t>
            </w:r>
            <w:r w:rsidR="008E74F7">
              <w:rPr>
                <w:rFonts w:asciiTheme="minorHAnsi" w:eastAsiaTheme="minorEastAsia" w:hAnsiTheme="minorHAnsi" w:cstheme="minorBidi"/>
                <w:noProof/>
                <w:lang w:val="en-US"/>
              </w:rPr>
              <w:tab/>
            </w:r>
            <w:r w:rsidR="008E74F7" w:rsidRPr="003173A7">
              <w:rPr>
                <w:rStyle w:val="Hyperlink"/>
                <w:b/>
                <w:noProof/>
              </w:rPr>
              <w:t>ВЪНШНИ ОТНОШЕНИЯ</w:t>
            </w:r>
            <w:r w:rsidR="008E74F7">
              <w:rPr>
                <w:noProof/>
                <w:webHidden/>
              </w:rPr>
              <w:tab/>
            </w:r>
            <w:r w:rsidR="008E74F7">
              <w:rPr>
                <w:noProof/>
                <w:webHidden/>
              </w:rPr>
              <w:fldChar w:fldCharType="begin"/>
            </w:r>
            <w:r w:rsidR="008E74F7">
              <w:rPr>
                <w:noProof/>
                <w:webHidden/>
              </w:rPr>
              <w:instrText xml:space="preserve"> PAGEREF _Toc216959646 \h </w:instrText>
            </w:r>
            <w:r w:rsidR="008E74F7">
              <w:rPr>
                <w:noProof/>
                <w:webHidden/>
              </w:rPr>
            </w:r>
            <w:r w:rsidR="008E74F7">
              <w:rPr>
                <w:noProof/>
                <w:webHidden/>
              </w:rPr>
              <w:fldChar w:fldCharType="separate"/>
            </w:r>
            <w:r>
              <w:rPr>
                <w:noProof/>
                <w:webHidden/>
              </w:rPr>
              <w:t>21</w:t>
            </w:r>
            <w:r w:rsidR="008E74F7">
              <w:rPr>
                <w:noProof/>
                <w:webHidden/>
              </w:rPr>
              <w:fldChar w:fldCharType="end"/>
            </w:r>
          </w:hyperlink>
        </w:p>
        <w:p w14:paraId="4CED5CC6" w14:textId="2636F027" w:rsidR="008E74F7" w:rsidRDefault="00413A6F">
          <w:pPr>
            <w:pStyle w:val="TOC1"/>
            <w:tabs>
              <w:tab w:val="left" w:pos="440"/>
              <w:tab w:val="right" w:leader="dot" w:pos="9063"/>
            </w:tabs>
            <w:rPr>
              <w:rFonts w:asciiTheme="minorHAnsi" w:eastAsiaTheme="minorEastAsia" w:hAnsiTheme="minorHAnsi" w:cstheme="minorBidi"/>
              <w:noProof/>
              <w:lang w:val="en-US"/>
            </w:rPr>
          </w:pPr>
          <w:hyperlink w:anchor="_Toc216959647" w:history="1">
            <w:r w:rsidR="008E74F7" w:rsidRPr="003173A7">
              <w:rPr>
                <w:rStyle w:val="Hyperlink"/>
                <w:b/>
                <w:noProof/>
              </w:rPr>
              <w:t>7.</w:t>
            </w:r>
            <w:r w:rsidR="008E74F7">
              <w:rPr>
                <w:rFonts w:asciiTheme="minorHAnsi" w:eastAsiaTheme="minorEastAsia" w:hAnsiTheme="minorHAnsi" w:cstheme="minorBidi"/>
                <w:noProof/>
                <w:lang w:val="en-US"/>
              </w:rPr>
              <w:tab/>
            </w:r>
            <w:r w:rsidR="008E74F7" w:rsidRPr="003173A7">
              <w:rPr>
                <w:rStyle w:val="Hyperlink"/>
                <w:b/>
                <w:noProof/>
              </w:rPr>
              <w:t>КОНСУЛТАТИВНА КОМИСИЯ ПО ИНДУСТРИАЛНИ ПРОМЕНИ</w:t>
            </w:r>
            <w:r w:rsidR="008E74F7">
              <w:rPr>
                <w:noProof/>
                <w:webHidden/>
              </w:rPr>
              <w:tab/>
            </w:r>
            <w:r w:rsidR="008E74F7">
              <w:rPr>
                <w:noProof/>
                <w:webHidden/>
              </w:rPr>
              <w:fldChar w:fldCharType="begin"/>
            </w:r>
            <w:r w:rsidR="008E74F7">
              <w:rPr>
                <w:noProof/>
                <w:webHidden/>
              </w:rPr>
              <w:instrText xml:space="preserve"> PAGEREF _Toc216959647 \h </w:instrText>
            </w:r>
            <w:r w:rsidR="008E74F7">
              <w:rPr>
                <w:noProof/>
                <w:webHidden/>
              </w:rPr>
            </w:r>
            <w:r w:rsidR="008E74F7">
              <w:rPr>
                <w:noProof/>
                <w:webHidden/>
              </w:rPr>
              <w:fldChar w:fldCharType="separate"/>
            </w:r>
            <w:r>
              <w:rPr>
                <w:noProof/>
                <w:webHidden/>
              </w:rPr>
              <w:t>26</w:t>
            </w:r>
            <w:r w:rsidR="008E74F7">
              <w:rPr>
                <w:noProof/>
                <w:webHidden/>
              </w:rPr>
              <w:fldChar w:fldCharType="end"/>
            </w:r>
          </w:hyperlink>
        </w:p>
        <w:p w14:paraId="4982DD6A" w14:textId="490CEBD9"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6959637"/>
      <w:r>
        <w:rPr>
          <w:b/>
        </w:rPr>
        <w:lastRenderedPageBreak/>
        <w:t>ИКОНОМИЧЕСКИ И ПАРИЧЕН СЪЮЗ, ИКОНОМИЧЕСКО И СОЦИАЛНО СБЛИЖАВАНЕ</w:t>
      </w:r>
      <w:bookmarkEnd w:id="0"/>
    </w:p>
    <w:p w14:paraId="4982DD6E" w14:textId="77777777" w:rsidR="004D7AC0" w:rsidRDefault="004D7AC0" w:rsidP="004D7AC0"/>
    <w:p w14:paraId="7E506423" w14:textId="53FA5C5C" w:rsidR="00612898" w:rsidRPr="00612898" w:rsidRDefault="00413A6F"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EB4F20">
          <w:rPr>
            <w:b/>
            <w:i/>
            <w:color w:val="0000FF"/>
            <w:sz w:val="28"/>
            <w:u w:val="single"/>
          </w:rPr>
          <w:t>„Изпълнение на макрорегионалните стратегии на ЕС — 5</w:t>
        </w:r>
        <w:r w:rsidR="008E74F7">
          <w:rPr>
            <w:b/>
            <w:i/>
            <w:color w:val="0000FF"/>
            <w:sz w:val="28"/>
            <w:u w:val="single"/>
          </w:rPr>
          <w:noBreakHyphen/>
        </w:r>
        <w:r w:rsidR="00EB4F20">
          <w:rPr>
            <w:b/>
            <w:i/>
            <w:color w:val="0000FF"/>
            <w:sz w:val="28"/>
            <w:u w:val="single"/>
          </w:rPr>
          <w:t>и</w:t>
        </w:r>
        <w:r w:rsidR="008E74F7">
          <w:rPr>
            <w:b/>
            <w:i/>
            <w:color w:val="0000FF"/>
            <w:sz w:val="28"/>
            <w:u w:val="single"/>
          </w:rPr>
          <w:t> </w:t>
        </w:r>
        <w:r w:rsidR="00EB4F20">
          <w:rPr>
            <w:b/>
            <w:i/>
            <w:color w:val="0000FF"/>
            <w:sz w:val="28"/>
            <w:u w:val="single"/>
          </w:rPr>
          <w:t>доклад“</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612898" w:rsidRPr="00612898" w14:paraId="05AE56A5" w14:textId="77777777" w:rsidTr="00830737">
        <w:tc>
          <w:tcPr>
            <w:tcW w:w="2235" w:type="dxa"/>
          </w:tcPr>
          <w:p w14:paraId="46E62AEA" w14:textId="4D9A6208" w:rsidR="00612898" w:rsidRPr="00830737" w:rsidRDefault="00612898" w:rsidP="00054C58">
            <w:pPr>
              <w:tabs>
                <w:tab w:val="center" w:pos="284"/>
              </w:tabs>
              <w:overflowPunct w:val="0"/>
              <w:autoSpaceDE w:val="0"/>
              <w:autoSpaceDN w:val="0"/>
              <w:adjustRightInd w:val="0"/>
              <w:ind w:left="266" w:hanging="376"/>
              <w:textAlignment w:val="baseline"/>
              <w:rPr>
                <w:b/>
                <w:lang w:val="en-GB"/>
              </w:rPr>
            </w:pPr>
            <w:r>
              <w:rPr>
                <w:b/>
              </w:rPr>
              <w:t>Докладчик</w:t>
            </w:r>
            <w:r w:rsidR="00830737">
              <w:rPr>
                <w:b/>
                <w:lang w:val="en-GB"/>
              </w:rPr>
              <w:t>:</w:t>
            </w:r>
          </w:p>
        </w:tc>
        <w:tc>
          <w:tcPr>
            <w:tcW w:w="7087" w:type="dxa"/>
          </w:tcPr>
          <w:p w14:paraId="28CBAA45" w14:textId="4453529C" w:rsidR="00612898" w:rsidRDefault="00612898">
            <w:pPr>
              <w:tabs>
                <w:tab w:val="center" w:pos="284"/>
              </w:tabs>
              <w:overflowPunct w:val="0"/>
              <w:autoSpaceDE w:val="0"/>
              <w:autoSpaceDN w:val="0"/>
              <w:adjustRightInd w:val="0"/>
              <w:ind w:left="266" w:hanging="376"/>
              <w:textAlignment w:val="baseline"/>
            </w:pPr>
            <w:r>
              <w:t>Stefano PALMIERI (група „Работници“ —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830737">
        <w:tc>
          <w:tcPr>
            <w:tcW w:w="2235"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Отправни документи:</w:t>
            </w:r>
          </w:p>
        </w:tc>
        <w:tc>
          <w:tcPr>
            <w:tcW w:w="7087" w:type="dxa"/>
          </w:tcPr>
          <w:p w14:paraId="58F0DB08" w14:textId="4B9508DB" w:rsidR="00896BC8" w:rsidRDefault="00612898">
            <w:pPr>
              <w:tabs>
                <w:tab w:val="center" w:pos="284"/>
              </w:tabs>
              <w:overflowPunct w:val="0"/>
              <w:autoSpaceDE w:val="0"/>
              <w:autoSpaceDN w:val="0"/>
              <w:adjustRightInd w:val="0"/>
              <w:ind w:left="266" w:hanging="376"/>
              <w:textAlignment w:val="baseline"/>
            </w:pPr>
            <w:r>
              <w:t>COM(2025) 191 final</w:t>
            </w:r>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COM(2025) 196 final</w:t>
            </w:r>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Основни аспекти</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0E1234AC" w14:textId="77777777" w:rsidR="00612898" w:rsidRDefault="00612898" w:rsidP="00612898">
      <w:pPr>
        <w:overflowPunct w:val="0"/>
        <w:autoSpaceDE w:val="0"/>
        <w:autoSpaceDN w:val="0"/>
        <w:adjustRightInd w:val="0"/>
        <w:textAlignment w:val="baseline"/>
        <w:rPr>
          <w:bCs/>
          <w:iCs/>
        </w:rPr>
      </w:pPr>
      <w:r>
        <w:t>ЕИСК:</w:t>
      </w:r>
    </w:p>
    <w:p w14:paraId="1B6220CA" w14:textId="77777777" w:rsidR="004A6CE5" w:rsidRPr="00612898" w:rsidRDefault="004A6CE5" w:rsidP="00612898">
      <w:pPr>
        <w:overflowPunct w:val="0"/>
        <w:autoSpaceDE w:val="0"/>
        <w:autoSpaceDN w:val="0"/>
        <w:adjustRightInd w:val="0"/>
        <w:textAlignment w:val="baseline"/>
        <w:rPr>
          <w:bCs/>
          <w:iCs/>
          <w:lang w:val="en-GB"/>
        </w:rPr>
      </w:pPr>
    </w:p>
    <w:p w14:paraId="6B7B575D" w14:textId="56DFD5EB" w:rsidR="00612898" w:rsidRPr="00612898" w:rsidRDefault="00612898" w:rsidP="00054C58">
      <w:pPr>
        <w:numPr>
          <w:ilvl w:val="0"/>
          <w:numId w:val="18"/>
        </w:numPr>
        <w:overflowPunct w:val="0"/>
        <w:autoSpaceDE w:val="0"/>
        <w:autoSpaceDN w:val="0"/>
        <w:adjustRightInd w:val="0"/>
        <w:contextualSpacing/>
        <w:textAlignment w:val="baseline"/>
        <w:rPr>
          <w:szCs w:val="20"/>
        </w:rPr>
      </w:pPr>
      <w:r>
        <w:t>признава ролята на макрорегионалните стратегии (МРС) за създаването на многостепенни синергии между политиките, програмите и участниците. Те подкрепиха екологичния и цифровия преход и развиха важен капацитет за устойчивост и солидарност по време на пандемията и текущите кризи;</w:t>
      </w:r>
    </w:p>
    <w:p w14:paraId="75D3836B" w14:textId="641E7E0C" w:rsidR="00612898" w:rsidRPr="00612898" w:rsidRDefault="00612898" w:rsidP="00054C58">
      <w:pPr>
        <w:numPr>
          <w:ilvl w:val="0"/>
          <w:numId w:val="18"/>
        </w:numPr>
        <w:overflowPunct w:val="0"/>
        <w:autoSpaceDE w:val="0"/>
        <w:autoSpaceDN w:val="0"/>
        <w:adjustRightInd w:val="0"/>
        <w:contextualSpacing/>
        <w:textAlignment w:val="baseline"/>
        <w:rPr>
          <w:szCs w:val="20"/>
        </w:rPr>
      </w:pPr>
      <w:r>
        <w:t>призовава за укрепване на вертикалното и хоризонталното многостепенно управление чрез гарантиране на участието на местните структури;</w:t>
      </w:r>
    </w:p>
    <w:p w14:paraId="4E658ACB" w14:textId="00D67EDC" w:rsidR="00612898" w:rsidRPr="00612898" w:rsidRDefault="00612898" w:rsidP="00054C58">
      <w:pPr>
        <w:numPr>
          <w:ilvl w:val="0"/>
          <w:numId w:val="18"/>
        </w:numPr>
        <w:overflowPunct w:val="0"/>
        <w:autoSpaceDE w:val="0"/>
        <w:autoSpaceDN w:val="0"/>
        <w:adjustRightInd w:val="0"/>
        <w:contextualSpacing/>
        <w:textAlignment w:val="baseline"/>
        <w:rPr>
          <w:szCs w:val="20"/>
        </w:rPr>
      </w:pPr>
      <w:r>
        <w:t>приветства процесите на преразглеждане и призовава за укрепване на социалното измерение, гражданското участие (включително младежта) и междурегионалното сътрудничество. МРС трябва да служат като лаборатории за социално приобщаване и иновации, като подкрепят екологичното данъчно облагане и човешкия капитал;</w:t>
      </w:r>
    </w:p>
    <w:p w14:paraId="288A6F61" w14:textId="77777777" w:rsidR="00612898" w:rsidRPr="00612898" w:rsidRDefault="00612898" w:rsidP="00054C58">
      <w:pPr>
        <w:numPr>
          <w:ilvl w:val="0"/>
          <w:numId w:val="18"/>
        </w:numPr>
        <w:overflowPunct w:val="0"/>
        <w:autoSpaceDE w:val="0"/>
        <w:autoSpaceDN w:val="0"/>
        <w:adjustRightInd w:val="0"/>
        <w:contextualSpacing/>
        <w:textAlignment w:val="baseline"/>
        <w:rPr>
          <w:szCs w:val="20"/>
        </w:rPr>
      </w:pPr>
      <w:r>
        <w:t>отбелязва резултатите от МРС за региона на Балтийско море (EUSBSR), която насърчава устойчивостта и връзките в Балтийско море. Прегледът от 2021 г., заедно със Звеното за стратегията за региона на Балтийско море, засили сътрудничеството и управлението. Въпреки че отношенията с Русия и Беларус бяха преустановени, стратегията остава в сила;</w:t>
      </w:r>
    </w:p>
    <w:p w14:paraId="61DFA9B6" w14:textId="3FCD71FF" w:rsidR="00612898" w:rsidRPr="00612898" w:rsidRDefault="00612898" w:rsidP="00054C58">
      <w:pPr>
        <w:numPr>
          <w:ilvl w:val="0"/>
          <w:numId w:val="18"/>
        </w:numPr>
        <w:overflowPunct w:val="0"/>
        <w:autoSpaceDE w:val="0"/>
        <w:autoSpaceDN w:val="0"/>
        <w:adjustRightInd w:val="0"/>
        <w:contextualSpacing/>
        <w:textAlignment w:val="baseline"/>
        <w:rPr>
          <w:szCs w:val="20"/>
        </w:rPr>
      </w:pPr>
      <w:r>
        <w:t>подчертава напредъка на МРС за река Дунав (EUSDR). Прегледът от 2020 г. засили съгласуваността с приоритетите на ЕС и участието на младите хора, макар и с неравенства и неравномерен политически ангажимент. Председателствата дадоха нов тласък на иновациите и управлението;</w:t>
      </w:r>
    </w:p>
    <w:p w14:paraId="5C7EA446" w14:textId="479B26B1" w:rsidR="00612898" w:rsidRPr="00612898" w:rsidRDefault="00612898" w:rsidP="00054C58">
      <w:pPr>
        <w:numPr>
          <w:ilvl w:val="0"/>
          <w:numId w:val="18"/>
        </w:numPr>
        <w:overflowPunct w:val="0"/>
        <w:autoSpaceDE w:val="0"/>
        <w:autoSpaceDN w:val="0"/>
        <w:adjustRightInd w:val="0"/>
        <w:contextualSpacing/>
        <w:textAlignment w:val="baseline"/>
        <w:rPr>
          <w:szCs w:val="20"/>
        </w:rPr>
      </w:pPr>
      <w:r>
        <w:t>подчертава резултатите от МРС за региона на Адриатическо и Йонийско море (EUSAIR), която наскоро актуализира плана за действие, като въведе пети социален стълб. Стратегията интегрира разширяването, кръговата икономика и цифровизацията, като укрепва партньорствата и устойчивостта;</w:t>
      </w:r>
    </w:p>
    <w:p w14:paraId="0171069F" w14:textId="26283E8D" w:rsidR="00612898" w:rsidRPr="00612898" w:rsidRDefault="00612898" w:rsidP="00054C58">
      <w:pPr>
        <w:numPr>
          <w:ilvl w:val="0"/>
          <w:numId w:val="18"/>
        </w:numPr>
        <w:overflowPunct w:val="0"/>
        <w:autoSpaceDE w:val="0"/>
        <w:autoSpaceDN w:val="0"/>
        <w:adjustRightInd w:val="0"/>
        <w:contextualSpacing/>
        <w:textAlignment w:val="baseline"/>
        <w:rPr>
          <w:szCs w:val="20"/>
        </w:rPr>
      </w:pPr>
      <w:r>
        <w:t>приветства МРС за Алпите (EUSALP), която засили сътрудничеството и стабилното управление, отваряйки се за трети държави. Преразглеждането включва приоритети в областта на цифровизацията, енергетиката, водите и кръговата икономика;</w:t>
      </w:r>
    </w:p>
    <w:p w14:paraId="6817B888" w14:textId="70F4706D" w:rsidR="00612898" w:rsidRPr="00612898" w:rsidRDefault="00612898" w:rsidP="00054C58">
      <w:pPr>
        <w:numPr>
          <w:ilvl w:val="0"/>
          <w:numId w:val="18"/>
        </w:numPr>
        <w:overflowPunct w:val="0"/>
        <w:autoSpaceDE w:val="0"/>
        <w:autoSpaceDN w:val="0"/>
        <w:adjustRightInd w:val="0"/>
        <w:contextualSpacing/>
        <w:textAlignment w:val="baseline"/>
        <w:rPr>
          <w:szCs w:val="20"/>
        </w:rPr>
      </w:pPr>
      <w:r>
        <w:t>отбелязва, че разширяването към Западните Балкани, Украйна и Молдова е стратегически приоритет и че МРС имат потенциал за укрепване на сътрудничеството и институционалния капацитет;</w:t>
      </w:r>
    </w:p>
    <w:p w14:paraId="710F3124" w14:textId="6C89F131" w:rsidR="00612898" w:rsidRPr="00612898" w:rsidRDefault="00612898" w:rsidP="00054C58">
      <w:pPr>
        <w:numPr>
          <w:ilvl w:val="0"/>
          <w:numId w:val="18"/>
        </w:numPr>
        <w:overflowPunct w:val="0"/>
        <w:autoSpaceDE w:val="0"/>
        <w:autoSpaceDN w:val="0"/>
        <w:adjustRightInd w:val="0"/>
        <w:contextualSpacing/>
        <w:textAlignment w:val="baseline"/>
        <w:rPr>
          <w:szCs w:val="20"/>
        </w:rPr>
      </w:pPr>
      <w:r>
        <w:lastRenderedPageBreak/>
        <w:t>отбелязва, че военната агресия на Русия срещу Украйна потвърди ролята на МРС като инструменти за солидарност и устойчивост;</w:t>
      </w:r>
    </w:p>
    <w:p w14:paraId="6EDD216B" w14:textId="02F6DEB7" w:rsidR="00612898" w:rsidRPr="00612898" w:rsidRDefault="00612898" w:rsidP="00054C58">
      <w:pPr>
        <w:numPr>
          <w:ilvl w:val="0"/>
          <w:numId w:val="18"/>
        </w:numPr>
        <w:overflowPunct w:val="0"/>
        <w:autoSpaceDE w:val="0"/>
        <w:autoSpaceDN w:val="0"/>
        <w:adjustRightInd w:val="0"/>
        <w:contextualSpacing/>
        <w:textAlignment w:val="baseline"/>
        <w:rPr>
          <w:szCs w:val="20"/>
        </w:rPr>
      </w:pPr>
      <w:r>
        <w:t>счита, че ориентираният към местните условия подход на МРС е от основно значение, предвид факта, че той адаптира европейските приоритети към териториалните особености и насърчава сближаването чрез инструменти като ВОМР и иновативни инициативи за насърчаване на гражданското участие и участието на младите хора;</w:t>
      </w:r>
    </w:p>
    <w:p w14:paraId="34580314" w14:textId="53CAB3F9" w:rsidR="00612898" w:rsidRPr="00612898" w:rsidRDefault="00612898" w:rsidP="00054C58">
      <w:pPr>
        <w:numPr>
          <w:ilvl w:val="0"/>
          <w:numId w:val="18"/>
        </w:numPr>
        <w:overflowPunct w:val="0"/>
        <w:autoSpaceDE w:val="0"/>
        <w:autoSpaceDN w:val="0"/>
        <w:adjustRightInd w:val="0"/>
        <w:contextualSpacing/>
        <w:textAlignment w:val="baseline"/>
        <w:rPr>
          <w:szCs w:val="20"/>
        </w:rPr>
      </w:pPr>
      <w:r>
        <w:t>призовава за укрепване на управлението и финансирането, като приоритетите на МРС се интегрират в ключови програми на ЕС. Необходимо е да се засилят местните умения, партньорствата и активното участие на гражданското общество и младите хора;</w:t>
      </w:r>
    </w:p>
    <w:p w14:paraId="2F7ADDD3" w14:textId="226738B8" w:rsidR="00612898" w:rsidRPr="00612898" w:rsidRDefault="003C16C3" w:rsidP="00054C58">
      <w:pPr>
        <w:numPr>
          <w:ilvl w:val="0"/>
          <w:numId w:val="18"/>
        </w:numPr>
        <w:overflowPunct w:val="0"/>
        <w:autoSpaceDE w:val="0"/>
        <w:autoSpaceDN w:val="0"/>
        <w:adjustRightInd w:val="0"/>
        <w:contextualSpacing/>
        <w:textAlignment w:val="baseline"/>
        <w:rPr>
          <w:szCs w:val="20"/>
        </w:rPr>
      </w:pPr>
      <w:r>
        <w:t>счита, че новата МФР (за периода 2028—2034 г.) създава рискове за правилното функциониране на МРС. Поради това е от ключово значение приоритетите относно МРС да бъдат включени в плановете за партньорство;</w:t>
      </w:r>
    </w:p>
    <w:p w14:paraId="179CAD0A" w14:textId="6CF7AC7B" w:rsidR="00612898" w:rsidRPr="00612898" w:rsidRDefault="00612898" w:rsidP="00054C58">
      <w:pPr>
        <w:numPr>
          <w:ilvl w:val="0"/>
          <w:numId w:val="18"/>
        </w:numPr>
        <w:overflowPunct w:val="0"/>
        <w:autoSpaceDE w:val="0"/>
        <w:autoSpaceDN w:val="0"/>
        <w:adjustRightInd w:val="0"/>
        <w:contextualSpacing/>
        <w:textAlignment w:val="baseline"/>
        <w:rPr>
          <w:szCs w:val="20"/>
        </w:rPr>
      </w:pPr>
      <w:r>
        <w:t>подчертава необходимостта от прозрачно, отговорно и некорумпирано управление в институциите, участващи в МРС;</w:t>
      </w:r>
    </w:p>
    <w:p w14:paraId="70A713C0" w14:textId="77777777" w:rsidR="00612898" w:rsidRPr="00612898" w:rsidRDefault="00612898" w:rsidP="00054C58">
      <w:pPr>
        <w:numPr>
          <w:ilvl w:val="0"/>
          <w:numId w:val="18"/>
        </w:numPr>
        <w:overflowPunct w:val="0"/>
        <w:autoSpaceDE w:val="0"/>
        <w:autoSpaceDN w:val="0"/>
        <w:adjustRightInd w:val="0"/>
        <w:contextualSpacing/>
        <w:textAlignment w:val="baseline"/>
        <w:rPr>
          <w:bCs/>
          <w:iCs/>
        </w:rPr>
      </w:pPr>
      <w:r>
        <w:t>призовава за създаването на нов макрорегион в Средиземноморието, за да се отговори на общите предизвикателства като изменението на климата, миграционните потоци, енергийния преход и устойчивостта на синята икономика.</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71"/>
      </w:tblGrid>
      <w:tr w:rsidR="00612898" w:rsidRPr="00612898" w14:paraId="242A4532" w14:textId="77777777" w:rsidTr="00830737">
        <w:tc>
          <w:tcPr>
            <w:tcW w:w="1951" w:type="dxa"/>
          </w:tcPr>
          <w:p w14:paraId="21DFEBB5" w14:textId="77777777" w:rsidR="00612898" w:rsidRPr="00612898" w:rsidRDefault="00612898" w:rsidP="00612898">
            <w:pPr>
              <w:overflowPunct w:val="0"/>
              <w:autoSpaceDE w:val="0"/>
              <w:autoSpaceDN w:val="0"/>
              <w:adjustRightInd w:val="0"/>
              <w:textAlignment w:val="baseline"/>
              <w:rPr>
                <w:i/>
              </w:rPr>
            </w:pPr>
            <w:r>
              <w:rPr>
                <w:b/>
                <w:i/>
              </w:rPr>
              <w:t>За контакт</w:t>
            </w:r>
          </w:p>
        </w:tc>
        <w:tc>
          <w:tcPr>
            <w:tcW w:w="7371" w:type="dxa"/>
          </w:tcPr>
          <w:p w14:paraId="26624CD5" w14:textId="0E28249F" w:rsidR="00612898" w:rsidRPr="00612898" w:rsidRDefault="00612898" w:rsidP="00612898">
            <w:pPr>
              <w:overflowPunct w:val="0"/>
              <w:autoSpaceDE w:val="0"/>
              <w:autoSpaceDN w:val="0"/>
              <w:adjustRightInd w:val="0"/>
              <w:textAlignment w:val="baseline"/>
              <w:rPr>
                <w:i/>
              </w:rPr>
            </w:pPr>
            <w:r>
              <w:rPr>
                <w:i/>
              </w:rPr>
              <w:t>Georgios Meleas</w:t>
            </w:r>
          </w:p>
        </w:tc>
      </w:tr>
      <w:tr w:rsidR="00612898" w:rsidRPr="00612898" w14:paraId="169FB5DD" w14:textId="77777777" w:rsidTr="00830737">
        <w:tc>
          <w:tcPr>
            <w:tcW w:w="1951" w:type="dxa"/>
          </w:tcPr>
          <w:p w14:paraId="04AD6363" w14:textId="77777777" w:rsidR="00612898" w:rsidRPr="00612898" w:rsidRDefault="00612898" w:rsidP="00612898">
            <w:pPr>
              <w:overflowPunct w:val="0"/>
              <w:autoSpaceDE w:val="0"/>
              <w:autoSpaceDN w:val="0"/>
              <w:adjustRightInd w:val="0"/>
              <w:textAlignment w:val="baseline"/>
              <w:rPr>
                <w:i/>
              </w:rPr>
            </w:pPr>
            <w:r>
              <w:rPr>
                <w:i/>
              </w:rPr>
              <w:t>Тел</w:t>
            </w:r>
            <w:r>
              <w:rPr>
                <w:i/>
                <w:iCs/>
              </w:rPr>
              <w:t>.</w:t>
            </w:r>
          </w:p>
        </w:tc>
        <w:tc>
          <w:tcPr>
            <w:tcW w:w="7371" w:type="dxa"/>
          </w:tcPr>
          <w:p w14:paraId="0ACA86BD" w14:textId="574C92AA" w:rsidR="00612898" w:rsidRPr="00612898" w:rsidRDefault="00612898" w:rsidP="00612898">
            <w:pPr>
              <w:overflowPunct w:val="0"/>
              <w:autoSpaceDE w:val="0"/>
              <w:autoSpaceDN w:val="0"/>
              <w:adjustRightInd w:val="0"/>
              <w:textAlignment w:val="baseline"/>
              <w:rPr>
                <w:i/>
              </w:rPr>
            </w:pPr>
            <w:r>
              <w:rPr>
                <w:i/>
              </w:rPr>
              <w:t>+32 25469795</w:t>
            </w:r>
          </w:p>
        </w:tc>
      </w:tr>
      <w:tr w:rsidR="00612898" w:rsidRPr="00612898" w14:paraId="74BB4CF2" w14:textId="77777777" w:rsidTr="00830737">
        <w:tc>
          <w:tcPr>
            <w:tcW w:w="1951" w:type="dxa"/>
          </w:tcPr>
          <w:p w14:paraId="0810916A" w14:textId="77777777" w:rsidR="00612898" w:rsidRPr="00612898" w:rsidRDefault="00612898" w:rsidP="00612898">
            <w:pPr>
              <w:overflowPunct w:val="0"/>
              <w:autoSpaceDE w:val="0"/>
              <w:autoSpaceDN w:val="0"/>
              <w:adjustRightInd w:val="0"/>
              <w:textAlignment w:val="baseline"/>
              <w:rPr>
                <w:i/>
              </w:rPr>
            </w:pPr>
            <w:r>
              <w:rPr>
                <w:i/>
              </w:rPr>
              <w:t>Eлектронен адрес</w:t>
            </w:r>
          </w:p>
        </w:tc>
        <w:tc>
          <w:tcPr>
            <w:tcW w:w="7371" w:type="dxa"/>
          </w:tcPr>
          <w:p w14:paraId="7EA756D6" w14:textId="77777777" w:rsidR="00612898" w:rsidRPr="00612898" w:rsidRDefault="00413A6F" w:rsidP="00612898">
            <w:pPr>
              <w:overflowPunct w:val="0"/>
              <w:autoSpaceDE w:val="0"/>
              <w:autoSpaceDN w:val="0"/>
              <w:adjustRightInd w:val="0"/>
              <w:textAlignment w:val="baseline"/>
              <w:rPr>
                <w:i/>
                <w:iCs/>
              </w:rPr>
            </w:pPr>
            <w:hyperlink r:id="rId21" w:history="1">
              <w:r w:rsidR="00EB4F20">
                <w:rPr>
                  <w:i/>
                  <w:color w:val="0000FF"/>
                  <w:u w:val="single"/>
                </w:rPr>
                <w:t>Georgios.Meleas@eesc.europa.eu</w:t>
              </w:r>
            </w:hyperlink>
          </w:p>
        </w:tc>
      </w:tr>
    </w:tbl>
    <w:p w14:paraId="4982DD96" w14:textId="77777777" w:rsidR="004D7AC0" w:rsidRDefault="004D7AC0" w:rsidP="004D7AC0">
      <w:pPr>
        <w:pStyle w:val="ListParagraph"/>
        <w:ind w:left="0"/>
      </w:pPr>
    </w:p>
    <w:p w14:paraId="4B3225FD" w14:textId="69ABDE54" w:rsidR="00C82E34" w:rsidRPr="00C82E34" w:rsidRDefault="00612898" w:rsidP="00054C58">
      <w:pPr>
        <w:spacing w:after="160" w:line="259" w:lineRule="auto"/>
        <w:jc w:val="left"/>
        <w:rPr>
          <w:b/>
          <w:i/>
          <w:iCs/>
          <w:sz w:val="28"/>
          <w:szCs w:val="28"/>
        </w:rPr>
      </w:pPr>
      <w:r>
        <w:br w:type="page"/>
      </w:r>
      <w:hyperlink r:id="rId22" w:history="1">
        <w:r>
          <w:rPr>
            <w:b/>
            <w:i/>
            <w:color w:val="0000FF"/>
            <w:sz w:val="28"/>
            <w:u w:val="single"/>
          </w:rPr>
          <w:t>„Създаване на Европейския фонд за регионално развитие, включително за европейско териториално сътрудничество (Interreg) и Кохезионния фонд“</w:t>
        </w:r>
      </w:hyperlink>
    </w:p>
    <w:p w14:paraId="5DE846E1" w14:textId="77777777" w:rsidR="00C82E34" w:rsidRPr="00C82E34"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46"/>
      </w:tblGrid>
      <w:tr w:rsidR="00C82E34" w:rsidRPr="00C82E34" w14:paraId="2D50146C" w14:textId="77777777" w:rsidTr="00830737">
        <w:tc>
          <w:tcPr>
            <w:tcW w:w="2376" w:type="dxa"/>
          </w:tcPr>
          <w:p w14:paraId="32F41C20" w14:textId="46B61F4C" w:rsidR="00C82E34" w:rsidRPr="00830737" w:rsidRDefault="00C82E34" w:rsidP="00C82E34">
            <w:pPr>
              <w:tabs>
                <w:tab w:val="center" w:pos="284"/>
              </w:tabs>
              <w:overflowPunct w:val="0"/>
              <w:autoSpaceDE w:val="0"/>
              <w:autoSpaceDN w:val="0"/>
              <w:adjustRightInd w:val="0"/>
              <w:ind w:left="266" w:hanging="266"/>
              <w:textAlignment w:val="baseline"/>
              <w:rPr>
                <w:b/>
                <w:lang w:val="en-GB"/>
              </w:rPr>
            </w:pPr>
            <w:r>
              <w:rPr>
                <w:b/>
              </w:rPr>
              <w:t>Докладчик</w:t>
            </w:r>
          </w:p>
        </w:tc>
        <w:tc>
          <w:tcPr>
            <w:tcW w:w="6946" w:type="dxa"/>
          </w:tcPr>
          <w:p w14:paraId="297CD7E5" w14:textId="017D2306" w:rsidR="00C82E34" w:rsidRDefault="00C82E34" w:rsidP="00C82E34">
            <w:pPr>
              <w:tabs>
                <w:tab w:val="center" w:pos="284"/>
              </w:tabs>
              <w:overflowPunct w:val="0"/>
              <w:autoSpaceDE w:val="0"/>
              <w:autoSpaceDN w:val="0"/>
              <w:adjustRightInd w:val="0"/>
              <w:ind w:left="266" w:hanging="266"/>
              <w:textAlignment w:val="baseline"/>
            </w:pPr>
            <w:r>
              <w:t>David SVENTEK (група „Работодатели“ — CZ)</w:t>
            </w:r>
          </w:p>
          <w:p w14:paraId="59E7D12A" w14:textId="53E0EAA6" w:rsidR="00446882" w:rsidRPr="00C82E34" w:rsidRDefault="00446882" w:rsidP="00C82E34">
            <w:pPr>
              <w:tabs>
                <w:tab w:val="center" w:pos="284"/>
              </w:tabs>
              <w:overflowPunct w:val="0"/>
              <w:autoSpaceDE w:val="0"/>
              <w:autoSpaceDN w:val="0"/>
              <w:adjustRightInd w:val="0"/>
              <w:ind w:left="266" w:hanging="266"/>
              <w:textAlignment w:val="baseline"/>
              <w:rPr>
                <w:bCs/>
              </w:rPr>
            </w:pPr>
          </w:p>
        </w:tc>
      </w:tr>
      <w:tr w:rsidR="00C82E34" w:rsidRPr="00C82E34" w14:paraId="4B15388C" w14:textId="77777777" w:rsidTr="00830737">
        <w:tc>
          <w:tcPr>
            <w:tcW w:w="2376" w:type="dxa"/>
          </w:tcPr>
          <w:p w14:paraId="742C36BE" w14:textId="53DB7356" w:rsidR="00C82E34" w:rsidRPr="00830737" w:rsidRDefault="00C82E34" w:rsidP="00C82E34">
            <w:pPr>
              <w:tabs>
                <w:tab w:val="center" w:pos="284"/>
              </w:tabs>
              <w:overflowPunct w:val="0"/>
              <w:autoSpaceDE w:val="0"/>
              <w:autoSpaceDN w:val="0"/>
              <w:adjustRightInd w:val="0"/>
              <w:ind w:left="266" w:hanging="266"/>
              <w:textAlignment w:val="baseline"/>
              <w:rPr>
                <w:b/>
                <w:lang w:val="en-GB"/>
              </w:rPr>
            </w:pPr>
            <w:r>
              <w:rPr>
                <w:b/>
              </w:rPr>
              <w:t>Отправни документи</w:t>
            </w:r>
          </w:p>
        </w:tc>
        <w:tc>
          <w:tcPr>
            <w:tcW w:w="6946"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pPr>
            <w:r>
              <w:t>COM(2025) 552 final</w:t>
            </w:r>
          </w:p>
          <w:p w14:paraId="43B9D460" w14:textId="38B53CE0" w:rsidR="00C82E34" w:rsidRPr="00C82E34" w:rsidRDefault="00C82E34" w:rsidP="00C82E34">
            <w:pPr>
              <w:tabs>
                <w:tab w:val="center" w:pos="284"/>
              </w:tabs>
              <w:overflowPunct w:val="0"/>
              <w:autoSpaceDE w:val="0"/>
              <w:autoSpaceDN w:val="0"/>
              <w:adjustRightInd w:val="0"/>
              <w:ind w:left="266" w:hanging="266"/>
              <w:textAlignment w:val="baseline"/>
            </w:pPr>
            <w:r>
              <w:t>EESC-2025-03305-00-00-AC</w:t>
            </w: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rPr>
      </w:pPr>
      <w:r>
        <w:rPr>
          <w:b/>
        </w:rPr>
        <w:t>Основни аспекти</w:t>
      </w:r>
    </w:p>
    <w:p w14:paraId="61DEFF14" w14:textId="77777777" w:rsidR="00C2078A" w:rsidRPr="00C82E34" w:rsidRDefault="00C2078A" w:rsidP="00C82E34">
      <w:pPr>
        <w:keepNext/>
        <w:keepLines/>
        <w:tabs>
          <w:tab w:val="center" w:pos="284"/>
        </w:tabs>
        <w:overflowPunct w:val="0"/>
        <w:autoSpaceDE w:val="0"/>
        <w:autoSpaceDN w:val="0"/>
        <w:adjustRightInd w:val="0"/>
        <w:spacing w:before="120"/>
        <w:ind w:left="266" w:hanging="266"/>
        <w:textAlignment w:val="baseline"/>
        <w:rPr>
          <w:b/>
          <w:lang w:val="en-GB"/>
        </w:rPr>
      </w:pPr>
    </w:p>
    <w:p w14:paraId="61D96179" w14:textId="77777777" w:rsidR="00C82E34" w:rsidRDefault="00C82E34" w:rsidP="00C82E34">
      <w:pPr>
        <w:overflowPunct w:val="0"/>
        <w:autoSpaceDE w:val="0"/>
        <w:autoSpaceDN w:val="0"/>
        <w:adjustRightInd w:val="0"/>
        <w:textAlignment w:val="baseline"/>
        <w:rPr>
          <w:bCs/>
          <w:iCs/>
        </w:rPr>
      </w:pPr>
      <w:r>
        <w:t>ЕИСК:</w:t>
      </w:r>
    </w:p>
    <w:p w14:paraId="6B7D5112"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подчертава, че необходимостта от намаляване на регионалните и териториалните различия остава един от ключовите приоритети на интеграцията на ЕС и че използването на традиционни, доказани и ефективни инструменти на политиката на сближаване е правилният път напред за подпомагане на устойчив просперитет във всички региони на ЕС;</w:t>
      </w:r>
    </w:p>
    <w:p w14:paraId="419C11E1"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препоръчва да се изясни ролята на ЕФРР и на Кохезионния фонд в рамките на Фонда за националните и регионалните партньорства (ФНРП) не само чрез общи и специфични цели, но и чрез конкретно разглеждане на този въпрос в регламента. Би приветствал по-подробно разработване и допълване на проекта на регламент, за който се отнася настоящото становище, най-малко с приложение, в което да се предлагат насоки за ефективно интегриране във ФНРП на ЕФРР и Кохезионния фонд;</w:t>
      </w:r>
    </w:p>
    <w:p w14:paraId="1B66C5C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настоява новите договорености да не водят до намаляване на значението и мисията на ЕФРР и Кохезионния фонд, по-специално за подпомагане на развитието на изоставащите региони и на трансформацията на промишлените райони. Подчертава и важността на принципа на партньорство при проектирането на бъдещи програми;</w:t>
      </w:r>
    </w:p>
    <w:p w14:paraId="50BDF90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изразява съгласие със съдържанието и тематичния акцент на бъдещата програма Interreg и нейните полезни взаимодействия с програмата „Глобална Европа“ в предложените конкретни случаи;</w:t>
      </w:r>
    </w:p>
    <w:p w14:paraId="23072895"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като цяло изразява съгласие с новаторския подход на предложението по отношение на бъдещето на създадената програма Interreg, по-специално по отношение на приемането на структурата за изпълнение на равнището на отделните глави в плана Interreg;</w:t>
      </w:r>
    </w:p>
    <w:p w14:paraId="64ACA7F4"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обръща внимание на риска съответните участници на регионално трансгранично равнище да не са в състояние да постигнат споразумение предвид факта, че проектът на регламент не е много подробен. Препоръчва актът за изпълнение да бъде приет непосредствено след приемането на регламента;</w:t>
      </w:r>
    </w:p>
    <w:p w14:paraId="4EB434F3"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препоръчва да се гарантира, че тълкуването и използването на фондовете на равнището на държавите членки са съпоставими и че няма значителни разлики между държавите членки;</w:t>
      </w:r>
    </w:p>
    <w:p w14:paraId="72602B09"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подкрепя опростяването на изпълнението и административните процеси с цел по-ефективно използване на финансирането;</w:t>
      </w:r>
    </w:p>
    <w:p w14:paraId="6E5FF386" w14:textId="77777777" w:rsidR="00C82E34" w:rsidRPr="00056F0F" w:rsidRDefault="00C82E34" w:rsidP="00C2078A">
      <w:pPr>
        <w:numPr>
          <w:ilvl w:val="0"/>
          <w:numId w:val="19"/>
        </w:numPr>
        <w:overflowPunct w:val="0"/>
        <w:autoSpaceDE w:val="0"/>
        <w:autoSpaceDN w:val="0"/>
        <w:adjustRightInd w:val="0"/>
        <w:ind w:left="284" w:hanging="284"/>
        <w:contextualSpacing/>
        <w:textAlignment w:val="baseline"/>
        <w:rPr>
          <w:bCs/>
          <w:iCs/>
        </w:rPr>
      </w:pPr>
      <w:r>
        <w:t xml:space="preserve">оценява факта, че в предложението за регламент относно ЕФРР и Кохезионния фонд се предвижда и възможността за подпомагане на устойчивото градско развитие, като в тази рамка се включват стратегии за интегрирано градско и териториално развитие, съсредоточени върху устойчивото развитие и насочени към преодоляване на предизвикателствата в областта на околната среда, енергията и климата, справедливия </w:t>
      </w:r>
      <w:r>
        <w:lastRenderedPageBreak/>
        <w:t>преход към чиста, неутрална по отношение на климата и устойчива икономика, като се обръща особено внимание на жилищата, на бедността, на културното наследство и на оползотворяването на потенциала на цифровите технологии за целите на иновациите и енергийната ефективност.</w:t>
      </w:r>
    </w:p>
    <w:p w14:paraId="63EC4849" w14:textId="77777777" w:rsidR="00056F0F" w:rsidRPr="00C82E34" w:rsidRDefault="00056F0F" w:rsidP="00054C58">
      <w:pPr>
        <w:overflowPunct w:val="0"/>
        <w:autoSpaceDE w:val="0"/>
        <w:autoSpaceDN w:val="0"/>
        <w:adjustRightInd w:val="0"/>
        <w:ind w:left="284"/>
        <w:contextualSpacing/>
        <w:textAlignment w:val="baseline"/>
        <w:rPr>
          <w:bCs/>
          <w:iCs/>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13"/>
      </w:tblGrid>
      <w:tr w:rsidR="00C82E34" w:rsidRPr="00C82E34" w14:paraId="04833A6C" w14:textId="77777777" w:rsidTr="00830737">
        <w:tc>
          <w:tcPr>
            <w:tcW w:w="1809" w:type="dxa"/>
          </w:tcPr>
          <w:p w14:paraId="720E543D" w14:textId="77777777" w:rsidR="00C82E34" w:rsidRPr="00C82E34" w:rsidRDefault="00C82E34" w:rsidP="00C82E34">
            <w:pPr>
              <w:overflowPunct w:val="0"/>
              <w:autoSpaceDE w:val="0"/>
              <w:autoSpaceDN w:val="0"/>
              <w:adjustRightInd w:val="0"/>
              <w:textAlignment w:val="baseline"/>
              <w:rPr>
                <w:i/>
              </w:rPr>
            </w:pPr>
            <w:r>
              <w:rPr>
                <w:b/>
                <w:i/>
              </w:rPr>
              <w:t>За контакт</w:t>
            </w:r>
          </w:p>
        </w:tc>
        <w:tc>
          <w:tcPr>
            <w:tcW w:w="7513" w:type="dxa"/>
          </w:tcPr>
          <w:p w14:paraId="2AC28C0B" w14:textId="5FFF53BD" w:rsidR="00C82E34" w:rsidRPr="00C82E34" w:rsidRDefault="00C82E34" w:rsidP="00C82E34">
            <w:pPr>
              <w:overflowPunct w:val="0"/>
              <w:autoSpaceDE w:val="0"/>
              <w:autoSpaceDN w:val="0"/>
              <w:adjustRightInd w:val="0"/>
              <w:textAlignment w:val="baseline"/>
              <w:rPr>
                <w:i/>
              </w:rPr>
            </w:pPr>
            <w:r>
              <w:rPr>
                <w:i/>
              </w:rPr>
              <w:t>Georgios Meleas</w:t>
            </w:r>
          </w:p>
        </w:tc>
      </w:tr>
      <w:tr w:rsidR="00C82E34" w:rsidRPr="00C82E34" w14:paraId="06EB7C5A" w14:textId="77777777" w:rsidTr="00830737">
        <w:tc>
          <w:tcPr>
            <w:tcW w:w="1809" w:type="dxa"/>
          </w:tcPr>
          <w:p w14:paraId="3964EC18" w14:textId="77777777" w:rsidR="00C82E34" w:rsidRPr="00C82E34" w:rsidRDefault="00C82E34" w:rsidP="00C82E34">
            <w:pPr>
              <w:overflowPunct w:val="0"/>
              <w:autoSpaceDE w:val="0"/>
              <w:autoSpaceDN w:val="0"/>
              <w:adjustRightInd w:val="0"/>
              <w:textAlignment w:val="baseline"/>
              <w:rPr>
                <w:i/>
              </w:rPr>
            </w:pPr>
            <w:r>
              <w:rPr>
                <w:i/>
              </w:rPr>
              <w:t>Тел</w:t>
            </w:r>
            <w:r>
              <w:rPr>
                <w:i/>
                <w:iCs/>
              </w:rPr>
              <w:t>.</w:t>
            </w:r>
          </w:p>
        </w:tc>
        <w:tc>
          <w:tcPr>
            <w:tcW w:w="7513" w:type="dxa"/>
          </w:tcPr>
          <w:p w14:paraId="6FC22AA9" w14:textId="7577C11B" w:rsidR="00C82E34" w:rsidRPr="00C82E34" w:rsidRDefault="00C82E34" w:rsidP="00C82E34">
            <w:pPr>
              <w:overflowPunct w:val="0"/>
              <w:autoSpaceDE w:val="0"/>
              <w:autoSpaceDN w:val="0"/>
              <w:adjustRightInd w:val="0"/>
              <w:textAlignment w:val="baseline"/>
              <w:rPr>
                <w:i/>
              </w:rPr>
            </w:pPr>
            <w:r>
              <w:rPr>
                <w:i/>
              </w:rPr>
              <w:t>+32 25469795</w:t>
            </w:r>
          </w:p>
        </w:tc>
      </w:tr>
      <w:tr w:rsidR="00C82E34" w:rsidRPr="00C82E34" w14:paraId="03D8EF0B" w14:textId="77777777" w:rsidTr="00830737">
        <w:tc>
          <w:tcPr>
            <w:tcW w:w="1809" w:type="dxa"/>
          </w:tcPr>
          <w:p w14:paraId="130E2BFD" w14:textId="77777777" w:rsidR="00C82E34" w:rsidRPr="00C82E34" w:rsidRDefault="00C82E34" w:rsidP="00C82E34">
            <w:pPr>
              <w:overflowPunct w:val="0"/>
              <w:autoSpaceDE w:val="0"/>
              <w:autoSpaceDN w:val="0"/>
              <w:adjustRightInd w:val="0"/>
              <w:textAlignment w:val="baseline"/>
              <w:rPr>
                <w:i/>
              </w:rPr>
            </w:pPr>
            <w:r>
              <w:rPr>
                <w:i/>
              </w:rPr>
              <w:t>Eлектронен адрес</w:t>
            </w:r>
          </w:p>
        </w:tc>
        <w:tc>
          <w:tcPr>
            <w:tcW w:w="7513" w:type="dxa"/>
          </w:tcPr>
          <w:p w14:paraId="3D770788" w14:textId="77777777" w:rsidR="00C82E34" w:rsidRDefault="00413A6F" w:rsidP="00C82E34">
            <w:pPr>
              <w:overflowPunct w:val="0"/>
              <w:autoSpaceDE w:val="0"/>
              <w:autoSpaceDN w:val="0"/>
              <w:adjustRightInd w:val="0"/>
              <w:textAlignment w:val="baseline"/>
            </w:pPr>
            <w:hyperlink r:id="rId23" w:history="1">
              <w:r w:rsidR="00EB4F20">
                <w:rPr>
                  <w:i/>
                  <w:color w:val="0000FF"/>
                  <w:u w:val="single"/>
                </w:rPr>
                <w:t>Georgios.Meleas@eesc.europa.eu</w:t>
              </w:r>
            </w:hyperlink>
          </w:p>
          <w:p w14:paraId="21BA5198" w14:textId="77777777" w:rsidR="00D6499D" w:rsidRPr="00C82E34" w:rsidRDefault="00D6499D" w:rsidP="00C82E34">
            <w:pPr>
              <w:overflowPunct w:val="0"/>
              <w:autoSpaceDE w:val="0"/>
              <w:autoSpaceDN w:val="0"/>
              <w:adjustRightInd w:val="0"/>
              <w:textAlignment w:val="baseline"/>
              <w:rPr>
                <w:i/>
                <w:iCs/>
                <w:lang w:val="en-GB"/>
              </w:rPr>
            </w:pPr>
          </w:p>
        </w:tc>
      </w:tr>
    </w:tbl>
    <w:p w14:paraId="738FB480" w14:textId="77777777" w:rsidR="00830737" w:rsidRDefault="00830737" w:rsidP="00830737">
      <w:pPr>
        <w:pStyle w:val="Heading1"/>
        <w:numPr>
          <w:ilvl w:val="0"/>
          <w:numId w:val="0"/>
        </w:numPr>
        <w:rPr>
          <w:b/>
        </w:rPr>
      </w:pPr>
      <w:bookmarkStart w:id="1" w:name="_Toc75527081"/>
    </w:p>
    <w:p w14:paraId="4982DD99" w14:textId="3F2E86D1" w:rsidR="004D7AC0" w:rsidRDefault="004D7AC0" w:rsidP="004D7AC0">
      <w:pPr>
        <w:pStyle w:val="Heading1"/>
        <w:rPr>
          <w:b/>
        </w:rPr>
      </w:pPr>
      <w:bookmarkStart w:id="2" w:name="_Toc216959638"/>
      <w:r>
        <w:rPr>
          <w:b/>
        </w:rPr>
        <w:t>ЗАЕТОСТ, СОЦИАЛНИ ВЪПРОСИ И ГРАЖДАНСТВО</w:t>
      </w:r>
      <w:bookmarkEnd w:id="1"/>
      <w:bookmarkEnd w:id="2"/>
    </w:p>
    <w:p w14:paraId="4982DD9A" w14:textId="77777777" w:rsidR="004D7AC0" w:rsidRDefault="004D7AC0" w:rsidP="004D7AC0"/>
    <w:p w14:paraId="0203F323" w14:textId="77777777" w:rsidR="00C24C34" w:rsidRDefault="00C24C34" w:rsidP="004D7AC0"/>
    <w:p w14:paraId="0D85C8AE" w14:textId="4B607989" w:rsidR="00E972B2" w:rsidRPr="00E972B2" w:rsidRDefault="00413A6F" w:rsidP="00E972B2">
      <w:pPr>
        <w:widowControl w:val="0"/>
        <w:numPr>
          <w:ilvl w:val="0"/>
          <w:numId w:val="6"/>
        </w:numPr>
        <w:overflowPunct w:val="0"/>
        <w:autoSpaceDE w:val="0"/>
        <w:autoSpaceDN w:val="0"/>
        <w:adjustRightInd w:val="0"/>
        <w:ind w:left="567" w:hanging="567"/>
        <w:textAlignment w:val="baseline"/>
        <w:rPr>
          <w:b/>
        </w:rPr>
      </w:pPr>
      <w:hyperlink r:id="rId24" w:history="1">
        <w:r w:rsidR="00E972B2">
          <w:rPr>
            <w:rStyle w:val="Hyperlink"/>
            <w:b/>
            <w:i/>
            <w:sz w:val="28"/>
          </w:rPr>
          <w:t>„Трудовите права на журналистите и медийните специалисти като гаранция за независимост и вярна информация“</w:t>
        </w:r>
      </w:hyperlink>
    </w:p>
    <w:p w14:paraId="60707368" w14:textId="77777777" w:rsidR="00E972B2" w:rsidRDefault="00E972B2" w:rsidP="00E972B2">
      <w:pPr>
        <w:tabs>
          <w:tab w:val="center" w:pos="284"/>
        </w:tabs>
        <w:overflowPunct w:val="0"/>
        <w:autoSpaceDE w:val="0"/>
        <w:autoSpaceDN w:val="0"/>
        <w:adjustRightInd w:val="0"/>
        <w:ind w:left="567" w:hanging="567"/>
        <w:textAlignment w:val="baseline"/>
        <w:rPr>
          <w:sz w:val="16"/>
          <w:szCs w:val="16"/>
        </w:rPr>
      </w:pPr>
    </w:p>
    <w:p w14:paraId="6F01FD8F" w14:textId="77777777" w:rsidR="00DB1B79" w:rsidRDefault="00DB1B79" w:rsidP="00E972B2">
      <w:pPr>
        <w:tabs>
          <w:tab w:val="center" w:pos="284"/>
        </w:tabs>
        <w:overflowPunct w:val="0"/>
        <w:autoSpaceDE w:val="0"/>
        <w:autoSpaceDN w:val="0"/>
        <w:adjustRightInd w:val="0"/>
        <w:ind w:left="567" w:hanging="567"/>
        <w:textAlignment w:val="baseline"/>
        <w:rPr>
          <w:sz w:val="16"/>
          <w:szCs w:val="16"/>
        </w:rPr>
      </w:pPr>
    </w:p>
    <w:p w14:paraId="0ABA41B8" w14:textId="77777777" w:rsidR="000C7C8B"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63"/>
      </w:tblGrid>
      <w:tr w:rsidR="00E972B2" w:rsidRPr="00E972B2" w14:paraId="7386250C" w14:textId="77777777" w:rsidTr="00830737">
        <w:tc>
          <w:tcPr>
            <w:tcW w:w="2376"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Докладчик</w:t>
            </w:r>
          </w:p>
          <w:p w14:paraId="3877742D"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Съдокладчик</w:t>
            </w:r>
          </w:p>
        </w:tc>
        <w:tc>
          <w:tcPr>
            <w:tcW w:w="6663" w:type="dxa"/>
          </w:tcPr>
          <w:p w14:paraId="59B0A1D0" w14:textId="77777777" w:rsidR="00E972B2" w:rsidRPr="00E972B2" w:rsidRDefault="00E972B2" w:rsidP="00E972B2">
            <w:pPr>
              <w:overflowPunct w:val="0"/>
              <w:autoSpaceDE w:val="0"/>
              <w:autoSpaceDN w:val="0"/>
              <w:adjustRightInd w:val="0"/>
              <w:ind w:left="567" w:hanging="567"/>
              <w:textAlignment w:val="baseline"/>
            </w:pPr>
            <w:r>
              <w:t>José Antonio MORENO DÍAZ (група „Работници“ — ES)</w:t>
            </w:r>
          </w:p>
          <w:p w14:paraId="683C7CA1" w14:textId="4F234B12" w:rsidR="00E972B2" w:rsidRPr="00E972B2" w:rsidRDefault="00E972B2" w:rsidP="00830737">
            <w:pPr>
              <w:overflowPunct w:val="0"/>
              <w:autoSpaceDE w:val="0"/>
              <w:autoSpaceDN w:val="0"/>
              <w:adjustRightInd w:val="0"/>
              <w:textAlignment w:val="baseline"/>
            </w:pPr>
            <w:r>
              <w:t>Christian MOOS (група „Организации на гражданското общество“ — DE)</w:t>
            </w:r>
          </w:p>
        </w:tc>
      </w:tr>
      <w:tr w:rsidR="00E972B2" w:rsidRPr="00E972B2" w14:paraId="403DF22C" w14:textId="77777777" w:rsidTr="00830737">
        <w:tc>
          <w:tcPr>
            <w:tcW w:w="2376" w:type="dxa"/>
            <w:vMerge w:val="restart"/>
          </w:tcPr>
          <w:p w14:paraId="7C482129"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
          <w:p w14:paraId="762D1FFF"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Отправни документи</w:t>
            </w:r>
          </w:p>
        </w:tc>
        <w:tc>
          <w:tcPr>
            <w:tcW w:w="6663" w:type="dxa"/>
          </w:tcPr>
          <w:p w14:paraId="3C316E73" w14:textId="77777777" w:rsidR="00E972B2" w:rsidRPr="00054C58" w:rsidRDefault="00E972B2" w:rsidP="00E972B2">
            <w:pPr>
              <w:tabs>
                <w:tab w:val="center" w:pos="284"/>
              </w:tabs>
              <w:overflowPunct w:val="0"/>
              <w:autoSpaceDE w:val="0"/>
              <w:autoSpaceDN w:val="0"/>
              <w:adjustRightInd w:val="0"/>
              <w:ind w:left="567" w:hanging="567"/>
              <w:textAlignment w:val="baseline"/>
              <w:rPr>
                <w:lang w:val="en-GB"/>
              </w:rPr>
            </w:pPr>
          </w:p>
          <w:p w14:paraId="29981116" w14:textId="11CD9731" w:rsidR="00DB1B79" w:rsidRPr="00054C58" w:rsidRDefault="00DB1B79" w:rsidP="00E972B2">
            <w:pPr>
              <w:tabs>
                <w:tab w:val="center" w:pos="284"/>
              </w:tabs>
              <w:overflowPunct w:val="0"/>
              <w:autoSpaceDE w:val="0"/>
              <w:autoSpaceDN w:val="0"/>
              <w:adjustRightInd w:val="0"/>
              <w:ind w:left="567" w:hanging="567"/>
              <w:textAlignment w:val="baseline"/>
            </w:pPr>
            <w:r>
              <w:t>Становище по собствена инициатива</w:t>
            </w:r>
          </w:p>
          <w:p w14:paraId="4F671282" w14:textId="1803C443" w:rsidR="00E972B2" w:rsidRPr="00054C58" w:rsidRDefault="00E972B2" w:rsidP="00E972B2">
            <w:pPr>
              <w:tabs>
                <w:tab w:val="center" w:pos="284"/>
              </w:tabs>
              <w:overflowPunct w:val="0"/>
              <w:autoSpaceDE w:val="0"/>
              <w:autoSpaceDN w:val="0"/>
              <w:adjustRightInd w:val="0"/>
              <w:ind w:left="567" w:hanging="567"/>
              <w:textAlignment w:val="baseline"/>
            </w:pPr>
            <w:r>
              <w:t>EESC-2025-01400-00-00-AC</w:t>
            </w:r>
          </w:p>
        </w:tc>
      </w:tr>
      <w:tr w:rsidR="00E972B2" w:rsidRPr="00E972B2" w14:paraId="5DAEC2A3" w14:textId="77777777" w:rsidTr="00830737">
        <w:tc>
          <w:tcPr>
            <w:tcW w:w="2376" w:type="dxa"/>
            <w:vMerge/>
          </w:tcPr>
          <w:p w14:paraId="23805FDF" w14:textId="77777777" w:rsidR="00E972B2" w:rsidRPr="00054C58" w:rsidRDefault="00E972B2" w:rsidP="00E972B2">
            <w:pPr>
              <w:tabs>
                <w:tab w:val="center" w:pos="284"/>
              </w:tabs>
              <w:overflowPunct w:val="0"/>
              <w:autoSpaceDE w:val="0"/>
              <w:autoSpaceDN w:val="0"/>
              <w:adjustRightInd w:val="0"/>
              <w:ind w:left="266" w:hanging="266"/>
              <w:textAlignment w:val="baseline"/>
              <w:rPr>
                <w:b/>
                <w:lang w:val="en-GB"/>
              </w:rPr>
            </w:pPr>
          </w:p>
        </w:tc>
        <w:tc>
          <w:tcPr>
            <w:tcW w:w="6663" w:type="dxa"/>
          </w:tcPr>
          <w:p w14:paraId="0EEAB858" w14:textId="77777777" w:rsidR="00E972B2" w:rsidRPr="00054C58"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ЕИСК:</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szCs w:val="20"/>
        </w:rPr>
      </w:pPr>
      <w:bookmarkStart w:id="3" w:name="_Toc216959639"/>
      <w:r>
        <w:t>настоятелно призовава органите да предприемат спешни защитни мерки срещу нарастващата несигурност на журналистите и призовава за пълното прилагане на Европейския акт за свободата на медиите. Призовава също така за създаването на независима подкрепа за медиите в допълнение към съществуващите субсидии, за да се гарантира устойчивостта на европейския медиен сектор, както и за значително увеличаване на средствата за защита на стабилна информационна екосистема;</w:t>
      </w:r>
      <w:bookmarkEnd w:id="3"/>
    </w:p>
    <w:p w14:paraId="699C4C8F"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bCs/>
          <w:szCs w:val="20"/>
        </w:rPr>
      </w:pPr>
      <w:bookmarkStart w:id="4" w:name="_Toc216959640"/>
      <w:r>
        <w:t>призовава Европейската комисия да представи амбициозен пакет от мерки на политиката и инвестиции, за да се подкрепят качествените работни места в медийния сектор и призовава правителствата да насърчават социалния диалог и колективното договаряне за всички журналисти, в т.ч. работещите на свободна практика, чрез транспонирането на Директивата относно адекватните минимални работни заплати</w:t>
      </w:r>
      <w:r w:rsidRPr="00E972B2">
        <w:rPr>
          <w:sz w:val="24"/>
          <w:szCs w:val="24"/>
          <w:vertAlign w:val="superscript"/>
          <w:lang w:val="en-GB"/>
        </w:rPr>
        <w:footnoteReference w:id="1"/>
      </w:r>
      <w:r>
        <w:t>, когато е приложимо, и Насоките относно прилагането на конкурентното право на Съюза към колективните трудови договори във връзка с условията на труд на самостоятелно заетите лица, работещи сами</w:t>
      </w:r>
      <w:r w:rsidRPr="00E972B2">
        <w:rPr>
          <w:sz w:val="24"/>
          <w:szCs w:val="24"/>
          <w:vertAlign w:val="superscript"/>
          <w:lang w:val="en-GB"/>
        </w:rPr>
        <w:footnoteReference w:id="2"/>
      </w:r>
      <w:r>
        <w:t>. Освен това призовава Европейската комисия и държавите членки да се борят с фиктивната самостоятелна заетост;</w:t>
      </w:r>
      <w:bookmarkEnd w:id="4"/>
    </w:p>
    <w:p w14:paraId="2C320535" w14:textId="4CA626AE" w:rsidR="00E972B2" w:rsidRDefault="00E972B2" w:rsidP="00446882">
      <w:pPr>
        <w:numPr>
          <w:ilvl w:val="1"/>
          <w:numId w:val="20"/>
        </w:numPr>
        <w:overflowPunct w:val="0"/>
        <w:autoSpaceDE w:val="0"/>
        <w:autoSpaceDN w:val="0"/>
        <w:adjustRightInd w:val="0"/>
        <w:spacing w:line="276" w:lineRule="auto"/>
        <w:textAlignment w:val="baseline"/>
        <w:outlineLvl w:val="1"/>
        <w:rPr>
          <w:szCs w:val="20"/>
        </w:rPr>
      </w:pPr>
      <w:bookmarkStart w:id="5" w:name="_Toc216959641"/>
      <w:r>
        <w:lastRenderedPageBreak/>
        <w:t>призовава Европейската комисия да предприеме последващи действия във връзка с Препоръката относно защитата, безопасността и овластяването на журналистите</w:t>
      </w:r>
      <w:r w:rsidRPr="00E972B2">
        <w:rPr>
          <w:sz w:val="24"/>
          <w:szCs w:val="24"/>
          <w:vertAlign w:val="superscript"/>
          <w:lang w:val="en-GB"/>
        </w:rPr>
        <w:footnoteReference w:id="3"/>
      </w:r>
      <w:r>
        <w:t xml:space="preserve"> и подчертава необходимостта от по-задълбочено взаимодействие с организациите на журналистите с цел изграждане на структури, които да могат да гарантират безопасността на журналистите. Журналистите са работници, които са изложени в значителна степен на стрес, професионално изчерпване, онлайн тормоз и цифрово претоварване. Би било полезно Комисията да обмисли какви последващи действия да предприеме във връзка с резолюцията на Европейския парламент от 10 март 2022 г., в която се призовава за приемане на директива относно психосоциалните рискове. ЕИСК е готов да представи становище по този въпрос</w:t>
      </w:r>
      <w:r w:rsidRPr="00E972B2">
        <w:rPr>
          <w:sz w:val="24"/>
          <w:szCs w:val="20"/>
          <w:vertAlign w:val="superscript"/>
          <w:lang w:val="en-GB"/>
        </w:rPr>
        <w:footnoteReference w:id="4"/>
      </w:r>
      <w:r w:rsidR="00830737">
        <w:rPr>
          <w:lang w:val="en-GB"/>
        </w:rPr>
        <w:t>;</w:t>
      </w:r>
      <w:bookmarkEnd w:id="5"/>
    </w:p>
    <w:p w14:paraId="15FE9461" w14:textId="77777777" w:rsidR="00E972B2" w:rsidRPr="00E972B2" w:rsidRDefault="00E972B2" w:rsidP="00054C58">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rPr>
      </w:pPr>
      <w:bookmarkStart w:id="6" w:name="_Toc216959642"/>
      <w:r>
        <w:t>призовава Европейската комисия да наблюдава прилагането на законодателната рамка на ЕС относно използването на изкуствен интелект (ИИ) за защита на журналистите и насърчава съюзите на журналистите и медийните организации в рамките на социалния диалог да разгледат използването на ИИ в новинарските редакции. Призовава и за финансиране на проекти, които развиват грамотността на журналистите в областта на ИИ, разглеждане на възможностите за съфинансиране на „европейски академии по журналистика“, обучение и евентуално субсидии за заплатите на млади журналисти от медийни дружества, които отговарят на високи стандарти за качествена журналистика и условия на труд.</w:t>
      </w:r>
      <w:bookmarkEnd w:id="6"/>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82"/>
      </w:tblGrid>
      <w:tr w:rsidR="00E972B2" w:rsidRPr="00E972B2" w14:paraId="2A48BF49" w14:textId="77777777" w:rsidTr="00830737">
        <w:tc>
          <w:tcPr>
            <w:tcW w:w="1951" w:type="dxa"/>
          </w:tcPr>
          <w:p w14:paraId="238E38FB" w14:textId="77777777" w:rsidR="00E972B2" w:rsidRPr="00E972B2" w:rsidRDefault="00E972B2" w:rsidP="00E972B2">
            <w:pPr>
              <w:overflowPunct w:val="0"/>
              <w:autoSpaceDE w:val="0"/>
              <w:autoSpaceDN w:val="0"/>
              <w:adjustRightInd w:val="0"/>
              <w:spacing w:line="240" w:lineRule="auto"/>
              <w:textAlignment w:val="baseline"/>
              <w:rPr>
                <w:i/>
              </w:rPr>
            </w:pPr>
            <w:r>
              <w:rPr>
                <w:b/>
                <w:i/>
              </w:rPr>
              <w:t>За контакт</w:t>
            </w:r>
          </w:p>
        </w:tc>
        <w:tc>
          <w:tcPr>
            <w:tcW w:w="3782"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r>
              <w:rPr>
                <w:i/>
              </w:rPr>
              <w:t>June Bedaton</w:t>
            </w:r>
          </w:p>
        </w:tc>
      </w:tr>
      <w:tr w:rsidR="00E972B2" w:rsidRPr="00E972B2" w14:paraId="6AAFD04B" w14:textId="77777777" w:rsidTr="00830737">
        <w:tc>
          <w:tcPr>
            <w:tcW w:w="1951" w:type="dxa"/>
          </w:tcPr>
          <w:p w14:paraId="43DF2BDC" w14:textId="77777777" w:rsidR="00E972B2" w:rsidRPr="00E972B2" w:rsidRDefault="00E972B2" w:rsidP="00E972B2">
            <w:pPr>
              <w:overflowPunct w:val="0"/>
              <w:autoSpaceDE w:val="0"/>
              <w:autoSpaceDN w:val="0"/>
              <w:adjustRightInd w:val="0"/>
              <w:spacing w:line="240" w:lineRule="auto"/>
              <w:textAlignment w:val="baseline"/>
              <w:rPr>
                <w:i/>
              </w:rPr>
            </w:pPr>
            <w:r>
              <w:rPr>
                <w:i/>
              </w:rPr>
              <w:t>Тел</w:t>
            </w:r>
            <w:r>
              <w:rPr>
                <w:i/>
                <w:iCs/>
              </w:rPr>
              <w:t>.</w:t>
            </w:r>
          </w:p>
        </w:tc>
        <w:tc>
          <w:tcPr>
            <w:tcW w:w="3782" w:type="dxa"/>
          </w:tcPr>
          <w:p w14:paraId="63A276AE" w14:textId="77777777" w:rsidR="00E972B2" w:rsidRPr="00E972B2" w:rsidRDefault="00E972B2" w:rsidP="00E972B2">
            <w:pPr>
              <w:overflowPunct w:val="0"/>
              <w:autoSpaceDE w:val="0"/>
              <w:autoSpaceDN w:val="0"/>
              <w:adjustRightInd w:val="0"/>
              <w:spacing w:line="240" w:lineRule="auto"/>
              <w:textAlignment w:val="baseline"/>
              <w:rPr>
                <w:i/>
              </w:rPr>
            </w:pPr>
            <w:r>
              <w:rPr>
                <w:i/>
              </w:rPr>
              <w:t>+32 25468134</w:t>
            </w:r>
          </w:p>
        </w:tc>
      </w:tr>
      <w:tr w:rsidR="00E972B2" w:rsidRPr="00E972B2" w14:paraId="20D34920" w14:textId="77777777" w:rsidTr="00830737">
        <w:tc>
          <w:tcPr>
            <w:tcW w:w="1951" w:type="dxa"/>
          </w:tcPr>
          <w:p w14:paraId="75D6BA57" w14:textId="77777777" w:rsidR="00E972B2" w:rsidRPr="00E972B2" w:rsidRDefault="00E972B2" w:rsidP="00E972B2">
            <w:pPr>
              <w:overflowPunct w:val="0"/>
              <w:autoSpaceDE w:val="0"/>
              <w:autoSpaceDN w:val="0"/>
              <w:adjustRightInd w:val="0"/>
              <w:spacing w:line="240" w:lineRule="auto"/>
              <w:textAlignment w:val="baseline"/>
              <w:rPr>
                <w:i/>
              </w:rPr>
            </w:pPr>
            <w:r>
              <w:rPr>
                <w:i/>
              </w:rPr>
              <w:t>Eлектронен адрес</w:t>
            </w:r>
          </w:p>
        </w:tc>
        <w:tc>
          <w:tcPr>
            <w:tcW w:w="3782" w:type="dxa"/>
          </w:tcPr>
          <w:p w14:paraId="49B7876D" w14:textId="77777777" w:rsidR="00E972B2" w:rsidRPr="00E972B2" w:rsidRDefault="00413A6F" w:rsidP="00E972B2">
            <w:pPr>
              <w:overflowPunct w:val="0"/>
              <w:autoSpaceDE w:val="0"/>
              <w:autoSpaceDN w:val="0"/>
              <w:adjustRightInd w:val="0"/>
              <w:spacing w:line="240" w:lineRule="auto"/>
              <w:textAlignment w:val="baseline"/>
              <w:rPr>
                <w:i/>
                <w:iCs/>
              </w:rPr>
            </w:pPr>
            <w:hyperlink r:id="rId25" w:history="1">
              <w:r w:rsidR="00EB4F20">
                <w:rPr>
                  <w:i/>
                  <w:color w:val="0000FF"/>
                  <w:u w:val="single"/>
                </w:rPr>
                <w:t>june.bedaton@eesc.europa.eu</w:t>
              </w:r>
            </w:hyperlink>
            <w:r w:rsidR="00EB4F20">
              <w:rPr>
                <w:i/>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2A08F509" w:rsidR="008D0052" w:rsidRPr="008D0052" w:rsidRDefault="004D7AC0" w:rsidP="008D0052">
      <w:pPr>
        <w:widowControl w:val="0"/>
        <w:numPr>
          <w:ilvl w:val="0"/>
          <w:numId w:val="6"/>
        </w:numPr>
        <w:overflowPunct w:val="0"/>
        <w:autoSpaceDE w:val="0"/>
        <w:autoSpaceDN w:val="0"/>
        <w:adjustRightInd w:val="0"/>
        <w:ind w:left="567" w:hanging="567"/>
        <w:textAlignment w:val="baseline"/>
        <w:rPr>
          <w:b/>
        </w:rPr>
      </w:pPr>
      <w:r>
        <w:br w:type="page"/>
      </w:r>
      <w:hyperlink r:id="rId26" w:history="1">
        <w:r>
          <w:rPr>
            <w:b/>
            <w:i/>
            <w:color w:val="0000FF"/>
            <w:sz w:val="28"/>
            <w:u w:val="single"/>
          </w:rPr>
          <w:t>„Програми „АгораЕС“ и „Правосъдие“</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562"/>
      </w:tblGrid>
      <w:tr w:rsidR="008D0052" w:rsidRPr="008D0052" w14:paraId="439074D0" w14:textId="77777777" w:rsidTr="00830737">
        <w:tc>
          <w:tcPr>
            <w:tcW w:w="2376"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Докладчик</w:t>
            </w:r>
          </w:p>
        </w:tc>
        <w:tc>
          <w:tcPr>
            <w:tcW w:w="5562" w:type="dxa"/>
          </w:tcPr>
          <w:p w14:paraId="585EAFF0" w14:textId="77777777" w:rsidR="008D0052" w:rsidRPr="008D0052" w:rsidRDefault="008D0052" w:rsidP="00830737">
            <w:pPr>
              <w:overflowPunct w:val="0"/>
              <w:autoSpaceDE w:val="0"/>
              <w:autoSpaceDN w:val="0"/>
              <w:adjustRightInd w:val="0"/>
              <w:ind w:left="31"/>
              <w:textAlignment w:val="baseline"/>
            </w:pPr>
            <w:r>
              <w:t>Ionuţ SIBIAN (група „Организации на гражданското общество“ — RO)</w:t>
            </w:r>
          </w:p>
        </w:tc>
      </w:tr>
      <w:tr w:rsidR="008D0052" w:rsidRPr="008D0052" w14:paraId="43DDD9C1" w14:textId="77777777" w:rsidTr="00830737">
        <w:tc>
          <w:tcPr>
            <w:tcW w:w="2376"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Отправни документи</w:t>
            </w:r>
          </w:p>
        </w:tc>
        <w:tc>
          <w:tcPr>
            <w:tcW w:w="5562"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COM(2025) 463 final</w:t>
            </w:r>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COM(2025) 550 final</w:t>
            </w:r>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830737">
        <w:tc>
          <w:tcPr>
            <w:tcW w:w="2376"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5562"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28DE50EE" w14:textId="77777777" w:rsidR="00830737" w:rsidRDefault="00830737" w:rsidP="008D0052">
      <w:pPr>
        <w:keepNext/>
        <w:keepLines/>
        <w:tabs>
          <w:tab w:val="center" w:pos="284"/>
        </w:tabs>
        <w:overflowPunct w:val="0"/>
        <w:autoSpaceDE w:val="0"/>
        <w:autoSpaceDN w:val="0"/>
        <w:adjustRightInd w:val="0"/>
        <w:ind w:left="266" w:hanging="266"/>
        <w:textAlignment w:val="baseline"/>
        <w:rPr>
          <w:b/>
        </w:rPr>
      </w:pPr>
    </w:p>
    <w:p w14:paraId="0D42846F" w14:textId="46CC5B7B"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rPr>
      </w:pPr>
      <w:r>
        <w:rPr>
          <w:b/>
        </w:rPr>
        <w:t>ЕИСК:</w:t>
      </w:r>
    </w:p>
    <w:p w14:paraId="6CD2846B" w14:textId="77777777" w:rsidR="00F65006" w:rsidRPr="008D0052" w:rsidRDefault="00F65006" w:rsidP="008D0052">
      <w:pPr>
        <w:jc w:val="left"/>
        <w:rPr>
          <w:lang w:val="fr-BE" w:eastAsia="fr-BE"/>
        </w:rPr>
      </w:pPr>
    </w:p>
    <w:p w14:paraId="5849840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приветства предложенията на Комисията за програмите „АгораЕС“ и „Правосъдие“ и настоятелно призовава Европейския парламент и Съвета да одобрят предложенията, без да се намалява предложеният финансов пакет;</w:t>
      </w:r>
    </w:p>
    <w:p w14:paraId="175AAA81"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призовава за изрично признаване на застъпничеството като основна част от работата на организациите на гражданското общество (ОГО) и тяхната роля в изготвянето на политиките за укрепване на демокрацията и устойчивостта;</w:t>
      </w:r>
    </w:p>
    <w:p w14:paraId="0C4BE5EB"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препоръчва въвеждането на безвъзмездни средства за оперативни разходи във всички направления на „AgoraEU“, за да се укрепи институционалната издръжливост на ОГО и отправя искане за разширяване на безвъзмездните средства за оперативни разходи по програма „Правосъдие“, така че да обхванат организациите с нестопанска цел от общ европейски интерес;</w:t>
      </w:r>
    </w:p>
    <w:p w14:paraId="56C00DA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подкрепя запазването на финансовата подкрепа за трети страни чрез посреднически организации, за да се достигне до по-малки или местни групи, и призовава да се гарантира независимостта на посредниците и съответствието на тяхното управление с Хартата на основните права на ЕС като ключови критерии за допустимост при техния подбор. Отправя също така искане за яснота относно ставките на съфинансиране, като предлага до 100 % финансиране от ЕС за посредниците и крайните бенефициери, изпълняващи делегирани дейности;</w:t>
      </w:r>
    </w:p>
    <w:p w14:paraId="20D9DDF3"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отбелязва необходимостта от адаптиране на мандата и ресурсите на бюра по програмата „Творческа Европа“, за да се подкрепи ефективно по-широкият обхват на „AgoraЕС“ в секторите на културата, медиите и гражданското общество;</w:t>
      </w:r>
    </w:p>
    <w:p w14:paraId="612471EA"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призовава за гъвкавост и предпазни мерки (напр. индексация, корективни механизми) по отношение на еднократните суми и многогодишните безвъзмездни средства, за да се предотврати финансов натиск върху бенефициентите;</w:t>
      </w:r>
    </w:p>
    <w:p w14:paraId="4E331884"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приканва да се внесе яснота относно полезните взаимодействия между Европейския фонд за конкурентоспособност и направление на MEDIA+ на програмата „АгораЕС“; настоятелно призовава Комисията да свърже получателите на безвъзмездни средства и да разработи план за действие за привеждане в действие на разпоредбите относно комбинираното и кумулативното финансиране в двата регламента, включително съвместни покани за представяне на предложения, сътрудничество между генералните дирекции и мониторинг на изпълнението;</w:t>
      </w:r>
    </w:p>
    <w:p w14:paraId="1940591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lastRenderedPageBreak/>
        <w:t>препоръчва в програма „Правосъдие“ да се засили акцентът върху правата на жертвите и достъпа до правосъдие, включително финансиране за мрежи за подкрепа, обучение за практикуващи юристи и трансгранична правна помощ;</w:t>
      </w:r>
    </w:p>
    <w:p w14:paraId="54A7B39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призовава за преодоляване на дисбалансите във финансирането в рамките на ЕС, по-специално разделението Изток-Запад, в двете програми.</w:t>
      </w:r>
    </w:p>
    <w:p w14:paraId="40A1333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изразява съжаление относно отпадането на работната група за граждански диалог от Регламента за „АгораЕС“ и настоятелно призовава за нейното възстановяване;</w:t>
      </w:r>
    </w:p>
    <w:p w14:paraId="0337C2BE" w14:textId="77777777" w:rsidR="008D0052" w:rsidRDefault="008D0052" w:rsidP="00F65006">
      <w:pPr>
        <w:numPr>
          <w:ilvl w:val="0"/>
          <w:numId w:val="21"/>
        </w:numPr>
        <w:tabs>
          <w:tab w:val="clear" w:pos="720"/>
        </w:tabs>
        <w:overflowPunct w:val="0"/>
        <w:autoSpaceDE w:val="0"/>
        <w:autoSpaceDN w:val="0"/>
        <w:adjustRightInd w:val="0"/>
        <w:ind w:left="284" w:hanging="284"/>
        <w:textAlignment w:val="baseline"/>
      </w:pPr>
      <w:r>
        <w:t>подчертава, че въздействието на програмата зависи от подходяща национална инфраструктура и съфинансиране, и предлага да се обвърже достъпът до фондовете на ЕС със споделено управление с демонстрирането на подкрепа от страна на държавите членки за целите на „АгораЕС“ и „Правосъдие“.</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82"/>
      </w:tblGrid>
      <w:tr w:rsidR="008D0052" w:rsidRPr="008D0052" w14:paraId="02CD12AD" w14:textId="77777777" w:rsidTr="00830737">
        <w:tc>
          <w:tcPr>
            <w:tcW w:w="1951"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Pr>
                <w:b/>
                <w:i/>
              </w:rPr>
              <w:t>За контакт</w:t>
            </w:r>
          </w:p>
        </w:tc>
        <w:tc>
          <w:tcPr>
            <w:tcW w:w="3782"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r>
              <w:rPr>
                <w:i/>
              </w:rPr>
              <w:t>Alessia Cova</w:t>
            </w:r>
          </w:p>
        </w:tc>
      </w:tr>
      <w:tr w:rsidR="008D0052" w:rsidRPr="008D0052" w14:paraId="00343FBD" w14:textId="77777777" w:rsidTr="00830737">
        <w:tc>
          <w:tcPr>
            <w:tcW w:w="1951"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Тел</w:t>
            </w:r>
            <w:r>
              <w:rPr>
                <w:i/>
                <w:iCs/>
              </w:rPr>
              <w:t>.</w:t>
            </w:r>
          </w:p>
        </w:tc>
        <w:tc>
          <w:tcPr>
            <w:tcW w:w="3782"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Pr>
                <w:i/>
              </w:rPr>
              <w:t>+32 25469426</w:t>
            </w:r>
          </w:p>
        </w:tc>
      </w:tr>
      <w:tr w:rsidR="008D0052" w:rsidRPr="008D0052" w14:paraId="6CB55D06" w14:textId="77777777" w:rsidTr="00830737">
        <w:tc>
          <w:tcPr>
            <w:tcW w:w="1951"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Pr>
                <w:i/>
              </w:rPr>
              <w:t>Eлектронен адрес</w:t>
            </w:r>
          </w:p>
        </w:tc>
        <w:tc>
          <w:tcPr>
            <w:tcW w:w="3782" w:type="dxa"/>
          </w:tcPr>
          <w:p w14:paraId="4E6DFDFB" w14:textId="77777777" w:rsidR="008D0052" w:rsidRPr="008D0052" w:rsidRDefault="00413A6F" w:rsidP="008D0052">
            <w:pPr>
              <w:overflowPunct w:val="0"/>
              <w:autoSpaceDE w:val="0"/>
              <w:autoSpaceDN w:val="0"/>
              <w:adjustRightInd w:val="0"/>
              <w:spacing w:line="240" w:lineRule="auto"/>
              <w:textAlignment w:val="baseline"/>
              <w:rPr>
                <w:i/>
                <w:iCs/>
              </w:rPr>
            </w:pPr>
            <w:hyperlink r:id="rId27" w:history="1">
              <w:r w:rsidR="00EB4F20">
                <w:rPr>
                  <w:i/>
                  <w:color w:val="0000FF"/>
                  <w:u w:val="single"/>
                </w:rPr>
                <w:t>Alessia.Cova@eesc.europa.eu</w:t>
              </w:r>
            </w:hyperlink>
          </w:p>
        </w:tc>
      </w:tr>
    </w:tbl>
    <w:p w14:paraId="4982DDC5" w14:textId="04BE9D07" w:rsidR="004D7AC0" w:rsidRDefault="004D7AC0" w:rsidP="004D7AC0">
      <w:pPr>
        <w:spacing w:after="160" w:line="259" w:lineRule="auto"/>
        <w:jc w:val="left"/>
      </w:pPr>
    </w:p>
    <w:p w14:paraId="4982DDC6" w14:textId="77777777" w:rsidR="004D7AC0" w:rsidRDefault="004D7AC0" w:rsidP="004D7AC0">
      <w:pPr>
        <w:pStyle w:val="Heading1"/>
        <w:rPr>
          <w:b/>
        </w:rPr>
      </w:pPr>
      <w:bookmarkStart w:id="7" w:name="_Toc24617160"/>
      <w:bookmarkStart w:id="8" w:name="_Toc75527082"/>
      <w:bookmarkStart w:id="9" w:name="_Toc216959643"/>
      <w:r>
        <w:rPr>
          <w:b/>
        </w:rPr>
        <w:t>ТРАНСПОРТ, ЕНЕРГЕТИКА, ИНФРАСТРУКТУРИ, ИНФОРМАЦИОННО ОБЩЕСТВО</w:t>
      </w:r>
      <w:bookmarkEnd w:id="7"/>
      <w:bookmarkEnd w:id="8"/>
      <w:bookmarkEnd w:id="9"/>
    </w:p>
    <w:p w14:paraId="4982DDC7" w14:textId="77777777" w:rsidR="004D7AC0" w:rsidRDefault="004D7AC0" w:rsidP="004D7AC0"/>
    <w:p w14:paraId="34EB6B62" w14:textId="6F247683" w:rsidR="00BC676C" w:rsidRPr="00BC676C" w:rsidRDefault="00413A6F" w:rsidP="00BC676C">
      <w:pPr>
        <w:widowControl w:val="0"/>
        <w:numPr>
          <w:ilvl w:val="0"/>
          <w:numId w:val="4"/>
        </w:numPr>
        <w:overflowPunct w:val="0"/>
        <w:autoSpaceDE w:val="0"/>
        <w:autoSpaceDN w:val="0"/>
        <w:adjustRightInd w:val="0"/>
        <w:ind w:hanging="567"/>
        <w:textAlignment w:val="baseline"/>
        <w:rPr>
          <w:sz w:val="20"/>
          <w:szCs w:val="20"/>
        </w:rPr>
      </w:pPr>
      <w:hyperlink r:id="rId28" w:history="1">
        <w:r w:rsidR="00EB4F20">
          <w:rPr>
            <w:b/>
            <w:i/>
            <w:color w:val="0000FF"/>
            <w:sz w:val="28"/>
            <w:u w:val="single"/>
          </w:rPr>
          <w:t>„Клас емисии на CO</w:t>
        </w:r>
        <w:r w:rsidR="00EB4F20">
          <w:rPr>
            <w:b/>
            <w:i/>
            <w:color w:val="0000FF"/>
            <w:sz w:val="28"/>
            <w:u w:val="single"/>
            <w:vertAlign w:val="subscript"/>
          </w:rPr>
          <w:t>2</w:t>
        </w:r>
        <w:r w:rsidR="00EB4F20">
          <w:rPr>
            <w:b/>
            <w:i/>
            <w:color w:val="0000FF"/>
            <w:sz w:val="28"/>
            <w:u w:val="single"/>
          </w:rPr>
          <w:t xml:space="preserve"> от тежкотоварни превозни средства с ремаркета“</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BC676C" w:rsidRPr="00BC676C" w14:paraId="47E39230" w14:textId="77777777" w:rsidTr="00830737">
        <w:tc>
          <w:tcPr>
            <w:tcW w:w="2235"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rPr>
            </w:pPr>
            <w:r>
              <w:rPr>
                <w:b/>
              </w:rPr>
              <w:t>Отправни документи</w:t>
            </w:r>
          </w:p>
        </w:tc>
        <w:tc>
          <w:tcPr>
            <w:tcW w:w="7087"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rPr>
            </w:pPr>
            <w:r>
              <w:t>Становище от категория В</w:t>
            </w:r>
          </w:p>
          <w:p w14:paraId="3982A737" w14:textId="64E384F6" w:rsidR="00BC676C" w:rsidRPr="00BC676C" w:rsidRDefault="00BC676C" w:rsidP="00BC676C">
            <w:pPr>
              <w:tabs>
                <w:tab w:val="center" w:pos="284"/>
              </w:tabs>
              <w:overflowPunct w:val="0"/>
              <w:autoSpaceDE w:val="0"/>
              <w:autoSpaceDN w:val="0"/>
              <w:adjustRightInd w:val="0"/>
              <w:ind w:left="720" w:hanging="720"/>
              <w:textAlignment w:val="baseline"/>
              <w:rPr>
                <w:bCs/>
              </w:rPr>
            </w:pPr>
            <w:r>
              <w:t xml:space="preserve">COM(2025) 589 final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pPr>
            <w: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Основни аспекти</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BC676C" w:rsidRDefault="00BC676C" w:rsidP="00BC676C">
      <w:pPr>
        <w:widowControl w:val="0"/>
        <w:numPr>
          <w:ilvl w:val="0"/>
          <w:numId w:val="4"/>
        </w:numPr>
        <w:overflowPunct w:val="0"/>
        <w:autoSpaceDE w:val="0"/>
        <w:autoSpaceDN w:val="0"/>
        <w:adjustRightInd w:val="0"/>
        <w:ind w:hanging="567"/>
        <w:textAlignment w:val="baseline"/>
        <w:rPr>
          <w:bCs/>
          <w:iCs/>
        </w:rPr>
      </w:pPr>
      <w:r>
        <w:t>Тъй като Комитетът вече e изразил своята гледна точка относно съдържанието на въпросното предложение в своето становище TEN/815 „Клас емисии на CO</w:t>
      </w:r>
      <w:r>
        <w:rPr>
          <w:vertAlign w:val="subscript"/>
        </w:rPr>
        <w:t>2</w:t>
      </w:r>
      <w:r>
        <w:t xml:space="preserve"> от тежките превозни средства с ремаркета“ [</w:t>
      </w:r>
      <w:hyperlink r:id="rId29" w:history="1">
        <w:r>
          <w:rPr>
            <w:color w:val="0000FF"/>
            <w:u w:val="single"/>
          </w:rPr>
          <w:t>C/2023/874</w:t>
        </w:r>
      </w:hyperlink>
      <w:r>
        <w:t>], прието на 20 септември 2023 г., той реши да не изготвя ново становище по въпроса, а да се позове на своята позиция, изразена в горепосочения документ.</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71"/>
      </w:tblGrid>
      <w:tr w:rsidR="00BC676C" w:rsidRPr="00BC676C" w14:paraId="63E00060" w14:textId="77777777" w:rsidTr="00830737">
        <w:tc>
          <w:tcPr>
            <w:tcW w:w="1951" w:type="dxa"/>
          </w:tcPr>
          <w:p w14:paraId="3E70F25D" w14:textId="77777777" w:rsidR="00BC676C" w:rsidRPr="00BC676C" w:rsidRDefault="00BC676C" w:rsidP="00BC676C">
            <w:pPr>
              <w:overflowPunct w:val="0"/>
              <w:autoSpaceDE w:val="0"/>
              <w:autoSpaceDN w:val="0"/>
              <w:adjustRightInd w:val="0"/>
              <w:ind w:left="720" w:hanging="720"/>
              <w:textAlignment w:val="baseline"/>
              <w:rPr>
                <w:i/>
              </w:rPr>
            </w:pPr>
            <w:r>
              <w:rPr>
                <w:b/>
                <w:i/>
              </w:rPr>
              <w:t>За контакт</w:t>
            </w:r>
          </w:p>
        </w:tc>
        <w:tc>
          <w:tcPr>
            <w:tcW w:w="7371"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r>
              <w:rPr>
                <w:i/>
              </w:rPr>
              <w:t>Maja Radman</w:t>
            </w:r>
          </w:p>
        </w:tc>
      </w:tr>
      <w:tr w:rsidR="00BC676C" w:rsidRPr="00BC676C" w14:paraId="10A1FE95" w14:textId="77777777" w:rsidTr="00830737">
        <w:tc>
          <w:tcPr>
            <w:tcW w:w="1951"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Pr>
                <w:i/>
              </w:rPr>
              <w:t>Тел</w:t>
            </w:r>
            <w:r>
              <w:rPr>
                <w:i/>
                <w:iCs/>
              </w:rPr>
              <w:t>.</w:t>
            </w:r>
          </w:p>
        </w:tc>
        <w:tc>
          <w:tcPr>
            <w:tcW w:w="7371" w:type="dxa"/>
          </w:tcPr>
          <w:p w14:paraId="4B5ED86F" w14:textId="77777777" w:rsidR="00BC676C" w:rsidRPr="00BC676C" w:rsidRDefault="00BC676C" w:rsidP="00BC676C">
            <w:pPr>
              <w:overflowPunct w:val="0"/>
              <w:autoSpaceDE w:val="0"/>
              <w:autoSpaceDN w:val="0"/>
              <w:adjustRightInd w:val="0"/>
              <w:ind w:left="720" w:hanging="720"/>
              <w:textAlignment w:val="baseline"/>
              <w:rPr>
                <w:i/>
              </w:rPr>
            </w:pPr>
            <w:r>
              <w:rPr>
                <w:i/>
              </w:rPr>
              <w:t>+32 254690</w:t>
            </w:r>
            <w:r>
              <w:t>51</w:t>
            </w:r>
          </w:p>
        </w:tc>
      </w:tr>
      <w:tr w:rsidR="00BC676C" w:rsidRPr="00BC676C" w14:paraId="31255C9B" w14:textId="77777777" w:rsidTr="00830737">
        <w:tc>
          <w:tcPr>
            <w:tcW w:w="1951" w:type="dxa"/>
          </w:tcPr>
          <w:p w14:paraId="31B04EF4" w14:textId="77777777" w:rsidR="00BC676C" w:rsidRPr="00BC676C" w:rsidRDefault="00BC676C" w:rsidP="00BC676C">
            <w:pPr>
              <w:overflowPunct w:val="0"/>
              <w:autoSpaceDE w:val="0"/>
              <w:autoSpaceDN w:val="0"/>
              <w:adjustRightInd w:val="0"/>
              <w:ind w:left="720" w:hanging="720"/>
              <w:textAlignment w:val="baseline"/>
              <w:rPr>
                <w:i/>
              </w:rPr>
            </w:pPr>
            <w:r>
              <w:rPr>
                <w:i/>
              </w:rPr>
              <w:t>Eлектронен адрес</w:t>
            </w:r>
          </w:p>
        </w:tc>
        <w:tc>
          <w:tcPr>
            <w:tcW w:w="7371" w:type="dxa"/>
          </w:tcPr>
          <w:p w14:paraId="53D1C2A7" w14:textId="77777777" w:rsidR="00BC676C" w:rsidRPr="00BC676C" w:rsidRDefault="00413A6F" w:rsidP="00BC676C">
            <w:pPr>
              <w:overflowPunct w:val="0"/>
              <w:autoSpaceDE w:val="0"/>
              <w:autoSpaceDN w:val="0"/>
              <w:adjustRightInd w:val="0"/>
              <w:ind w:left="720" w:hanging="720"/>
              <w:textAlignment w:val="baseline"/>
              <w:rPr>
                <w:i/>
              </w:rPr>
            </w:pPr>
            <w:hyperlink r:id="rId30" w:history="1">
              <w:r w:rsidR="00EB4F20">
                <w:rPr>
                  <w:i/>
                  <w:color w:val="0000FF"/>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225530F0" w14:textId="77777777" w:rsidR="004D7AC0" w:rsidRDefault="004D7AC0" w:rsidP="004D7AC0">
      <w:pPr>
        <w:pStyle w:val="ListParagraph"/>
        <w:ind w:left="0"/>
      </w:pPr>
    </w:p>
    <w:p w14:paraId="15C6E6D3" w14:textId="0770B780"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05334D">
        <w:rPr>
          <w:b/>
          <w:i/>
          <w:sz w:val="28"/>
        </w:rPr>
        <w:fldChar w:fldCharType="begin"/>
      </w:r>
      <w:r w:rsidRPr="0005334D">
        <w:rPr>
          <w:b/>
          <w:i/>
          <w:sz w:val="28"/>
        </w:rPr>
        <w:instrText xml:space="preserve"> HYPERLINK "https://www.eesc.europa.eu/bg/our-work/opinions-information-reports/opinions/eu-space-act" </w:instrText>
      </w:r>
      <w:r w:rsidRPr="0005334D">
        <w:rPr>
          <w:b/>
          <w:i/>
          <w:sz w:val="28"/>
        </w:rPr>
        <w:fldChar w:fldCharType="separate"/>
      </w:r>
      <w:r>
        <w:rPr>
          <w:b/>
          <w:i/>
          <w:color w:val="0000FF"/>
          <w:sz w:val="28"/>
          <w:u w:val="single"/>
        </w:rPr>
        <w:t>„Акт на ЕС за космическото пространство“</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712"/>
      </w:tblGrid>
      <w:tr w:rsidR="0005334D" w:rsidRPr="0005334D" w14:paraId="0F0AF7C0" w14:textId="77777777" w:rsidTr="00830737">
        <w:tc>
          <w:tcPr>
            <w:tcW w:w="2376"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Докладчик</w:t>
            </w:r>
          </w:p>
        </w:tc>
        <w:tc>
          <w:tcPr>
            <w:tcW w:w="4712" w:type="dxa"/>
          </w:tcPr>
          <w:p w14:paraId="1C51F404" w14:textId="0A3C4CB8" w:rsidR="0005334D" w:rsidRPr="0005334D" w:rsidRDefault="0005334D" w:rsidP="0005334D">
            <w:pPr>
              <w:tabs>
                <w:tab w:val="center" w:pos="284"/>
              </w:tabs>
              <w:overflowPunct w:val="0"/>
              <w:autoSpaceDE w:val="0"/>
              <w:autoSpaceDN w:val="0"/>
              <w:adjustRightInd w:val="0"/>
              <w:ind w:left="266" w:hanging="266"/>
              <w:textAlignment w:val="baseline"/>
            </w:pPr>
            <w:r>
              <w:t>Angelo PAGLIARA (група „Работници“ — IT)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830737">
        <w:tc>
          <w:tcPr>
            <w:tcW w:w="2376"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 xml:space="preserve">Отправни документи </w:t>
            </w:r>
          </w:p>
        </w:tc>
        <w:tc>
          <w:tcPr>
            <w:tcW w:w="4712" w:type="dxa"/>
          </w:tcPr>
          <w:p w14:paraId="0F1F5196" w14:textId="4657F08E" w:rsidR="0005334D" w:rsidRPr="0005334D" w:rsidRDefault="0005334D" w:rsidP="0005334D">
            <w:pPr>
              <w:tabs>
                <w:tab w:val="center" w:pos="284"/>
              </w:tabs>
              <w:overflowPunct w:val="0"/>
              <w:autoSpaceDE w:val="0"/>
              <w:autoSpaceDN w:val="0"/>
              <w:adjustRightInd w:val="0"/>
              <w:ind w:left="266" w:hanging="266"/>
              <w:textAlignment w:val="baseline"/>
            </w:pPr>
            <w:r>
              <w:t xml:space="preserve">COM(2025) 335 final </w:t>
            </w:r>
          </w:p>
        </w:tc>
      </w:tr>
      <w:tr w:rsidR="0005334D" w:rsidRPr="0005334D" w14:paraId="5CF8C9B4" w14:textId="77777777" w:rsidTr="00830737">
        <w:tc>
          <w:tcPr>
            <w:tcW w:w="2376"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4712"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ЕИСК:</w:t>
      </w:r>
    </w:p>
    <w:p w14:paraId="4A48F70F" w14:textId="77777777" w:rsidR="0005334D" w:rsidRPr="0005334D" w:rsidRDefault="0005334D" w:rsidP="0005334D">
      <w:pPr>
        <w:overflowPunct w:val="0"/>
        <w:autoSpaceDE w:val="0"/>
        <w:autoSpaceDN w:val="0"/>
        <w:adjustRightInd w:val="0"/>
        <w:textAlignment w:val="baseline"/>
        <w:rPr>
          <w:bCs/>
          <w:iCs/>
          <w:lang w:val="en-GB"/>
        </w:rPr>
      </w:pPr>
    </w:p>
    <w:p w14:paraId="6C3ACDD8"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препоръчва структурно и незабавно </w:t>
      </w:r>
      <w:r>
        <w:rPr>
          <w:b/>
        </w:rPr>
        <w:t>укрепване на европейските публични инвестиции в космическия сектор</w:t>
      </w:r>
      <w:r>
        <w:t xml:space="preserve"> и увеличаване на инвестициите в него </w:t>
      </w:r>
      <w:r>
        <w:rPr>
          <w:b/>
        </w:rPr>
        <w:t>до най-малко 0,2 % от БВП до 2030 г.;</w:t>
      </w:r>
    </w:p>
    <w:p w14:paraId="26F7B7AE"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препоръчва </w:t>
      </w:r>
      <w:r>
        <w:rPr>
          <w:b/>
        </w:rPr>
        <w:t>да се изясни как член 114 от Договора може да се използва като правно основание за вътрешния пазар за свързани с космическото пространство продукти, услуги и данни</w:t>
      </w:r>
      <w:r>
        <w:t xml:space="preserve"> и предлага да се предвиди, че разпоредбите на Акта за космическото пространство трябва да се тълкуват в светлината на </w:t>
      </w:r>
      <w:r>
        <w:rPr>
          <w:b/>
        </w:rPr>
        <w:t>международните задължения, които вече са поети от държавите членки</w:t>
      </w:r>
      <w:r>
        <w:t>;</w:t>
      </w:r>
    </w:p>
    <w:p w14:paraId="084E4A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препоръчва да се изясни </w:t>
      </w:r>
      <w:r>
        <w:rPr>
          <w:b/>
        </w:rPr>
        <w:t>защо дял I се отнася само до критерия за държавата членка на установяване на оператора</w:t>
      </w:r>
      <w:r>
        <w:t xml:space="preserve"> или на космическия оператор от трета държава, без да се посочва държавата на гражданството, и препоръчва </w:t>
      </w:r>
      <w:r>
        <w:rPr>
          <w:b/>
        </w:rPr>
        <w:t>да се поясни член 6, параграф 3, за да се гарантира по-добра координация с националните законодателства относно космическото пространство</w:t>
      </w:r>
      <w:r>
        <w:t>, в които се посочва кои оператори трябва да получат разрешение въз основа на гражданството или територията, от която се извършва космическата дейност;</w:t>
      </w:r>
    </w:p>
    <w:p w14:paraId="3E883F9C"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препоръчва </w:t>
      </w:r>
      <w:r>
        <w:rPr>
          <w:b/>
        </w:rPr>
        <w:t>в Дял II да се изясни функционирането на дерогациите и на възможностите за гъвкавост в процедурата по разрешаване</w:t>
      </w:r>
      <w:r>
        <w:t>, като се уточнят процедурните срокове, приложимостта към нетърговските мисии, правомощията на Комисията за контрол и оперативната роля на Европейската космическа агенция и Агенцията на Европейския съюз за космическата програма (EUSPA);</w:t>
      </w:r>
    </w:p>
    <w:p w14:paraId="0BFD0B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препоръчва да се определят точно </w:t>
      </w:r>
      <w:r>
        <w:rPr>
          <w:b/>
        </w:rPr>
        <w:t>границите, в които държавите членки могат да налагат по-строги изисквания</w:t>
      </w:r>
      <w:r>
        <w:t xml:space="preserve"> по отношение на свободното движение на космически данни и космически услуги в Съюза;</w:t>
      </w:r>
    </w:p>
    <w:p w14:paraId="05AA5B9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подчертава необходимостта от </w:t>
      </w:r>
      <w:r>
        <w:rPr>
          <w:b/>
        </w:rPr>
        <w:t>укрепване на взаимното признаване и общите правила, за да се избегнат фрагментиранността</w:t>
      </w:r>
      <w:r>
        <w:t xml:space="preserve"> и бюрократичните пречки;</w:t>
      </w:r>
    </w:p>
    <w:p w14:paraId="7387563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препоръчва </w:t>
      </w:r>
      <w:r>
        <w:rPr>
          <w:b/>
        </w:rPr>
        <w:t>европейската космическа стратегия да бъде свързана с европейската стратегическа автономност</w:t>
      </w:r>
      <w:r>
        <w:t xml:space="preserve"> и да се насърчават д</w:t>
      </w:r>
      <w:r>
        <w:rPr>
          <w:b/>
        </w:rPr>
        <w:t>опълващи екосистеми и мултиплициращият ефект на космическата икономика</w:t>
      </w:r>
      <w:r>
        <w:t xml:space="preserve"> в подкрепа на конкретни сектори;</w:t>
      </w:r>
    </w:p>
    <w:p w14:paraId="2A025617"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препоръчва разработването на </w:t>
      </w:r>
      <w:r>
        <w:rPr>
          <w:b/>
        </w:rPr>
        <w:t>интегрирана стратегия за космическите умения и заетостта</w:t>
      </w:r>
      <w:r>
        <w:t xml:space="preserve"> и приемането на </w:t>
      </w:r>
      <w:r>
        <w:rPr>
          <w:b/>
        </w:rPr>
        <w:t>Европейска програма за космически умения</w:t>
      </w:r>
      <w:r>
        <w:t>;</w:t>
      </w:r>
    </w:p>
    <w:p w14:paraId="36AD848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призовава за адекватни ресурси за </w:t>
      </w:r>
      <w:r>
        <w:rPr>
          <w:b/>
        </w:rPr>
        <w:t>оперативното укрепване на EUSPA</w:t>
      </w:r>
      <w:r>
        <w:t xml:space="preserve"> в следващата многогодишна финансова рамка за периода 2028 — 2034 г.;</w:t>
      </w:r>
    </w:p>
    <w:p w14:paraId="39C0FBAA" w14:textId="77777777" w:rsidR="0005334D" w:rsidRPr="0005334D" w:rsidRDefault="0005334D" w:rsidP="0005334D">
      <w:pPr>
        <w:widowControl w:val="0"/>
        <w:overflowPunct w:val="0"/>
        <w:autoSpaceDE w:val="0"/>
        <w:autoSpaceDN w:val="0"/>
        <w:adjustRightInd w:val="0"/>
        <w:ind w:left="709"/>
        <w:textAlignment w:val="baseline"/>
        <w:rPr>
          <w:sz w:val="14"/>
          <w:szCs w:val="12"/>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05334D" w:rsidRPr="0005334D" w14:paraId="2E1C4F7A" w14:textId="77777777" w:rsidTr="00830737">
        <w:tc>
          <w:tcPr>
            <w:tcW w:w="2093" w:type="dxa"/>
          </w:tcPr>
          <w:p w14:paraId="3B838871" w14:textId="77777777" w:rsidR="0005334D" w:rsidRPr="0005334D" w:rsidRDefault="0005334D" w:rsidP="00830737">
            <w:pPr>
              <w:keepNext/>
              <w:overflowPunct w:val="0"/>
              <w:autoSpaceDE w:val="0"/>
              <w:autoSpaceDN w:val="0"/>
              <w:adjustRightInd w:val="0"/>
              <w:textAlignment w:val="baseline"/>
              <w:rPr>
                <w:i/>
              </w:rPr>
            </w:pPr>
            <w:r>
              <w:rPr>
                <w:b/>
                <w:i/>
              </w:rPr>
              <w:lastRenderedPageBreak/>
              <w:t>За контакт</w:t>
            </w:r>
          </w:p>
        </w:tc>
        <w:tc>
          <w:tcPr>
            <w:tcW w:w="4995" w:type="dxa"/>
          </w:tcPr>
          <w:p w14:paraId="40162F2B" w14:textId="77777777" w:rsidR="0005334D" w:rsidRPr="0005334D" w:rsidRDefault="0005334D" w:rsidP="00830737">
            <w:pPr>
              <w:keepNext/>
              <w:overflowPunct w:val="0"/>
              <w:autoSpaceDE w:val="0"/>
              <w:autoSpaceDN w:val="0"/>
              <w:adjustRightInd w:val="0"/>
              <w:textAlignment w:val="baseline"/>
              <w:rPr>
                <w:i/>
              </w:rPr>
            </w:pPr>
            <w:r>
              <w:rPr>
                <w:i/>
              </w:rPr>
              <w:t>Giorgia Bordignon</w:t>
            </w:r>
          </w:p>
        </w:tc>
      </w:tr>
      <w:tr w:rsidR="0005334D" w:rsidRPr="0005334D" w14:paraId="362A9B5A" w14:textId="77777777" w:rsidTr="00830737">
        <w:tc>
          <w:tcPr>
            <w:tcW w:w="2093" w:type="dxa"/>
          </w:tcPr>
          <w:p w14:paraId="0F21C068" w14:textId="77777777" w:rsidR="0005334D" w:rsidRPr="0005334D" w:rsidRDefault="0005334D" w:rsidP="00830737">
            <w:pPr>
              <w:keepNext/>
              <w:overflowPunct w:val="0"/>
              <w:autoSpaceDE w:val="0"/>
              <w:autoSpaceDN w:val="0"/>
              <w:adjustRightInd w:val="0"/>
              <w:textAlignment w:val="baseline"/>
              <w:rPr>
                <w:i/>
              </w:rPr>
            </w:pPr>
            <w:r>
              <w:rPr>
                <w:i/>
              </w:rPr>
              <w:t>Тел</w:t>
            </w:r>
            <w:r>
              <w:rPr>
                <w:i/>
                <w:iCs/>
              </w:rPr>
              <w:t>.</w:t>
            </w:r>
          </w:p>
        </w:tc>
        <w:tc>
          <w:tcPr>
            <w:tcW w:w="4995" w:type="dxa"/>
          </w:tcPr>
          <w:p w14:paraId="1CDF1B64" w14:textId="77777777" w:rsidR="0005334D" w:rsidRPr="0005334D" w:rsidRDefault="0005334D" w:rsidP="00830737">
            <w:pPr>
              <w:keepNext/>
              <w:overflowPunct w:val="0"/>
              <w:autoSpaceDE w:val="0"/>
              <w:autoSpaceDN w:val="0"/>
              <w:adjustRightInd w:val="0"/>
              <w:textAlignment w:val="baseline"/>
              <w:rPr>
                <w:i/>
              </w:rPr>
            </w:pPr>
            <w:r>
              <w:rPr>
                <w:i/>
              </w:rPr>
              <w:t>+32 25468</w:t>
            </w:r>
            <w:r>
              <w:t>535</w:t>
            </w:r>
          </w:p>
        </w:tc>
      </w:tr>
      <w:tr w:rsidR="0005334D" w:rsidRPr="0005334D" w14:paraId="2C7002E1" w14:textId="77777777" w:rsidTr="00830737">
        <w:tc>
          <w:tcPr>
            <w:tcW w:w="2093" w:type="dxa"/>
          </w:tcPr>
          <w:p w14:paraId="1B96A53D" w14:textId="36B45CE4" w:rsidR="0005334D" w:rsidRPr="0005334D" w:rsidRDefault="008C414B" w:rsidP="00830737">
            <w:pPr>
              <w:keepNext/>
              <w:overflowPunct w:val="0"/>
              <w:autoSpaceDE w:val="0"/>
              <w:autoSpaceDN w:val="0"/>
              <w:adjustRightInd w:val="0"/>
              <w:textAlignment w:val="baseline"/>
              <w:rPr>
                <w:i/>
              </w:rPr>
            </w:pPr>
            <w:r>
              <w:rPr>
                <w:i/>
              </w:rPr>
              <w:t>Eлектронен адрес</w:t>
            </w:r>
          </w:p>
        </w:tc>
        <w:tc>
          <w:tcPr>
            <w:tcW w:w="4995" w:type="dxa"/>
          </w:tcPr>
          <w:p w14:paraId="7D4DCAF5" w14:textId="77777777" w:rsidR="0005334D" w:rsidRPr="0005334D" w:rsidRDefault="00413A6F" w:rsidP="00830737">
            <w:pPr>
              <w:keepNext/>
              <w:overflowPunct w:val="0"/>
              <w:autoSpaceDE w:val="0"/>
              <w:autoSpaceDN w:val="0"/>
              <w:adjustRightInd w:val="0"/>
              <w:textAlignment w:val="baseline"/>
              <w:rPr>
                <w:i/>
              </w:rPr>
            </w:pPr>
            <w:hyperlink r:id="rId31" w:history="1">
              <w:r w:rsidR="00EB4F20">
                <w:rPr>
                  <w:i/>
                  <w:color w:val="0000FF"/>
                  <w:u w:val="single"/>
                </w:rPr>
                <w:t>GiorgiaAndrea.Bordignon@eesc.europa.eu</w:t>
              </w:r>
            </w:hyperlink>
            <w:r w:rsidR="00EB4F20">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77FAB844" w14:textId="405C607C" w:rsidR="00B8543B" w:rsidRPr="00B8543B" w:rsidRDefault="00413A6F" w:rsidP="00B8543B">
      <w:pPr>
        <w:widowControl w:val="0"/>
        <w:numPr>
          <w:ilvl w:val="0"/>
          <w:numId w:val="4"/>
        </w:numPr>
        <w:overflowPunct w:val="0"/>
        <w:autoSpaceDE w:val="0"/>
        <w:autoSpaceDN w:val="0"/>
        <w:adjustRightInd w:val="0"/>
        <w:ind w:hanging="567"/>
        <w:textAlignment w:val="baseline"/>
        <w:rPr>
          <w:sz w:val="20"/>
          <w:szCs w:val="20"/>
        </w:rPr>
      </w:pPr>
      <w:hyperlink r:id="rId32" w:history="1">
        <w:r w:rsidR="00EB4F20">
          <w:rPr>
            <w:b/>
            <w:i/>
            <w:color w:val="0000FF"/>
            <w:sz w:val="28"/>
            <w:u w:val="single"/>
          </w:rPr>
          <w:t>„Примерна ядрена програма“</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662"/>
      </w:tblGrid>
      <w:tr w:rsidR="00B8543B" w:rsidRPr="00B8543B" w14:paraId="6BF7DB04" w14:textId="77777777" w:rsidTr="00830737">
        <w:tc>
          <w:tcPr>
            <w:tcW w:w="2518"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Докладчик</w:t>
            </w:r>
          </w:p>
        </w:tc>
        <w:tc>
          <w:tcPr>
            <w:tcW w:w="6662" w:type="dxa"/>
          </w:tcPr>
          <w:p w14:paraId="741530A3" w14:textId="32EE3DBA" w:rsidR="00B8543B" w:rsidRPr="00B8543B" w:rsidRDefault="00B8543B" w:rsidP="00B8543B">
            <w:pPr>
              <w:tabs>
                <w:tab w:val="center" w:pos="284"/>
              </w:tabs>
              <w:overflowPunct w:val="0"/>
              <w:autoSpaceDE w:val="0"/>
              <w:autoSpaceDN w:val="0"/>
              <w:adjustRightInd w:val="0"/>
              <w:ind w:left="266" w:hanging="266"/>
              <w:textAlignment w:val="baseline"/>
            </w:pPr>
            <w:r>
              <w:t>Dumitru FORNEA (група „Работници“ — RO)</w:t>
            </w:r>
          </w:p>
        </w:tc>
      </w:tr>
      <w:tr w:rsidR="00B8543B" w:rsidRPr="00B8543B" w14:paraId="1EF069F7" w14:textId="77777777" w:rsidTr="00830737">
        <w:tc>
          <w:tcPr>
            <w:tcW w:w="2518" w:type="dxa"/>
          </w:tcPr>
          <w:p w14:paraId="1E9A27C2"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Съдокладчик</w:t>
            </w:r>
          </w:p>
        </w:tc>
        <w:tc>
          <w:tcPr>
            <w:tcW w:w="6662" w:type="dxa"/>
          </w:tcPr>
          <w:p w14:paraId="6C41DC74" w14:textId="78C2E9C0" w:rsidR="00B8543B" w:rsidRDefault="00B8543B" w:rsidP="00B8543B">
            <w:pPr>
              <w:tabs>
                <w:tab w:val="center" w:pos="284"/>
              </w:tabs>
              <w:overflowPunct w:val="0"/>
              <w:autoSpaceDE w:val="0"/>
              <w:autoSpaceDN w:val="0"/>
              <w:adjustRightInd w:val="0"/>
              <w:ind w:left="266" w:hanging="266"/>
              <w:textAlignment w:val="baseline"/>
            </w:pPr>
            <w:r>
              <w:t>Alena MASTANTUONO (група „Работодатели“ — CZ)</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830737">
        <w:tc>
          <w:tcPr>
            <w:tcW w:w="2518"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Отправни документи</w:t>
            </w:r>
          </w:p>
        </w:tc>
        <w:tc>
          <w:tcPr>
            <w:tcW w:w="6662"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pPr>
            <w:r>
              <w:t>COM(2025) 315 final</w:t>
            </w:r>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pPr>
            <w: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ЕИСК:</w:t>
      </w:r>
    </w:p>
    <w:p w14:paraId="00EA794C" w14:textId="77777777" w:rsidR="00F104CA" w:rsidRPr="00B8543B" w:rsidRDefault="00F104CA" w:rsidP="00B8543B">
      <w:pPr>
        <w:overflowPunct w:val="0"/>
        <w:autoSpaceDE w:val="0"/>
        <w:autoSpaceDN w:val="0"/>
        <w:adjustRightInd w:val="0"/>
        <w:textAlignment w:val="baseline"/>
        <w:rPr>
          <w:bCs/>
          <w:iCs/>
          <w:lang w:val="en-GB"/>
        </w:rPr>
      </w:pPr>
    </w:p>
    <w:p w14:paraId="0ADC1825"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счита, че ролята на ядрената енергия играе и ще продължи да играе решаваща роля за декарбонизацията на европейския континент и за консолидирането на стратегическата му автономност в областта на енергетиката и технологиите;</w:t>
      </w:r>
    </w:p>
    <w:p w14:paraId="38970C7F"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препоръчва към инвестициите в сектора на енергията от АЕЦ да се прилагат същите условия като към възобновяемите енергийни източници.</w:t>
      </w:r>
    </w:p>
    <w:p w14:paraId="15C741CD"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препоръчва ускоряване на инвестициите чрез специфични финансови и регулаторни мерки, като например рационализиран процес на държавните помощи, достъп до финансиране от ЕС, устойчиво финансиране, процеси на лицензиране и по-бързи решения на равнището на ЕС и на национално равнище;</w:t>
      </w:r>
    </w:p>
    <w:p w14:paraId="18340AE6"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счита, че диалогът с гражданското общество е от ключово значение за изграждането на доверие, ангажираност и приемане от обществото;</w:t>
      </w:r>
    </w:p>
    <w:p w14:paraId="1F92E097"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призовава за засилено регулаторно сътрудничество между държавите членки;</w:t>
      </w:r>
    </w:p>
    <w:p w14:paraId="60BEBBD3"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pPr>
      <w:r>
        <w:t>препоръчва да се вземе предвид ролята на енергията от АЕЦ за стабилизирането на енергийната мрежа и призовава в PINC да се добави изчисляване на избегнатите системни разходи благодарение на енергията от АЕЦ.</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1A87DBFF" w14:textId="77777777" w:rsidTr="0036489A">
        <w:tc>
          <w:tcPr>
            <w:tcW w:w="1951" w:type="dxa"/>
          </w:tcPr>
          <w:p w14:paraId="5E9F41AD" w14:textId="77777777" w:rsidR="00B8543B" w:rsidRPr="00B8543B" w:rsidRDefault="00B8543B" w:rsidP="00B8543B">
            <w:pPr>
              <w:overflowPunct w:val="0"/>
              <w:autoSpaceDE w:val="0"/>
              <w:autoSpaceDN w:val="0"/>
              <w:adjustRightInd w:val="0"/>
              <w:textAlignment w:val="baseline"/>
              <w:rPr>
                <w:i/>
              </w:rPr>
            </w:pPr>
            <w:r>
              <w:rPr>
                <w:b/>
                <w:i/>
              </w:rPr>
              <w:t>За контакт</w:t>
            </w:r>
          </w:p>
        </w:tc>
        <w:tc>
          <w:tcPr>
            <w:tcW w:w="7229" w:type="dxa"/>
          </w:tcPr>
          <w:p w14:paraId="1EA77D8A" w14:textId="6DF16979" w:rsidR="00B8543B" w:rsidRPr="00B8543B" w:rsidRDefault="00B8543B" w:rsidP="00B8543B">
            <w:pPr>
              <w:overflowPunct w:val="0"/>
              <w:autoSpaceDE w:val="0"/>
              <w:autoSpaceDN w:val="0"/>
              <w:adjustRightInd w:val="0"/>
              <w:textAlignment w:val="baseline"/>
              <w:rPr>
                <w:i/>
              </w:rPr>
            </w:pPr>
            <w:r>
              <w:rPr>
                <w:i/>
              </w:rPr>
              <w:t>Albert Precup</w:t>
            </w:r>
          </w:p>
        </w:tc>
      </w:tr>
      <w:tr w:rsidR="00B8543B" w:rsidRPr="00B8543B" w14:paraId="3CDABFB0" w14:textId="77777777" w:rsidTr="0036489A">
        <w:tc>
          <w:tcPr>
            <w:tcW w:w="1951" w:type="dxa"/>
          </w:tcPr>
          <w:p w14:paraId="690F7657" w14:textId="77777777" w:rsidR="00B8543B" w:rsidRPr="00B8543B" w:rsidRDefault="00B8543B" w:rsidP="00B8543B">
            <w:pPr>
              <w:overflowPunct w:val="0"/>
              <w:autoSpaceDE w:val="0"/>
              <w:autoSpaceDN w:val="0"/>
              <w:adjustRightInd w:val="0"/>
              <w:textAlignment w:val="baseline"/>
              <w:rPr>
                <w:i/>
              </w:rPr>
            </w:pPr>
            <w:r>
              <w:rPr>
                <w:i/>
              </w:rPr>
              <w:t>Тел</w:t>
            </w:r>
            <w:r>
              <w:rPr>
                <w:i/>
                <w:iCs/>
              </w:rPr>
              <w:t>.</w:t>
            </w:r>
          </w:p>
        </w:tc>
        <w:tc>
          <w:tcPr>
            <w:tcW w:w="7229" w:type="dxa"/>
          </w:tcPr>
          <w:p w14:paraId="113BC3FF" w14:textId="77777777" w:rsidR="00B8543B" w:rsidRPr="00B8543B" w:rsidRDefault="00B8543B" w:rsidP="00B8543B">
            <w:pPr>
              <w:overflowPunct w:val="0"/>
              <w:autoSpaceDE w:val="0"/>
              <w:autoSpaceDN w:val="0"/>
              <w:adjustRightInd w:val="0"/>
              <w:textAlignment w:val="baseline"/>
              <w:rPr>
                <w:i/>
              </w:rPr>
            </w:pPr>
            <w:r>
              <w:rPr>
                <w:i/>
              </w:rPr>
              <w:t>+32 25469326</w:t>
            </w:r>
          </w:p>
        </w:tc>
      </w:tr>
      <w:tr w:rsidR="00B8543B" w:rsidRPr="00B8543B" w14:paraId="358EB551" w14:textId="77777777" w:rsidTr="0036489A">
        <w:tc>
          <w:tcPr>
            <w:tcW w:w="1951" w:type="dxa"/>
          </w:tcPr>
          <w:p w14:paraId="2EF8A9AA" w14:textId="77777777" w:rsidR="00B8543B" w:rsidRPr="00B8543B" w:rsidRDefault="00B8543B" w:rsidP="00B8543B">
            <w:pPr>
              <w:overflowPunct w:val="0"/>
              <w:autoSpaceDE w:val="0"/>
              <w:autoSpaceDN w:val="0"/>
              <w:adjustRightInd w:val="0"/>
              <w:textAlignment w:val="baseline"/>
              <w:rPr>
                <w:i/>
              </w:rPr>
            </w:pPr>
            <w:r>
              <w:rPr>
                <w:i/>
              </w:rPr>
              <w:t>Eлектронен адрес</w:t>
            </w:r>
          </w:p>
        </w:tc>
        <w:tc>
          <w:tcPr>
            <w:tcW w:w="7229" w:type="dxa"/>
          </w:tcPr>
          <w:p w14:paraId="1491B9B9" w14:textId="77777777" w:rsidR="00B8543B" w:rsidRPr="00B8543B" w:rsidRDefault="00413A6F" w:rsidP="00B8543B">
            <w:pPr>
              <w:overflowPunct w:val="0"/>
              <w:autoSpaceDE w:val="0"/>
              <w:autoSpaceDN w:val="0"/>
              <w:adjustRightInd w:val="0"/>
              <w:textAlignment w:val="baseline"/>
              <w:rPr>
                <w:i/>
              </w:rPr>
            </w:pPr>
            <w:hyperlink r:id="rId33" w:history="1">
              <w:r w:rsidR="00EB4F20">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64D55A18" w14:textId="77777777" w:rsidR="004D7AC0" w:rsidRDefault="004D7AC0" w:rsidP="004D7AC0">
      <w:pPr>
        <w:spacing w:after="160" w:line="259" w:lineRule="auto"/>
        <w:jc w:val="left"/>
      </w:pPr>
    </w:p>
    <w:p w14:paraId="4982DDF3" w14:textId="77777777" w:rsidR="004D7AC0" w:rsidRDefault="004D7AC0" w:rsidP="004D7AC0">
      <w:pPr>
        <w:pStyle w:val="Heading1"/>
        <w:rPr>
          <w:b/>
        </w:rPr>
      </w:pPr>
      <w:bookmarkStart w:id="10" w:name="_Toc75527083"/>
      <w:bookmarkStart w:id="11" w:name="_Toc216959644"/>
      <w:r>
        <w:rPr>
          <w:b/>
        </w:rPr>
        <w:t>ЕДИНЕН ПАЗАР, ПРОИЗВОДСТВО И ПОТРЕБЛЕНИЕ</w:t>
      </w:r>
      <w:bookmarkEnd w:id="10"/>
      <w:bookmarkEnd w:id="11"/>
    </w:p>
    <w:p w14:paraId="4982DDF4" w14:textId="77777777" w:rsidR="004D7AC0" w:rsidRDefault="004D7AC0" w:rsidP="004D7AC0"/>
    <w:p w14:paraId="5D547137" w14:textId="688E5B24" w:rsidR="00465162" w:rsidRPr="00465162" w:rsidRDefault="00413A6F" w:rsidP="00465162">
      <w:pPr>
        <w:widowControl w:val="0"/>
        <w:numPr>
          <w:ilvl w:val="0"/>
          <w:numId w:val="4"/>
        </w:numPr>
        <w:overflowPunct w:val="0"/>
        <w:autoSpaceDE w:val="0"/>
        <w:autoSpaceDN w:val="0"/>
        <w:adjustRightInd w:val="0"/>
        <w:ind w:hanging="567"/>
        <w:textAlignment w:val="baseline"/>
        <w:rPr>
          <w:sz w:val="20"/>
          <w:szCs w:val="20"/>
        </w:rPr>
      </w:pPr>
      <w:hyperlink r:id="rId34" w:history="1">
        <w:r w:rsidR="00EB4F20">
          <w:rPr>
            <w:b/>
            <w:i/>
            <w:color w:val="0000FF"/>
            <w:sz w:val="28"/>
            <w:u w:val="single"/>
          </w:rPr>
          <w:t>„Стратегия за единния пазар“</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846"/>
      </w:tblGrid>
      <w:tr w:rsidR="00465162" w:rsidRPr="00465162" w14:paraId="79DD90B6" w14:textId="77777777" w:rsidTr="00830737">
        <w:tc>
          <w:tcPr>
            <w:tcW w:w="2376" w:type="dxa"/>
          </w:tcPr>
          <w:p w14:paraId="0377814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Докладчици</w:t>
            </w:r>
          </w:p>
        </w:tc>
        <w:tc>
          <w:tcPr>
            <w:tcW w:w="5846" w:type="dxa"/>
          </w:tcPr>
          <w:p w14:paraId="1AA6537D" w14:textId="384B5F9A" w:rsidR="00465162" w:rsidRPr="00465162" w:rsidRDefault="00465162" w:rsidP="00465162">
            <w:pPr>
              <w:tabs>
                <w:tab w:val="center" w:pos="284"/>
              </w:tabs>
              <w:overflowPunct w:val="0"/>
              <w:autoSpaceDE w:val="0"/>
              <w:autoSpaceDN w:val="0"/>
              <w:adjustRightInd w:val="0"/>
              <w:ind w:left="266" w:hanging="266"/>
              <w:textAlignment w:val="baseline"/>
            </w:pPr>
            <w:r>
              <w:t>Emilie PROUZET (група „Работодатели“ — FR)</w:t>
            </w:r>
          </w:p>
        </w:tc>
      </w:tr>
      <w:tr w:rsidR="00465162" w:rsidRPr="00465162" w14:paraId="60565F73" w14:textId="77777777" w:rsidTr="00830737">
        <w:tc>
          <w:tcPr>
            <w:tcW w:w="2376"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5846" w:type="dxa"/>
          </w:tcPr>
          <w:p w14:paraId="26DA48BA" w14:textId="3E9F6386" w:rsidR="00465162" w:rsidRPr="00465162" w:rsidRDefault="00465162" w:rsidP="00465162">
            <w:pPr>
              <w:tabs>
                <w:tab w:val="center" w:pos="284"/>
              </w:tabs>
              <w:overflowPunct w:val="0"/>
              <w:autoSpaceDE w:val="0"/>
              <w:autoSpaceDN w:val="0"/>
              <w:adjustRightInd w:val="0"/>
              <w:ind w:left="266" w:hanging="266"/>
              <w:textAlignment w:val="baseline"/>
            </w:pPr>
            <w:r>
              <w:t>Angelo PAGLIARA (група „Работници“ — IT)</w:t>
            </w:r>
          </w:p>
          <w:p w14:paraId="1F24C2EA" w14:textId="03B9D796" w:rsidR="00465162" w:rsidRPr="00465162" w:rsidRDefault="00465162" w:rsidP="00830737">
            <w:pPr>
              <w:overflowPunct w:val="0"/>
              <w:autoSpaceDE w:val="0"/>
              <w:autoSpaceDN w:val="0"/>
              <w:adjustRightInd w:val="0"/>
              <w:ind w:left="31"/>
              <w:textAlignment w:val="baseline"/>
            </w:pPr>
            <w:r>
              <w:t>Giuseppe GUERINI (група „Организации на гражданското общество“ — IT)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830737">
        <w:tc>
          <w:tcPr>
            <w:tcW w:w="2376"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Отправни документи</w:t>
            </w:r>
          </w:p>
        </w:tc>
        <w:tc>
          <w:tcPr>
            <w:tcW w:w="5846"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pPr>
            <w:r>
              <w:t>COM(2025) 500 final</w:t>
            </w:r>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t>EESC-2025-01859-00-00-AC</w:t>
            </w:r>
          </w:p>
        </w:tc>
      </w:tr>
      <w:tr w:rsidR="00465162" w:rsidRPr="00465162" w14:paraId="3287886F" w14:textId="77777777" w:rsidTr="00830737">
        <w:tc>
          <w:tcPr>
            <w:tcW w:w="2376"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5846"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ЕИСК:</w:t>
      </w:r>
    </w:p>
    <w:p w14:paraId="2F8CA4CA" w14:textId="77777777" w:rsidR="00465162" w:rsidRPr="00465162" w:rsidRDefault="00465162" w:rsidP="00465162">
      <w:pPr>
        <w:overflowPunct w:val="0"/>
        <w:autoSpaceDE w:val="0"/>
        <w:autoSpaceDN w:val="0"/>
        <w:adjustRightInd w:val="0"/>
        <w:textAlignment w:val="baseline"/>
        <w:rPr>
          <w:bCs/>
          <w:iCs/>
          <w:lang w:val="en-GB"/>
        </w:rPr>
      </w:pPr>
    </w:p>
    <w:p w14:paraId="419AAE5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напълно подкрепя определените от Комисията приоритети, които отговарят на предизвикателствата, посочени от заинтересованите страни;</w:t>
      </w:r>
    </w:p>
    <w:p w14:paraId="634276BC"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отново заявява, че опростяването на регулаторната рамка трябва да се осъществява при пълно зачитане на социалните права и правата на работниците. Поради това е от съществено значение Европейският парламент, националните парламенти и социалните партньори да бъдат структурно ангажирани още от ранните етапи на законодателния процес;</w:t>
      </w:r>
    </w:p>
    <w:p w14:paraId="1A85E040"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възнамерява да допринася по-активно за управлението на единния пазар, включително чрез поемане на засилена роля в рамките на процеса на Работната група по въпросите на правоприлагането във връзка с единния пазар (РГПЕП);</w:t>
      </w:r>
    </w:p>
    <w:p w14:paraId="0DE50EC7"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призовава Комисията да представи законодателни предложения за преодоляване на териториалните ограничения на доставките и за хармонизиране на етикетирането на продуктите;</w:t>
      </w:r>
    </w:p>
    <w:p w14:paraId="3DC83A6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приветства обявеното от Комисията предложение за незадължителен „28-и режим“ за предприятията, но подчертава необходимостта от ефективни предпазни мерки срещу потенциални злоупотреби;</w:t>
      </w:r>
    </w:p>
    <w:p w14:paraId="52044ED1"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признава ключовата роля на стандартизацията като двигател на интеграцията и иновациите, но подчертава принципите на прозрачност, приобщаване и структурирано участие;</w:t>
      </w:r>
    </w:p>
    <w:p w14:paraId="4D4A10F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подкрепя опростяването на признаването на професионалните квалификации, включително за граждани на трети държави, но квалификациите трябва да бъдат ясно определени, проверими и с доказано качество;</w:t>
      </w:r>
    </w:p>
    <w:p w14:paraId="44855F90"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подкрепя укрепването на Европейския орган по труда (ЕОТ);</w:t>
      </w:r>
    </w:p>
    <w:p w14:paraId="36D1C1B4"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 xml:space="preserve">призовава за разширяване на обхвата на единния пазар до стратегически сектори като енергетиката и финансите. Подчертава необходимостта от приобщаващо управление и призовава за преразглеждане на законодателството в областта на обществените поръчки. Същевременно следва да се намерят подходящи начини за отчитане на социалните и екологичните цели, както и тези в областта на иновациите. </w:t>
      </w:r>
    </w:p>
    <w:p w14:paraId="2800F0AE"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p w14:paraId="471E1854"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465162" w:rsidRPr="00465162" w14:paraId="7E653814" w14:textId="77777777" w:rsidTr="00830737">
        <w:tc>
          <w:tcPr>
            <w:tcW w:w="2093" w:type="dxa"/>
          </w:tcPr>
          <w:p w14:paraId="6898358A" w14:textId="77777777" w:rsidR="00465162" w:rsidRPr="00465162" w:rsidRDefault="00465162" w:rsidP="00830737">
            <w:pPr>
              <w:keepNext/>
              <w:overflowPunct w:val="0"/>
              <w:autoSpaceDE w:val="0"/>
              <w:autoSpaceDN w:val="0"/>
              <w:adjustRightInd w:val="0"/>
              <w:spacing w:line="240" w:lineRule="auto"/>
              <w:textAlignment w:val="baseline"/>
              <w:rPr>
                <w:i/>
              </w:rPr>
            </w:pPr>
            <w:r>
              <w:rPr>
                <w:b/>
                <w:i/>
              </w:rPr>
              <w:lastRenderedPageBreak/>
              <w:t>За контакт</w:t>
            </w:r>
          </w:p>
        </w:tc>
        <w:tc>
          <w:tcPr>
            <w:tcW w:w="4995" w:type="dxa"/>
          </w:tcPr>
          <w:p w14:paraId="324AE5F8" w14:textId="77777777" w:rsidR="00465162" w:rsidRPr="00465162" w:rsidRDefault="00465162" w:rsidP="00830737">
            <w:pPr>
              <w:keepNext/>
              <w:overflowPunct w:val="0"/>
              <w:autoSpaceDE w:val="0"/>
              <w:autoSpaceDN w:val="0"/>
              <w:adjustRightInd w:val="0"/>
              <w:spacing w:line="240" w:lineRule="auto"/>
              <w:textAlignment w:val="baseline"/>
              <w:rPr>
                <w:i/>
              </w:rPr>
            </w:pPr>
            <w:r>
              <w:rPr>
                <w:i/>
              </w:rPr>
              <w:t>Annalisa Tessarolo</w:t>
            </w:r>
          </w:p>
        </w:tc>
      </w:tr>
      <w:tr w:rsidR="00465162" w:rsidRPr="00465162" w14:paraId="3F0424C9" w14:textId="77777777" w:rsidTr="00830737">
        <w:tc>
          <w:tcPr>
            <w:tcW w:w="2093"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Pr>
                <w:i/>
              </w:rPr>
              <w:t>Тел</w:t>
            </w:r>
            <w:r>
              <w:rPr>
                <w:i/>
                <w:iCs/>
              </w:rPr>
              <w:t>.</w:t>
            </w:r>
          </w:p>
        </w:tc>
        <w:tc>
          <w:tcPr>
            <w:tcW w:w="4995" w:type="dxa"/>
          </w:tcPr>
          <w:p w14:paraId="0C3DEEF0" w14:textId="77777777" w:rsidR="00465162" w:rsidRPr="00465162" w:rsidRDefault="00465162" w:rsidP="00465162">
            <w:pPr>
              <w:overflowPunct w:val="0"/>
              <w:autoSpaceDE w:val="0"/>
              <w:autoSpaceDN w:val="0"/>
              <w:adjustRightInd w:val="0"/>
              <w:spacing w:line="240" w:lineRule="auto"/>
              <w:textAlignment w:val="baseline"/>
              <w:rPr>
                <w:i/>
              </w:rPr>
            </w:pPr>
            <w:r>
              <w:rPr>
                <w:i/>
              </w:rPr>
              <w:t>+ 32 25469732</w:t>
            </w:r>
          </w:p>
        </w:tc>
      </w:tr>
      <w:tr w:rsidR="00465162" w:rsidRPr="00465162" w14:paraId="6449EA12" w14:textId="77777777" w:rsidTr="00830737">
        <w:tc>
          <w:tcPr>
            <w:tcW w:w="2093" w:type="dxa"/>
          </w:tcPr>
          <w:p w14:paraId="1D040452" w14:textId="0B90490C" w:rsidR="00465162" w:rsidRPr="00465162" w:rsidRDefault="00034990" w:rsidP="00465162">
            <w:pPr>
              <w:overflowPunct w:val="0"/>
              <w:autoSpaceDE w:val="0"/>
              <w:autoSpaceDN w:val="0"/>
              <w:adjustRightInd w:val="0"/>
              <w:spacing w:line="240" w:lineRule="auto"/>
              <w:textAlignment w:val="baseline"/>
              <w:rPr>
                <w:i/>
              </w:rPr>
            </w:pPr>
            <w:r>
              <w:rPr>
                <w:i/>
              </w:rPr>
              <w:t>Eлектронен адрес</w:t>
            </w:r>
          </w:p>
        </w:tc>
        <w:tc>
          <w:tcPr>
            <w:tcW w:w="4995" w:type="dxa"/>
          </w:tcPr>
          <w:p w14:paraId="3E267456" w14:textId="77777777" w:rsidR="00465162" w:rsidRPr="00465162" w:rsidRDefault="00413A6F" w:rsidP="00465162">
            <w:pPr>
              <w:overflowPunct w:val="0"/>
              <w:autoSpaceDE w:val="0"/>
              <w:autoSpaceDN w:val="0"/>
              <w:adjustRightInd w:val="0"/>
              <w:spacing w:line="240" w:lineRule="auto"/>
              <w:textAlignment w:val="baseline"/>
              <w:rPr>
                <w:i/>
              </w:rPr>
            </w:pPr>
            <w:hyperlink r:id="rId35" w:history="1">
              <w:r w:rsidR="00EB4F20">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274B597C"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hyperlink r:id="rId36" w:tgtFrame="_blank" w:history="1">
        <w:r>
          <w:rPr>
            <w:b/>
            <w:i/>
            <w:color w:val="0000FF"/>
            <w:sz w:val="28"/>
            <w:u w:val="single"/>
          </w:rPr>
          <w:t>Доклад относно политиката в областта на конкуренцията за 2024 г.</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712"/>
      </w:tblGrid>
      <w:tr w:rsidR="008A6059" w:rsidRPr="008A6059" w14:paraId="2893C03B" w14:textId="77777777" w:rsidTr="00830737">
        <w:tc>
          <w:tcPr>
            <w:tcW w:w="2376"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Докладчик</w:t>
            </w:r>
          </w:p>
        </w:tc>
        <w:tc>
          <w:tcPr>
            <w:tcW w:w="4712" w:type="dxa"/>
          </w:tcPr>
          <w:p w14:paraId="1D2ED450" w14:textId="10B4B8A6" w:rsidR="008A6059" w:rsidRPr="008A6059" w:rsidRDefault="008A6059" w:rsidP="008A6059">
            <w:pPr>
              <w:tabs>
                <w:tab w:val="center" w:pos="284"/>
              </w:tabs>
              <w:overflowPunct w:val="0"/>
              <w:autoSpaceDE w:val="0"/>
              <w:autoSpaceDN w:val="0"/>
              <w:adjustRightInd w:val="0"/>
              <w:ind w:left="266" w:hanging="266"/>
              <w:textAlignment w:val="baseline"/>
            </w:pPr>
            <w:r>
              <w:t>Andrea MONE (група „Работници“ —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830737">
        <w:tc>
          <w:tcPr>
            <w:tcW w:w="2376"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Отправни документи</w:t>
            </w:r>
          </w:p>
        </w:tc>
        <w:tc>
          <w:tcPr>
            <w:tcW w:w="4712"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pPr>
            <w:r>
              <w:t>COM(2025) 181 final</w:t>
            </w:r>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t>EESC-2025-02299-00-00-AC</w:t>
            </w:r>
          </w:p>
        </w:tc>
      </w:tr>
      <w:tr w:rsidR="008A6059" w:rsidRPr="008A6059" w14:paraId="7566A6A0" w14:textId="77777777" w:rsidTr="00830737">
        <w:tc>
          <w:tcPr>
            <w:tcW w:w="2376"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4712"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ЕИСК:</w:t>
      </w:r>
    </w:p>
    <w:p w14:paraId="59EE1DF2" w14:textId="77777777" w:rsidR="008A6059" w:rsidRPr="008A6059" w:rsidRDefault="008A6059" w:rsidP="008A6059">
      <w:pPr>
        <w:overflowPunct w:val="0"/>
        <w:autoSpaceDE w:val="0"/>
        <w:autoSpaceDN w:val="0"/>
        <w:adjustRightInd w:val="0"/>
        <w:textAlignment w:val="baseline"/>
        <w:rPr>
          <w:bCs/>
          <w:iCs/>
          <w:lang w:val="en-GB"/>
        </w:rPr>
      </w:pPr>
    </w:p>
    <w:p w14:paraId="1EFFAB53"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приветства </w:t>
      </w:r>
      <w:r>
        <w:rPr>
          <w:b/>
        </w:rPr>
        <w:t>подхода на Комисията към правоприлагането от 2024 г.</w:t>
      </w:r>
      <w:r>
        <w:t>, който привежда политиката в областта на конкуренцията в съответствие с целите на ЕС в областта на цифровите технологии, околната среда и устойчивостта, като същевременно гарантира добре функциониращ и конкурентоспособен единен пазар;</w:t>
      </w:r>
    </w:p>
    <w:p w14:paraId="607132BD"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подкрепя усилията на Комисията за повишаване на </w:t>
      </w:r>
      <w:r>
        <w:rPr>
          <w:b/>
        </w:rPr>
        <w:t>ефективността и предвидимостта на правилата в областта на конкуренцията</w:t>
      </w:r>
      <w:r>
        <w:t>, включително разработването на нови насоки относно злоупотребите с господстващо положение с цел отстраняване на конкуренти, актуализирането известие за определяне на пазара и подобрените инструменти за оценка на въздействието върху благосъстоянието на потребителите;</w:t>
      </w:r>
    </w:p>
    <w:p w14:paraId="30166AC6"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подчертава, че е важно да се преодолеят предизвикателствата, свързани с конкуренцията на </w:t>
      </w:r>
      <w:r>
        <w:rPr>
          <w:b/>
        </w:rPr>
        <w:t>цифровите пазари</w:t>
      </w:r>
      <w:r>
        <w:t>, и насърчава Комисията да продължи да укрепва правоприлагането както съгласно традиционните правила в областта на конкуренцията, така и съгласно Акта за цифровите пазари, като се имат предвид структурното господстващо положение и пречките за навлизане на пазара в основаните на платформи бизнес модели;</w:t>
      </w:r>
    </w:p>
    <w:p w14:paraId="2C7DEA84"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призовава за </w:t>
      </w:r>
      <w:r>
        <w:rPr>
          <w:b/>
        </w:rPr>
        <w:t>по-силен контрол върху сливанията</w:t>
      </w:r>
      <w:r>
        <w:t xml:space="preserve">, включително рамка за внимателно разглеждане на придобиванията под прага, които могат да навредят на конкуренцията (например „ликвидиращо придобиване“), и настоятелно призовава за </w:t>
      </w:r>
      <w:r>
        <w:rPr>
          <w:b/>
        </w:rPr>
        <w:t>по-голямо отчитане на въздействието върху пазара на труда и динамиката на иновациите</w:t>
      </w:r>
      <w:r>
        <w:t xml:space="preserve"> при оценките на сливанията;</w:t>
      </w:r>
    </w:p>
    <w:p w14:paraId="47C13D78"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подчертава необходимостта от </w:t>
      </w:r>
      <w:r>
        <w:rPr>
          <w:b/>
        </w:rPr>
        <w:t>правила за държавната помощ</w:t>
      </w:r>
      <w:r>
        <w:t xml:space="preserve"> — по-специално новата рамка CISAF и важните проекти от общоевропейски интерес (ВПОИ) — за насърчаване на </w:t>
      </w:r>
      <w:r>
        <w:rPr>
          <w:b/>
        </w:rPr>
        <w:t>трансграничното участие, намаляване на разпокъсаността и подкрепа на стратегическите инвестиции</w:t>
      </w:r>
      <w:r>
        <w:t>, които са от съществено значение за Пакта за чиста промишленост, като същевременно се гарантират сближаване и еднакви условия на конкуренция във всички държави членки.</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137"/>
      </w:tblGrid>
      <w:tr w:rsidR="008A6059" w:rsidRPr="008A6059" w14:paraId="60D2607C" w14:textId="77777777" w:rsidTr="00830737">
        <w:tc>
          <w:tcPr>
            <w:tcW w:w="1951" w:type="dxa"/>
          </w:tcPr>
          <w:p w14:paraId="0F9C1860" w14:textId="77777777" w:rsidR="008A6059" w:rsidRPr="008A6059" w:rsidRDefault="008A6059" w:rsidP="008A6059">
            <w:pPr>
              <w:overflowPunct w:val="0"/>
              <w:autoSpaceDE w:val="0"/>
              <w:autoSpaceDN w:val="0"/>
              <w:adjustRightInd w:val="0"/>
              <w:spacing w:line="240" w:lineRule="auto"/>
              <w:textAlignment w:val="baseline"/>
              <w:rPr>
                <w:i/>
              </w:rPr>
            </w:pPr>
            <w:r>
              <w:rPr>
                <w:b/>
                <w:i/>
              </w:rPr>
              <w:t>За контакт</w:t>
            </w:r>
          </w:p>
        </w:tc>
        <w:tc>
          <w:tcPr>
            <w:tcW w:w="5137"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r>
              <w:rPr>
                <w:i/>
              </w:rPr>
              <w:t>Silvia Staffa</w:t>
            </w:r>
          </w:p>
        </w:tc>
      </w:tr>
      <w:tr w:rsidR="008A6059" w:rsidRPr="008A6059" w14:paraId="3BAB393F" w14:textId="77777777" w:rsidTr="00830737">
        <w:tc>
          <w:tcPr>
            <w:tcW w:w="1951"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Pr>
                <w:i/>
              </w:rPr>
              <w:t>Тел</w:t>
            </w:r>
            <w:r>
              <w:rPr>
                <w:i/>
                <w:iCs/>
              </w:rPr>
              <w:t>.</w:t>
            </w:r>
          </w:p>
        </w:tc>
        <w:tc>
          <w:tcPr>
            <w:tcW w:w="5137" w:type="dxa"/>
          </w:tcPr>
          <w:p w14:paraId="1A61F972" w14:textId="77777777" w:rsidR="008A6059" w:rsidRPr="008A6059" w:rsidRDefault="008A6059" w:rsidP="008A6059">
            <w:pPr>
              <w:overflowPunct w:val="0"/>
              <w:autoSpaceDE w:val="0"/>
              <w:autoSpaceDN w:val="0"/>
              <w:adjustRightInd w:val="0"/>
              <w:spacing w:line="240" w:lineRule="auto"/>
              <w:textAlignment w:val="baseline"/>
              <w:rPr>
                <w:i/>
              </w:rPr>
            </w:pPr>
            <w:r>
              <w:rPr>
                <w:i/>
              </w:rPr>
              <w:t>+ 32 25468378</w:t>
            </w:r>
          </w:p>
        </w:tc>
      </w:tr>
      <w:tr w:rsidR="008A6059" w:rsidRPr="008A6059" w14:paraId="6DC120EA" w14:textId="77777777" w:rsidTr="00830737">
        <w:tc>
          <w:tcPr>
            <w:tcW w:w="1951" w:type="dxa"/>
          </w:tcPr>
          <w:p w14:paraId="32C00486" w14:textId="001C808A" w:rsidR="008A6059" w:rsidRPr="008A6059" w:rsidRDefault="006E6F14" w:rsidP="008A6059">
            <w:pPr>
              <w:overflowPunct w:val="0"/>
              <w:autoSpaceDE w:val="0"/>
              <w:autoSpaceDN w:val="0"/>
              <w:adjustRightInd w:val="0"/>
              <w:spacing w:line="240" w:lineRule="auto"/>
              <w:textAlignment w:val="baseline"/>
              <w:rPr>
                <w:i/>
              </w:rPr>
            </w:pPr>
            <w:r>
              <w:rPr>
                <w:i/>
              </w:rPr>
              <w:t>Eлектронен адрес</w:t>
            </w:r>
          </w:p>
        </w:tc>
        <w:tc>
          <w:tcPr>
            <w:tcW w:w="5137" w:type="dxa"/>
          </w:tcPr>
          <w:p w14:paraId="0B7A4BF8" w14:textId="77777777" w:rsidR="008A6059" w:rsidRPr="008A6059" w:rsidRDefault="00413A6F" w:rsidP="008A6059">
            <w:pPr>
              <w:overflowPunct w:val="0"/>
              <w:autoSpaceDE w:val="0"/>
              <w:autoSpaceDN w:val="0"/>
              <w:adjustRightInd w:val="0"/>
              <w:spacing w:line="240" w:lineRule="auto"/>
              <w:textAlignment w:val="baseline"/>
              <w:rPr>
                <w:i/>
              </w:rPr>
            </w:pPr>
            <w:hyperlink r:id="rId37" w:history="1">
              <w:r w:rsidR="00EB4F20">
                <w:rPr>
                  <w:i/>
                  <w:color w:val="0000FF"/>
                  <w:u w:val="single"/>
                </w:rPr>
                <w:t>Silvia.Staffa@eesc.europa.eu</w:t>
              </w:r>
            </w:hyperlink>
          </w:p>
        </w:tc>
      </w:tr>
    </w:tbl>
    <w:p w14:paraId="4982DE1D" w14:textId="77777777" w:rsidR="004D7AC0" w:rsidRDefault="004D7AC0" w:rsidP="004D7AC0">
      <w:pPr>
        <w:pStyle w:val="ListParagraph"/>
        <w:ind w:left="0"/>
      </w:pPr>
    </w:p>
    <w:p w14:paraId="4E659D6D" w14:textId="0C2068A0"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Pr>
            <w:b/>
            <w:i/>
            <w:color w:val="0000FF"/>
            <w:sz w:val="28"/>
            <w:u w:val="single"/>
          </w:rPr>
          <w:t>„Фонд за конкурентоспособност“</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6378"/>
      </w:tblGrid>
      <w:tr w:rsidR="00685A3A" w:rsidRPr="00685A3A" w14:paraId="5D349B8F" w14:textId="77777777" w:rsidTr="00830737">
        <w:trPr>
          <w:trHeight w:val="406"/>
        </w:trPr>
        <w:tc>
          <w:tcPr>
            <w:tcW w:w="1526"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Докладчик</w:t>
            </w:r>
          </w:p>
        </w:tc>
        <w:tc>
          <w:tcPr>
            <w:tcW w:w="3474" w:type="pct"/>
          </w:tcPr>
          <w:p w14:paraId="51845819" w14:textId="525A6D0F" w:rsidR="00685A3A" w:rsidRPr="00685A3A" w:rsidRDefault="00685A3A" w:rsidP="00685A3A">
            <w:pPr>
              <w:tabs>
                <w:tab w:val="center" w:pos="0"/>
              </w:tabs>
              <w:overflowPunct w:val="0"/>
              <w:autoSpaceDE w:val="0"/>
              <w:autoSpaceDN w:val="0"/>
              <w:adjustRightInd w:val="0"/>
              <w:ind w:left="266" w:hanging="266"/>
              <w:textAlignment w:val="baseline"/>
            </w:pPr>
            <w:r>
              <w:t>Милена АНГЕЛОВА (група „Работодатели“ — BG)</w:t>
            </w:r>
          </w:p>
        </w:tc>
      </w:tr>
      <w:tr w:rsidR="00685A3A" w:rsidRPr="00685A3A" w14:paraId="3F4509C4" w14:textId="77777777" w:rsidTr="00830737">
        <w:tc>
          <w:tcPr>
            <w:tcW w:w="1526"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Отправни документи</w:t>
            </w:r>
          </w:p>
        </w:tc>
        <w:tc>
          <w:tcPr>
            <w:tcW w:w="3474" w:type="pct"/>
          </w:tcPr>
          <w:p w14:paraId="3A3B4EA5" w14:textId="6C386D40" w:rsidR="00685A3A" w:rsidRPr="00685A3A" w:rsidRDefault="00685A3A" w:rsidP="00685A3A">
            <w:pPr>
              <w:tabs>
                <w:tab w:val="center" w:pos="284"/>
              </w:tabs>
              <w:overflowPunct w:val="0"/>
              <w:autoSpaceDE w:val="0"/>
              <w:autoSpaceDN w:val="0"/>
              <w:adjustRightInd w:val="0"/>
              <w:ind w:left="266" w:hanging="266"/>
              <w:textAlignment w:val="baseline"/>
            </w:pPr>
            <w:r>
              <w:t>COM(2025) 555 final</w:t>
            </w:r>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ЕИСК:</w:t>
      </w:r>
    </w:p>
    <w:p w14:paraId="2BFD330A" w14:textId="77777777" w:rsidR="0068013D" w:rsidRPr="00685A3A" w:rsidRDefault="0068013D" w:rsidP="00685A3A">
      <w:pPr>
        <w:overflowPunct w:val="0"/>
        <w:autoSpaceDE w:val="0"/>
        <w:autoSpaceDN w:val="0"/>
        <w:adjustRightInd w:val="0"/>
        <w:textAlignment w:val="baseline"/>
        <w:rPr>
          <w:bCs/>
          <w:iCs/>
          <w:lang w:val="en-GB"/>
        </w:rPr>
      </w:pPr>
    </w:p>
    <w:p w14:paraId="41E4A36B"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подкрепя създаването на Европейския фонд за конкурентоспособност (ЕФК) като основа на следващия бюджет на ЕС и двигател на иновациите, издръжливостта и сигурността, като подчертава, че </w:t>
      </w:r>
      <w:r>
        <w:rPr>
          <w:b/>
        </w:rPr>
        <w:t>финансирането трябва да остане строго съгласувано с устойчивостта и социалната пазарна икономика на ЕС</w:t>
      </w:r>
      <w:r>
        <w:t>;</w:t>
      </w:r>
    </w:p>
    <w:p w14:paraId="7B5E1E81"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призовава за основан на заслуги подбор на проекти в целия ЕС</w:t>
      </w:r>
      <w:r>
        <w:t xml:space="preserve"> с ясни критерии като високи постижения, бъдеща ориентация и икономически потенциал. </w:t>
      </w:r>
      <w:r>
        <w:rPr>
          <w:b/>
        </w:rPr>
        <w:t>За да се предотврати контролирането на достъпа на национално равнище</w:t>
      </w:r>
      <w:r>
        <w:t>, ЕИСК настоятелно призовава за прозрачни процедури, равен достъп за кандидатите във всички държави членки и активно участие на социалните партньори и гражданското общество в управлението;</w:t>
      </w:r>
    </w:p>
    <w:p w14:paraId="64C52483"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препоръчва да се въведе „пазарен референдум“</w:t>
      </w:r>
      <w:r>
        <w:t>, който да изисква от проектите, стремящи се да получат значителни допълнителни средства от страна на ЕС, като например ВПОИ или други широкомащабни инвестиции, първо да мобилизират дял от частен капитал. Този механизъм за допитване до участниците на пазара би спомогнал за потвърждаване на качеството на проектите, намаляване на политизираните решения за финансиране и укрепване на връзката между публичната подкрепа и реалната конкурентоспособност;</w:t>
      </w:r>
    </w:p>
    <w:p w14:paraId="7A1693EC"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подчертава необходимостта от силни инструменти за оценка на риска и превенция</w:t>
      </w:r>
      <w:r>
        <w:t>, като се гарантира, че ресурсите на ЕФК се насочват само към проекти, които действително повишават конкурентоспособността на Европа, и се избягва повтарянето на предишни недостатъци в програмите на ЕС за финансиране;</w:t>
      </w:r>
    </w:p>
    <w:p w14:paraId="4F35B8DF" w14:textId="4239145F" w:rsidR="00685A3A" w:rsidRDefault="00685A3A" w:rsidP="00054C58">
      <w:pPr>
        <w:numPr>
          <w:ilvl w:val="0"/>
          <w:numId w:val="27"/>
        </w:numPr>
        <w:overflowPunct w:val="0"/>
        <w:autoSpaceDE w:val="0"/>
        <w:autoSpaceDN w:val="0"/>
        <w:adjustRightInd w:val="0"/>
        <w:ind w:left="284" w:hanging="284"/>
        <w:textAlignment w:val="baseline"/>
      </w:pPr>
      <w:r>
        <w:t xml:space="preserve">подчертава значението на </w:t>
      </w:r>
      <w:r>
        <w:rPr>
          <w:b/>
        </w:rPr>
        <w:t>подкрепата за МСП, регионалните и трансграничните екосистеми за иновации и инвестициите в умения и достоен труд</w:t>
      </w:r>
      <w:r>
        <w:t>, като същевременно се опростяват процедурите и се гарантира прозрачно, предвидимо и приобщаващо управление.</w:t>
      </w:r>
    </w:p>
    <w:p w14:paraId="22CF6A16" w14:textId="77777777" w:rsidR="00F34524" w:rsidRPr="00685A3A" w:rsidRDefault="00F34524" w:rsidP="00F34524">
      <w:pPr>
        <w:overflowPunct w:val="0"/>
        <w:autoSpaceDE w:val="0"/>
        <w:autoSpaceDN w:val="0"/>
        <w:adjustRightInd w:val="0"/>
        <w:textAlignment w:val="baseline"/>
      </w:pPr>
    </w:p>
    <w:tbl>
      <w:tblPr>
        <w:tblStyle w:val="TableGrid10"/>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3"/>
        <w:gridCol w:w="1025"/>
      </w:tblGrid>
      <w:tr w:rsidR="00685A3A" w:rsidRPr="00685A3A" w14:paraId="5EE7D4B5" w14:textId="77777777" w:rsidTr="00830737">
        <w:tc>
          <w:tcPr>
            <w:tcW w:w="443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56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830737">
        <w:tc>
          <w:tcPr>
            <w:tcW w:w="4432" w:type="pct"/>
          </w:tcPr>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5530"/>
            </w:tblGrid>
            <w:tr w:rsidR="00E13363" w:rsidRPr="00A6689B" w14:paraId="014CFA79" w14:textId="77777777" w:rsidTr="00830737">
              <w:tc>
                <w:tcPr>
                  <w:tcW w:w="1454" w:type="pct"/>
                </w:tcPr>
                <w:p w14:paraId="7EB958FC" w14:textId="77777777" w:rsidR="00E13363" w:rsidRPr="00A6689B" w:rsidRDefault="00E13363" w:rsidP="00E13363">
                  <w:pPr>
                    <w:rPr>
                      <w:i/>
                    </w:rPr>
                  </w:pPr>
                  <w:r>
                    <w:rPr>
                      <w:b/>
                      <w:i/>
                    </w:rPr>
                    <w:t>За контакт</w:t>
                  </w:r>
                </w:p>
              </w:tc>
              <w:tc>
                <w:tcPr>
                  <w:tcW w:w="3546" w:type="pct"/>
                </w:tcPr>
                <w:p w14:paraId="2797B023" w14:textId="00679360" w:rsidR="00E13363" w:rsidRPr="00A6689B" w:rsidRDefault="00E13363" w:rsidP="00E13363">
                  <w:pPr>
                    <w:rPr>
                      <w:i/>
                    </w:rPr>
                  </w:pPr>
                  <w:r>
                    <w:rPr>
                      <w:i/>
                    </w:rPr>
                    <w:t>Silvia Staffa</w:t>
                  </w:r>
                </w:p>
              </w:tc>
            </w:tr>
            <w:tr w:rsidR="00E13363" w:rsidRPr="00A6689B" w14:paraId="545C7BC0" w14:textId="77777777" w:rsidTr="00830737">
              <w:tc>
                <w:tcPr>
                  <w:tcW w:w="1454" w:type="pct"/>
                </w:tcPr>
                <w:p w14:paraId="01319993" w14:textId="77777777" w:rsidR="00E13363" w:rsidRPr="00A6689B" w:rsidRDefault="00E13363" w:rsidP="00E13363">
                  <w:pPr>
                    <w:rPr>
                      <w:i/>
                    </w:rPr>
                  </w:pPr>
                  <w:r>
                    <w:rPr>
                      <w:i/>
                    </w:rPr>
                    <w:t>Тел</w:t>
                  </w:r>
                  <w:r>
                    <w:rPr>
                      <w:i/>
                      <w:iCs/>
                    </w:rPr>
                    <w:t>.</w:t>
                  </w:r>
                </w:p>
              </w:tc>
              <w:tc>
                <w:tcPr>
                  <w:tcW w:w="3546" w:type="pct"/>
                </w:tcPr>
                <w:p w14:paraId="66DD56EC" w14:textId="77777777" w:rsidR="00E13363" w:rsidRPr="00A6689B" w:rsidRDefault="00E13363" w:rsidP="00E13363">
                  <w:pPr>
                    <w:rPr>
                      <w:i/>
                    </w:rPr>
                  </w:pPr>
                  <w:r>
                    <w:rPr>
                      <w:i/>
                    </w:rPr>
                    <w:t>+32 254 68378</w:t>
                  </w:r>
                </w:p>
              </w:tc>
            </w:tr>
            <w:tr w:rsidR="00E13363" w:rsidRPr="00CB5569" w14:paraId="4CC970C9" w14:textId="77777777" w:rsidTr="00830737">
              <w:tc>
                <w:tcPr>
                  <w:tcW w:w="1454" w:type="pct"/>
                </w:tcPr>
                <w:p w14:paraId="7B046870" w14:textId="77777777" w:rsidR="00E13363" w:rsidRPr="00A6689B" w:rsidRDefault="00E13363" w:rsidP="00E13363">
                  <w:pPr>
                    <w:rPr>
                      <w:i/>
                    </w:rPr>
                  </w:pPr>
                  <w:r>
                    <w:rPr>
                      <w:i/>
                    </w:rPr>
                    <w:t>Eлектронен адрес</w:t>
                  </w:r>
                </w:p>
              </w:tc>
              <w:tc>
                <w:tcPr>
                  <w:tcW w:w="3546" w:type="pct"/>
                </w:tcPr>
                <w:p w14:paraId="73277BE8" w14:textId="77777777" w:rsidR="00E13363" w:rsidRPr="00CB5569" w:rsidRDefault="00413A6F" w:rsidP="00E13363">
                  <w:pPr>
                    <w:rPr>
                      <w:i/>
                      <w:iCs/>
                      <w:sz w:val="20"/>
                    </w:rPr>
                  </w:pPr>
                  <w:hyperlink r:id="rId39" w:history="1">
                    <w:r w:rsidR="00EB4F20">
                      <w:rPr>
                        <w:rStyle w:val="Hyperlink"/>
                        <w:i/>
                        <w:sz w:val="20"/>
                      </w:rPr>
                      <w:t>Silvia.Staffa@eesc.europa.eu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56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4BC42091"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40" w:history="1">
        <w:r>
          <w:rPr>
            <w:b/>
            <w:i/>
            <w:color w:val="0000FF"/>
            <w:sz w:val="28"/>
            <w:u w:val="single"/>
          </w:rPr>
          <w:t>„Преглед на европейската правна рамка за обществените поръчки“</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Докладчик</w:t>
            </w:r>
          </w:p>
        </w:tc>
        <w:tc>
          <w:tcPr>
            <w:tcW w:w="3892" w:type="pct"/>
          </w:tcPr>
          <w:p w14:paraId="1387F327" w14:textId="3E223F4E" w:rsidR="00685A3A" w:rsidRPr="00685A3A" w:rsidRDefault="00685A3A" w:rsidP="00685A3A">
            <w:pPr>
              <w:tabs>
                <w:tab w:val="center" w:pos="0"/>
              </w:tabs>
              <w:overflowPunct w:val="0"/>
              <w:autoSpaceDE w:val="0"/>
              <w:autoSpaceDN w:val="0"/>
              <w:adjustRightInd w:val="0"/>
              <w:ind w:left="266" w:hanging="266"/>
              <w:textAlignment w:val="baseline"/>
            </w:pPr>
            <w:r>
              <w:t>Philip VON BROCKDORFF (група „Работници“ — MT)</w:t>
            </w:r>
          </w:p>
        </w:tc>
      </w:tr>
      <w:tr w:rsidR="00685A3A" w:rsidRPr="00685A3A" w14:paraId="74E460F2" w14:textId="77777777" w:rsidTr="0036489A">
        <w:tc>
          <w:tcPr>
            <w:tcW w:w="1108" w:type="pct"/>
          </w:tcPr>
          <w:p w14:paraId="318C426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Отправeн документ</w:t>
            </w:r>
          </w:p>
        </w:tc>
        <w:tc>
          <w:tcPr>
            <w:tcW w:w="3892" w:type="pct"/>
          </w:tcPr>
          <w:p w14:paraId="6CDCCE3F" w14:textId="74C336A8" w:rsidR="00685A3A" w:rsidRPr="00685A3A" w:rsidRDefault="00685A3A" w:rsidP="00685A3A">
            <w:pPr>
              <w:tabs>
                <w:tab w:val="center" w:pos="284"/>
              </w:tabs>
              <w:overflowPunct w:val="0"/>
              <w:autoSpaceDE w:val="0"/>
              <w:autoSpaceDN w:val="0"/>
              <w:adjustRightInd w:val="0"/>
              <w:ind w:left="266" w:hanging="266"/>
              <w:textAlignment w:val="baseline"/>
            </w:pPr>
            <w:r>
              <w:t>Проучвателно становище по искане на Европейската комисия</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6E1B1A97" w14:textId="77777777" w:rsidR="00685A3A" w:rsidRPr="00685A3A" w:rsidRDefault="00685A3A" w:rsidP="00830737">
      <w:pPr>
        <w:keepNext/>
        <w:keepLines/>
        <w:tabs>
          <w:tab w:val="center" w:pos="284"/>
        </w:tabs>
        <w:overflowPunct w:val="0"/>
        <w:autoSpaceDE w:val="0"/>
        <w:autoSpaceDN w:val="0"/>
        <w:adjustRightInd w:val="0"/>
        <w:spacing w:line="240" w:lineRule="auto"/>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ЕИСК:</w:t>
      </w:r>
    </w:p>
    <w:p w14:paraId="70A20C64" w14:textId="77777777" w:rsidR="00665929" w:rsidRPr="00685A3A" w:rsidRDefault="00665929" w:rsidP="00830737">
      <w:pPr>
        <w:overflowPunct w:val="0"/>
        <w:autoSpaceDE w:val="0"/>
        <w:autoSpaceDN w:val="0"/>
        <w:adjustRightInd w:val="0"/>
        <w:spacing w:line="240" w:lineRule="auto"/>
        <w:textAlignment w:val="baseline"/>
        <w:rPr>
          <w:lang w:val="en-GB"/>
        </w:rPr>
      </w:pPr>
    </w:p>
    <w:p w14:paraId="1AF2E88C"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е съгласен, че е необходимо преразглеждане на съществуващото законодателство на ЕС с цел по-ефективно опростяване, намаляване на административните разходи и подкрепа на по-нататъшната хармонизация на единния пазар;</w:t>
      </w:r>
    </w:p>
    <w:p w14:paraId="73D00E89"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счита, че една устойчива политика на ЕС в областта на обществените поръчки може да надхвърли тясната парадигма на неефективност на пазара, като даде възможност за стратегически и ориентирани към общественото благосъстояние обществени поръчки, да затвърди социалните, иновационните и екологичните критерии като равностойни цели и да осигури справедлив достъп на частните оператори до обществени поръчки;</w:t>
      </w:r>
    </w:p>
    <w:p w14:paraId="0FCA892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счита, че обществените поръчки трябва да се възлагат въз основа на принципа на „икономически най-изгодната оферта“, като същевременно се подчертава значението на неценовите критерии, например качество, иновации, екологични, социални и свързани с устойчивостта съображения, особено правата на работниците и колективните трудови договори;</w:t>
      </w:r>
    </w:p>
    <w:p w14:paraId="67FC0F2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призовава за цялостен подход към политиките в областта на услугите от общ интерес (УОИ);</w:t>
      </w:r>
    </w:p>
    <w:p w14:paraId="4BDE4CA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счита, че обществените поръчки не следва да се възлагат на дружества, които систематично нарушават основните права на работниците или колективните трудови договори, които са задължени да спазват;</w:t>
      </w:r>
    </w:p>
    <w:p w14:paraId="2A2F2AFD"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счита, че при наличие на подходящи правни критерии и като се гарантира, че нарушаването на конкуренцията ще бъде минимално, възможността за използване на вътрешнофирмено възлагане на поръчки за мажоритарно контролираните юридически лица и на пряко възлагане следва да се запази при преразглеждането на директивите на ЕС за обществените поръчки;</w:t>
      </w:r>
    </w:p>
    <w:p w14:paraId="6E90E5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препоръчва въвеждането на правно задължение за оценка на въздействието на съществуващите прагове за договори за обществени услуги;</w:t>
      </w:r>
    </w:p>
    <w:p w14:paraId="47C53FE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счита, че обществените поръчки могат да подкрепят социално справедлива, екологично устойчива и издръжлива в икономическо отношение Европа в полза на общото благо;</w:t>
      </w:r>
    </w:p>
    <w:p w14:paraId="75315D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t>призовава за задължителни клаузи за преразглеждане на цените, за да се отчитат свързаните със заплатите промени в колективните трудови договори и/или трудовото законодателство или инфлацията и други значими фактори, които оказват влияние върху изпълнението на даден договор, като разходите за енергия.</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85A3A" w:rsidRPr="00685A3A" w14:paraId="0E43841C" w14:textId="77777777" w:rsidTr="00830737">
        <w:tc>
          <w:tcPr>
            <w:tcW w:w="1203" w:type="pct"/>
          </w:tcPr>
          <w:p w14:paraId="28C7C10B" w14:textId="77777777" w:rsidR="00685A3A" w:rsidRPr="00685A3A" w:rsidRDefault="00685A3A" w:rsidP="00685A3A">
            <w:pPr>
              <w:overflowPunct w:val="0"/>
              <w:autoSpaceDE w:val="0"/>
              <w:autoSpaceDN w:val="0"/>
              <w:adjustRightInd w:val="0"/>
              <w:spacing w:line="240" w:lineRule="auto"/>
              <w:textAlignment w:val="baseline"/>
              <w:rPr>
                <w:i/>
              </w:rPr>
            </w:pPr>
            <w:r>
              <w:rPr>
                <w:b/>
                <w:i/>
              </w:rPr>
              <w:t>За контакт</w:t>
            </w:r>
          </w:p>
        </w:tc>
        <w:tc>
          <w:tcPr>
            <w:tcW w:w="3797"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r>
              <w:rPr>
                <w:i/>
              </w:rPr>
              <w:t>Annalisa Tessarolo</w:t>
            </w:r>
          </w:p>
        </w:tc>
      </w:tr>
      <w:tr w:rsidR="00685A3A" w:rsidRPr="00685A3A" w14:paraId="3DD656A6" w14:textId="77777777" w:rsidTr="00830737">
        <w:tc>
          <w:tcPr>
            <w:tcW w:w="1203"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Pr>
                <w:i/>
              </w:rPr>
              <w:t>Тел</w:t>
            </w:r>
            <w:r>
              <w:rPr>
                <w:i/>
                <w:iCs/>
              </w:rPr>
              <w:t>.</w:t>
            </w:r>
          </w:p>
        </w:tc>
        <w:tc>
          <w:tcPr>
            <w:tcW w:w="3797" w:type="pct"/>
          </w:tcPr>
          <w:p w14:paraId="79B2077E" w14:textId="77777777" w:rsidR="00685A3A" w:rsidRPr="00685A3A" w:rsidRDefault="00685A3A" w:rsidP="00685A3A">
            <w:pPr>
              <w:overflowPunct w:val="0"/>
              <w:autoSpaceDE w:val="0"/>
              <w:autoSpaceDN w:val="0"/>
              <w:adjustRightInd w:val="0"/>
              <w:spacing w:line="240" w:lineRule="auto"/>
              <w:textAlignment w:val="baseline"/>
              <w:rPr>
                <w:i/>
              </w:rPr>
            </w:pPr>
            <w:r>
              <w:rPr>
                <w:i/>
              </w:rPr>
              <w:t>+ 32 25469732</w:t>
            </w:r>
          </w:p>
        </w:tc>
      </w:tr>
      <w:tr w:rsidR="00685A3A" w:rsidRPr="00685A3A" w14:paraId="31FFB9F3" w14:textId="77777777" w:rsidTr="00830737">
        <w:tc>
          <w:tcPr>
            <w:tcW w:w="1203" w:type="pct"/>
          </w:tcPr>
          <w:p w14:paraId="62C6EB1B" w14:textId="77777777" w:rsidR="00685A3A" w:rsidRPr="00685A3A" w:rsidRDefault="00685A3A" w:rsidP="00685A3A">
            <w:pPr>
              <w:overflowPunct w:val="0"/>
              <w:autoSpaceDE w:val="0"/>
              <w:autoSpaceDN w:val="0"/>
              <w:adjustRightInd w:val="0"/>
              <w:spacing w:line="240" w:lineRule="auto"/>
              <w:textAlignment w:val="baseline"/>
              <w:rPr>
                <w:i/>
              </w:rPr>
            </w:pPr>
            <w:r>
              <w:rPr>
                <w:i/>
              </w:rPr>
              <w:t>Eлектронен адрес</w:t>
            </w:r>
          </w:p>
        </w:tc>
        <w:tc>
          <w:tcPr>
            <w:tcW w:w="3797" w:type="pct"/>
          </w:tcPr>
          <w:p w14:paraId="04364B9F" w14:textId="77777777" w:rsidR="00685A3A" w:rsidRPr="00685A3A" w:rsidRDefault="00413A6F" w:rsidP="00685A3A">
            <w:pPr>
              <w:overflowPunct w:val="0"/>
              <w:autoSpaceDE w:val="0"/>
              <w:autoSpaceDN w:val="0"/>
              <w:adjustRightInd w:val="0"/>
              <w:spacing w:line="240" w:lineRule="auto"/>
              <w:textAlignment w:val="baseline"/>
              <w:rPr>
                <w:i/>
                <w:iCs/>
              </w:rPr>
            </w:pPr>
            <w:hyperlink r:id="rId41" w:history="1">
              <w:r w:rsidR="00EB4F20">
                <w:rPr>
                  <w:i/>
                  <w:color w:val="0000FF"/>
                  <w:u w:val="single"/>
                </w:rPr>
                <w:t>Annalisa.Tessarolo@eesc.europa.eu</w:t>
              </w:r>
            </w:hyperlink>
          </w:p>
        </w:tc>
      </w:tr>
    </w:tbl>
    <w:p w14:paraId="40169B8F" w14:textId="3A8D790B" w:rsidR="00685A3A" w:rsidRDefault="00685A3A" w:rsidP="00830737">
      <w:pPr>
        <w:spacing w:line="120" w:lineRule="auto"/>
      </w:pPr>
    </w:p>
    <w:p w14:paraId="1E327181" w14:textId="77777777" w:rsidR="00685A3A" w:rsidRDefault="00685A3A">
      <w:r>
        <w:br w:type="page"/>
      </w:r>
    </w:p>
    <w:p w14:paraId="4982DE1E" w14:textId="5B30CC22" w:rsidR="004D7AC0" w:rsidRDefault="004D7AC0" w:rsidP="004D7AC0">
      <w:pPr>
        <w:spacing w:after="160" w:line="259" w:lineRule="auto"/>
        <w:jc w:val="left"/>
      </w:pPr>
    </w:p>
    <w:p w14:paraId="4982DE1F" w14:textId="77777777" w:rsidR="004D7AC0" w:rsidRDefault="004D7AC0" w:rsidP="004D7AC0">
      <w:pPr>
        <w:pStyle w:val="Heading1"/>
        <w:rPr>
          <w:b/>
        </w:rPr>
      </w:pPr>
      <w:bookmarkStart w:id="12" w:name="_Toc70322234"/>
      <w:bookmarkStart w:id="13" w:name="_Toc75527084"/>
      <w:bookmarkStart w:id="14" w:name="_Toc216959645"/>
      <w:r>
        <w:rPr>
          <w:b/>
        </w:rPr>
        <w:t>ЗЕМЕДЕЛИЕ, РАЗВИТИЕ НА СЕЛСКИТЕ РАЙОНИ, ОКОЛНА СРЕДА</w:t>
      </w:r>
      <w:bookmarkEnd w:id="12"/>
      <w:bookmarkEnd w:id="13"/>
      <w:bookmarkEnd w:id="14"/>
    </w:p>
    <w:p w14:paraId="4982DE20" w14:textId="77777777" w:rsidR="004D7AC0" w:rsidRDefault="004D7AC0" w:rsidP="004D7AC0"/>
    <w:p w14:paraId="280704BE" w14:textId="42E36B01" w:rsidR="00836765" w:rsidRPr="00836765" w:rsidRDefault="00413A6F" w:rsidP="00836765">
      <w:pPr>
        <w:widowControl w:val="0"/>
        <w:numPr>
          <w:ilvl w:val="0"/>
          <w:numId w:val="4"/>
        </w:numPr>
        <w:overflowPunct w:val="0"/>
        <w:autoSpaceDE w:val="0"/>
        <w:autoSpaceDN w:val="0"/>
        <w:adjustRightInd w:val="0"/>
        <w:ind w:hanging="567"/>
        <w:textAlignment w:val="baseline"/>
        <w:rPr>
          <w:b/>
        </w:rPr>
      </w:pPr>
      <w:hyperlink r:id="rId42" w:history="1">
        <w:r w:rsidR="00EB4F20">
          <w:rPr>
            <w:b/>
            <w:i/>
            <w:color w:val="0000FF"/>
            <w:sz w:val="28"/>
            <w:u w:val="single"/>
          </w:rPr>
          <w:t>„Изменение на Регламент (ЕС) 2023/1115 относно обезлесяването“</w:t>
        </w:r>
      </w:hyperlink>
      <w:r w:rsidR="00EB4F20">
        <w:rPr>
          <w:b/>
          <w:i/>
          <w:sz w:val="28"/>
        </w:rPr>
        <w:t xml:space="preserve"> </w:t>
      </w:r>
    </w:p>
    <w:p w14:paraId="304DC66A" w14:textId="77777777" w:rsidR="00836765" w:rsidRPr="00836765" w:rsidRDefault="00836765" w:rsidP="00836765">
      <w:pPr>
        <w:widowControl w:val="0"/>
        <w:overflowPunct w:val="0"/>
        <w:autoSpaceDE w:val="0"/>
        <w:autoSpaceDN w:val="0"/>
        <w:adjustRightInd w:val="0"/>
        <w:ind w:left="266"/>
        <w:textAlignment w:val="baseline"/>
        <w:rPr>
          <w:b/>
          <w:bCs/>
          <w:i/>
          <w:iCs/>
          <w:sz w:val="28"/>
          <w:szCs w:val="28"/>
          <w:lang w:val="en-GB"/>
        </w:rPr>
      </w:pPr>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6772"/>
      </w:tblGrid>
      <w:tr w:rsidR="00836765" w:rsidRPr="00836765" w14:paraId="353187E9" w14:textId="77777777" w:rsidTr="00830737">
        <w:tc>
          <w:tcPr>
            <w:tcW w:w="1355"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Pr>
                <w:b/>
              </w:rPr>
              <w:t>Отправни документи</w:t>
            </w:r>
          </w:p>
        </w:tc>
        <w:tc>
          <w:tcPr>
            <w:tcW w:w="3645"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pPr>
            <w:r>
              <w:t>Становище от категория В</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t>COM(2025) 652 final</w:t>
            </w:r>
          </w:p>
        </w:tc>
      </w:tr>
      <w:tr w:rsidR="00836765" w:rsidRPr="00836765" w14:paraId="61D1A2FF" w14:textId="77777777" w:rsidTr="00830737">
        <w:tc>
          <w:tcPr>
            <w:tcW w:w="1355"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645"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ЕИСК:</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77777777" w:rsidR="00836765" w:rsidRPr="00836765" w:rsidRDefault="00836765" w:rsidP="00054C58">
      <w:pPr>
        <w:widowControl w:val="0"/>
        <w:numPr>
          <w:ilvl w:val="0"/>
          <w:numId w:val="29"/>
        </w:numPr>
        <w:overflowPunct w:val="0"/>
        <w:autoSpaceDE w:val="0"/>
        <w:autoSpaceDN w:val="0"/>
        <w:adjustRightInd w:val="0"/>
        <w:ind w:left="284" w:hanging="284"/>
        <w:textAlignment w:val="baseline"/>
        <w:rPr>
          <w:bCs/>
          <w:iCs/>
        </w:rPr>
      </w:pPr>
      <w:r>
        <w:t>тъй като вече e изразил своята гледна точка относно съдържанието на въпросното предложение в своите становища EESC-2024-01183-00-00-AC-TRA, прието на 19.9.2024 г.</w:t>
      </w:r>
      <w:r w:rsidRPr="00836765">
        <w:rPr>
          <w:sz w:val="18"/>
          <w:szCs w:val="14"/>
          <w:vertAlign w:val="superscript"/>
          <w:lang w:val="en-GB"/>
        </w:rPr>
        <w:footnoteReference w:id="5"/>
      </w:r>
      <w:r>
        <w:t>, и EESC-2021-05690-00-00-AC-TRA, прието на 23.2.2022 г.</w:t>
      </w:r>
      <w:r w:rsidRPr="00836765">
        <w:rPr>
          <w:sz w:val="18"/>
          <w:szCs w:val="14"/>
          <w:vertAlign w:val="superscript"/>
          <w:lang w:val="en-GB"/>
        </w:rPr>
        <w:footnoteReference w:id="6"/>
      </w:r>
      <w:r>
        <w:t>, реши да не изготвя ново становище по въпроса, а да се позове на своята позиция, изразена в горепосочените документи.</w:t>
      </w:r>
    </w:p>
    <w:p w14:paraId="65270CA5" w14:textId="77777777" w:rsidR="00836765" w:rsidRPr="00836765" w:rsidRDefault="00836765" w:rsidP="00836765">
      <w:pPr>
        <w:widowControl w:val="0"/>
        <w:overflowPunct w:val="0"/>
        <w:autoSpaceDE w:val="0"/>
        <w:autoSpaceDN w:val="0"/>
        <w:adjustRightInd w:val="0"/>
        <w:ind w:left="567"/>
        <w:textAlignment w:val="baseline"/>
        <w:rPr>
          <w:rFonts w:asciiTheme="minorHAnsi" w:hAnsiTheme="minorHAnsi"/>
          <w:szCs w:val="20"/>
          <w:lang w:val="en-GB"/>
        </w:rPr>
      </w:pPr>
    </w:p>
    <w:p w14:paraId="261D1073" w14:textId="77777777" w:rsidR="00836765" w:rsidRPr="00836765"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36765" w:rsidRPr="00836765" w14:paraId="4FE2C2E9" w14:textId="77777777" w:rsidTr="0036489A">
        <w:tc>
          <w:tcPr>
            <w:tcW w:w="1078" w:type="pct"/>
          </w:tcPr>
          <w:p w14:paraId="440CE4F1" w14:textId="77777777" w:rsidR="00836765" w:rsidRPr="00836765" w:rsidRDefault="00836765" w:rsidP="00836765">
            <w:pPr>
              <w:overflowPunct w:val="0"/>
              <w:autoSpaceDE w:val="0"/>
              <w:autoSpaceDN w:val="0"/>
              <w:adjustRightInd w:val="0"/>
              <w:textAlignment w:val="baseline"/>
              <w:rPr>
                <w:i/>
              </w:rPr>
            </w:pPr>
            <w:r>
              <w:rPr>
                <w:b/>
                <w:i/>
              </w:rPr>
              <w:t>За контакт</w:t>
            </w:r>
          </w:p>
        </w:tc>
        <w:tc>
          <w:tcPr>
            <w:tcW w:w="3922" w:type="pct"/>
          </w:tcPr>
          <w:p w14:paraId="3DB7D13C" w14:textId="2A0D3DD3" w:rsidR="00836765" w:rsidRPr="00836765" w:rsidRDefault="00836765" w:rsidP="00836765">
            <w:pPr>
              <w:overflowPunct w:val="0"/>
              <w:autoSpaceDE w:val="0"/>
              <w:autoSpaceDN w:val="0"/>
              <w:adjustRightInd w:val="0"/>
              <w:textAlignment w:val="baseline"/>
              <w:rPr>
                <w:i/>
              </w:rPr>
            </w:pPr>
            <w:r>
              <w:rPr>
                <w:i/>
              </w:rPr>
              <w:t>Martine Delanoy</w:t>
            </w:r>
          </w:p>
        </w:tc>
      </w:tr>
      <w:tr w:rsidR="00836765" w:rsidRPr="00836765" w14:paraId="79B8361E" w14:textId="77777777" w:rsidTr="0036489A">
        <w:tc>
          <w:tcPr>
            <w:tcW w:w="1078" w:type="pct"/>
          </w:tcPr>
          <w:p w14:paraId="495C55DC" w14:textId="77777777" w:rsidR="00836765" w:rsidRPr="00836765" w:rsidRDefault="00836765" w:rsidP="00836765">
            <w:pPr>
              <w:overflowPunct w:val="0"/>
              <w:autoSpaceDE w:val="0"/>
              <w:autoSpaceDN w:val="0"/>
              <w:adjustRightInd w:val="0"/>
              <w:textAlignment w:val="baseline"/>
              <w:rPr>
                <w:i/>
              </w:rPr>
            </w:pPr>
            <w:r>
              <w:rPr>
                <w:i/>
              </w:rPr>
              <w:t>Тел</w:t>
            </w:r>
            <w:r>
              <w:rPr>
                <w:i/>
                <w:iCs/>
              </w:rPr>
              <w:t>.</w:t>
            </w:r>
          </w:p>
        </w:tc>
        <w:tc>
          <w:tcPr>
            <w:tcW w:w="3922" w:type="pct"/>
          </w:tcPr>
          <w:p w14:paraId="7656C45E" w14:textId="77777777" w:rsidR="00836765" w:rsidRPr="00836765" w:rsidRDefault="00836765" w:rsidP="00836765">
            <w:pPr>
              <w:overflowPunct w:val="0"/>
              <w:autoSpaceDE w:val="0"/>
              <w:autoSpaceDN w:val="0"/>
              <w:adjustRightInd w:val="0"/>
              <w:textAlignment w:val="baseline"/>
              <w:rPr>
                <w:i/>
              </w:rPr>
            </w:pPr>
            <w:r>
              <w:rPr>
                <w:i/>
              </w:rPr>
              <w:t>+32 25469</w:t>
            </w:r>
            <w:r>
              <w:t>802</w:t>
            </w:r>
          </w:p>
        </w:tc>
      </w:tr>
      <w:tr w:rsidR="00836765" w:rsidRPr="00836765" w14:paraId="24D7B260" w14:textId="77777777" w:rsidTr="0036489A">
        <w:tc>
          <w:tcPr>
            <w:tcW w:w="1078" w:type="pct"/>
          </w:tcPr>
          <w:p w14:paraId="2B01135D" w14:textId="77777777" w:rsidR="00836765" w:rsidRPr="00836765" w:rsidRDefault="00836765" w:rsidP="00836765">
            <w:pPr>
              <w:overflowPunct w:val="0"/>
              <w:autoSpaceDE w:val="0"/>
              <w:autoSpaceDN w:val="0"/>
              <w:adjustRightInd w:val="0"/>
              <w:textAlignment w:val="baseline"/>
              <w:rPr>
                <w:i/>
              </w:rPr>
            </w:pPr>
            <w:r>
              <w:rPr>
                <w:i/>
              </w:rPr>
              <w:t>Eлектронен адрес</w:t>
            </w:r>
          </w:p>
        </w:tc>
        <w:tc>
          <w:tcPr>
            <w:tcW w:w="3922" w:type="pct"/>
          </w:tcPr>
          <w:p w14:paraId="63509101" w14:textId="77777777" w:rsidR="00836765" w:rsidRPr="00836765" w:rsidRDefault="00413A6F" w:rsidP="00836765">
            <w:pPr>
              <w:overflowPunct w:val="0"/>
              <w:autoSpaceDE w:val="0"/>
              <w:autoSpaceDN w:val="0"/>
              <w:adjustRightInd w:val="0"/>
              <w:textAlignment w:val="baseline"/>
              <w:rPr>
                <w:i/>
              </w:rPr>
            </w:pPr>
            <w:hyperlink r:id="rId43" w:history="1">
              <w:r w:rsidR="00EB4F20">
                <w:rPr>
                  <w:i/>
                  <w:color w:val="0000FF"/>
                  <w:u w:val="single"/>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1A01CB0B" w:rsidR="000122F3" w:rsidRPr="000122F3" w:rsidRDefault="007F5784" w:rsidP="000122F3">
      <w:pPr>
        <w:widowControl w:val="0"/>
        <w:numPr>
          <w:ilvl w:val="0"/>
          <w:numId w:val="12"/>
        </w:numPr>
        <w:overflowPunct w:val="0"/>
        <w:autoSpaceDE w:val="0"/>
        <w:autoSpaceDN w:val="0"/>
        <w:adjustRightInd w:val="0"/>
        <w:ind w:left="567" w:hanging="567"/>
        <w:rPr>
          <w:sz w:val="20"/>
          <w:szCs w:val="20"/>
        </w:rPr>
      </w:pPr>
      <w:r>
        <w:br w:type="page"/>
      </w:r>
      <w:hyperlink r:id="rId44" w:history="1">
        <w:r w:rsidR="00F34524">
          <w:rPr>
            <w:b/>
            <w:i/>
            <w:color w:val="0000FF"/>
            <w:sz w:val="28"/>
            <w:u w:val="single"/>
          </w:rPr>
          <w:t>Преразглеждане на Механизма за гражданска защита на Съюза</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6772"/>
      </w:tblGrid>
      <w:tr w:rsidR="000122F3" w:rsidRPr="000122F3" w14:paraId="2BBA9F50" w14:textId="77777777" w:rsidTr="00830737">
        <w:tc>
          <w:tcPr>
            <w:tcW w:w="1355"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Pr>
                <w:b/>
              </w:rPr>
              <w:t>Докладчик</w:t>
            </w:r>
          </w:p>
        </w:tc>
        <w:tc>
          <w:tcPr>
            <w:tcW w:w="3645" w:type="pct"/>
            <w:hideMark/>
          </w:tcPr>
          <w:p w14:paraId="198FB4FA" w14:textId="073E7805" w:rsidR="000122F3" w:rsidRDefault="000122F3" w:rsidP="000122F3">
            <w:pPr>
              <w:tabs>
                <w:tab w:val="center" w:pos="284"/>
              </w:tabs>
              <w:overflowPunct w:val="0"/>
              <w:autoSpaceDE w:val="0"/>
              <w:autoSpaceDN w:val="0"/>
              <w:adjustRightInd w:val="0"/>
              <w:ind w:left="266" w:right="-3091" w:hanging="266"/>
            </w:pPr>
            <w:r>
              <w:t>Florian MARIN (група „Работници“ — RO)</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rsidTr="00830737">
        <w:tc>
          <w:tcPr>
            <w:tcW w:w="1355"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Pr>
                <w:b/>
              </w:rPr>
              <w:t>Отправни документи</w:t>
            </w:r>
          </w:p>
        </w:tc>
        <w:tc>
          <w:tcPr>
            <w:tcW w:w="3645" w:type="pct"/>
            <w:hideMark/>
          </w:tcPr>
          <w:p w14:paraId="19D10923" w14:textId="14D39408" w:rsidR="00973F68" w:rsidRDefault="00973F68" w:rsidP="000122F3">
            <w:pPr>
              <w:tabs>
                <w:tab w:val="center" w:pos="284"/>
              </w:tabs>
              <w:overflowPunct w:val="0"/>
              <w:autoSpaceDE w:val="0"/>
              <w:autoSpaceDN w:val="0"/>
              <w:adjustRightInd w:val="0"/>
              <w:ind w:left="266" w:right="-3091" w:hanging="266"/>
            </w:pPr>
            <w:r>
              <w:t>COM(2025) 548 final</w:t>
            </w:r>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Основни аспекти</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Default="000122F3" w:rsidP="000122F3">
      <w:pPr>
        <w:overflowPunct w:val="0"/>
        <w:autoSpaceDE w:val="0"/>
        <w:autoSpaceDN w:val="0"/>
        <w:adjustRightInd w:val="0"/>
      </w:pPr>
      <w:r>
        <w:t>ЕИСК препоръчва:</w:t>
      </w:r>
    </w:p>
    <w:p w14:paraId="00652B16" w14:textId="77777777" w:rsidR="00D40BB6" w:rsidRPr="000122F3" w:rsidRDefault="00D40BB6" w:rsidP="000122F3">
      <w:pPr>
        <w:overflowPunct w:val="0"/>
        <w:autoSpaceDE w:val="0"/>
        <w:autoSpaceDN w:val="0"/>
        <w:adjustRightInd w:val="0"/>
        <w:rPr>
          <w:lang w:val="en-GB"/>
        </w:rPr>
      </w:pPr>
    </w:p>
    <w:p w14:paraId="54342963"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проявяване на по-голяма амбиция</w:t>
      </w:r>
      <w:r>
        <w:t xml:space="preserve"> по отношение на действията за намаляване и предотвратяване на риска от бедствия, вместо съсредоточаване предимно върху капацитета за реагиране. Установяването на ефикасен и интегриран Механизъм за гражданска защита на Съюза (МГЗС) трябва да включва всеобхватна </w:t>
      </w:r>
      <w:r>
        <w:rPr>
          <w:b/>
        </w:rPr>
        <w:t>рамка за политики за намаляване на риска</w:t>
      </w:r>
      <w:r>
        <w:t xml:space="preserve"> в целия ЕС, както и засилен акцент върху </w:t>
      </w:r>
      <w:r>
        <w:rPr>
          <w:b/>
        </w:rPr>
        <w:t>междусекторната и трансграничната</w:t>
      </w:r>
      <w:r>
        <w:t xml:space="preserve"> превенция на бедствия, като всички те се прилагат в рамките на цялостна система за управление на риска;</w:t>
      </w:r>
    </w:p>
    <w:p w14:paraId="7024A92F"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намаляване на административната тежест</w:t>
      </w:r>
      <w:r>
        <w:t xml:space="preserve">, премахване на припокриванията, модернизиране на неподходящите данни и системи за подкрепа, увеличаване на обучените човешки ресурси и инвестиране в оперативно съвместим капацитет въз основа на общи стандарти и пътеки за обучение, като същевременно се гарантират </w:t>
      </w:r>
      <w:r>
        <w:rPr>
          <w:b/>
        </w:rPr>
        <w:t>висококачествени условия на труд</w:t>
      </w:r>
      <w:r>
        <w:t xml:space="preserve"> като предпоставки за укрепване на устойчивостта на обществото в рамките на подход към кризите, обхващащ цялото общество;</w:t>
      </w:r>
    </w:p>
    <w:p w14:paraId="497B5155"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по-добро предвиждане и разбиране</w:t>
      </w:r>
      <w:r>
        <w:t xml:space="preserve"> на бедствията и кризите, като същевременно се отчита ролята на пропагандата и дезинформацията за засилването на социалния стрес;</w:t>
      </w:r>
    </w:p>
    <w:p w14:paraId="1AEBFB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укрепване на МГЗС чрез </w:t>
      </w:r>
      <w:r>
        <w:rPr>
          <w:b/>
        </w:rPr>
        <w:t>допълнително финансиране</w:t>
      </w:r>
      <w:r>
        <w:t>, особено по отношение на уязвимите групи и региони, включително най-отдалечените региони и регионите в близост до война;</w:t>
      </w:r>
    </w:p>
    <w:p w14:paraId="6A0A0A84"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осигуряване на </w:t>
      </w:r>
      <w:r>
        <w:rPr>
          <w:b/>
        </w:rPr>
        <w:t>съгласуваност с плановете за национално и регионално партньорство</w:t>
      </w:r>
      <w:r>
        <w:t xml:space="preserve"> (планове за НПР), предложени за програмния период 2028—2034 г.;</w:t>
      </w:r>
    </w:p>
    <w:p w14:paraId="1E425507" w14:textId="77777777" w:rsidR="000122F3" w:rsidRPr="000122F3" w:rsidRDefault="000122F3" w:rsidP="00054C58">
      <w:pPr>
        <w:widowControl w:val="0"/>
        <w:numPr>
          <w:ilvl w:val="0"/>
          <w:numId w:val="30"/>
        </w:numPr>
        <w:overflowPunct w:val="0"/>
        <w:autoSpaceDE w:val="0"/>
        <w:autoSpaceDN w:val="0"/>
        <w:adjustRightInd w:val="0"/>
        <w:ind w:left="284" w:hanging="284"/>
      </w:pPr>
      <w:r>
        <w:t>насърчаване на по-голямо взаимно допълване между съществуващите инструменти, като например Мерки за сигурността на Европа, Европейския корпус за солидарност и МГЗС;</w:t>
      </w:r>
    </w:p>
    <w:p w14:paraId="71C4B6AC"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осигуряване на достатъчно и стабилно </w:t>
      </w:r>
      <w:r>
        <w:rPr>
          <w:b/>
        </w:rPr>
        <w:t>финансиране за професионалните пожарникари и здравния персонал</w:t>
      </w:r>
      <w:r>
        <w:t>, за да се поддържа ефективността и бързата реакция в рамките на МГЗС, като същевременно се засилва ролята на доброволците;</w:t>
      </w:r>
    </w:p>
    <w:p w14:paraId="22A0C91D"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МГЗС да се основава на гъвкавост</w:t>
      </w:r>
      <w:r>
        <w:t xml:space="preserve">, за да се зачита разнообразието от националните системи за управление на бедствия, като същевременно се </w:t>
      </w:r>
      <w:r>
        <w:rPr>
          <w:b/>
        </w:rPr>
        <w:t>гарантира трансгранично сътрудничество</w:t>
      </w:r>
      <w:r>
        <w:t xml:space="preserve"> и координация за бърза и ефективна реакция при бедствия, които не познават граници, с пълноценното участие на организираното гражданско общество;</w:t>
      </w:r>
    </w:p>
    <w:p w14:paraId="0D503548"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адаптиране на правилата за възлагане на обществени поръчки, за да се </w:t>
      </w:r>
      <w:r>
        <w:rPr>
          <w:b/>
        </w:rPr>
        <w:t>гарантира бързо и ефективно предоставяне на критични доставки</w:t>
      </w:r>
      <w:r>
        <w:t xml:space="preserve"> и услуги по време на криза;</w:t>
      </w:r>
    </w:p>
    <w:p w14:paraId="5918B32B"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създаване на </w:t>
      </w:r>
      <w:r>
        <w:rPr>
          <w:b/>
        </w:rPr>
        <w:t>стандартизиран формуляр за докладване на бедствия</w:t>
      </w:r>
      <w:r>
        <w:t>, който да се използва от всички държави членки.</w:t>
      </w:r>
    </w:p>
    <w:p w14:paraId="239E5250" w14:textId="77777777" w:rsidR="000122F3" w:rsidRPr="000122F3"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315A6780" w14:textId="77777777">
        <w:tc>
          <w:tcPr>
            <w:tcW w:w="1077" w:type="pct"/>
            <w:hideMark/>
          </w:tcPr>
          <w:p w14:paraId="0BC88ACD" w14:textId="77777777" w:rsidR="000122F3" w:rsidRPr="000122F3" w:rsidRDefault="000122F3" w:rsidP="00F34524">
            <w:pPr>
              <w:keepNext/>
              <w:keepLines/>
              <w:overflowPunct w:val="0"/>
              <w:autoSpaceDE w:val="0"/>
              <w:autoSpaceDN w:val="0"/>
              <w:adjustRightInd w:val="0"/>
              <w:rPr>
                <w:i/>
                <w:iCs/>
              </w:rPr>
            </w:pPr>
            <w:r>
              <w:rPr>
                <w:b/>
                <w:i/>
              </w:rPr>
              <w:lastRenderedPageBreak/>
              <w:t>За контакт</w:t>
            </w:r>
          </w:p>
        </w:tc>
        <w:tc>
          <w:tcPr>
            <w:tcW w:w="3923" w:type="pct"/>
            <w:hideMark/>
          </w:tcPr>
          <w:p w14:paraId="278195BE" w14:textId="77777777" w:rsidR="000122F3" w:rsidRPr="000122F3" w:rsidRDefault="000122F3" w:rsidP="00F34524">
            <w:pPr>
              <w:keepNext/>
              <w:keepLines/>
              <w:overflowPunct w:val="0"/>
              <w:autoSpaceDE w:val="0"/>
              <w:autoSpaceDN w:val="0"/>
              <w:adjustRightInd w:val="0"/>
              <w:rPr>
                <w:i/>
                <w:iCs/>
              </w:rPr>
            </w:pPr>
            <w:r>
              <w:rPr>
                <w:i/>
              </w:rPr>
              <w:t>Arturo Iniguez Yuste</w:t>
            </w:r>
          </w:p>
        </w:tc>
      </w:tr>
      <w:tr w:rsidR="000122F3" w:rsidRPr="000122F3" w14:paraId="326D7576" w14:textId="77777777">
        <w:tc>
          <w:tcPr>
            <w:tcW w:w="1077" w:type="pct"/>
            <w:hideMark/>
          </w:tcPr>
          <w:p w14:paraId="74416C4B" w14:textId="77777777" w:rsidR="000122F3" w:rsidRPr="000122F3" w:rsidRDefault="000122F3" w:rsidP="00F34524">
            <w:pPr>
              <w:keepLines/>
              <w:overflowPunct w:val="0"/>
              <w:autoSpaceDE w:val="0"/>
              <w:autoSpaceDN w:val="0"/>
              <w:adjustRightInd w:val="0"/>
              <w:rPr>
                <w:i/>
              </w:rPr>
            </w:pPr>
            <w:r>
              <w:rPr>
                <w:i/>
              </w:rPr>
              <w:t>Тел</w:t>
            </w:r>
            <w:r>
              <w:rPr>
                <w:i/>
                <w:iCs/>
              </w:rPr>
              <w:t>.</w:t>
            </w:r>
          </w:p>
        </w:tc>
        <w:tc>
          <w:tcPr>
            <w:tcW w:w="3923" w:type="pct"/>
            <w:hideMark/>
          </w:tcPr>
          <w:p w14:paraId="0CE46E70" w14:textId="77777777" w:rsidR="000122F3" w:rsidRPr="000122F3" w:rsidRDefault="000122F3" w:rsidP="00F34524">
            <w:pPr>
              <w:keepLines/>
              <w:overflowPunct w:val="0"/>
              <w:autoSpaceDE w:val="0"/>
              <w:autoSpaceDN w:val="0"/>
              <w:adjustRightInd w:val="0"/>
              <w:rPr>
                <w:i/>
              </w:rPr>
            </w:pPr>
            <w:r>
              <w:rPr>
                <w:i/>
              </w:rPr>
              <w:t>+32 25468768</w:t>
            </w:r>
          </w:p>
        </w:tc>
      </w:tr>
      <w:tr w:rsidR="000122F3" w:rsidRPr="000122F3" w14:paraId="753D0F57" w14:textId="77777777">
        <w:tc>
          <w:tcPr>
            <w:tcW w:w="1077" w:type="pct"/>
            <w:hideMark/>
          </w:tcPr>
          <w:p w14:paraId="2C40013E" w14:textId="77777777" w:rsidR="000122F3" w:rsidRPr="000122F3" w:rsidRDefault="000122F3" w:rsidP="00F34524">
            <w:pPr>
              <w:keepLines/>
              <w:overflowPunct w:val="0"/>
              <w:autoSpaceDE w:val="0"/>
              <w:autoSpaceDN w:val="0"/>
              <w:adjustRightInd w:val="0"/>
              <w:rPr>
                <w:i/>
              </w:rPr>
            </w:pPr>
            <w:r>
              <w:rPr>
                <w:i/>
              </w:rPr>
              <w:t>Eлектронен адрес</w:t>
            </w:r>
          </w:p>
        </w:tc>
        <w:tc>
          <w:tcPr>
            <w:tcW w:w="3923" w:type="pct"/>
            <w:hideMark/>
          </w:tcPr>
          <w:p w14:paraId="2E7C650A" w14:textId="77777777" w:rsidR="000122F3" w:rsidRPr="000122F3" w:rsidRDefault="00413A6F" w:rsidP="00F34524">
            <w:pPr>
              <w:keepLines/>
              <w:overflowPunct w:val="0"/>
              <w:autoSpaceDE w:val="0"/>
              <w:autoSpaceDN w:val="0"/>
              <w:adjustRightInd w:val="0"/>
              <w:rPr>
                <w:i/>
              </w:rPr>
            </w:pPr>
            <w:hyperlink r:id="rId45" w:history="1">
              <w:r w:rsidR="00EB4F20">
                <w:rPr>
                  <w:i/>
                  <w:color w:val="0000FF"/>
                  <w:u w:val="single"/>
                </w:rPr>
                <w:t>Arturo.Iniguez@eesc.europa.eu</w:t>
              </w:r>
            </w:hyperlink>
          </w:p>
        </w:tc>
      </w:tr>
    </w:tbl>
    <w:p w14:paraId="73A0193B" w14:textId="77777777" w:rsidR="00395794" w:rsidRDefault="00395794">
      <w:pPr>
        <w:spacing w:after="160" w:line="259" w:lineRule="auto"/>
        <w:jc w:val="left"/>
      </w:pPr>
      <w:r>
        <w:br w:type="page"/>
      </w:r>
    </w:p>
    <w:p w14:paraId="0B0F00AD" w14:textId="77777777" w:rsidR="007F5784" w:rsidRDefault="007F5784">
      <w:pPr>
        <w:spacing w:after="160" w:line="259" w:lineRule="auto"/>
        <w:jc w:val="left"/>
      </w:pPr>
    </w:p>
    <w:p w14:paraId="14026A78" w14:textId="4FAE1588" w:rsidR="007F5784" w:rsidRDefault="007F5784" w:rsidP="007F5784">
      <w:pPr>
        <w:pStyle w:val="Heading1"/>
        <w:rPr>
          <w:b/>
        </w:rPr>
      </w:pPr>
      <w:bookmarkStart w:id="15" w:name="_Toc216959646"/>
      <w:r>
        <w:rPr>
          <w:b/>
        </w:rPr>
        <w:t>ВЪНШНИ ОТНОШЕНИЯ</w:t>
      </w:r>
      <w:bookmarkEnd w:id="15"/>
    </w:p>
    <w:p w14:paraId="3BBB3E68" w14:textId="77777777" w:rsidR="007F5784" w:rsidRDefault="007F5784" w:rsidP="007F5784"/>
    <w:p w14:paraId="15F03B8E" w14:textId="19987F61"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"https://www.eesc.europa.eu/bg/our-work/opinions-information-reports/opinions/european-unions-strategic-approach-black-sea-region"</w:instrText>
      </w:r>
      <w:r w:rsidRPr="00C62A6C">
        <w:rPr>
          <w:b/>
          <w:i/>
          <w:sz w:val="28"/>
        </w:rPr>
        <w:fldChar w:fldCharType="separate"/>
      </w:r>
      <w:r>
        <w:rPr>
          <w:b/>
          <w:i/>
          <w:color w:val="0000FF"/>
          <w:sz w:val="28"/>
          <w:u w:val="single"/>
        </w:rPr>
        <w:t>Стратегическият подход на Европейския съюз към Черноморския регион</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Докладчик</w:t>
            </w:r>
          </w:p>
        </w:tc>
        <w:tc>
          <w:tcPr>
            <w:tcW w:w="3889" w:type="pct"/>
          </w:tcPr>
          <w:p w14:paraId="4CC365C4" w14:textId="0A5B6F9A" w:rsidR="00237C67" w:rsidRPr="00237C67" w:rsidRDefault="00237C67" w:rsidP="00237C67">
            <w:pPr>
              <w:tabs>
                <w:tab w:val="center" w:pos="284"/>
              </w:tabs>
              <w:overflowPunct w:val="0"/>
              <w:autoSpaceDE w:val="0"/>
              <w:autoSpaceDN w:val="0"/>
              <w:adjustRightInd w:val="0"/>
              <w:ind w:left="266" w:hanging="266"/>
              <w:textAlignment w:val="baseline"/>
            </w:pPr>
            <w:r>
              <w:t>Милена АНГЕЛОВА (група „Работодатели“ — BG)</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Отправeн документ</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JOIN(2025) 135 final</w:t>
            </w:r>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rPr>
      </w:pPr>
      <w:r>
        <w:t>ЕИСК:</w:t>
      </w:r>
    </w:p>
    <w:p w14:paraId="0A01AEAC" w14:textId="77777777" w:rsidR="001A7442" w:rsidRPr="00237C67" w:rsidRDefault="001A7442" w:rsidP="00237C67">
      <w:pPr>
        <w:overflowPunct w:val="0"/>
        <w:autoSpaceDE w:val="0"/>
        <w:autoSpaceDN w:val="0"/>
        <w:adjustRightInd w:val="0"/>
        <w:textAlignment w:val="baseline"/>
        <w:rPr>
          <w:bCs/>
          <w:iCs/>
          <w:lang w:val="en-GB"/>
        </w:rPr>
      </w:pPr>
    </w:p>
    <w:p w14:paraId="363CA3B6"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приветства </w:t>
      </w:r>
      <w:r>
        <w:rPr>
          <w:b/>
        </w:rPr>
        <w:t>дългоочакваната инициатива</w:t>
      </w:r>
      <w:r>
        <w:t xml:space="preserve"> да се отдели </w:t>
      </w:r>
      <w:r>
        <w:rPr>
          <w:b/>
        </w:rPr>
        <w:t>специално внимание на Черноморския регион</w:t>
      </w:r>
      <w:r>
        <w:t xml:space="preserve">, като предложи стратегически подход на Европейския съюз, но отбелязва, че тя идва с </w:t>
      </w:r>
      <w:r>
        <w:rPr>
          <w:b/>
        </w:rPr>
        <w:t>известно закъснение</w:t>
      </w:r>
      <w:r>
        <w:t xml:space="preserve"> и поради това призовава за </w:t>
      </w:r>
      <w:r>
        <w:rPr>
          <w:b/>
        </w:rPr>
        <w:t>бързи и решителни действия за нейното изпълнение</w:t>
      </w:r>
      <w:r>
        <w:t xml:space="preserve"> и за </w:t>
      </w:r>
      <w:r>
        <w:rPr>
          <w:b/>
        </w:rPr>
        <w:t>обезпечаването ѝ с достатъчно ресурси</w:t>
      </w:r>
      <w:r>
        <w:t>;</w:t>
      </w:r>
    </w:p>
    <w:p w14:paraId="4F615B3A"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подчертава, че въпреки че </w:t>
      </w:r>
      <w:r>
        <w:rPr>
          <w:b/>
        </w:rPr>
        <w:t>всички държави в региона</w:t>
      </w:r>
      <w:r>
        <w:t xml:space="preserve"> поемат </w:t>
      </w:r>
      <w:r>
        <w:rPr>
          <w:b/>
        </w:rPr>
        <w:t>негативните последици от военните действия, не на всички от тях беше предоставена целева социална и икономическа подкрепа, съизмерима с положените от тях усилия и жертви</w:t>
      </w:r>
      <w:r>
        <w:t>;</w:t>
      </w:r>
    </w:p>
    <w:p w14:paraId="64F59F4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настоява Комисията в ускорени темпове, въз основа на консултации с държавите членки на ЕС, с държавите от Черноморския регион и с всички заинтересовани страни, да </w:t>
      </w:r>
      <w:r>
        <w:rPr>
          <w:b/>
        </w:rPr>
        <w:t>пристъпи бързо</w:t>
      </w:r>
      <w:r>
        <w:t xml:space="preserve">, в идеалния случай до края на 2025 г., към </w:t>
      </w:r>
      <w:r>
        <w:rPr>
          <w:b/>
        </w:rPr>
        <w:t>изготвянето на прагматична и финансово обезпечена стратегия за развитието на региона</w:t>
      </w:r>
      <w:r>
        <w:t>;</w:t>
      </w:r>
    </w:p>
    <w:p w14:paraId="3DED480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изразява съжаление, че </w:t>
      </w:r>
      <w:r>
        <w:rPr>
          <w:b/>
        </w:rPr>
        <w:t>предишната рамкова политика на ЕС</w:t>
      </w:r>
      <w:r>
        <w:t xml:space="preserve"> („Черноморско взаимодействие“ от 2007 г.) за региона не обхващаше </w:t>
      </w:r>
      <w:r>
        <w:rPr>
          <w:b/>
        </w:rPr>
        <w:t>измерението, свързано със сигурността</w:t>
      </w:r>
      <w:r>
        <w:t xml:space="preserve">, и подчертава </w:t>
      </w:r>
      <w:r>
        <w:rPr>
          <w:b/>
        </w:rPr>
        <w:t>необходимостта инициативите на ЕС във връзка със сигурността в Черноморския регион да доведат до осезаеми резултати</w:t>
      </w:r>
      <w:r>
        <w:t>;</w:t>
      </w:r>
    </w:p>
    <w:p w14:paraId="52F031F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подчертава, че </w:t>
      </w:r>
      <w:r>
        <w:rPr>
          <w:b/>
        </w:rPr>
        <w:t>постигането на траен мир е необходимо и съществено предварително условие за устойчивото икономическо развитие</w:t>
      </w:r>
      <w:r>
        <w:t xml:space="preserve"> и със съжаление отбелязва, че това липсва като цел в документа;</w:t>
      </w:r>
    </w:p>
    <w:p w14:paraId="63B8D3C0"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счита, че </w:t>
      </w:r>
      <w:r>
        <w:rPr>
          <w:b/>
        </w:rPr>
        <w:t>основно ограничение на стратегическия подход</w:t>
      </w:r>
      <w:r>
        <w:t xml:space="preserve"> е, че той се основава изцяло на </w:t>
      </w:r>
      <w:r>
        <w:rPr>
          <w:b/>
        </w:rPr>
        <w:t>съществуващите финансови инструменти</w:t>
      </w:r>
      <w:r>
        <w:t xml:space="preserve"> и </w:t>
      </w:r>
      <w:r>
        <w:rPr>
          <w:b/>
        </w:rPr>
        <w:t>бюджетни наличности, включени в многогодишната финансова рамка за периода 2021—2027 г.</w:t>
      </w:r>
      <w:r>
        <w:t xml:space="preserve">; отправя искане </w:t>
      </w:r>
      <w:r>
        <w:rPr>
          <w:b/>
        </w:rPr>
        <w:t>инструментите да бъдат опростени, консолидирани и приоритизирани</w:t>
      </w:r>
      <w:r>
        <w:t>, за да се постигне непосредствен и видим ефект;</w:t>
      </w:r>
    </w:p>
    <w:p w14:paraId="44A0477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препоръчва </w:t>
      </w:r>
      <w:r>
        <w:rPr>
          <w:b/>
        </w:rPr>
        <w:t>да се направи задълбочен анализ на ефекта на всички тези действащи и досега инструменти</w:t>
      </w:r>
      <w:r>
        <w:t xml:space="preserve"> и на тази основа да се формулират </w:t>
      </w:r>
      <w:r>
        <w:rPr>
          <w:b/>
        </w:rPr>
        <w:t>по-конкретни</w:t>
      </w:r>
      <w:r>
        <w:t xml:space="preserve"> и</w:t>
      </w:r>
      <w:r>
        <w:rPr>
          <w:b/>
        </w:rPr>
        <w:t xml:space="preserve"> по-ясни ангажименти</w:t>
      </w:r>
      <w:r>
        <w:t xml:space="preserve"> по отношение на тяхното използване и занапред;</w:t>
      </w:r>
    </w:p>
    <w:p w14:paraId="53E35EF9" w14:textId="77777777" w:rsidR="00237C67" w:rsidRPr="00237C67" w:rsidRDefault="00237C67" w:rsidP="00054C58">
      <w:pPr>
        <w:widowControl w:val="0"/>
        <w:numPr>
          <w:ilvl w:val="0"/>
          <w:numId w:val="31"/>
        </w:numPr>
        <w:overflowPunct w:val="0"/>
        <w:autoSpaceDE w:val="0"/>
        <w:autoSpaceDN w:val="0"/>
        <w:adjustRightInd w:val="0"/>
        <w:ind w:left="284" w:hanging="284"/>
        <w:contextualSpacing/>
        <w:textAlignment w:val="baseline"/>
      </w:pPr>
      <w:r>
        <w:t xml:space="preserve">счита, че следва да се отдели по-голямо внимание на </w:t>
      </w:r>
      <w:r>
        <w:rPr>
          <w:b/>
        </w:rPr>
        <w:t>борбата с хибридните заплахи</w:t>
      </w:r>
      <w:r>
        <w:t xml:space="preserve"> и </w:t>
      </w:r>
      <w:r>
        <w:rPr>
          <w:b/>
        </w:rPr>
        <w:t>слабости в управлението</w:t>
      </w:r>
      <w:r>
        <w:t>, които могат да подкопаят регионалната стабилност.</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237C67" w14:paraId="500155AD" w14:textId="77777777" w:rsidTr="00C201AB">
        <w:tc>
          <w:tcPr>
            <w:tcW w:w="1090" w:type="pct"/>
          </w:tcPr>
          <w:p w14:paraId="4E7D56FB" w14:textId="77777777" w:rsidR="00237C67" w:rsidRPr="00237C67" w:rsidRDefault="00237C67" w:rsidP="00237C67">
            <w:pPr>
              <w:overflowPunct w:val="0"/>
              <w:autoSpaceDE w:val="0"/>
              <w:autoSpaceDN w:val="0"/>
              <w:adjustRightInd w:val="0"/>
              <w:textAlignment w:val="baseline"/>
              <w:rPr>
                <w:i/>
              </w:rPr>
            </w:pPr>
            <w:r>
              <w:rPr>
                <w:b/>
                <w:i/>
              </w:rPr>
              <w:lastRenderedPageBreak/>
              <w:t>За контакт</w:t>
            </w:r>
          </w:p>
        </w:tc>
        <w:tc>
          <w:tcPr>
            <w:tcW w:w="3910" w:type="pct"/>
          </w:tcPr>
          <w:p w14:paraId="397EC967" w14:textId="77777777" w:rsidR="00237C67" w:rsidRPr="00237C67" w:rsidRDefault="00237C67" w:rsidP="00237C67">
            <w:pPr>
              <w:overflowPunct w:val="0"/>
              <w:autoSpaceDE w:val="0"/>
              <w:autoSpaceDN w:val="0"/>
              <w:adjustRightInd w:val="0"/>
              <w:textAlignment w:val="baseline"/>
              <w:rPr>
                <w:i/>
                <w:iCs/>
              </w:rPr>
            </w:pPr>
            <w:r>
              <w:t>Marie-Laurence Drillon</w:t>
            </w:r>
          </w:p>
        </w:tc>
      </w:tr>
      <w:tr w:rsidR="00237C67" w:rsidRPr="00237C67" w14:paraId="4A4056F6" w14:textId="77777777" w:rsidTr="00C201AB">
        <w:tc>
          <w:tcPr>
            <w:tcW w:w="1090" w:type="pct"/>
          </w:tcPr>
          <w:p w14:paraId="5E409ED8" w14:textId="77777777" w:rsidR="00237C67" w:rsidRPr="00237C67" w:rsidRDefault="00237C67" w:rsidP="00237C67">
            <w:pPr>
              <w:overflowPunct w:val="0"/>
              <w:autoSpaceDE w:val="0"/>
              <w:autoSpaceDN w:val="0"/>
              <w:adjustRightInd w:val="0"/>
              <w:textAlignment w:val="baseline"/>
              <w:rPr>
                <w:i/>
              </w:rPr>
            </w:pPr>
            <w:r>
              <w:rPr>
                <w:i/>
              </w:rPr>
              <w:t>Тел</w:t>
            </w:r>
            <w:r>
              <w:rPr>
                <w:i/>
                <w:iCs/>
              </w:rPr>
              <w:t>.</w:t>
            </w:r>
          </w:p>
        </w:tc>
        <w:tc>
          <w:tcPr>
            <w:tcW w:w="3910" w:type="pct"/>
          </w:tcPr>
          <w:p w14:paraId="701AABDE" w14:textId="70D525BC" w:rsidR="00237C67" w:rsidRPr="00237C67" w:rsidRDefault="00237C67" w:rsidP="00237C67">
            <w:pPr>
              <w:overflowPunct w:val="0"/>
              <w:autoSpaceDE w:val="0"/>
              <w:autoSpaceDN w:val="0"/>
              <w:adjustRightInd w:val="0"/>
              <w:textAlignment w:val="baseline"/>
              <w:rPr>
                <w:i/>
              </w:rPr>
            </w:pPr>
            <w:r>
              <w:rPr>
                <w:i/>
              </w:rPr>
              <w:t>+32 2546 8320</w:t>
            </w:r>
          </w:p>
        </w:tc>
      </w:tr>
      <w:tr w:rsidR="00237C67" w:rsidRPr="00237C67" w14:paraId="532005DF" w14:textId="77777777" w:rsidTr="00C201AB">
        <w:tc>
          <w:tcPr>
            <w:tcW w:w="1090" w:type="pct"/>
          </w:tcPr>
          <w:p w14:paraId="21550A30" w14:textId="77777777" w:rsidR="00237C67" w:rsidRPr="00237C67" w:rsidRDefault="00237C67" w:rsidP="00237C67">
            <w:pPr>
              <w:overflowPunct w:val="0"/>
              <w:autoSpaceDE w:val="0"/>
              <w:autoSpaceDN w:val="0"/>
              <w:adjustRightInd w:val="0"/>
              <w:textAlignment w:val="baseline"/>
              <w:rPr>
                <w:i/>
              </w:rPr>
            </w:pPr>
            <w:r>
              <w:rPr>
                <w:i/>
              </w:rPr>
              <w:t>Eлектронен адрес</w:t>
            </w:r>
          </w:p>
        </w:tc>
        <w:tc>
          <w:tcPr>
            <w:tcW w:w="3910" w:type="pct"/>
          </w:tcPr>
          <w:p w14:paraId="56749FB7" w14:textId="77777777" w:rsidR="00237C67" w:rsidRPr="00237C67" w:rsidRDefault="00413A6F" w:rsidP="00237C67">
            <w:pPr>
              <w:overflowPunct w:val="0"/>
              <w:autoSpaceDE w:val="0"/>
              <w:autoSpaceDN w:val="0"/>
              <w:adjustRightInd w:val="0"/>
              <w:textAlignment w:val="baseline"/>
              <w:rPr>
                <w:i/>
              </w:rPr>
            </w:pPr>
            <w:hyperlink r:id="rId46" w:history="1">
              <w:r w:rsidR="00EB4F20">
                <w:rPr>
                  <w:i/>
                  <w:color w:val="0000FF"/>
                  <w:u w:val="single"/>
                </w:rPr>
                <w:t>Marie-Laurence.Drillon@eesc.europa.eu</w:t>
              </w:r>
            </w:hyperlink>
          </w:p>
        </w:tc>
      </w:tr>
    </w:tbl>
    <w:p w14:paraId="74D4B137" w14:textId="77777777" w:rsidR="007F5784" w:rsidRDefault="007F5784" w:rsidP="007F5784">
      <w:pPr>
        <w:spacing w:after="160" w:line="259" w:lineRule="auto"/>
        <w:jc w:val="left"/>
      </w:pPr>
    </w:p>
    <w:p w14:paraId="210E1333" w14:textId="1FC47D3D"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hyperlink r:id="rId47" w:history="1">
        <w:r>
          <w:rPr>
            <w:b/>
            <w:i/>
            <w:color w:val="0000FF"/>
            <w:sz w:val="28"/>
            <w:u w:val="single"/>
          </w:rPr>
          <w:t>„Глобална Европа“ (предложение във връзка с многогодишната финансова рамка)“</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6772"/>
      </w:tblGrid>
      <w:tr w:rsidR="00C913CA" w:rsidRPr="00C913CA" w14:paraId="617F8D50" w14:textId="77777777" w:rsidTr="00830737">
        <w:tc>
          <w:tcPr>
            <w:tcW w:w="1355"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Докладчик</w:t>
            </w:r>
          </w:p>
        </w:tc>
        <w:tc>
          <w:tcPr>
            <w:tcW w:w="3645" w:type="pct"/>
          </w:tcPr>
          <w:p w14:paraId="4316EC99" w14:textId="50054E32" w:rsidR="00C913CA" w:rsidRPr="00C913CA" w:rsidRDefault="00C913CA" w:rsidP="00C913CA">
            <w:pPr>
              <w:tabs>
                <w:tab w:val="center" w:pos="284"/>
              </w:tabs>
              <w:overflowPunct w:val="0"/>
              <w:autoSpaceDE w:val="0"/>
              <w:autoSpaceDN w:val="0"/>
              <w:adjustRightInd w:val="0"/>
              <w:ind w:left="266" w:right="-3091" w:hanging="266"/>
              <w:textAlignment w:val="baseline"/>
            </w:pPr>
            <w:r>
              <w:t>Mateusz SZYMAŃSKI (група „Работници“ — PL)</w:t>
            </w:r>
          </w:p>
        </w:tc>
      </w:tr>
      <w:tr w:rsidR="00C913CA" w:rsidRPr="00C913CA" w14:paraId="59C9D0E5" w14:textId="77777777" w:rsidTr="00830737">
        <w:tc>
          <w:tcPr>
            <w:tcW w:w="1355" w:type="pct"/>
          </w:tcPr>
          <w:p w14:paraId="755D124C"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Съдокладчик</w:t>
            </w:r>
          </w:p>
        </w:tc>
        <w:tc>
          <w:tcPr>
            <w:tcW w:w="3645" w:type="pct"/>
          </w:tcPr>
          <w:p w14:paraId="7376BE83" w14:textId="7695C77A" w:rsidR="00C913CA" w:rsidRDefault="00C913CA" w:rsidP="00C913CA">
            <w:pPr>
              <w:tabs>
                <w:tab w:val="center" w:pos="284"/>
              </w:tabs>
              <w:overflowPunct w:val="0"/>
              <w:autoSpaceDE w:val="0"/>
              <w:autoSpaceDN w:val="0"/>
              <w:adjustRightInd w:val="0"/>
              <w:ind w:left="266" w:right="-3091" w:hanging="266"/>
              <w:textAlignment w:val="baseline"/>
            </w:pPr>
            <w:r>
              <w:t>Luca JAHIER (група „Организации на гражданското общество“ — IT)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830737">
        <w:tc>
          <w:tcPr>
            <w:tcW w:w="1355"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Отправни документи</w:t>
            </w:r>
          </w:p>
        </w:tc>
        <w:tc>
          <w:tcPr>
            <w:tcW w:w="3645"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COM(2025) 551 final</w:t>
            </w:r>
          </w:p>
          <w:p w14:paraId="2BBBFAE1" w14:textId="6B128210" w:rsidR="00C913CA" w:rsidRPr="00C913CA" w:rsidRDefault="00C913CA" w:rsidP="00C913CA">
            <w:pPr>
              <w:tabs>
                <w:tab w:val="center" w:pos="284"/>
              </w:tabs>
              <w:overflowPunct w:val="0"/>
              <w:autoSpaceDE w:val="0"/>
              <w:autoSpaceDN w:val="0"/>
              <w:adjustRightInd w:val="0"/>
              <w:ind w:left="266" w:right="-3091" w:hanging="266"/>
              <w:textAlignment w:val="baseline"/>
            </w:pPr>
            <w:r>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77777777" w:rsidR="00C913CA" w:rsidRDefault="00C913CA" w:rsidP="00C913CA">
      <w:pPr>
        <w:overflowPunct w:val="0"/>
        <w:autoSpaceDE w:val="0"/>
        <w:autoSpaceDN w:val="0"/>
        <w:adjustRightInd w:val="0"/>
        <w:textAlignment w:val="baseline"/>
        <w:rPr>
          <w:bCs/>
          <w:iCs/>
        </w:rPr>
      </w:pPr>
      <w:r>
        <w:t>ЕИСК:</w:t>
      </w:r>
    </w:p>
    <w:p w14:paraId="7F34015F"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приветства предложението на Комисията за увеличаване на разходите за външните политики на ЕС в предстоящата многогодишна финансова рамка (МФР) с помощта на инструмент „Глобална Европа“, включващ резерв за Украйна, и счита, че това увеличение е от съществено значение, за да може ЕС да утвърди ролята си на глобален фактор, да защитава своите ценности, както и да изгради стратегическа автономност;</w:t>
      </w:r>
    </w:p>
    <w:p w14:paraId="092597D8" w14:textId="40148BA2"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счита, че ЕС следва да играе водеща роля в усилията за развитие и хуманитарна помощ и за внасяне на нова динамика в системата на ООН, като Global Gateway се превърне в негов основен инструмент; </w:t>
      </w:r>
    </w:p>
    <w:p w14:paraId="023EF68A"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посочва, че Консултативният съвет на организациите на гражданското общество и местните власти за Global Gateway остана откъснат от процеса на вземане на решения, което доведе до фрагментиране на диалога. ЕИСК призовава да се гарантира пълноценно участие, включително на ЕИСК и КР;</w:t>
      </w:r>
    </w:p>
    <w:p w14:paraId="4484C10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подчертава необходимостта от изграждане на съгласуваност между външната политика, развитието, търговията и Европейския фонд за конкурентоспособност, за да се постигне устойчиво развитие и икономическа устойчивост;</w:t>
      </w:r>
    </w:p>
    <w:p w14:paraId="33EE32E4"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въпреки положителната оценка на предложената гъвкавост във външната дейност, очаква пълна прозрачност и отчетност при разходването на средствата;</w:t>
      </w:r>
    </w:p>
    <w:p w14:paraId="54231D4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призовава за разширяване на маркера на Комисията за неравенството, така че да обхване и проектите по линия на Global Gateway; </w:t>
      </w:r>
    </w:p>
    <w:p w14:paraId="622745CB"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очаква съществуващите органи, като например платформите на гражданското общество, да бъдат ангажирани в по-голяма степен в поддържането на отношенията с организациите в държавите партньори; </w:t>
      </w:r>
    </w:p>
    <w:p w14:paraId="17AD7981"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подкрепя всички усилия за укрепване на просперитета и сигурността в съседните ни държави, а оттам и в рамките на ЕС, и подкрепя по-нататъшното разширяване на Съюза;</w:t>
      </w:r>
    </w:p>
    <w:p w14:paraId="751B0DE5"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подчертава необходимостта от предвидимо и стабилно финансиране за организациите на гражданското общество, по-специално за укрепване на демокрацията, гражданското пространство и равенството между половете;</w:t>
      </w:r>
    </w:p>
    <w:p w14:paraId="29F107B3"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очаква целите относно икономическото сътрудничество и предприемачеството да бъдат придружени от амбициозни гаранции в социалната сфера, по отношение на правата на човека и в областта на околната среда;</w:t>
      </w:r>
    </w:p>
    <w:p w14:paraId="1EC11B19"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противопоставя се на подхода за спиране на плащанията в контекста на миграционната политика, като подчертава необходимостта от положителни стимули за постигане на заявените цели.</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3"/>
        <w:gridCol w:w="2376"/>
      </w:tblGrid>
      <w:tr w:rsidR="00C913CA" w:rsidRPr="00C913CA" w14:paraId="430D0F1E" w14:textId="77777777" w:rsidTr="00830737">
        <w:tc>
          <w:tcPr>
            <w:tcW w:w="3721" w:type="pct"/>
          </w:tcPr>
          <w:tbl>
            <w:tblPr>
              <w:tblStyle w:val="TableGrid"/>
              <w:tblW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111"/>
            </w:tblGrid>
            <w:tr w:rsidR="006559C7" w:rsidRPr="00A6689B" w14:paraId="566687C9" w14:textId="77777777" w:rsidTr="00830737">
              <w:tc>
                <w:tcPr>
                  <w:tcW w:w="1628" w:type="pct"/>
                </w:tcPr>
                <w:p w14:paraId="5EE88CD7" w14:textId="77777777" w:rsidR="006559C7" w:rsidRPr="006559C7" w:rsidRDefault="006559C7" w:rsidP="006559C7">
                  <w:pPr>
                    <w:ind w:hanging="78"/>
                    <w:rPr>
                      <w:i/>
                      <w:sz w:val="20"/>
                      <w:szCs w:val="20"/>
                    </w:rPr>
                  </w:pPr>
                  <w:r>
                    <w:rPr>
                      <w:b/>
                      <w:i/>
                      <w:sz w:val="20"/>
                    </w:rPr>
                    <w:t>За контакт</w:t>
                  </w:r>
                </w:p>
              </w:tc>
              <w:tc>
                <w:tcPr>
                  <w:tcW w:w="3372" w:type="pct"/>
                </w:tcPr>
                <w:p w14:paraId="1A70046D" w14:textId="77777777" w:rsidR="006559C7" w:rsidRPr="006559C7" w:rsidRDefault="006559C7" w:rsidP="006559C7">
                  <w:pPr>
                    <w:ind w:hanging="78"/>
                    <w:rPr>
                      <w:i/>
                      <w:sz w:val="20"/>
                      <w:szCs w:val="20"/>
                    </w:rPr>
                  </w:pPr>
                  <w:r>
                    <w:rPr>
                      <w:i/>
                      <w:sz w:val="20"/>
                    </w:rPr>
                    <w:t xml:space="preserve">Daniele Vitali </w:t>
                  </w:r>
                </w:p>
              </w:tc>
            </w:tr>
            <w:tr w:rsidR="006559C7" w:rsidRPr="00A6689B" w14:paraId="6A2E51F7" w14:textId="77777777" w:rsidTr="00830737">
              <w:tc>
                <w:tcPr>
                  <w:tcW w:w="1628" w:type="pct"/>
                </w:tcPr>
                <w:p w14:paraId="36742115" w14:textId="77777777" w:rsidR="006559C7" w:rsidRPr="006559C7" w:rsidRDefault="006559C7" w:rsidP="006559C7">
                  <w:pPr>
                    <w:ind w:hanging="78"/>
                    <w:rPr>
                      <w:i/>
                      <w:sz w:val="20"/>
                      <w:szCs w:val="20"/>
                    </w:rPr>
                  </w:pPr>
                  <w:r>
                    <w:rPr>
                      <w:i/>
                      <w:sz w:val="20"/>
                    </w:rPr>
                    <w:t>Тел</w:t>
                  </w:r>
                  <w:r>
                    <w:rPr>
                      <w:i/>
                      <w:iCs/>
                      <w:sz w:val="20"/>
                    </w:rPr>
                    <w:t>.</w:t>
                  </w:r>
                </w:p>
              </w:tc>
              <w:tc>
                <w:tcPr>
                  <w:tcW w:w="3372" w:type="pct"/>
                </w:tcPr>
                <w:p w14:paraId="2025EE29" w14:textId="2C5781A0" w:rsidR="006559C7" w:rsidRPr="006559C7" w:rsidRDefault="006559C7" w:rsidP="006559C7">
                  <w:pPr>
                    <w:ind w:hanging="78"/>
                    <w:rPr>
                      <w:i/>
                      <w:sz w:val="20"/>
                      <w:szCs w:val="20"/>
                    </w:rPr>
                  </w:pPr>
                  <w:r>
                    <w:rPr>
                      <w:i/>
                      <w:sz w:val="20"/>
                    </w:rPr>
                    <w:t>+32 25468817</w:t>
                  </w:r>
                </w:p>
              </w:tc>
            </w:tr>
            <w:tr w:rsidR="006559C7" w:rsidRPr="00A6689B" w14:paraId="40EB0530" w14:textId="77777777" w:rsidTr="00830737">
              <w:tc>
                <w:tcPr>
                  <w:tcW w:w="1628" w:type="pct"/>
                </w:tcPr>
                <w:p w14:paraId="0E0B5DFB" w14:textId="77777777" w:rsidR="006559C7" w:rsidRPr="006559C7" w:rsidRDefault="006559C7" w:rsidP="006559C7">
                  <w:pPr>
                    <w:ind w:hanging="78"/>
                    <w:rPr>
                      <w:i/>
                      <w:sz w:val="20"/>
                      <w:szCs w:val="20"/>
                    </w:rPr>
                  </w:pPr>
                  <w:r>
                    <w:rPr>
                      <w:i/>
                      <w:sz w:val="20"/>
                    </w:rPr>
                    <w:t>Eлектронен адрес</w:t>
                  </w:r>
                </w:p>
              </w:tc>
              <w:tc>
                <w:tcPr>
                  <w:tcW w:w="3372" w:type="pct"/>
                </w:tcPr>
                <w:p w14:paraId="65211337" w14:textId="77777777" w:rsidR="006559C7" w:rsidRPr="006559C7" w:rsidRDefault="00413A6F" w:rsidP="006559C7">
                  <w:pPr>
                    <w:ind w:hanging="78"/>
                    <w:rPr>
                      <w:i/>
                      <w:sz w:val="20"/>
                      <w:szCs w:val="20"/>
                    </w:rPr>
                  </w:pPr>
                  <w:hyperlink r:id="rId48" w:history="1">
                    <w:r w:rsidR="00EB4F20">
                      <w:rPr>
                        <w:rStyle w:val="Hyperlink"/>
                        <w:i/>
                        <w:sz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1279"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830737">
        <w:tc>
          <w:tcPr>
            <w:tcW w:w="3721"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1279"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1879C98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rPr>
      </w:pPr>
      <w:r>
        <w:br w:type="page"/>
      </w:r>
      <w:hyperlink r:id="rId49" w:history="1">
        <w:r>
          <w:rPr>
            <w:b/>
            <w:i/>
            <w:color w:val="0000FF"/>
            <w:sz w:val="28"/>
            <w:u w:val="single"/>
          </w:rPr>
          <w:t>„Предсказуем и общ европейски подход за бъдещето на украинците в ЕС“</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6772"/>
      </w:tblGrid>
      <w:tr w:rsidR="004503DC" w:rsidRPr="004503DC" w14:paraId="6E6B74AA" w14:textId="77777777" w:rsidTr="002F3C4D">
        <w:tc>
          <w:tcPr>
            <w:tcW w:w="1355"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 xml:space="preserve">Докладчик </w:t>
            </w:r>
          </w:p>
        </w:tc>
        <w:tc>
          <w:tcPr>
            <w:tcW w:w="3645" w:type="pct"/>
          </w:tcPr>
          <w:p w14:paraId="2DAA0415" w14:textId="1B2B62CA" w:rsidR="006559C7" w:rsidRPr="004503DC" w:rsidRDefault="004503DC" w:rsidP="00F733BE">
            <w:pPr>
              <w:tabs>
                <w:tab w:val="center" w:pos="284"/>
              </w:tabs>
              <w:overflowPunct w:val="0"/>
              <w:autoSpaceDE w:val="0"/>
              <w:autoSpaceDN w:val="0"/>
              <w:adjustRightInd w:val="0"/>
              <w:ind w:left="266" w:right="-3091" w:hanging="266"/>
              <w:textAlignment w:val="baseline"/>
            </w:pPr>
            <w:r>
              <w:t>Mateusz SZYMAŃSKI (група „Работници“ — PL)</w:t>
            </w:r>
          </w:p>
        </w:tc>
      </w:tr>
      <w:tr w:rsidR="004503DC" w:rsidRPr="004503DC" w14:paraId="712EFFED" w14:textId="77777777" w:rsidTr="002F3C4D">
        <w:tc>
          <w:tcPr>
            <w:tcW w:w="1355" w:type="pct"/>
          </w:tcPr>
          <w:p w14:paraId="2B679233"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Съдокладчик</w:t>
            </w:r>
          </w:p>
        </w:tc>
        <w:tc>
          <w:tcPr>
            <w:tcW w:w="3645" w:type="pct"/>
          </w:tcPr>
          <w:p w14:paraId="38932FB0" w14:textId="77777777" w:rsidR="004503DC" w:rsidRDefault="004503DC" w:rsidP="004503DC">
            <w:pPr>
              <w:tabs>
                <w:tab w:val="center" w:pos="284"/>
              </w:tabs>
              <w:overflowPunct w:val="0"/>
              <w:autoSpaceDE w:val="0"/>
              <w:autoSpaceDN w:val="0"/>
              <w:adjustRightInd w:val="0"/>
              <w:ind w:left="266" w:right="-3091" w:hanging="266"/>
              <w:textAlignment w:val="baseline"/>
            </w:pPr>
            <w:r>
              <w:t>Krzysztof BALON (група „Организации на гражданското общество“ — PL)</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2F3C4D">
        <w:tc>
          <w:tcPr>
            <w:tcW w:w="1355"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Отправни документи</w:t>
            </w:r>
          </w:p>
        </w:tc>
        <w:tc>
          <w:tcPr>
            <w:tcW w:w="3645"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COM(2025) 649 final</w:t>
            </w:r>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rPr>
      </w:pPr>
      <w:r>
        <w:t>ЕИСК:</w:t>
      </w:r>
    </w:p>
    <w:p w14:paraId="446A35DC" w14:textId="77777777" w:rsidR="00F733BE" w:rsidRPr="004503DC" w:rsidRDefault="00F733BE" w:rsidP="004503DC">
      <w:pPr>
        <w:overflowPunct w:val="0"/>
        <w:autoSpaceDE w:val="0"/>
        <w:autoSpaceDN w:val="0"/>
        <w:adjustRightInd w:val="0"/>
        <w:textAlignment w:val="baseline"/>
        <w:rPr>
          <w:bCs/>
          <w:iCs/>
          <w:lang w:val="en-GB"/>
        </w:rPr>
      </w:pPr>
    </w:p>
    <w:p w14:paraId="5AAE80CE"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отново изразява своята солидарност с украинския народ, припомня, че агресията на Русия срещу Украйна доведе до бягството на милиони украинци от опасността, и изтъква ролята на организациите на гражданското общество по време на най-големия приток на разселени лица от Украйна;</w:t>
      </w:r>
    </w:p>
    <w:p w14:paraId="739050E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отбелязва, че временната закрила се е доказала като полезно решение за разселените лица от Украйна, докато в Украйна все още не съществуват условия за завръщане поради продължаващата руска агресия, и приветства решението за удължаване на срока на временната закрила за допълнителен период от време;</w:t>
      </w:r>
    </w:p>
    <w:p w14:paraId="027B8CC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подчертава необходимостта от дългосрочна перспектива за лицата, ползващи се с временна закрила, и призовава Европейската комисия и държавите членки да предприемат стъпки за улесняване на прехода към по-постоянна основа за пребиваване и постепенното прекратяване на използването на механизма за временната закрила;</w:t>
      </w:r>
    </w:p>
    <w:p w14:paraId="58D36077"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посочва, че ситуацията, свързана с пристигането на украинци в ЕС, увеличи натиска върху системите за обществени услуги на държавите членки, и подчертава необходимостта от увеличаване на инвестициите във висококачествени услуги от общ интерес, в т.ч. жилищно настаняване, които следва да бъдат достъпни на равни начала за всички хора, пребиваващи законно в ЕС;</w:t>
      </w:r>
    </w:p>
    <w:p w14:paraId="40289059"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pPr>
      <w:r>
        <w:t>отбелязва, че следва да се положат усилия, за да се гарантира успешната интеграция на украинците в ЕС чрез езикови курсове, подкрепа за инициативи на местните общности, предоставяне на образование на украинските деца в държавите членки и борба с дезинформацията и руските разузнавателни дейности, както и чрез включването на украинските граждани в организации, действащи в техните местни общности;</w:t>
      </w:r>
    </w:p>
    <w:p w14:paraId="6F366C03"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szCs w:val="20"/>
        </w:rPr>
      </w:pPr>
      <w:r>
        <w:t>подчертава, че е важно да се създадат справедливи условия на труд за украинците както в рамките на ЕС, така и в Украйна — от държавите членки се очаква да се борят с експлоатацията и неравното третиране на украинците в областта на заетостта, а от украинското правителство се очаква да възстанови благоприятните решения за работниците и синдикалните дейности чрез социален диалог.</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0C28C241" w14:textId="77777777" w:rsidTr="00C201AB">
        <w:tc>
          <w:tcPr>
            <w:tcW w:w="1077" w:type="pct"/>
          </w:tcPr>
          <w:p w14:paraId="011666E9" w14:textId="77777777" w:rsidR="004503DC" w:rsidRPr="004503DC" w:rsidRDefault="004503DC" w:rsidP="004503DC">
            <w:pPr>
              <w:overflowPunct w:val="0"/>
              <w:autoSpaceDE w:val="0"/>
              <w:autoSpaceDN w:val="0"/>
              <w:adjustRightInd w:val="0"/>
              <w:textAlignment w:val="baseline"/>
              <w:rPr>
                <w:i/>
              </w:rPr>
            </w:pPr>
            <w:r>
              <w:rPr>
                <w:b/>
                <w:i/>
              </w:rPr>
              <w:t>За контакт</w:t>
            </w:r>
          </w:p>
        </w:tc>
        <w:tc>
          <w:tcPr>
            <w:tcW w:w="3923" w:type="pct"/>
          </w:tcPr>
          <w:p w14:paraId="5376B5C9" w14:textId="1E39C147" w:rsidR="004503DC" w:rsidRPr="004503DC" w:rsidRDefault="004503DC" w:rsidP="004503DC">
            <w:pPr>
              <w:overflowPunct w:val="0"/>
              <w:autoSpaceDE w:val="0"/>
              <w:autoSpaceDN w:val="0"/>
              <w:adjustRightInd w:val="0"/>
              <w:textAlignment w:val="baseline"/>
              <w:rPr>
                <w:i/>
              </w:rPr>
            </w:pPr>
            <w:r>
              <w:rPr>
                <w:i/>
              </w:rPr>
              <w:t>Katarína Grzeszczyk Albrechtová</w:t>
            </w:r>
          </w:p>
        </w:tc>
      </w:tr>
      <w:tr w:rsidR="004503DC" w:rsidRPr="004503DC" w14:paraId="3DF91CE1" w14:textId="77777777" w:rsidTr="00C201AB">
        <w:tc>
          <w:tcPr>
            <w:tcW w:w="1077" w:type="pct"/>
          </w:tcPr>
          <w:p w14:paraId="12B0FB94" w14:textId="77777777" w:rsidR="004503DC" w:rsidRPr="004503DC" w:rsidRDefault="004503DC" w:rsidP="004503DC">
            <w:pPr>
              <w:overflowPunct w:val="0"/>
              <w:autoSpaceDE w:val="0"/>
              <w:autoSpaceDN w:val="0"/>
              <w:adjustRightInd w:val="0"/>
              <w:textAlignment w:val="baseline"/>
              <w:rPr>
                <w:i/>
              </w:rPr>
            </w:pPr>
            <w:r>
              <w:rPr>
                <w:i/>
              </w:rPr>
              <w:t>Тел</w:t>
            </w:r>
            <w:r>
              <w:rPr>
                <w:i/>
                <w:iCs/>
              </w:rPr>
              <w:t>.</w:t>
            </w:r>
          </w:p>
        </w:tc>
        <w:tc>
          <w:tcPr>
            <w:tcW w:w="3923" w:type="pct"/>
          </w:tcPr>
          <w:p w14:paraId="2AB00694" w14:textId="77777777" w:rsidR="004503DC" w:rsidRPr="004503DC" w:rsidRDefault="004503DC" w:rsidP="004503DC">
            <w:pPr>
              <w:overflowPunct w:val="0"/>
              <w:autoSpaceDE w:val="0"/>
              <w:autoSpaceDN w:val="0"/>
              <w:adjustRightInd w:val="0"/>
              <w:textAlignment w:val="baseline"/>
              <w:rPr>
                <w:i/>
              </w:rPr>
            </w:pPr>
            <w:r>
              <w:rPr>
                <w:i/>
              </w:rPr>
              <w:t>+32 25469460</w:t>
            </w:r>
          </w:p>
        </w:tc>
      </w:tr>
      <w:tr w:rsidR="004503DC" w:rsidRPr="004503DC" w14:paraId="704DFCB6" w14:textId="77777777" w:rsidTr="00C201AB">
        <w:tc>
          <w:tcPr>
            <w:tcW w:w="1077" w:type="pct"/>
          </w:tcPr>
          <w:p w14:paraId="18D5B7A9" w14:textId="77777777" w:rsidR="004503DC" w:rsidRPr="004503DC" w:rsidRDefault="004503DC" w:rsidP="004503DC">
            <w:pPr>
              <w:overflowPunct w:val="0"/>
              <w:autoSpaceDE w:val="0"/>
              <w:autoSpaceDN w:val="0"/>
              <w:adjustRightInd w:val="0"/>
              <w:textAlignment w:val="baseline"/>
              <w:rPr>
                <w:i/>
              </w:rPr>
            </w:pPr>
            <w:r>
              <w:rPr>
                <w:i/>
              </w:rPr>
              <w:t>Eлектронен адрес</w:t>
            </w:r>
          </w:p>
        </w:tc>
        <w:tc>
          <w:tcPr>
            <w:tcW w:w="3923" w:type="pct"/>
          </w:tcPr>
          <w:p w14:paraId="59F392A7" w14:textId="77777777" w:rsidR="004503DC" w:rsidRPr="004503DC" w:rsidRDefault="00413A6F" w:rsidP="004503DC">
            <w:pPr>
              <w:overflowPunct w:val="0"/>
              <w:autoSpaceDE w:val="0"/>
              <w:autoSpaceDN w:val="0"/>
              <w:adjustRightInd w:val="0"/>
              <w:textAlignment w:val="baseline"/>
              <w:rPr>
                <w:i/>
              </w:rPr>
            </w:pPr>
            <w:hyperlink r:id="rId50" w:history="1">
              <w:r w:rsidR="00EB4F20">
                <w:rPr>
                  <w:i/>
                  <w:color w:val="0000FF"/>
                  <w:u w:val="single"/>
                </w:rPr>
                <w:t>Katarina.Albrechtova@eesc.europa.eu</w:t>
              </w:r>
            </w:hyperlink>
            <w:r w:rsidR="00EB4F20">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28C69286" w14:textId="77777777" w:rsidR="004503DC" w:rsidRDefault="004503DC">
      <w:pPr>
        <w:spacing w:after="160" w:line="259" w:lineRule="auto"/>
        <w:jc w:val="left"/>
      </w:pPr>
      <w:r>
        <w:br w:type="page"/>
      </w:r>
    </w:p>
    <w:p w14:paraId="54681B02" w14:textId="77777777" w:rsidR="006D2C8A" w:rsidRDefault="006D2C8A">
      <w:pPr>
        <w:spacing w:after="160" w:line="259" w:lineRule="auto"/>
        <w:jc w:val="left"/>
      </w:pPr>
    </w:p>
    <w:p w14:paraId="528C73AA" w14:textId="46DE726B" w:rsidR="006D2C8A" w:rsidRPr="006D2C8A" w:rsidRDefault="006D2C8A" w:rsidP="006D2C8A">
      <w:pPr>
        <w:pStyle w:val="Heading1"/>
        <w:rPr>
          <w:b/>
        </w:rPr>
      </w:pPr>
      <w:bookmarkStart w:id="16" w:name="_Toc216959647"/>
      <w:r>
        <w:rPr>
          <w:b/>
          <w:color w:val="222A35" w:themeColor="text2" w:themeShade="80"/>
        </w:rPr>
        <w:t>КОНСУЛТАТИВНА КОМИСИЯ ПО ИНДУСТРИАЛНИ ПРОМЕНИ</w:t>
      </w:r>
      <w:bookmarkEnd w:id="16"/>
    </w:p>
    <w:p w14:paraId="713E272F" w14:textId="77777777" w:rsidR="006D2C8A" w:rsidRDefault="006D2C8A" w:rsidP="006D2C8A"/>
    <w:p w14:paraId="7383D97E" w14:textId="13359D4F" w:rsidR="00ED76AC" w:rsidRPr="00ED76AC" w:rsidRDefault="00413A6F" w:rsidP="00ED76AC">
      <w:pPr>
        <w:widowControl w:val="0"/>
        <w:numPr>
          <w:ilvl w:val="0"/>
          <w:numId w:val="16"/>
        </w:numPr>
        <w:overflowPunct w:val="0"/>
        <w:autoSpaceDE w:val="0"/>
        <w:autoSpaceDN w:val="0"/>
        <w:adjustRightInd w:val="0"/>
        <w:ind w:hanging="567"/>
        <w:rPr>
          <w:sz w:val="20"/>
          <w:szCs w:val="20"/>
        </w:rPr>
      </w:pPr>
      <w:hyperlink r:id="rId51" w:history="1">
        <w:r w:rsidR="00EB4F20">
          <w:rPr>
            <w:b/>
            <w:i/>
            <w:color w:val="0000FF"/>
            <w:sz w:val="28"/>
            <w:u w:val="single"/>
          </w:rPr>
          <w:t>„Улесняване на потенциала на постоянните материали в кръговата икономика на ЕС“</w:t>
        </w:r>
      </w:hyperlink>
    </w:p>
    <w:p w14:paraId="243BA033" w14:textId="77777777" w:rsidR="00ED76AC" w:rsidRPr="00ED76AC"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29"/>
      </w:tblGrid>
      <w:tr w:rsidR="00ED76AC" w:rsidRPr="00ED76AC" w14:paraId="3E004ABC" w14:textId="77777777" w:rsidTr="002F3C4D">
        <w:tc>
          <w:tcPr>
            <w:tcW w:w="1432"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Pr>
                <w:b/>
              </w:rPr>
              <w:t>Докладчик</w:t>
            </w:r>
          </w:p>
        </w:tc>
        <w:tc>
          <w:tcPr>
            <w:tcW w:w="3568" w:type="pct"/>
            <w:hideMark/>
          </w:tcPr>
          <w:p w14:paraId="51B8EA45" w14:textId="77777777" w:rsidR="00ED76AC" w:rsidRPr="00ED76AC" w:rsidRDefault="00ED76AC" w:rsidP="00ED76AC">
            <w:pPr>
              <w:tabs>
                <w:tab w:val="center" w:pos="284"/>
              </w:tabs>
              <w:overflowPunct w:val="0"/>
              <w:autoSpaceDE w:val="0"/>
              <w:autoSpaceDN w:val="0"/>
              <w:adjustRightInd w:val="0"/>
              <w:ind w:left="266" w:right="-3091" w:hanging="266"/>
            </w:pPr>
            <w:r>
              <w:t>Andrea MONE (група „Работници“ — IT)</w:t>
            </w:r>
          </w:p>
        </w:tc>
      </w:tr>
      <w:tr w:rsidR="00ED76AC" w:rsidRPr="00ED76AC" w14:paraId="21F71A9D" w14:textId="77777777" w:rsidTr="002F3C4D">
        <w:tc>
          <w:tcPr>
            <w:tcW w:w="1432" w:type="pct"/>
            <w:hideMark/>
          </w:tcPr>
          <w:p w14:paraId="2C3FD6D4" w14:textId="77777777" w:rsidR="00ED76AC" w:rsidRPr="00ED76AC" w:rsidRDefault="00ED76AC" w:rsidP="00ED76AC">
            <w:pPr>
              <w:tabs>
                <w:tab w:val="center" w:pos="284"/>
              </w:tabs>
              <w:overflowPunct w:val="0"/>
              <w:autoSpaceDE w:val="0"/>
              <w:autoSpaceDN w:val="0"/>
              <w:adjustRightInd w:val="0"/>
              <w:ind w:left="266" w:hanging="266"/>
              <w:rPr>
                <w:b/>
              </w:rPr>
            </w:pPr>
            <w:r>
              <w:rPr>
                <w:b/>
              </w:rPr>
              <w:t>Съдокладчик</w:t>
            </w:r>
          </w:p>
        </w:tc>
        <w:tc>
          <w:tcPr>
            <w:tcW w:w="3568" w:type="pct"/>
            <w:hideMark/>
          </w:tcPr>
          <w:p w14:paraId="1CE8569E" w14:textId="77777777" w:rsidR="00ED76AC" w:rsidRDefault="00ED76AC" w:rsidP="00ED76AC">
            <w:pPr>
              <w:tabs>
                <w:tab w:val="center" w:pos="284"/>
              </w:tabs>
              <w:overflowPunct w:val="0"/>
              <w:autoSpaceDE w:val="0"/>
              <w:autoSpaceDN w:val="0"/>
              <w:adjustRightInd w:val="0"/>
              <w:ind w:left="266" w:right="-3091" w:hanging="266"/>
            </w:pPr>
            <w:r>
              <w:t>Michal PINTÉR (група „Работодатели“ — SK)</w:t>
            </w:r>
          </w:p>
          <w:p w14:paraId="28215643" w14:textId="77777777" w:rsidR="00707689" w:rsidRPr="00ED76AC" w:rsidRDefault="00707689" w:rsidP="00ED76AC">
            <w:pPr>
              <w:tabs>
                <w:tab w:val="center" w:pos="284"/>
              </w:tabs>
              <w:overflowPunct w:val="0"/>
              <w:autoSpaceDE w:val="0"/>
              <w:autoSpaceDN w:val="0"/>
              <w:adjustRightInd w:val="0"/>
              <w:ind w:left="266" w:right="-3091" w:hanging="266"/>
            </w:pPr>
          </w:p>
        </w:tc>
      </w:tr>
      <w:tr w:rsidR="00ED76AC" w:rsidRPr="00ED76AC" w14:paraId="19833206" w14:textId="77777777" w:rsidTr="002F3C4D">
        <w:tc>
          <w:tcPr>
            <w:tcW w:w="1432" w:type="pct"/>
            <w:hideMark/>
          </w:tcPr>
          <w:p w14:paraId="1FC4BD72" w14:textId="77777777" w:rsidR="00ED76AC" w:rsidRPr="00ED76AC" w:rsidRDefault="00ED76AC" w:rsidP="00ED76AC">
            <w:pPr>
              <w:tabs>
                <w:tab w:val="center" w:pos="284"/>
              </w:tabs>
              <w:overflowPunct w:val="0"/>
              <w:autoSpaceDE w:val="0"/>
              <w:autoSpaceDN w:val="0"/>
              <w:adjustRightInd w:val="0"/>
              <w:ind w:left="266" w:hanging="266"/>
              <w:rPr>
                <w:b/>
              </w:rPr>
            </w:pPr>
            <w:r>
              <w:rPr>
                <w:b/>
              </w:rPr>
              <w:t>Отправeн документ</w:t>
            </w:r>
          </w:p>
        </w:tc>
        <w:tc>
          <w:tcPr>
            <w:tcW w:w="3568" w:type="pct"/>
            <w:hideMark/>
          </w:tcPr>
          <w:p w14:paraId="340633E9" w14:textId="2162F333" w:rsidR="00707689" w:rsidRDefault="00707689" w:rsidP="00ED76AC">
            <w:pPr>
              <w:tabs>
                <w:tab w:val="center" w:pos="284"/>
              </w:tabs>
              <w:overflowPunct w:val="0"/>
              <w:autoSpaceDE w:val="0"/>
              <w:autoSpaceDN w:val="0"/>
              <w:adjustRightInd w:val="0"/>
              <w:ind w:left="266" w:right="-3091" w:hanging="266"/>
            </w:pPr>
            <w:r>
              <w:t>Становище по собствена инициатива</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t>EESC-2025-02364-00-00-AC</w:t>
            </w:r>
          </w:p>
        </w:tc>
      </w:tr>
    </w:tbl>
    <w:p w14:paraId="5922BFFC" w14:textId="77777777" w:rsidR="00ED76AC" w:rsidRPr="00ED76AC" w:rsidRDefault="00ED76AC" w:rsidP="00ED76AC">
      <w:pPr>
        <w:tabs>
          <w:tab w:val="center" w:pos="284"/>
        </w:tabs>
        <w:overflowPunct w:val="0"/>
        <w:autoSpaceDE w:val="0"/>
        <w:autoSpaceDN w:val="0"/>
        <w:adjustRightInd w:val="0"/>
        <w:ind w:left="266" w:hanging="266"/>
        <w:rPr>
          <w:b/>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Основни аспекти</w:t>
      </w:r>
    </w:p>
    <w:p w14:paraId="2370EF24" w14:textId="77777777" w:rsidR="00ED76AC" w:rsidRPr="00ED76AC" w:rsidRDefault="00ED76AC" w:rsidP="00ED76AC">
      <w:pPr>
        <w:keepNext/>
        <w:keepLines/>
        <w:tabs>
          <w:tab w:val="center" w:pos="284"/>
        </w:tabs>
        <w:overflowPunct w:val="0"/>
        <w:autoSpaceDE w:val="0"/>
        <w:autoSpaceDN w:val="0"/>
        <w:adjustRightInd w:val="0"/>
        <w:ind w:left="266" w:hanging="266"/>
        <w:rPr>
          <w:b/>
          <w:lang w:val="en-GB"/>
        </w:rPr>
      </w:pPr>
    </w:p>
    <w:p w14:paraId="3E92F3F2" w14:textId="77777777" w:rsidR="00ED76AC" w:rsidRPr="00ED76AC" w:rsidRDefault="00ED76AC" w:rsidP="00ED76AC">
      <w:pPr>
        <w:overflowPunct w:val="0"/>
        <w:autoSpaceDE w:val="0"/>
        <w:autoSpaceDN w:val="0"/>
        <w:adjustRightInd w:val="0"/>
        <w:rPr>
          <w:bCs/>
          <w:iCs/>
        </w:rPr>
      </w:pPr>
      <w:r>
        <w:t>ЕИСК:</w:t>
      </w:r>
    </w:p>
    <w:p w14:paraId="26A569C6" w14:textId="77777777" w:rsidR="00ED76AC" w:rsidRPr="00ED76AC" w:rsidRDefault="00ED76AC" w:rsidP="00054C58">
      <w:pPr>
        <w:numPr>
          <w:ilvl w:val="0"/>
          <w:numId w:val="34"/>
        </w:numPr>
        <w:overflowPunct w:val="0"/>
        <w:autoSpaceDE w:val="0"/>
        <w:autoSpaceDN w:val="0"/>
        <w:adjustRightInd w:val="0"/>
        <w:ind w:left="284" w:hanging="284"/>
      </w:pPr>
      <w:r>
        <w:rPr>
          <w:b/>
        </w:rPr>
        <w:t>признава решаващата роля на постоянните материали</w:t>
      </w:r>
      <w:r>
        <w:t xml:space="preserve"> за създаването на условия за истинска кръгова икономика, особено в областта на опаковките, и призовава за </w:t>
      </w:r>
      <w:r>
        <w:rPr>
          <w:b/>
        </w:rPr>
        <w:t>изричното им признаване в законодателството на ЕС</w:t>
      </w:r>
      <w:r>
        <w:t>;</w:t>
      </w:r>
    </w:p>
    <w:p w14:paraId="32D7A91F" w14:textId="77777777" w:rsidR="00ED76AC" w:rsidRPr="00ED76AC" w:rsidRDefault="00ED76AC" w:rsidP="00054C58">
      <w:pPr>
        <w:numPr>
          <w:ilvl w:val="0"/>
          <w:numId w:val="34"/>
        </w:numPr>
        <w:overflowPunct w:val="0"/>
        <w:autoSpaceDE w:val="0"/>
        <w:autoSpaceDN w:val="0"/>
        <w:adjustRightInd w:val="0"/>
        <w:ind w:left="284" w:hanging="284"/>
      </w:pPr>
      <w:r>
        <w:rPr>
          <w:b/>
        </w:rPr>
        <w:t>подкрепя амбицията на ЕС да постигне равнище на разделно събиране на отпадъците от опаковки от 90 % до 2030 г.</w:t>
      </w:r>
      <w:r>
        <w:t>, като подчертава, че усъвършенстваните и добре финансирани системи за събиране, сортиране и висококачествено рециклиране са от съществено значение за максимално задържане на материали и за осигуряване на възможност за рециклиране в затворен цикъл за трайни материали;</w:t>
      </w:r>
    </w:p>
    <w:p w14:paraId="167FDC16" w14:textId="77777777" w:rsidR="00ED76AC" w:rsidRPr="00ED76AC" w:rsidRDefault="00ED76AC" w:rsidP="00054C58">
      <w:pPr>
        <w:numPr>
          <w:ilvl w:val="0"/>
          <w:numId w:val="34"/>
        </w:numPr>
        <w:overflowPunct w:val="0"/>
        <w:autoSpaceDE w:val="0"/>
        <w:autoSpaceDN w:val="0"/>
        <w:adjustRightInd w:val="0"/>
        <w:ind w:left="284" w:hanging="284"/>
      </w:pPr>
      <w:r>
        <w:rPr>
          <w:b/>
        </w:rPr>
        <w:t>призовава за укрепване и хармонизиране на схемите за разширена отговорност на производителите</w:t>
      </w:r>
      <w:r>
        <w:t xml:space="preserve"> във всички държави членки. Това включва прилагането на </w:t>
      </w:r>
      <w:r>
        <w:rPr>
          <w:b/>
        </w:rPr>
        <w:t>еко-модулирани такси въз основа на прозрачни и последователни критерии</w:t>
      </w:r>
      <w:r>
        <w:t xml:space="preserve">, пропорционални структури на таксите и </w:t>
      </w:r>
      <w:r>
        <w:rPr>
          <w:b/>
        </w:rPr>
        <w:t>заделяне на приходите от разширена отговорност на производителите</w:t>
      </w:r>
      <w:r>
        <w:t xml:space="preserve"> за реинвестиране в същия материален поток;</w:t>
      </w:r>
    </w:p>
    <w:p w14:paraId="422AF8F5" w14:textId="77777777" w:rsidR="00ED76AC" w:rsidRPr="00ED76AC" w:rsidRDefault="00ED76AC" w:rsidP="00054C58">
      <w:pPr>
        <w:numPr>
          <w:ilvl w:val="0"/>
          <w:numId w:val="34"/>
        </w:numPr>
        <w:overflowPunct w:val="0"/>
        <w:autoSpaceDE w:val="0"/>
        <w:autoSpaceDN w:val="0"/>
        <w:adjustRightInd w:val="0"/>
        <w:ind w:left="284" w:hanging="284"/>
      </w:pPr>
      <w:r>
        <w:rPr>
          <w:b/>
        </w:rPr>
        <w:t>отбелязва необходимостта от приоритетни инвестиции</w:t>
      </w:r>
      <w:r>
        <w:t xml:space="preserve"> в модерна инфраструктура за разделно събиране, сортиране и рециклиране на отпадъците от опаковки. Подчертава, че </w:t>
      </w:r>
      <w:r>
        <w:rPr>
          <w:b/>
        </w:rPr>
        <w:t>допълнителната подкрепа следва да се съсредоточи върху регионите с по-слаби резултати или тези с ограничен инвестиционен капацитет</w:t>
      </w:r>
      <w:r>
        <w:t>, като се гарантира, че всички държави членки могат да постигнат целите на кръговата икономика;</w:t>
      </w:r>
    </w:p>
    <w:p w14:paraId="059D94FE" w14:textId="77777777" w:rsidR="00ED76AC" w:rsidRPr="00ED76AC" w:rsidRDefault="00ED76AC" w:rsidP="00054C58">
      <w:pPr>
        <w:numPr>
          <w:ilvl w:val="0"/>
          <w:numId w:val="34"/>
        </w:numPr>
        <w:overflowPunct w:val="0"/>
        <w:autoSpaceDE w:val="0"/>
        <w:autoSpaceDN w:val="0"/>
        <w:adjustRightInd w:val="0"/>
        <w:ind w:left="284" w:hanging="284"/>
      </w:pPr>
      <w:r>
        <w:rPr>
          <w:b/>
        </w:rPr>
        <w:t>препоръчва всеобхватна оценка в целия ЕС на поведението на гражданите по отношение на рециклирането</w:t>
      </w:r>
      <w:r>
        <w:t>, за да се установят пропуските, пречките и най-добрите практики. Въз основа на тази оценка ЕИСК призовава за мерки за засилване на участието на потребителите в разделното събиране на отпадъци от опаковки, като признава, че сортирането от домакинствата е основната първа стъпка към ефективно рециклиране;</w:t>
      </w:r>
    </w:p>
    <w:p w14:paraId="09697A6A" w14:textId="77777777" w:rsidR="00ED76AC" w:rsidRPr="00ED76AC" w:rsidRDefault="00ED76AC" w:rsidP="00054C58">
      <w:pPr>
        <w:numPr>
          <w:ilvl w:val="0"/>
          <w:numId w:val="34"/>
        </w:numPr>
        <w:overflowPunct w:val="0"/>
        <w:autoSpaceDE w:val="0"/>
        <w:autoSpaceDN w:val="0"/>
        <w:adjustRightInd w:val="0"/>
        <w:ind w:left="284" w:hanging="284"/>
      </w:pPr>
      <w:r>
        <w:rPr>
          <w:b/>
        </w:rPr>
        <w:t>подчертава значението на социално устойчивия преход</w:t>
      </w:r>
      <w:r>
        <w:t xml:space="preserve"> към кръгова икономика, като настоятелно призовава за ранно предвиждане на въздействието върху пазара на труда. Призовава за гарантиран достъп до </w:t>
      </w:r>
      <w:r>
        <w:rPr>
          <w:b/>
        </w:rPr>
        <w:t>възможности за повишаване на квалификацията и преквалификация</w:t>
      </w:r>
      <w:r>
        <w:t xml:space="preserve"> в подкрепа на плавния преход от едно работно място към друго, така че работниците да могат пълноценно да участват в нововъзникващата кръгова икономика и да се възползват от нея;</w:t>
      </w:r>
    </w:p>
    <w:p w14:paraId="2E89F971" w14:textId="77777777" w:rsidR="00ED76AC" w:rsidRPr="00ED76AC" w:rsidRDefault="00ED76AC" w:rsidP="00054C58">
      <w:pPr>
        <w:numPr>
          <w:ilvl w:val="0"/>
          <w:numId w:val="34"/>
        </w:numPr>
        <w:overflowPunct w:val="0"/>
        <w:autoSpaceDE w:val="0"/>
        <w:autoSpaceDN w:val="0"/>
        <w:adjustRightInd w:val="0"/>
        <w:ind w:left="284" w:hanging="284"/>
      </w:pPr>
      <w:r>
        <w:rPr>
          <w:b/>
        </w:rPr>
        <w:lastRenderedPageBreak/>
        <w:t>се застъпва за по-силен социален диалог и колективно договаряне на всички равнища</w:t>
      </w:r>
      <w:r>
        <w:t>, включително в рамките на дружествата, за да се гарантира, че работниците са информирани, консултирани и включени в прехода към кръгови бизнес модели.</w:t>
      </w:r>
    </w:p>
    <w:p w14:paraId="7E334215" w14:textId="77777777" w:rsidR="00ED76AC" w:rsidRPr="00ED76AC" w:rsidRDefault="00ED76AC" w:rsidP="001307DF">
      <w:pPr>
        <w:ind w:left="284" w:hanging="284"/>
        <w:rPr>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412ADC26" w14:textId="77777777">
        <w:tc>
          <w:tcPr>
            <w:tcW w:w="1077" w:type="pct"/>
            <w:hideMark/>
          </w:tcPr>
          <w:p w14:paraId="0F7B1E43" w14:textId="77777777" w:rsidR="00ED76AC" w:rsidRPr="00ED76AC" w:rsidRDefault="00ED76AC" w:rsidP="00ED76AC">
            <w:pPr>
              <w:overflowPunct w:val="0"/>
              <w:autoSpaceDE w:val="0"/>
              <w:autoSpaceDN w:val="0"/>
              <w:adjustRightInd w:val="0"/>
              <w:rPr>
                <w:i/>
              </w:rPr>
            </w:pPr>
            <w:r>
              <w:rPr>
                <w:b/>
                <w:i/>
              </w:rPr>
              <w:t>За контакт</w:t>
            </w:r>
          </w:p>
        </w:tc>
        <w:tc>
          <w:tcPr>
            <w:tcW w:w="3923" w:type="pct"/>
            <w:hideMark/>
          </w:tcPr>
          <w:p w14:paraId="0144A2EC" w14:textId="10811451" w:rsidR="00ED76AC" w:rsidRPr="00ED76AC" w:rsidRDefault="00ED76AC" w:rsidP="00ED76AC">
            <w:pPr>
              <w:overflowPunct w:val="0"/>
              <w:autoSpaceDE w:val="0"/>
              <w:autoSpaceDN w:val="0"/>
              <w:adjustRightInd w:val="0"/>
              <w:rPr>
                <w:i/>
              </w:rPr>
            </w:pPr>
            <w:r>
              <w:rPr>
                <w:i/>
              </w:rPr>
              <w:t>Adam Dorywalski</w:t>
            </w:r>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Pr>
                <w:i/>
              </w:rPr>
              <w:t>Тел</w:t>
            </w:r>
            <w:r>
              <w:rPr>
                <w:i/>
                <w:iCs/>
              </w:rPr>
              <w:t>.</w:t>
            </w:r>
          </w:p>
        </w:tc>
        <w:tc>
          <w:tcPr>
            <w:tcW w:w="3923" w:type="pct"/>
            <w:hideMark/>
          </w:tcPr>
          <w:p w14:paraId="262EFFB7" w14:textId="66B13D8A" w:rsidR="00ED76AC" w:rsidRPr="00ED76AC" w:rsidRDefault="00ED76AC" w:rsidP="00ED76AC">
            <w:pPr>
              <w:overflowPunct w:val="0"/>
              <w:autoSpaceDE w:val="0"/>
              <w:autoSpaceDN w:val="0"/>
              <w:adjustRightInd w:val="0"/>
              <w:rPr>
                <w:i/>
              </w:rPr>
            </w:pPr>
            <w:r>
              <w:rPr>
                <w:i/>
              </w:rPr>
              <w:t>+32 25469397</w:t>
            </w:r>
          </w:p>
        </w:tc>
      </w:tr>
      <w:tr w:rsidR="00ED76AC" w:rsidRPr="00ED76AC" w14:paraId="760698CC" w14:textId="77777777">
        <w:tc>
          <w:tcPr>
            <w:tcW w:w="1077" w:type="pct"/>
            <w:hideMark/>
          </w:tcPr>
          <w:p w14:paraId="5E8D3FE3" w14:textId="77777777" w:rsidR="00ED76AC" w:rsidRPr="00ED76AC" w:rsidRDefault="00ED76AC" w:rsidP="00ED76AC">
            <w:pPr>
              <w:overflowPunct w:val="0"/>
              <w:autoSpaceDE w:val="0"/>
              <w:autoSpaceDN w:val="0"/>
              <w:adjustRightInd w:val="0"/>
              <w:rPr>
                <w:i/>
              </w:rPr>
            </w:pPr>
            <w:r>
              <w:rPr>
                <w:i/>
              </w:rPr>
              <w:t>Eлектронен адрес</w:t>
            </w:r>
          </w:p>
        </w:tc>
        <w:tc>
          <w:tcPr>
            <w:tcW w:w="3923" w:type="pct"/>
            <w:hideMark/>
          </w:tcPr>
          <w:p w14:paraId="6BD8C4E6" w14:textId="77777777" w:rsidR="00ED76AC" w:rsidRPr="00ED76AC" w:rsidRDefault="00413A6F" w:rsidP="00ED76AC">
            <w:pPr>
              <w:overflowPunct w:val="0"/>
              <w:autoSpaceDE w:val="0"/>
              <w:autoSpaceDN w:val="0"/>
              <w:adjustRightInd w:val="0"/>
              <w:rPr>
                <w:i/>
              </w:rPr>
            </w:pPr>
            <w:hyperlink r:id="rId52" w:history="1">
              <w:r w:rsidR="00EB4F20">
                <w:rPr>
                  <w:i/>
                  <w:color w:val="0000FF"/>
                  <w:u w:val="single"/>
                </w:rPr>
                <w:t>Adam.Dorywalski@eesc.europa.eu</w:t>
              </w:r>
            </w:hyperlink>
          </w:p>
        </w:tc>
      </w:tr>
    </w:tbl>
    <w:p w14:paraId="0FA13A3E" w14:textId="309D4ADD" w:rsidR="00ED76AC" w:rsidRDefault="00ED76AC" w:rsidP="006D2C8A">
      <w:pPr>
        <w:spacing w:after="160" w:line="259" w:lineRule="auto"/>
        <w:jc w:val="left"/>
      </w:pPr>
    </w:p>
    <w:p w14:paraId="1D4DBE8E" w14:textId="77777777" w:rsidR="00ED76AC" w:rsidRDefault="00ED76AC">
      <w:pPr>
        <w:spacing w:after="160" w:line="259" w:lineRule="auto"/>
        <w:jc w:val="left"/>
      </w:pPr>
      <w:r>
        <w:br w:type="page"/>
      </w:r>
    </w:p>
    <w:p w14:paraId="1EC58FCD" w14:textId="735BFB6C" w:rsidR="009F1AE3" w:rsidRPr="009F1AE3" w:rsidRDefault="00413A6F" w:rsidP="009F1AE3">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Pr>
            <w:b/>
            <w:i/>
            <w:color w:val="0000FF"/>
            <w:sz w:val="28"/>
            <w:u w:val="single"/>
          </w:rPr>
          <w:t>„Промишлените кооперации — инструмент за преодоляване на предизвикателството, свързано с приобщаващата и устойчива конкурентоспособност“</w:t>
        </w:r>
      </w:hyperlink>
      <w:r w:rsidR="009F1AE3">
        <w:rPr>
          <w:b/>
          <w:i/>
          <w:sz w:val="28"/>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29"/>
      </w:tblGrid>
      <w:tr w:rsidR="009F1AE3" w:rsidRPr="009F1AE3" w14:paraId="0D01F4D7" w14:textId="77777777" w:rsidTr="002F3C4D">
        <w:tc>
          <w:tcPr>
            <w:tcW w:w="1432"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Докладчик</w:t>
            </w:r>
          </w:p>
        </w:tc>
        <w:tc>
          <w:tcPr>
            <w:tcW w:w="3568" w:type="pct"/>
          </w:tcPr>
          <w:p w14:paraId="1A4CBD2C" w14:textId="77777777" w:rsidR="009F1AE3" w:rsidRPr="009F1AE3" w:rsidRDefault="009F1AE3" w:rsidP="009F1AE3">
            <w:pPr>
              <w:tabs>
                <w:tab w:val="center" w:pos="284"/>
              </w:tabs>
              <w:overflowPunct w:val="0"/>
              <w:autoSpaceDE w:val="0"/>
              <w:autoSpaceDN w:val="0"/>
              <w:adjustRightInd w:val="0"/>
              <w:ind w:left="266" w:right="-3091" w:hanging="266"/>
              <w:textAlignment w:val="baseline"/>
            </w:pPr>
            <w:r>
              <w:t>Giuseppe GUERINI (група „Организации на гражданското общество“ — IT)</w:t>
            </w:r>
          </w:p>
        </w:tc>
      </w:tr>
      <w:tr w:rsidR="009F1AE3" w:rsidRPr="009F1AE3" w14:paraId="33F2C2EB" w14:textId="77777777" w:rsidTr="002F3C4D">
        <w:tc>
          <w:tcPr>
            <w:tcW w:w="1432" w:type="pct"/>
          </w:tcPr>
          <w:p w14:paraId="1F1A83E5"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Съдокладчик</w:t>
            </w:r>
          </w:p>
        </w:tc>
        <w:tc>
          <w:tcPr>
            <w:tcW w:w="3568" w:type="pct"/>
          </w:tcPr>
          <w:p w14:paraId="33B4BB5B" w14:textId="77777777" w:rsidR="009F1AE3" w:rsidRDefault="009F1AE3" w:rsidP="009F1AE3">
            <w:pPr>
              <w:tabs>
                <w:tab w:val="center" w:pos="284"/>
              </w:tabs>
              <w:overflowPunct w:val="0"/>
              <w:autoSpaceDE w:val="0"/>
              <w:autoSpaceDN w:val="0"/>
              <w:adjustRightInd w:val="0"/>
              <w:ind w:left="266" w:right="-3091" w:hanging="266"/>
              <w:textAlignment w:val="baseline"/>
            </w:pPr>
            <w:r>
              <w:t>Michal PINTÉR (група „Работодатели“ — SK)</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2F3C4D">
        <w:tc>
          <w:tcPr>
            <w:tcW w:w="1432" w:type="pct"/>
          </w:tcPr>
          <w:p w14:paraId="032C91E2"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Отправни документи</w:t>
            </w:r>
          </w:p>
        </w:tc>
        <w:tc>
          <w:tcPr>
            <w:tcW w:w="3568" w:type="pct"/>
          </w:tcPr>
          <w:p w14:paraId="0B0CF888" w14:textId="0BC5D656" w:rsidR="005A2512" w:rsidRDefault="005A2512" w:rsidP="009F1AE3">
            <w:pPr>
              <w:tabs>
                <w:tab w:val="center" w:pos="284"/>
              </w:tabs>
              <w:overflowPunct w:val="0"/>
              <w:autoSpaceDE w:val="0"/>
              <w:autoSpaceDN w:val="0"/>
              <w:adjustRightInd w:val="0"/>
              <w:ind w:left="266" w:right="-3091" w:hanging="266"/>
              <w:textAlignment w:val="baseline"/>
            </w:pPr>
            <w:r>
              <w:t>Становище по собствена инициатива</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rPr>
      </w:pPr>
      <w:r>
        <w:t>ЕИСК:</w:t>
      </w:r>
    </w:p>
    <w:p w14:paraId="6845B3DF" w14:textId="77777777" w:rsidR="007B326F" w:rsidRPr="009F1AE3" w:rsidRDefault="007B326F" w:rsidP="009F1AE3">
      <w:pPr>
        <w:overflowPunct w:val="0"/>
        <w:autoSpaceDE w:val="0"/>
        <w:autoSpaceDN w:val="0"/>
        <w:adjustRightInd w:val="0"/>
        <w:textAlignment w:val="baseline"/>
        <w:rPr>
          <w:bCs/>
          <w:iCs/>
          <w:lang w:val="en-GB"/>
        </w:rPr>
      </w:pPr>
    </w:p>
    <w:p w14:paraId="27E2A74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отбелязва, че ООН обяви 2025 г. за Международна година на кооперациите под надслов „Кооперациите изграждат един по-добър свят“, което отразява нарастващото международно признание на кооперативния модел в различните сектори;</w:t>
      </w:r>
    </w:p>
    <w:p w14:paraId="3D3801AB"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препоръчва интегрирането на кооперативното бизнес образование в общото обучение по предприемачество и професионално обучение, включително дейности за повишаване на осведомеността за финансовите институции и възможности в рамките на „Еразъм +“;</w:t>
      </w:r>
    </w:p>
    <w:p w14:paraId="28A4E3C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счита, че кооперациите следва да бъдат активно насърчавани сред стартиращите предприятия и младите предприемачи;</w:t>
      </w:r>
    </w:p>
    <w:p w14:paraId="58C2F6EC"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призовава за признаване на промишлените кооперации като ключови икономически участници и за целенасочени финансови стимули на равнището на ЕС, на национално и регионално равнище (данъчни облекчения, безвъзмездни средства, нисколихвено финансиране) в подкрепа на промишлената симбиоза и кръговостта;</w:t>
      </w:r>
    </w:p>
    <w:p w14:paraId="4A87AD53"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насърчава инвестициите в споделени промишлени паркове, екопромишлени зони и кооперативни платформи за споделяне на знания с цел укрепване на кооперативната локализация и устойчивото производство;</w:t>
      </w:r>
    </w:p>
    <w:p w14:paraId="52113114"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настоятелно призовава за включване на специфични за сътрудничеството политически мерки в програмите на ЕС за сближаване и стратегиите за регионално развитие, като се даде приоритет на ръководените от сътрудничество инициативи за повишаване на регионалната издръжливост и устойчивост;</w:t>
      </w:r>
    </w:p>
    <w:p w14:paraId="7894A3A1"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подчертава нарастващото стратегическо значение на основаните на данни кооперации и призовава ЕС и националните органи да подкрепят колективните инициативи за управление и споделяне на промишлени данни;</w:t>
      </w:r>
    </w:p>
    <w:p w14:paraId="79564FBF" w14:textId="2AC94D21"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подчертава, че кооперативният модел осигурява уникална добавена стойност чрез демократично управление, справедливо разпределение на богатството, ангажираност на общността и силна приспособимост, като укрепва стратегическата автономност на ЕС.</w:t>
      </w:r>
    </w:p>
    <w:p w14:paraId="7F3E40C1" w14:textId="77777777" w:rsidR="009F1AE3" w:rsidRPr="009F1AE3" w:rsidRDefault="009F1AE3" w:rsidP="009F1AE3">
      <w:pPr>
        <w:widowControl w:val="0"/>
        <w:overflowPunct w:val="0"/>
        <w:autoSpaceDE w:val="0"/>
        <w:autoSpaceDN w:val="0"/>
        <w:adjustRightInd w:val="0"/>
        <w:ind w:left="567"/>
        <w:textAlignment w:val="baseline"/>
        <w:rPr>
          <w:bCs/>
          <w:iCs/>
          <w:lang w:val="en-GB"/>
        </w:rPr>
      </w:pPr>
    </w:p>
    <w:p w14:paraId="12471B63" w14:textId="77777777" w:rsidR="009F1AE3" w:rsidRPr="009F1AE3"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23DAFD40" w14:textId="77777777" w:rsidTr="007C5DD5">
        <w:tc>
          <w:tcPr>
            <w:tcW w:w="1077" w:type="pct"/>
          </w:tcPr>
          <w:p w14:paraId="4CF24E66" w14:textId="77777777" w:rsidR="009F1AE3" w:rsidRPr="009F1AE3" w:rsidRDefault="009F1AE3" w:rsidP="009F1AE3">
            <w:pPr>
              <w:overflowPunct w:val="0"/>
              <w:autoSpaceDE w:val="0"/>
              <w:autoSpaceDN w:val="0"/>
              <w:adjustRightInd w:val="0"/>
              <w:textAlignment w:val="baseline"/>
              <w:rPr>
                <w:i/>
              </w:rPr>
            </w:pPr>
            <w:r>
              <w:rPr>
                <w:b/>
                <w:i/>
              </w:rPr>
              <w:t>За контакт</w:t>
            </w:r>
          </w:p>
        </w:tc>
        <w:tc>
          <w:tcPr>
            <w:tcW w:w="3923" w:type="pct"/>
          </w:tcPr>
          <w:p w14:paraId="06B68A0E" w14:textId="546486E8" w:rsidR="009F1AE3" w:rsidRPr="009F1AE3" w:rsidRDefault="009F1AE3" w:rsidP="009F1AE3">
            <w:pPr>
              <w:overflowPunct w:val="0"/>
              <w:autoSpaceDE w:val="0"/>
              <w:autoSpaceDN w:val="0"/>
              <w:adjustRightInd w:val="0"/>
              <w:textAlignment w:val="baseline"/>
              <w:rPr>
                <w:i/>
              </w:rPr>
            </w:pPr>
            <w:r>
              <w:rPr>
                <w:i/>
              </w:rPr>
              <w:t>Adam Dorywalski</w:t>
            </w:r>
          </w:p>
        </w:tc>
      </w:tr>
      <w:tr w:rsidR="009F1AE3" w:rsidRPr="009F1AE3" w14:paraId="7AF1CC27" w14:textId="77777777" w:rsidTr="007C5DD5">
        <w:tc>
          <w:tcPr>
            <w:tcW w:w="1077" w:type="pct"/>
          </w:tcPr>
          <w:p w14:paraId="233242A3" w14:textId="77777777" w:rsidR="009F1AE3" w:rsidRPr="009F1AE3" w:rsidRDefault="009F1AE3" w:rsidP="009F1AE3">
            <w:pPr>
              <w:overflowPunct w:val="0"/>
              <w:autoSpaceDE w:val="0"/>
              <w:autoSpaceDN w:val="0"/>
              <w:adjustRightInd w:val="0"/>
              <w:textAlignment w:val="baseline"/>
              <w:rPr>
                <w:i/>
              </w:rPr>
            </w:pPr>
            <w:r>
              <w:rPr>
                <w:i/>
              </w:rPr>
              <w:t>Тел</w:t>
            </w:r>
            <w:r>
              <w:rPr>
                <w:i/>
                <w:iCs/>
              </w:rPr>
              <w:t>.</w:t>
            </w:r>
          </w:p>
        </w:tc>
        <w:tc>
          <w:tcPr>
            <w:tcW w:w="3923" w:type="pct"/>
          </w:tcPr>
          <w:p w14:paraId="5A333E81" w14:textId="77777777" w:rsidR="009F1AE3" w:rsidRPr="009F1AE3" w:rsidRDefault="009F1AE3" w:rsidP="009F1AE3">
            <w:pPr>
              <w:overflowPunct w:val="0"/>
              <w:autoSpaceDE w:val="0"/>
              <w:autoSpaceDN w:val="0"/>
              <w:adjustRightInd w:val="0"/>
              <w:textAlignment w:val="baseline"/>
              <w:rPr>
                <w:i/>
              </w:rPr>
            </w:pPr>
            <w:r>
              <w:rPr>
                <w:i/>
              </w:rPr>
              <w:t>+32 25469397</w:t>
            </w:r>
          </w:p>
        </w:tc>
      </w:tr>
      <w:tr w:rsidR="009F1AE3" w:rsidRPr="009F1AE3" w14:paraId="7ABF5273" w14:textId="77777777" w:rsidTr="007C5DD5">
        <w:tc>
          <w:tcPr>
            <w:tcW w:w="1077" w:type="pct"/>
          </w:tcPr>
          <w:p w14:paraId="2931E696" w14:textId="77777777" w:rsidR="009F1AE3" w:rsidRPr="009F1AE3" w:rsidRDefault="009F1AE3" w:rsidP="009F1AE3">
            <w:pPr>
              <w:overflowPunct w:val="0"/>
              <w:autoSpaceDE w:val="0"/>
              <w:autoSpaceDN w:val="0"/>
              <w:adjustRightInd w:val="0"/>
              <w:textAlignment w:val="baseline"/>
              <w:rPr>
                <w:i/>
              </w:rPr>
            </w:pPr>
            <w:r>
              <w:rPr>
                <w:i/>
              </w:rPr>
              <w:t>Eлектронен адрес</w:t>
            </w:r>
          </w:p>
        </w:tc>
        <w:tc>
          <w:tcPr>
            <w:tcW w:w="3923" w:type="pct"/>
          </w:tcPr>
          <w:p w14:paraId="7A67CA0D" w14:textId="77777777" w:rsidR="009F1AE3" w:rsidRPr="009F1AE3" w:rsidRDefault="00413A6F" w:rsidP="009F1AE3">
            <w:pPr>
              <w:overflowPunct w:val="0"/>
              <w:autoSpaceDE w:val="0"/>
              <w:autoSpaceDN w:val="0"/>
              <w:adjustRightInd w:val="0"/>
              <w:textAlignment w:val="baseline"/>
              <w:rPr>
                <w:i/>
              </w:rPr>
            </w:pPr>
            <w:hyperlink r:id="rId54" w:history="1">
              <w:r w:rsidR="00EB4F20">
                <w:rPr>
                  <w:i/>
                  <w:color w:val="0000FF"/>
                  <w:u w:val="single"/>
                </w:rPr>
                <w:t>Adam.Dorywalski@eesc.europa.eu</w:t>
              </w:r>
            </w:hyperlink>
          </w:p>
        </w:tc>
      </w:tr>
    </w:tbl>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413A6F">
      <w:fldChar w:fldCharType="begin"/>
    </w:r>
    <w:r w:rsidR="00413A6F">
      <w:instrText xml:space="preserve"> NUMPAGES </w:instrText>
    </w:r>
    <w:r w:rsidR="00413A6F">
      <w:fldChar w:fldCharType="separate"/>
    </w:r>
    <w:r w:rsidR="008541DE">
      <w:t>1</w:t>
    </w:r>
    <w:r w:rsidR="00413A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413A6F">
      <w:fldChar w:fldCharType="begin"/>
    </w:r>
    <w:r w:rsidR="00413A6F">
      <w:instrText xml:space="preserve"> NUMPAGES </w:instrText>
    </w:r>
    <w:r w:rsidR="00413A6F">
      <w:fldChar w:fldCharType="separate"/>
    </w:r>
    <w:r w:rsidR="008541DE">
      <w:t>16</w:t>
    </w:r>
    <w:r w:rsidR="00413A6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https://eur-lex.europa.eu/legal-content/BG/TXT/?uri=legissum:4623532</w:t>
        </w:r>
      </w:hyperlink>
      <w: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https://eur-lex.europa.eu/legal-content/BG/TXT/?uri=CELEX%3A52022XC0930%2802%29</w:t>
        </w:r>
      </w:hyperlink>
      <w: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https://digital-strategy.ec.europa.eu/bg/library/recommendation-protection-safety-and-empowerment-journalists</w:t>
        </w:r>
      </w:hyperlink>
      <w:r>
        <w:rPr>
          <w:sz w:val="16"/>
        </w:rPr>
        <w:t>.</w:t>
      </w:r>
    </w:p>
  </w:footnote>
  <w:footnote w:id="4">
    <w:p w14:paraId="026EF876" w14:textId="77777777" w:rsidR="00E972B2" w:rsidRPr="00C510E4" w:rsidRDefault="00E972B2" w:rsidP="00E972B2">
      <w:pPr>
        <w:keepLines/>
        <w:spacing w:after="60" w:line="240" w:lineRule="auto"/>
        <w:ind w:left="567" w:hanging="567"/>
      </w:pPr>
      <w:r>
        <w:rPr>
          <w:rStyle w:val="FootnoteReference"/>
        </w:rPr>
        <w:footnoteRef/>
      </w:r>
      <w:r>
        <w:tab/>
      </w:r>
      <w:r w:rsidRPr="00830737">
        <w:rPr>
          <w:sz w:val="16"/>
          <w:szCs w:val="16"/>
        </w:rPr>
        <w:t>ОВ C, C/2025/114, 10.1.2025 г., ELI:</w:t>
      </w:r>
      <w:r>
        <w:t xml:space="preserve"> </w:t>
      </w:r>
      <w:hyperlink r:id="rId4" w:history="1">
        <w:r>
          <w:rPr>
            <w:rStyle w:val="Hyperlink"/>
            <w:sz w:val="16"/>
          </w:rPr>
          <w:t>http://data.europa.eu/eli/C/2025/114/oj</w:t>
        </w:r>
      </w:hyperlink>
      <w:r>
        <w:t>.</w:t>
      </w:r>
    </w:p>
  </w:footnote>
  <w:footnote w:id="5">
    <w:p w14:paraId="01E2CCA5" w14:textId="77777777" w:rsidR="00836765" w:rsidRPr="00360DD3" w:rsidRDefault="00836765" w:rsidP="00836765">
      <w:pPr>
        <w:pStyle w:val="FootnoteText"/>
      </w:pPr>
      <w:r>
        <w:rPr>
          <w:rStyle w:val="FootnoteReference"/>
        </w:rPr>
        <w:footnoteRef/>
      </w:r>
      <w:r>
        <w:tab/>
        <w:t xml:space="preserve">Становище по собствена инициатива на ЕИСК относно </w:t>
      </w:r>
      <w:hyperlink r:id="rId5" w:anchor=":~:text=The%20only%20reliable%20way%20to%20preserve%20the%20rainforests%20is%20through" w:history="1">
        <w:r>
          <w:rPr>
            <w:rStyle w:val="Hyperlink"/>
            <w:i/>
          </w:rPr>
          <w:t>„Обезлесяване на Амазонската екваториална гора — въздействие върху изменението на климата и околната среда в световен мащаб; последици за предприятията, работниците и населението“</w:t>
        </w:r>
      </w:hyperlink>
      <w:r>
        <w:t xml:space="preserve">, </w:t>
      </w:r>
      <w:hyperlink r:id="rId6" w:history="1">
        <w:r>
          <w:rPr>
            <w:rStyle w:val="Hyperlink"/>
          </w:rPr>
          <w:t>ОВ C/2024/6882, 28.11.2024 г.</w:t>
        </w:r>
      </w:hyperlink>
    </w:p>
  </w:footnote>
  <w:footnote w:id="6">
    <w:p w14:paraId="74D17928" w14:textId="77777777" w:rsidR="00836765" w:rsidRPr="00360DD3" w:rsidRDefault="00836765" w:rsidP="00836765">
      <w:pPr>
        <w:pStyle w:val="FootnoteText"/>
      </w:pPr>
      <w:r>
        <w:rPr>
          <w:rStyle w:val="FootnoteReference"/>
        </w:rPr>
        <w:footnoteRef/>
      </w:r>
      <w:r>
        <w:t xml:space="preserve"> </w:t>
      </w:r>
      <w:r>
        <w:tab/>
        <w:t xml:space="preserve">Становище на ЕИСК относно </w:t>
      </w:r>
      <w:hyperlink r:id="rId7" w:history="1">
        <w:r>
          <w:rPr>
            <w:rStyle w:val="Hyperlink"/>
            <w:i/>
          </w:rPr>
          <w:t>„Свеждане до минимум на риска от обезлесяване и деградация на горите, свързан с продукти, пуснати на пазара на ЕС“</w:t>
        </w:r>
      </w:hyperlink>
      <w:r>
        <w:t xml:space="preserve">, </w:t>
      </w:r>
      <w:hyperlink r:id="rId8" w:history="1">
        <w:r>
          <w:rPr>
            <w:rStyle w:val="Hyperlink"/>
          </w:rPr>
          <w:t>ОВ C 275, 18.7.2022 г.</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1"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5"/>
  </w:num>
  <w:num w:numId="3">
    <w:abstractNumId w:val="3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6"/>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8"/>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24"/>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29"/>
  </w:num>
  <w:num w:numId="22">
    <w:abstractNumId w:val="12"/>
  </w:num>
  <w:num w:numId="23">
    <w:abstractNumId w:val="31"/>
  </w:num>
  <w:num w:numId="24">
    <w:abstractNumId w:val="27"/>
  </w:num>
  <w:num w:numId="25">
    <w:abstractNumId w:val="2"/>
  </w:num>
  <w:num w:numId="26">
    <w:abstractNumId w:val="17"/>
  </w:num>
  <w:num w:numId="27">
    <w:abstractNumId w:val="18"/>
  </w:num>
  <w:num w:numId="28">
    <w:abstractNumId w:val="19"/>
  </w:num>
  <w:num w:numId="29">
    <w:abstractNumId w:val="3"/>
  </w:num>
  <w:num w:numId="30">
    <w:abstractNumId w:val="10"/>
  </w:num>
  <w:num w:numId="31">
    <w:abstractNumId w:val="21"/>
  </w:num>
  <w:num w:numId="32">
    <w:abstractNumId w:val="9"/>
  </w:num>
  <w:num w:numId="33">
    <w:abstractNumId w:val="6"/>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391D"/>
    <w:rsid w:val="00237C67"/>
    <w:rsid w:val="002A5636"/>
    <w:rsid w:val="002B0636"/>
    <w:rsid w:val="002B5AEF"/>
    <w:rsid w:val="002B7981"/>
    <w:rsid w:val="002D3663"/>
    <w:rsid w:val="002F3C4D"/>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13A6F"/>
    <w:rsid w:val="0043191A"/>
    <w:rsid w:val="00446882"/>
    <w:rsid w:val="004503DC"/>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0737"/>
    <w:rsid w:val="00836765"/>
    <w:rsid w:val="00845F24"/>
    <w:rsid w:val="008541DE"/>
    <w:rsid w:val="00871818"/>
    <w:rsid w:val="0088219D"/>
    <w:rsid w:val="00896BC8"/>
    <w:rsid w:val="008A27AD"/>
    <w:rsid w:val="008A6059"/>
    <w:rsid w:val="008C414B"/>
    <w:rsid w:val="008D0052"/>
    <w:rsid w:val="008E74F7"/>
    <w:rsid w:val="009041AE"/>
    <w:rsid w:val="00926A3C"/>
    <w:rsid w:val="00946B15"/>
    <w:rsid w:val="009679E7"/>
    <w:rsid w:val="00973F68"/>
    <w:rsid w:val="009E1915"/>
    <w:rsid w:val="009E4148"/>
    <w:rsid w:val="009F1AE3"/>
    <w:rsid w:val="00A20E9D"/>
    <w:rsid w:val="00A23E40"/>
    <w:rsid w:val="00A272B2"/>
    <w:rsid w:val="00A44608"/>
    <w:rsid w:val="00A50553"/>
    <w:rsid w:val="00A51688"/>
    <w:rsid w:val="00A96C92"/>
    <w:rsid w:val="00AA61BE"/>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B4F20"/>
    <w:rsid w:val="00ED2D14"/>
    <w:rsid w:val="00ED76AC"/>
    <w:rsid w:val="00EE6F0B"/>
    <w:rsid w:val="00EF2BEB"/>
    <w:rsid w:val="00F104CA"/>
    <w:rsid w:val="00F2608E"/>
    <w:rsid w:val="00F26C84"/>
    <w:rsid w:val="00F34524"/>
    <w:rsid w:val="00F41BE1"/>
    <w:rsid w:val="00F65006"/>
    <w:rsid w:val="00F733BE"/>
    <w:rsid w:val="00F73CD8"/>
    <w:rsid w:val="00F83C17"/>
    <w:rsid w:val="00F96D7F"/>
    <w:rsid w:val="00FC43EF"/>
    <w:rsid w:val="00FC456F"/>
    <w:rsid w:val="00FD7901"/>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8E74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bg/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bg/our-work/opinions-information-reports/opinions/single-market-strategy" TargetMode="External"/><Relationship Id="rId42" Type="http://schemas.openxmlformats.org/officeDocument/2006/relationships/hyperlink" Target="https://www.eesc.europa.eu/bg/our-work/opinions-information-reports/opinions/amendment-deforestation-regulation-eu-20231115" TargetMode="External"/><Relationship Id="rId47" Type="http://schemas.openxmlformats.org/officeDocument/2006/relationships/hyperlink" Target="https://www.eesc.europa.eu/bg/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bg/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bg/our-work/opinions-information-reports/opinions/labour-rights-journalists-and-media-professionals-safeguard-independence-and-truthful-information" TargetMode="External"/><Relationship Id="rId32" Type="http://schemas.openxmlformats.org/officeDocument/2006/relationships/hyperlink" Target="https://www.eesc.europa.eu/bg/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bg/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bg/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bg/our-work/opinions-information-reports/opinions/co2-emission-class-heavy-duty-vehicles-trailers-0" TargetMode="External"/><Relationship Id="rId36" Type="http://schemas.openxmlformats.org/officeDocument/2006/relationships/hyperlink" Target="https://www.eesc.europa.eu/bg/our-work/opinions-information-reports/opinions/report-competition-policy-2024" TargetMode="External"/><Relationship Id="rId49" Type="http://schemas.openxmlformats.org/officeDocument/2006/relationships/hyperlink" Target="https://www.eesc.europa.eu/bg/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bg/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bg/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bg/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bg/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BG/TXT/?uri=CELEX:52021AE5690" TargetMode="External"/><Relationship Id="rId3" Type="http://schemas.openxmlformats.org/officeDocument/2006/relationships/hyperlink" Target="https://digital-strategy.ec.europa.eu/bg/library/recommendation-protection-safety-and-empowerment-journalists" TargetMode="External"/><Relationship Id="rId7" Type="http://schemas.openxmlformats.org/officeDocument/2006/relationships/hyperlink" Target="https://www.eesc.europa.eu/bg/our-work/opinions-information-reports/opinions/minimising-risk-deforestation-and-forest-degradation-associated-products-placed-eu-market" TargetMode="External"/><Relationship Id="rId2" Type="http://schemas.openxmlformats.org/officeDocument/2006/relationships/hyperlink" Target="https://eur-lex.europa.eu/legal-content/BG/TXT/?uri=CELEX%3A52022XC0930%2802%29" TargetMode="External"/><Relationship Id="rId1" Type="http://schemas.openxmlformats.org/officeDocument/2006/relationships/hyperlink" Target="https://eur-lex.europa.eu/legal-content/BG/TXT/?uri=legissum:4623532" TargetMode="External"/><Relationship Id="rId6" Type="http://schemas.openxmlformats.org/officeDocument/2006/relationships/hyperlink" Target="https://eur-lex.europa.eu/legal-content/BG/TXT/?uri=OJ:C_202406882" TargetMode="External"/><Relationship Id="rId5" Type="http://schemas.openxmlformats.org/officeDocument/2006/relationships/hyperlink" Target="https://www.eesc.europa.eu/bg/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A6WAAD5KZT2Q-284857674-6437</_dlc_DocId>
    <_dlc_DocIdUrl xmlns="1a33af13-4045-4f88-9d7b-618e30f79918">
      <Url>http://dm/eesc/2025/_layouts/15/DocIdRedir.aspx?ID=A6WAAD5KZT2Q-284857674-6437</Url>
      <Description>A6WAAD5KZT2Q-284857674-6437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2025-12-22T12:00:00+00:00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Ilieva Albena</DisplayName>
        <AccountId>1595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E3B356A3-2E73-4047-9BC7-DA0639A217F4}"/>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7178</Words>
  <Characters>40917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- 601-ва пленарна сесия - декември 2025 г.</dc:title>
  <dc:subject>ADMIN</dc:subject>
  <dc:creator/>
  <cp:keywords>COR-EESC-2022-02583-00-00-ADMIN-TRA-EN</cp:keywords>
  <dc:description>Rapporteur:  - Original language: EN - Date of document: 20/05/2022 - Date of meeting:  - External documents:  - Administrator:  SUCIU Serban</dc:description>
  <cp:lastModifiedBy/>
  <cp:revision>5</cp:revision>
  <dcterms:created xsi:type="dcterms:W3CDTF">2025-12-18T12:59:00Z</dcterms:created>
  <dcterms:modified xsi:type="dcterms:W3CDTF">2025-12-22T09:23:00Z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39350163-85fd-4146-a6e0-f95ade368d76</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30;#LT|a7ff5ce7-6123-4f68-865a-a57c31810414;#67;#SPL-CES|32d8cb1f-c9ec-4365-95c7-8385a18618ac;#28;#SV|c2ed69e7-a339-43d7-8f22-d93680a92aa0;#27;#NL|55c6556c-b4f4-441d-9acf-c498d4f838bd;#50;#HR|2f555653-ed1a-4fe6-8362-9082d95989e5;#19;#TCD|cd9d6eb6-3f4f-424a-b2d1-57c9d450eaaf;#16;#ES|e7a6b05b-ae16-40c8-add9-68b64b03aeba;#15;#Unrestricted|826e22d7-d029-4ec0-a450-0c28ff673572;#13;#TRA|150d2a88-1431-44e6-a8ca-0bb753ab8672;#12;#FR|d2afafd3-4c81-4f60-8f52-ee33f2f54ff3;#8;#Final|ea5e6674-7b27-4bac-b091-73adbb394efe;#36;#RO|feb747a2-64cd-4299-af12-4833ddc30497;#5;#EN|f2175f21-25d7-44a3-96da-d6a61b075e1b;#41;#ET|ff6c3f4c-b02c-4c3c-ab07-2c37995a7a0a;#40;#DA|5d49c027-8956-412b-aa16-e85a0f96ad0e;#39;#LV|46f7e311-5d9f-4663-b433-18aeccb7ace7;#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47;#BG|1a1b3951-7821-4e6a-85f5-5673fc08bd2c</vt:lpwstr>
  </property>
  <property fmtid="{D5CDD505-2E9C-101B-9397-08002B2CF9AE}" pid="33" name="AvailableTranslations_0">
    <vt:lpwstr>LT|a7ff5ce7-6123-4f68-865a-a57c31810414;SV|c2ed69e7-a339-43d7-8f22-d93680a92aa0;NL|55c6556c-b4f4-441d-9acf-c498d4f838bd;ET|ff6c3f4c-b02c-4c3c-ab07-2c37995a7a0a;EN|f2175f21-25d7-44a3-96da-d6a61b075e1b;FI|87606a43-d45f-42d6-b8c9-e1a3457db5b7;LV|46f7e311-5d9f-4663-b433-18aeccb7ace7;DA|5d49c027-8956-412b-aa16-e85a0f96ad0e;EL|6d4f4d51-af9b-4650-94b4-4276bee85c91;IT|0774613c-01ed-4e5d-a25d-11d2388de825;FR|d2afafd3-4c81-4f60-8f52-ee33f2f54ff3;HR|2f555653-ed1a-4fe6-8362-9082d95989e5;SL|98a412ae-eb01-49e9-ae3d-585a81724cfc;HU|6b229040-c589-4408-b4c1-4285663d20a8;RO|feb747a2-64cd-4299-af12-4833ddc30497;ES|e7a6b05b-ae16-40c8-add9-68b64b03aeba;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