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0015330A" w:rsidP="0015330A" w:rsidRDefault="00284B50" w14:paraId="02555730" w14:textId="1F5008F1">
      <w:pPr>
        <w:jc w:val="right"/>
        <w:rPr>
          <w:b/>
        </w:rPr>
      </w:pPr>
      <w:r>
        <w:rPr>
          <w:b/>
        </w:rPr>
        <w:t>ECO</w:t>
      </w:r>
      <w:r w:rsidRPr="0082636E" w:rsidR="0015330A">
        <w:rPr>
          <w:b/>
        </w:rPr>
        <w:t>/</w:t>
      </w:r>
      <w:r>
        <w:rPr>
          <w:b/>
        </w:rPr>
        <w:t>6</w:t>
      </w:r>
      <w:r w:rsidR="00B2153B">
        <w:rPr>
          <w:b/>
        </w:rPr>
        <w:t>8</w:t>
      </w:r>
      <w:r w:rsidR="008F11E9">
        <w:rPr>
          <w:b/>
        </w:rPr>
        <w:t>3</w:t>
      </w:r>
    </w:p>
    <w:p w:rsidRPr="00B2153B" w:rsidR="00B2153B" w:rsidP="00B2153B" w:rsidRDefault="00B2153B" w14:paraId="22B4BCF5" w14:textId="77777777">
      <w:pPr>
        <w:jc w:val="right"/>
        <w:rPr>
          <w:b/>
          <w:bCs/>
        </w:rPr>
      </w:pPr>
      <w:r w:rsidRPr="00B2153B">
        <w:rPr>
          <w:b/>
          <w:bCs/>
        </w:rPr>
        <w:t>EU Fund for cohesion, agriculture and rural,</w:t>
      </w:r>
    </w:p>
    <w:p w:rsidRPr="009122E7" w:rsidR="009122E7" w:rsidP="00B2153B" w:rsidRDefault="00B2153B" w14:paraId="60937E90" w14:textId="0AC1CBF3">
      <w:pPr>
        <w:jc w:val="right"/>
        <w:rPr>
          <w:b/>
          <w:bCs/>
        </w:rPr>
      </w:pPr>
      <w:r w:rsidRPr="00B2153B">
        <w:rPr>
          <w:b/>
          <w:bCs/>
        </w:rPr>
        <w:t>fisheries and maritime, prosperity and security</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BE44A09">
      <w:pPr>
        <w:jc w:val="right"/>
      </w:pPr>
      <w:r w:rsidRPr="00A67235">
        <w:t xml:space="preserve">Brussels, </w:t>
      </w:r>
      <w:r w:rsidR="0060093D">
        <w:t>22</w:t>
      </w:r>
      <w:r w:rsidR="00A70F44">
        <w:t xml:space="preserve"> </w:t>
      </w:r>
      <w:r w:rsidR="008F11E9">
        <w:t>J</w:t>
      </w:r>
      <w:r w:rsidR="00B2153B">
        <w:t>anuary</w:t>
      </w:r>
      <w:r w:rsidR="00A70F44">
        <w:t xml:space="preserve"> 202</w:t>
      </w:r>
      <w:r w:rsidR="00B2153B">
        <w:t>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B2153B" w:rsidR="00B2153B" w:rsidP="00B2153B" w:rsidRDefault="00964A13" w14:paraId="2D822368" w14:textId="77777777">
      <w:pPr>
        <w:jc w:val="center"/>
        <w:rPr>
          <w:b/>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B2153B" w:rsidR="00B2153B">
        <w:rPr>
          <w:b/>
        </w:rPr>
        <w:t>Proposal for a Regulation of the European Parliament and of the Council establishing the European Fund for economic, social and territorial cohesion, agriculture and rural, fisheries and maritime, prosperity and security for the period 2028-2034 and amending Regulation (EU) 2023/955 and Regulation (EU, Euratom) 2024/2509</w:t>
      </w:r>
    </w:p>
    <w:p w:rsidRPr="00B2153B" w:rsidR="00964A13" w:rsidP="00B2153B" w:rsidRDefault="00DA2445" w14:paraId="1CA7DBC6" w14:textId="46310FB5">
      <w:pPr>
        <w:jc w:val="center"/>
        <w:rPr>
          <w:bCs/>
        </w:rPr>
      </w:pPr>
      <w:r>
        <w:rPr>
          <w:bCs/>
        </w:rPr>
        <w:t>[</w:t>
      </w:r>
      <w:r w:rsidRPr="00B2153B" w:rsidR="00B2153B">
        <w:rPr>
          <w:bCs/>
        </w:rPr>
        <w:t>COM(2025) 565 final - 2025/0240 (COD)</w:t>
      </w:r>
      <w:r>
        <w:rPr>
          <w:bCs/>
        </w:rPr>
        <w:t>]</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B2153B" w14:paraId="0FA745B1" w14:textId="61BDCEE4">
      <w:pPr>
        <w:jc w:val="center"/>
        <w:rPr>
          <w:bCs/>
        </w:rPr>
      </w:pPr>
      <w:r>
        <w:t>602nd</w:t>
      </w:r>
      <w:r w:rsidR="00655B4A">
        <w:t xml:space="preserve"> </w:t>
      </w:r>
      <w:r w:rsidR="0015330A">
        <w:t>plenary session</w:t>
      </w:r>
      <w:r w:rsidR="009E138D">
        <w:br/>
      </w:r>
      <w:r w:rsidR="009E138D">
        <w:rPr>
          <w:bCs/>
        </w:rPr>
        <w:br/>
      </w:r>
      <w:r w:rsidRPr="00A67235" w:rsidR="00964A13">
        <w:rPr>
          <w:bCs/>
        </w:rPr>
        <w:t>Brussels</w:t>
      </w:r>
      <w:r w:rsidR="009E138D">
        <w:rPr>
          <w:bCs/>
        </w:rPr>
        <w:br/>
      </w:r>
      <w:r w:rsidRPr="0060093D">
        <w:rPr>
          <w:bCs/>
        </w:rPr>
        <w:t>21</w:t>
      </w:r>
      <w:r w:rsidRPr="0060093D" w:rsidR="00C240C5">
        <w:rPr>
          <w:bCs/>
        </w:rPr>
        <w:t>-</w:t>
      </w:r>
      <w:r w:rsidRPr="0060093D">
        <w:rPr>
          <w:bCs/>
        </w:rPr>
        <w:t>22</w:t>
      </w:r>
      <w:r w:rsidR="00A70F44">
        <w:rPr>
          <w:bCs/>
        </w:rPr>
        <w:t xml:space="preserve"> </w:t>
      </w:r>
      <w:r w:rsidR="008F11E9">
        <w:rPr>
          <w:bCs/>
        </w:rPr>
        <w:t>J</w:t>
      </w:r>
      <w:r>
        <w:rPr>
          <w:bCs/>
        </w:rPr>
        <w:t>anuary</w:t>
      </w:r>
      <w:r w:rsidR="00DB76EB">
        <w:rPr>
          <w:bCs/>
        </w:rPr>
        <w:t xml:space="preserve"> 202</w:t>
      </w:r>
      <w:r>
        <w:rPr>
          <w:bCs/>
        </w:rPr>
        <w:t>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60D7B845">
      <w:pPr>
        <w:jc w:val="center"/>
      </w:pPr>
      <w:r w:rsidRPr="00A70F44">
        <w:t xml:space="preserve">Meeting of </w:t>
      </w:r>
      <w:r w:rsidR="0060093D">
        <w:t>22</w:t>
      </w:r>
      <w:r w:rsidRPr="00A70F44" w:rsidR="00657235">
        <w:t xml:space="preserve"> </w:t>
      </w:r>
      <w:r w:rsidR="008F11E9">
        <w:t>J</w:t>
      </w:r>
      <w:r w:rsidR="00B2153B">
        <w:t>anuary</w:t>
      </w:r>
      <w:r w:rsidRPr="00A70F44" w:rsidR="009E138D">
        <w:br/>
      </w:r>
      <w:r w:rsidRPr="00A70F44">
        <w:rPr>
          <w:bCs/>
        </w:rPr>
        <w:t>_____________</w:t>
      </w:r>
    </w:p>
    <w:p w:rsidRPr="00A67235" w:rsidR="00964A13" w:rsidP="00EC0F0F" w:rsidRDefault="00964A13" w14:paraId="57F8546B" w14:textId="77777777">
      <w:pPr>
        <w:jc w:val="center"/>
      </w:pPr>
    </w:p>
    <w:p w:rsidRPr="00A67235" w:rsidR="00964A13" w:rsidP="00EC0F0F" w:rsidRDefault="00964A13" w14:paraId="6CCB63EF" w14:textId="090429B2">
      <w:pPr>
        <w:pStyle w:val="Footer"/>
        <w:jc w:val="center"/>
      </w:pPr>
      <w:r w:rsidRPr="00A67235">
        <w:t>Agenda item</w:t>
      </w:r>
      <w:r w:rsidR="00177DAC">
        <w:t xml:space="preserve"> </w:t>
      </w:r>
      <w:r w:rsidR="0060093D">
        <w:t>17</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000E4B6B" w:rsidP="00EC0F0F" w:rsidRDefault="00964A13" w14:paraId="1461B587" w14:textId="1215963D">
      <w:r w:rsidRPr="00A67235">
        <w:rPr>
          <w:b/>
          <w:bCs/>
        </w:rPr>
        <w:br w:type="page"/>
      </w:r>
      <w:r w:rsidRPr="0060093D" w:rsidR="000E4B6B">
        <w:rPr>
          <w:b/>
          <w:bCs/>
        </w:rPr>
        <w:lastRenderedPageBreak/>
        <w:t>The president</w:t>
      </w:r>
      <w:r w:rsidRPr="00A67235" w:rsidR="000E4B6B">
        <w:rPr>
          <w:b/>
          <w:bCs/>
        </w:rPr>
        <w:t xml:space="preserve"> </w:t>
      </w:r>
      <w:r w:rsidRPr="00A67235" w:rsidR="000E4B6B">
        <w:t xml:space="preserve">moved that the Committee turn to agenda item </w:t>
      </w:r>
      <w:r w:rsidR="0060093D">
        <w:t>17</w:t>
      </w:r>
      <w:r w:rsidRPr="00A67235" w:rsidR="000E4B6B">
        <w:t xml:space="preserve"> - adoption of an </w:t>
      </w:r>
      <w:r w:rsidRPr="00CE366C" w:rsidR="00CE366C">
        <w:t xml:space="preserve">opinion </w:t>
      </w:r>
      <w:r w:rsidRPr="00A67235" w:rsidR="000E4B6B">
        <w:t xml:space="preserve">on </w:t>
      </w:r>
      <w:r w:rsidR="004459F8">
        <w:t xml:space="preserve">the </w:t>
      </w:r>
    </w:p>
    <w:p w:rsidR="002B0DA2" w:rsidP="004459F8" w:rsidRDefault="002B0DA2" w14:paraId="1BDAC295" w14:textId="77777777">
      <w:pPr>
        <w:ind w:left="426" w:hanging="426"/>
      </w:pPr>
    </w:p>
    <w:p w:rsidRPr="00B2153B" w:rsidR="00B2153B" w:rsidP="00BD38A4" w:rsidRDefault="00B2153B" w14:paraId="1CB0D6BD" w14:textId="77777777">
      <w:pPr>
        <w:ind w:left="1418"/>
        <w:rPr>
          <w:i/>
          <w:iCs/>
        </w:rPr>
      </w:pPr>
      <w:r w:rsidRPr="00B2153B">
        <w:rPr>
          <w:i/>
          <w:iCs/>
        </w:rPr>
        <w:t>Proposal for a Regulation of the European Parliament and of the Council establishing the European Fund for economic, social and territorial cohesion, agriculture and rural, fisheries and maritime, prosperity and security for the period 2028-2034 and amending Regulation (EU) 2023/955 and Regulation (EU, Euratom) 2024/2509</w:t>
      </w:r>
    </w:p>
    <w:p w:rsidRPr="00B2153B" w:rsidR="000E4B6B" w:rsidP="00B2153B" w:rsidRDefault="00B2153B" w14:paraId="7B740915" w14:textId="6442D36C">
      <w:pPr>
        <w:ind w:left="1418"/>
        <w:jc w:val="left"/>
      </w:pPr>
      <w:r w:rsidRPr="00B2153B">
        <w:t>COM(2025) 565 final - 2025/0240 (COD)</w:t>
      </w:r>
    </w:p>
    <w:p w:rsidRPr="00AD7FA9" w:rsidR="00AD7FA9" w:rsidP="00AD7FA9" w:rsidRDefault="00AD7FA9" w14:paraId="0423B3CB" w14:textId="77777777">
      <w:pPr>
        <w:ind w:left="1418"/>
        <w:jc w:val="left"/>
        <w:rPr>
          <w:i/>
          <w:iCs/>
        </w:rPr>
      </w:pPr>
    </w:p>
    <w:p w:rsidRPr="00A67235" w:rsidR="000E4B6B" w:rsidP="00EC0F0F" w:rsidRDefault="000E4B6B" w14:paraId="2D8D7685" w14:textId="419127DF">
      <w:r w:rsidRPr="00A67235">
        <w:t>The preliminary work had been carried out by the Section for</w:t>
      </w:r>
      <w:r w:rsidR="00C36D1E">
        <w:t xml:space="preserve"> </w:t>
      </w:r>
      <w:r w:rsidRPr="00C36D1E" w:rsidR="00C36D1E">
        <w:t xml:space="preserve">Economic and Monetary Union and Economic and Social Cohesion (president: </w:t>
      </w:r>
      <w:r w:rsidR="00B2153B">
        <w:rPr>
          <w:b/>
          <w:bCs/>
        </w:rPr>
        <w:t>Elena Calistru</w:t>
      </w:r>
      <w:r w:rsidRPr="00C36D1E" w:rsidR="00C36D1E">
        <w:t xml:space="preserve">). </w:t>
      </w:r>
      <w:r w:rsidRPr="00A67235">
        <w:t>The rapporteur was</w:t>
      </w:r>
      <w:r w:rsidRPr="00A67235">
        <w:rPr>
          <w:b/>
          <w:bCs/>
        </w:rPr>
        <w:t xml:space="preserve"> </w:t>
      </w:r>
      <w:r w:rsidR="00B2153B">
        <w:rPr>
          <w:b/>
          <w:bCs/>
        </w:rPr>
        <w:t>Florian Marin</w:t>
      </w:r>
      <w:r w:rsidR="00CE366C">
        <w:rPr>
          <w:b/>
          <w:bCs/>
        </w:rPr>
        <w:t xml:space="preserve"> </w:t>
      </w:r>
      <w:r w:rsidRPr="00CE366C" w:rsidR="00CE366C">
        <w:t>and the co-rapporteur was</w:t>
      </w:r>
      <w:r w:rsidR="00CE366C">
        <w:rPr>
          <w:b/>
          <w:bCs/>
        </w:rPr>
        <w:t xml:space="preserve"> </w:t>
      </w:r>
      <w:r w:rsidR="00B2153B">
        <w:rPr>
          <w:b/>
          <w:bCs/>
        </w:rPr>
        <w:t>David Sventek</w:t>
      </w:r>
      <w:r w:rsidR="00C36D1E">
        <w:rPr>
          <w:b/>
          <w:bCs/>
        </w:rPr>
        <w:t>.</w:t>
      </w:r>
    </w:p>
    <w:p w:rsidR="000E4B6B" w:rsidP="00EC0F0F" w:rsidRDefault="000E4B6B" w14:paraId="2708AAF4" w14:textId="72039D75"/>
    <w:p w:rsidR="00410EA4" w:rsidP="00410EA4" w:rsidRDefault="00410EA4" w14:paraId="42727319" w14:textId="1868A4FB">
      <w:r>
        <w:t>The rapporteur expressed its view tha</w:t>
      </w:r>
      <w:r w:rsidR="00BA69AE">
        <w:t xml:space="preserve">t </w:t>
      </w:r>
      <w:r w:rsidR="00B31CD1">
        <w:t>there is a war with narratives and cohesion policy is one of the most powerful weapons to fight.</w:t>
      </w:r>
      <w:r w:rsidR="009C01D3">
        <w:t xml:space="preserve"> </w:t>
      </w:r>
      <w:r w:rsidR="00B8529E">
        <w:t>H</w:t>
      </w:r>
      <w:r>
        <w:t>e also stressed that</w:t>
      </w:r>
      <w:r w:rsidR="00BA69AE">
        <w:t xml:space="preserve"> </w:t>
      </w:r>
      <w:r w:rsidR="00B31CD1">
        <w:t xml:space="preserve">we should not give more powers to the national governments and the civil society should be more involved. This is why we need for a civil society check. </w:t>
      </w:r>
      <w:r w:rsidR="009C01D3">
        <w:t>The co-rapporteur</w:t>
      </w:r>
      <w:r w:rsidR="00BA00CF">
        <w:t xml:space="preserve"> mentioned that</w:t>
      </w:r>
      <w:r w:rsidR="00BA69AE">
        <w:t xml:space="preserve"> </w:t>
      </w:r>
      <w:r w:rsidR="00B31CD1">
        <w:t xml:space="preserve">the simplification should not be at the price of cohesion and agriculture and the shared governance is important. </w:t>
      </w:r>
      <w:r w:rsidR="00B8529E">
        <w:t>H</w:t>
      </w:r>
      <w:r w:rsidR="00BA00CF">
        <w:t>e added that</w:t>
      </w:r>
      <w:r w:rsidR="00B31CD1">
        <w:t xml:space="preserve"> we need more and stronger accountability and participation of the civil society in the implementation of the programs. </w:t>
      </w:r>
    </w:p>
    <w:p w:rsidR="00410EA4" w:rsidP="00410EA4" w:rsidRDefault="00410EA4" w14:paraId="419E4CB5" w14:textId="77777777"/>
    <w:p w:rsidR="005E0AC9" w:rsidP="00410EA4" w:rsidRDefault="00410EA4" w14:paraId="27A65DDC" w14:textId="38F2D14C">
      <w:r>
        <w:t xml:space="preserve">The following members took the floor in the debate: </w:t>
      </w:r>
      <w:r w:rsidR="009A21EF">
        <w:rPr>
          <w:b/>
          <w:bCs/>
        </w:rPr>
        <w:t>Lidija Pavić-Rogošić</w:t>
      </w:r>
      <w:r w:rsidR="00B31CD1">
        <w:rPr>
          <w:b/>
          <w:bCs/>
        </w:rPr>
        <w:t xml:space="preserve">, Marc De Coster, Elena Calistru </w:t>
      </w:r>
      <w:r w:rsidRPr="009A21EF" w:rsidR="00B31CD1">
        <w:t>and</w:t>
      </w:r>
      <w:r w:rsidR="00B31CD1">
        <w:rPr>
          <w:b/>
          <w:bCs/>
        </w:rPr>
        <w:t xml:space="preserve"> </w:t>
      </w:r>
      <w:r w:rsidR="009A21EF">
        <w:rPr>
          <w:b/>
          <w:bCs/>
        </w:rPr>
        <w:t>Andris Gobiņš</w:t>
      </w:r>
      <w:r w:rsidR="00B31CD1">
        <w:rPr>
          <w:b/>
          <w:bCs/>
        </w:rPr>
        <w:t>.</w:t>
      </w:r>
      <w:r w:rsidRPr="00BA69AE" w:rsidR="00BA69AE">
        <w:rPr>
          <w:b/>
          <w:bCs/>
        </w:rPr>
        <w:t xml:space="preserve"> </w:t>
      </w:r>
      <w:r>
        <w:t>They welcomed the opinion and congratulated the rapporteur</w:t>
      </w:r>
      <w:r w:rsidR="00BA00CF">
        <w:t>s</w:t>
      </w:r>
      <w:r>
        <w:t xml:space="preserve"> for </w:t>
      </w:r>
      <w:r w:rsidR="00BA00CF">
        <w:t>their excellent work and added tha</w:t>
      </w:r>
      <w:r w:rsidR="00BA69AE">
        <w:t xml:space="preserve">t </w:t>
      </w:r>
      <w:r w:rsidR="00B31CD1">
        <w:t xml:space="preserve">rural development is in danger as there was not initially any specific envelope, they also stressed that there is need for further investments in the agricultural sector and that more attention should be paid to the LEADER and CLLD. </w:t>
      </w:r>
      <w:r w:rsidR="00A45E48">
        <w:t>Furthermore,</w:t>
      </w:r>
      <w:r w:rsidR="00381168">
        <w:t xml:space="preserve"> they ask for</w:t>
      </w:r>
      <w:r w:rsidR="00B31CD1">
        <w:t xml:space="preserve"> more active role of the civil society not in theory but in real terms.</w:t>
      </w:r>
    </w:p>
    <w:p w:rsidRPr="00A67235" w:rsidR="00410EA4" w:rsidP="00410EA4" w:rsidRDefault="00410EA4" w14:paraId="04EBB328" w14:textId="77777777"/>
    <w:p w:rsidR="00255A3F" w:rsidP="00255A3F" w:rsidRDefault="00255A3F" w14:paraId="5F7DD33C" w14:textId="7BF13E25">
      <w:r>
        <w:t>The Assembly then examined following amendment</w:t>
      </w:r>
      <w:r w:rsidR="00A11A21">
        <w:t>s</w:t>
      </w:r>
      <w:r>
        <w:t xml:space="preserve"> to the opinion:</w:t>
      </w:r>
    </w:p>
    <w:p w:rsidR="00EE54C7" w:rsidP="00255A3F" w:rsidRDefault="00EE54C7" w14:paraId="3E8A4A6A" w14:textId="77777777"/>
    <w:p w:rsidR="00EE54C7" w:rsidP="00255A3F" w:rsidRDefault="00EE54C7" w14:paraId="2EA12B75" w14:textId="79E918A4">
      <w:r w:rsidRPr="00573097">
        <w:rPr>
          <w:b/>
          <w:bCs/>
        </w:rPr>
        <w:t xml:space="preserve">Point </w:t>
      </w:r>
      <w:r w:rsidR="00B8529E">
        <w:rPr>
          <w:b/>
          <w:bCs/>
        </w:rPr>
        <w:t>1.19</w:t>
      </w:r>
      <w:r w:rsidRPr="00573097">
        <w:rPr>
          <w:b/>
          <w:bCs/>
        </w:rPr>
        <w:t xml:space="preserve"> - Amendment 1</w:t>
      </w:r>
      <w:r>
        <w:t xml:space="preserve"> - tabled by </w:t>
      </w:r>
      <w:r w:rsidRPr="00B8529E" w:rsidR="00B8529E">
        <w:t>Andris GOBIŅŠ</w:t>
      </w:r>
    </w:p>
    <w:p w:rsidR="00EE54C7" w:rsidP="00255A3F" w:rsidRDefault="00EE54C7" w14:paraId="79646F6C" w14:textId="5682A52C"/>
    <w:p w:rsidR="00EE54C7" w:rsidP="00255A3F" w:rsidRDefault="00EE54C7" w14:paraId="6D076C30" w14:textId="388727A0">
      <w:r>
        <w:t>Amend as follows</w:t>
      </w:r>
      <w:r w:rsidR="006039C7">
        <w:t>:</w:t>
      </w:r>
    </w:p>
    <w:p w:rsidR="00EA2E07" w:rsidP="00255A3F" w:rsidRDefault="00EA2E07" w14:paraId="3407F9B8"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37505C" w:rsidR="00EA2E07" w:rsidTr="00050C8C" w14:paraId="52CFE79E" w14:textId="77777777">
        <w:tc>
          <w:tcPr>
            <w:tcW w:w="2500" w:type="pct"/>
            <w:tcBorders>
              <w:top w:val="single" w:color="auto" w:sz="4" w:space="0"/>
              <w:left w:val="single" w:color="auto" w:sz="4" w:space="0"/>
              <w:bottom w:val="single" w:color="auto" w:sz="4" w:space="0"/>
              <w:right w:val="single" w:color="auto" w:sz="4" w:space="0"/>
            </w:tcBorders>
            <w:hideMark/>
          </w:tcPr>
          <w:p w:rsidRPr="0037505C" w:rsidR="00EA2E07" w:rsidP="00050C8C" w:rsidRDefault="00EA2E07" w14:paraId="373FBC7C" w14:textId="77777777">
            <w:pPr>
              <w:jc w:val="center"/>
              <w:rPr>
                <w:b/>
                <w:bCs/>
                <w:i/>
              </w:rPr>
            </w:pPr>
            <w:r w:rsidRPr="0037505C">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37505C" w:rsidR="00EA2E07" w:rsidP="00050C8C" w:rsidRDefault="00EA2E07" w14:paraId="232EBB30" w14:textId="77777777">
            <w:pPr>
              <w:jc w:val="center"/>
              <w:rPr>
                <w:b/>
                <w:bCs/>
                <w:i/>
              </w:rPr>
            </w:pPr>
            <w:r w:rsidRPr="0037505C">
              <w:rPr>
                <w:b/>
                <w:bCs/>
                <w:i/>
              </w:rPr>
              <w:t>Amendment</w:t>
            </w:r>
          </w:p>
        </w:tc>
      </w:tr>
      <w:tr w:rsidRPr="0037505C" w:rsidR="00B8529E" w:rsidTr="00050C8C" w14:paraId="570F947F" w14:textId="77777777">
        <w:tc>
          <w:tcPr>
            <w:tcW w:w="2500" w:type="pct"/>
            <w:tcBorders>
              <w:top w:val="single" w:color="auto" w:sz="4" w:space="0"/>
              <w:left w:val="single" w:color="auto" w:sz="4" w:space="0"/>
              <w:bottom w:val="single" w:color="auto" w:sz="4" w:space="0"/>
              <w:right w:val="single" w:color="auto" w:sz="4" w:space="0"/>
            </w:tcBorders>
            <w:hideMark/>
          </w:tcPr>
          <w:p w:rsidRPr="0037505C" w:rsidR="00B8529E" w:rsidP="00B8529E" w:rsidRDefault="00B8529E" w14:paraId="0CF587AC" w14:textId="1AC4AC7F">
            <w:pPr>
              <w:spacing w:before="80" w:after="80"/>
              <w:ind w:left="80" w:right="80"/>
            </w:pPr>
            <w:r w:rsidRPr="007A53F1">
              <w:t>recommends establishing a monitoring committee at national and regional level for each management authority, and that monitoring committees meet at least twice a year and be involved in decisions on transfers between chapters and the development of the implementation process;</w:t>
            </w:r>
          </w:p>
        </w:tc>
        <w:tc>
          <w:tcPr>
            <w:tcW w:w="2500" w:type="pct"/>
            <w:tcBorders>
              <w:top w:val="single" w:color="auto" w:sz="4" w:space="0"/>
              <w:left w:val="single" w:color="auto" w:sz="4" w:space="0"/>
              <w:bottom w:val="single" w:color="auto" w:sz="4" w:space="0"/>
              <w:right w:val="single" w:color="auto" w:sz="4" w:space="0"/>
            </w:tcBorders>
            <w:hideMark/>
          </w:tcPr>
          <w:p w:rsidRPr="0037505C" w:rsidR="00B8529E" w:rsidP="00B8529E" w:rsidRDefault="00B8529E" w14:paraId="42627AD8" w14:textId="386F6137">
            <w:pPr>
              <w:spacing w:before="80" w:after="80"/>
              <w:ind w:left="80" w:right="80"/>
            </w:pPr>
            <w:r w:rsidRPr="007A53F1">
              <w:t xml:space="preserve">recommends establishing a monitoring committee at national </w:t>
            </w:r>
            <w:r w:rsidRPr="007A53F1">
              <w:rPr>
                <w:b/>
                <w:bCs/>
                <w:i/>
              </w:rPr>
              <w:t>level</w:t>
            </w:r>
            <w:r w:rsidRPr="007A53F1">
              <w:t xml:space="preserve"> </w:t>
            </w:r>
            <w:r w:rsidRPr="00382E13">
              <w:t>and</w:t>
            </w:r>
            <w:r w:rsidRPr="007A53F1">
              <w:t xml:space="preserve"> </w:t>
            </w:r>
            <w:r w:rsidRPr="007A53F1">
              <w:rPr>
                <w:b/>
                <w:bCs/>
                <w:i/>
              </w:rPr>
              <w:t>for regionalized Member States also on</w:t>
            </w:r>
            <w:r w:rsidRPr="007A53F1">
              <w:t xml:space="preserve"> regional level for each management authority, and that monitoring committees meet at least twice a year and be involved in decisions on transfers between chapters and the development of the implementation process;</w:t>
            </w:r>
          </w:p>
        </w:tc>
      </w:tr>
    </w:tbl>
    <w:p w:rsidR="00EE54C7" w:rsidP="00255A3F" w:rsidRDefault="00EE54C7" w14:paraId="11FBC0FD" w14:textId="1BF46827"/>
    <w:p w:rsidR="004A2A4D" w:rsidP="004A2A4D" w:rsidRDefault="00410EA4" w14:paraId="1EE246AB" w14:textId="1460D5F4">
      <w:pPr>
        <w:rPr>
          <w:rFonts w:ascii="Calibri" w:hAnsi="Calibri" w:cs="Calibri"/>
        </w:rPr>
      </w:pPr>
      <w:r w:rsidRPr="00AF359B">
        <w:t xml:space="preserve">The amendment </w:t>
      </w:r>
      <w:r w:rsidR="00857CB5">
        <w:t>w</w:t>
      </w:r>
      <w:r w:rsidR="006039C7">
        <w:t>as</w:t>
      </w:r>
      <w:r w:rsidRPr="00AF359B" w:rsidR="00857CB5">
        <w:t xml:space="preserve"> </w:t>
      </w:r>
      <w:r w:rsidRPr="00AF359B">
        <w:t>accepted by the rapporteur</w:t>
      </w:r>
      <w:r w:rsidR="006039C7">
        <w:t>s</w:t>
      </w:r>
      <w:r w:rsidRPr="00AF359B">
        <w:t xml:space="preserve"> and by the Assembly</w:t>
      </w:r>
      <w:r>
        <w:t>.</w:t>
      </w:r>
    </w:p>
    <w:p w:rsidR="00EA2E07" w:rsidP="00EA2E07" w:rsidRDefault="00EA2E07" w14:paraId="260BF282" w14:textId="77777777">
      <w:pPr>
        <w:rPr>
          <w:b/>
          <w:bCs/>
        </w:rPr>
      </w:pPr>
    </w:p>
    <w:p w:rsidR="009A21EF" w:rsidRDefault="009A21EF" w14:paraId="2ED7AD51" w14:textId="77777777">
      <w:pPr>
        <w:spacing w:line="240" w:lineRule="auto"/>
        <w:jc w:val="left"/>
        <w:rPr>
          <w:b/>
          <w:bCs/>
        </w:rPr>
      </w:pPr>
      <w:r>
        <w:rPr>
          <w:b/>
          <w:bCs/>
        </w:rPr>
        <w:br w:type="page"/>
      </w:r>
    </w:p>
    <w:p w:rsidR="00EA2E07" w:rsidP="00EA2E07" w:rsidRDefault="00EA2E07" w14:paraId="1001BE7E" w14:textId="2CF42FBA">
      <w:r w:rsidRPr="00573097">
        <w:rPr>
          <w:b/>
          <w:bCs/>
        </w:rPr>
        <w:t xml:space="preserve">Point </w:t>
      </w:r>
      <w:r w:rsidR="00B8529E">
        <w:rPr>
          <w:b/>
          <w:bCs/>
        </w:rPr>
        <w:t>1.26</w:t>
      </w:r>
      <w:r w:rsidRPr="00573097">
        <w:rPr>
          <w:b/>
          <w:bCs/>
        </w:rPr>
        <w:t xml:space="preserve"> - Amendment </w:t>
      </w:r>
      <w:r>
        <w:rPr>
          <w:b/>
          <w:bCs/>
        </w:rPr>
        <w:t>2</w:t>
      </w:r>
      <w:r>
        <w:t xml:space="preserve"> - tabled by </w:t>
      </w:r>
      <w:r w:rsidRPr="00B8529E" w:rsidR="00B8529E">
        <w:t>tabled by Andris GOBIŅŠ</w:t>
      </w:r>
    </w:p>
    <w:p w:rsidR="00EA2E07" w:rsidP="00EA2E07" w:rsidRDefault="00EA2E07" w14:paraId="2DF5AF55" w14:textId="77777777"/>
    <w:p w:rsidR="00EA2E07" w:rsidP="00EA2E07" w:rsidRDefault="00EA2E07" w14:paraId="45541543" w14:textId="77777777">
      <w:r>
        <w:t>Amend as follows:</w:t>
      </w:r>
    </w:p>
    <w:p w:rsidR="00EA2E07" w:rsidP="00EA2E07" w:rsidRDefault="00EA2E07" w14:paraId="45C08CD2"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37505C" w:rsidR="00EA2E07" w:rsidTr="00050C8C" w14:paraId="57A1C592" w14:textId="77777777">
        <w:tc>
          <w:tcPr>
            <w:tcW w:w="2500" w:type="pct"/>
            <w:tcBorders>
              <w:top w:val="single" w:color="auto" w:sz="4" w:space="0"/>
              <w:left w:val="single" w:color="auto" w:sz="4" w:space="0"/>
              <w:bottom w:val="single" w:color="auto" w:sz="4" w:space="0"/>
              <w:right w:val="single" w:color="auto" w:sz="4" w:space="0"/>
            </w:tcBorders>
            <w:hideMark/>
          </w:tcPr>
          <w:p w:rsidRPr="0037505C" w:rsidR="00EA2E07" w:rsidP="00050C8C" w:rsidRDefault="00EA2E07" w14:paraId="340F6C34" w14:textId="77777777">
            <w:pPr>
              <w:jc w:val="center"/>
              <w:rPr>
                <w:b/>
                <w:bCs/>
                <w:i/>
              </w:rPr>
            </w:pPr>
            <w:r w:rsidRPr="0037505C">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37505C" w:rsidR="00EA2E07" w:rsidP="00050C8C" w:rsidRDefault="00EA2E07" w14:paraId="4EB6D8A3" w14:textId="77777777">
            <w:pPr>
              <w:jc w:val="center"/>
              <w:rPr>
                <w:b/>
                <w:bCs/>
                <w:i/>
              </w:rPr>
            </w:pPr>
            <w:r w:rsidRPr="0037505C">
              <w:rPr>
                <w:b/>
                <w:bCs/>
                <w:i/>
              </w:rPr>
              <w:t>Amendment</w:t>
            </w:r>
          </w:p>
        </w:tc>
      </w:tr>
      <w:tr w:rsidRPr="0037505C" w:rsidR="00B8529E" w:rsidTr="00050C8C" w14:paraId="42D1F3D4" w14:textId="77777777">
        <w:tc>
          <w:tcPr>
            <w:tcW w:w="2500" w:type="pct"/>
            <w:tcBorders>
              <w:top w:val="single" w:color="auto" w:sz="4" w:space="0"/>
              <w:left w:val="single" w:color="auto" w:sz="4" w:space="0"/>
              <w:bottom w:val="single" w:color="auto" w:sz="4" w:space="0"/>
              <w:right w:val="single" w:color="auto" w:sz="4" w:space="0"/>
            </w:tcBorders>
            <w:hideMark/>
          </w:tcPr>
          <w:p w:rsidRPr="0037505C" w:rsidR="00B8529E" w:rsidP="005E4FE1" w:rsidRDefault="00B8529E" w14:paraId="6967D4A3" w14:textId="176FCFE3">
            <w:pPr>
              <w:spacing w:before="40" w:after="80"/>
              <w:ind w:right="79"/>
            </w:pPr>
            <w:r w:rsidRPr="007A53F1">
              <w:t>requests that the Commission explain clearly the method of making allocations to the Member States, especially changes in volume between programming periods, and that it promote the critical priorities in order not to create competition between various priorities at the Member State level, since instruments such as the current ERDF need to be better illustrated in the proposal</w:t>
            </w:r>
            <w:r w:rsidRPr="005E4FE1">
              <w:rPr>
                <w:b/>
                <w:bCs/>
                <w:i/>
              </w:rPr>
              <w:t>;</w:t>
            </w:r>
          </w:p>
        </w:tc>
        <w:tc>
          <w:tcPr>
            <w:tcW w:w="2500" w:type="pct"/>
            <w:tcBorders>
              <w:top w:val="single" w:color="auto" w:sz="4" w:space="0"/>
              <w:left w:val="single" w:color="auto" w:sz="4" w:space="0"/>
              <w:bottom w:val="single" w:color="auto" w:sz="4" w:space="0"/>
              <w:right w:val="single" w:color="auto" w:sz="4" w:space="0"/>
            </w:tcBorders>
            <w:hideMark/>
          </w:tcPr>
          <w:p w:rsidRPr="0037505C" w:rsidR="00B8529E" w:rsidP="005E4FE1" w:rsidRDefault="00B8529E" w14:paraId="5FEA83DF" w14:textId="4DC1F34B">
            <w:pPr>
              <w:spacing w:before="40" w:after="80"/>
              <w:ind w:right="79"/>
            </w:pPr>
            <w:r w:rsidRPr="007A53F1">
              <w:t xml:space="preserve">requests that the Commission explain clearly the method of making allocations to the Member States, especially changes in volume between programming periods, and that it promote the critical priorities in order not to create competition between various priorities at the Member State level, since instruments such as the current ERDF </w:t>
            </w:r>
            <w:r w:rsidRPr="005E4FE1">
              <w:rPr>
                <w:b/>
                <w:bCs/>
                <w:i/>
              </w:rPr>
              <w:t>or Common Fisheries Policy</w:t>
            </w:r>
            <w:r w:rsidRPr="007A53F1">
              <w:t xml:space="preserve"> need to be better illustrated in the proposal</w:t>
            </w:r>
            <w:r w:rsidRPr="005E4FE1">
              <w:rPr>
                <w:b/>
                <w:bCs/>
                <w:i/>
              </w:rPr>
              <w:t>. Calls on the Commission to establish a mechanism for allocation of NRPP budget among the Member States that ensures fairness and reduces disparities in agricultural payment levels, by providing additional CAP support to those with greatest needs — such as lower direct payments, higher poverty risks, or lower GNI per capita.</w:t>
            </w:r>
          </w:p>
        </w:tc>
      </w:tr>
    </w:tbl>
    <w:p w:rsidR="00EA2E07" w:rsidP="00EA2E07" w:rsidRDefault="00EA2E07" w14:paraId="6A7CD5ED" w14:textId="77777777"/>
    <w:p w:rsidR="00EA2E07" w:rsidP="00EA2E07" w:rsidRDefault="00EA2E07" w14:paraId="75FEEFF8" w14:textId="05AA1F3B">
      <w:pPr>
        <w:rPr>
          <w:rFonts w:ascii="Calibri" w:hAnsi="Calibri" w:cs="Calibri"/>
        </w:rPr>
      </w:pPr>
      <w:r w:rsidRPr="00AF359B">
        <w:t xml:space="preserve">The amendment </w:t>
      </w:r>
      <w:r>
        <w:t>was</w:t>
      </w:r>
      <w:r w:rsidRPr="00AF359B">
        <w:t xml:space="preserve"> accepted by the rapporteur</w:t>
      </w:r>
      <w:r>
        <w:t>s</w:t>
      </w:r>
      <w:r w:rsidRPr="00AF359B">
        <w:t xml:space="preserve"> and by the Assembly</w:t>
      </w:r>
      <w:r>
        <w:t>.</w:t>
      </w:r>
    </w:p>
    <w:p w:rsidR="00EA2E07" w:rsidP="00EA2E07" w:rsidRDefault="00EA2E07" w14:paraId="65FD6E2C" w14:textId="77777777">
      <w:pPr>
        <w:rPr>
          <w:b/>
          <w:bCs/>
        </w:rPr>
      </w:pPr>
    </w:p>
    <w:p w:rsidR="00EA2E07" w:rsidP="00EA2E07" w:rsidRDefault="00EA2E07" w14:paraId="7DD6DB57" w14:textId="78114311">
      <w:r w:rsidRPr="00573097">
        <w:rPr>
          <w:b/>
          <w:bCs/>
        </w:rPr>
        <w:t xml:space="preserve">Point </w:t>
      </w:r>
      <w:r w:rsidR="00B8529E">
        <w:rPr>
          <w:b/>
          <w:bCs/>
        </w:rPr>
        <w:t>1.27</w:t>
      </w:r>
      <w:r w:rsidRPr="00573097">
        <w:rPr>
          <w:b/>
          <w:bCs/>
        </w:rPr>
        <w:t xml:space="preserve"> - Amendment </w:t>
      </w:r>
      <w:r>
        <w:rPr>
          <w:b/>
          <w:bCs/>
        </w:rPr>
        <w:t>3</w:t>
      </w:r>
      <w:r>
        <w:t xml:space="preserve"> - tabled by </w:t>
      </w:r>
      <w:r w:rsidRPr="00B8529E" w:rsidR="00B8529E">
        <w:t>tabled by Andris GOBIŅŠ</w:t>
      </w:r>
    </w:p>
    <w:p w:rsidR="00EA2E07" w:rsidP="00EA2E07" w:rsidRDefault="00EA2E07" w14:paraId="36A99FB4" w14:textId="77777777"/>
    <w:p w:rsidR="00EA2E07" w:rsidP="00EA2E07" w:rsidRDefault="00EA2E07" w14:paraId="2460830D" w14:textId="77777777">
      <w:r>
        <w:t>Amend as follows:</w:t>
      </w:r>
    </w:p>
    <w:p w:rsidR="00EA2E07" w:rsidP="00EA2E07" w:rsidRDefault="00EA2E07" w14:paraId="25904837"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37505C" w:rsidR="00EA2E07" w:rsidTr="00050C8C" w14:paraId="7C79E60F" w14:textId="77777777">
        <w:tc>
          <w:tcPr>
            <w:tcW w:w="2500" w:type="pct"/>
            <w:tcBorders>
              <w:top w:val="single" w:color="auto" w:sz="4" w:space="0"/>
              <w:left w:val="single" w:color="auto" w:sz="4" w:space="0"/>
              <w:bottom w:val="single" w:color="auto" w:sz="4" w:space="0"/>
              <w:right w:val="single" w:color="auto" w:sz="4" w:space="0"/>
            </w:tcBorders>
            <w:hideMark/>
          </w:tcPr>
          <w:p w:rsidRPr="0037505C" w:rsidR="00EA2E07" w:rsidP="00050C8C" w:rsidRDefault="00EA2E07" w14:paraId="09DC5568" w14:textId="77777777">
            <w:pPr>
              <w:jc w:val="center"/>
              <w:rPr>
                <w:b/>
                <w:bCs/>
                <w:i/>
              </w:rPr>
            </w:pPr>
            <w:r w:rsidRPr="0037505C">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37505C" w:rsidR="00EA2E07" w:rsidP="00050C8C" w:rsidRDefault="00EA2E07" w14:paraId="64C53472" w14:textId="77777777">
            <w:pPr>
              <w:jc w:val="center"/>
              <w:rPr>
                <w:b/>
                <w:bCs/>
                <w:i/>
              </w:rPr>
            </w:pPr>
            <w:r w:rsidRPr="0037505C">
              <w:rPr>
                <w:b/>
                <w:bCs/>
                <w:i/>
              </w:rPr>
              <w:t>Amendment</w:t>
            </w:r>
          </w:p>
        </w:tc>
      </w:tr>
      <w:tr w:rsidRPr="0037505C" w:rsidR="00B8529E" w:rsidTr="00050C8C" w14:paraId="5801A6B5" w14:textId="77777777">
        <w:tc>
          <w:tcPr>
            <w:tcW w:w="2500" w:type="pct"/>
            <w:tcBorders>
              <w:top w:val="single" w:color="auto" w:sz="4" w:space="0"/>
              <w:left w:val="single" w:color="auto" w:sz="4" w:space="0"/>
              <w:bottom w:val="single" w:color="auto" w:sz="4" w:space="0"/>
              <w:right w:val="single" w:color="auto" w:sz="4" w:space="0"/>
            </w:tcBorders>
            <w:hideMark/>
          </w:tcPr>
          <w:p w:rsidRPr="0037505C" w:rsidR="00B8529E" w:rsidP="00B8529E" w:rsidRDefault="00B8529E" w14:paraId="6B7BB5D2" w14:textId="00FCAF65">
            <w:pPr>
              <w:spacing w:before="80" w:after="80"/>
              <w:ind w:left="80" w:right="80"/>
            </w:pPr>
            <w:r w:rsidRPr="007A53F1">
              <w:t>opposes any form of macroeconomic conditionality in relation to the European semester. The disbursement of EU funds should not be linked to unrelated structural reform proposals. The role of the European semester in the guidance of the investments should be clarified; considers that the link to the SDGs, especially SDG 8, 10,11,13 and 16, should be further consolidated and in addition to national social indicators, the European social convergence framework should be applied.</w:t>
            </w:r>
          </w:p>
        </w:tc>
        <w:tc>
          <w:tcPr>
            <w:tcW w:w="2500" w:type="pct"/>
            <w:tcBorders>
              <w:top w:val="single" w:color="auto" w:sz="4" w:space="0"/>
              <w:left w:val="single" w:color="auto" w:sz="4" w:space="0"/>
              <w:bottom w:val="single" w:color="auto" w:sz="4" w:space="0"/>
              <w:right w:val="single" w:color="auto" w:sz="4" w:space="0"/>
            </w:tcBorders>
            <w:hideMark/>
          </w:tcPr>
          <w:p w:rsidRPr="0037505C" w:rsidR="00B8529E" w:rsidP="00B8529E" w:rsidRDefault="00B8529E" w14:paraId="03FB3A8B" w14:textId="79B1F21F">
            <w:pPr>
              <w:spacing w:before="80" w:after="80"/>
              <w:ind w:left="80" w:right="80"/>
            </w:pPr>
            <w:r w:rsidRPr="007A53F1">
              <w:t>opposes any form of macroeconomic conditionality in relation to the European semester. The disbursement of EU funds should not be linked to unrelated structural reform proposals. The role of the European semester in the guidance of the investments should be clarified; considers that the link to the SDGs, especially SDG 8, 10,11,13</w:t>
            </w:r>
            <w:r w:rsidRPr="007A53F1">
              <w:rPr>
                <w:b/>
                <w:bCs/>
                <w:i/>
              </w:rPr>
              <w:t>, 14, 15</w:t>
            </w:r>
            <w:r w:rsidRPr="007A53F1">
              <w:t xml:space="preserve"> and 16, should be further consolidated and in addition to national social indicators, the European social convergence framework should be applied.</w:t>
            </w:r>
          </w:p>
        </w:tc>
      </w:tr>
    </w:tbl>
    <w:p w:rsidR="00EA2E07" w:rsidP="00EC0F0F" w:rsidRDefault="00EA2E07" w14:paraId="1A791C49" w14:textId="77777777"/>
    <w:p w:rsidR="004A2A4D" w:rsidP="00EC0F0F" w:rsidRDefault="00EA2E07" w14:paraId="6577426B" w14:textId="4343C8BF">
      <w:r w:rsidRPr="00AF359B">
        <w:t xml:space="preserve">The amendment </w:t>
      </w:r>
      <w:r>
        <w:t>was</w:t>
      </w:r>
      <w:r w:rsidRPr="00AF359B">
        <w:t xml:space="preserve"> accepted by the rapporteur</w:t>
      </w:r>
      <w:r>
        <w:t>s</w:t>
      </w:r>
      <w:r w:rsidRPr="00AF359B">
        <w:t xml:space="preserve"> and by the Assembly</w:t>
      </w:r>
      <w:r>
        <w:t>.</w:t>
      </w:r>
    </w:p>
    <w:p w:rsidR="00EA2E07" w:rsidP="00EC0F0F" w:rsidRDefault="00EA2E07" w14:paraId="726B0439" w14:textId="77777777"/>
    <w:p w:rsidRPr="00CC1E69" w:rsidR="00CC1E69" w:rsidP="00CC1E69" w:rsidRDefault="00CC1E69" w14:paraId="4FBBC31D" w14:textId="596C3797">
      <w:r w:rsidRPr="00CC1E69">
        <w:rPr>
          <w:b/>
          <w:bCs/>
        </w:rPr>
        <w:t xml:space="preserve">Point </w:t>
      </w:r>
      <w:r>
        <w:rPr>
          <w:b/>
          <w:bCs/>
        </w:rPr>
        <w:t>2.2</w:t>
      </w:r>
      <w:r w:rsidRPr="00CC1E69">
        <w:rPr>
          <w:b/>
          <w:bCs/>
        </w:rPr>
        <w:t xml:space="preserve"> - Amendment </w:t>
      </w:r>
      <w:r>
        <w:rPr>
          <w:b/>
          <w:bCs/>
        </w:rPr>
        <w:t>4</w:t>
      </w:r>
      <w:r w:rsidRPr="00CC1E69">
        <w:t xml:space="preserve"> - tabled by tabled by Andris GOBIŅŠ</w:t>
      </w:r>
    </w:p>
    <w:p w:rsidRPr="00CC1E69" w:rsidR="00CC1E69" w:rsidP="00CC1E69" w:rsidRDefault="00CC1E69" w14:paraId="71390EFE" w14:textId="77777777"/>
    <w:p w:rsidRPr="00CC1E69" w:rsidR="00CC1E69" w:rsidP="00CC1E69" w:rsidRDefault="00CC1E69" w14:paraId="35010FD9" w14:textId="77777777">
      <w:r w:rsidRPr="00CC1E69">
        <w:t>Amend as follows:</w:t>
      </w:r>
    </w:p>
    <w:p w:rsidRPr="00CC1E69" w:rsidR="00CC1E69" w:rsidP="00CC1E69" w:rsidRDefault="00CC1E69" w14:paraId="04C9CF21"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C1E69" w:rsidR="00CC1E69" w:rsidTr="001D4199" w14:paraId="0A8E0D12" w14:textId="77777777">
        <w:tc>
          <w:tcPr>
            <w:tcW w:w="2500" w:type="pct"/>
            <w:tcBorders>
              <w:top w:val="single" w:color="auto" w:sz="4" w:space="0"/>
              <w:left w:val="single" w:color="auto" w:sz="4" w:space="0"/>
              <w:bottom w:val="single" w:color="auto" w:sz="4" w:space="0"/>
              <w:right w:val="single" w:color="auto" w:sz="4" w:space="0"/>
            </w:tcBorders>
            <w:hideMark/>
          </w:tcPr>
          <w:p w:rsidRPr="00CC1E69" w:rsidR="00CC1E69" w:rsidP="00CC1E69" w:rsidRDefault="00CC1E69" w14:paraId="4D1BC98E" w14:textId="77777777">
            <w:pPr>
              <w:jc w:val="center"/>
              <w:rPr>
                <w:b/>
                <w:bCs/>
                <w:i/>
              </w:rPr>
            </w:pPr>
            <w:r w:rsidRPr="00CC1E69">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C1E69" w:rsidR="00CC1E69" w:rsidP="00CC1E69" w:rsidRDefault="00CC1E69" w14:paraId="3E1018A3" w14:textId="77777777">
            <w:pPr>
              <w:jc w:val="center"/>
              <w:rPr>
                <w:b/>
                <w:bCs/>
                <w:i/>
              </w:rPr>
            </w:pPr>
            <w:r w:rsidRPr="00CC1E69">
              <w:rPr>
                <w:b/>
                <w:bCs/>
                <w:i/>
              </w:rPr>
              <w:t>Amendment</w:t>
            </w:r>
          </w:p>
        </w:tc>
      </w:tr>
      <w:tr w:rsidRPr="00CC1E69" w:rsidR="00CC1E69" w:rsidTr="001D4199" w14:paraId="437EBCCA" w14:textId="77777777">
        <w:tc>
          <w:tcPr>
            <w:tcW w:w="2500" w:type="pct"/>
            <w:tcBorders>
              <w:top w:val="single" w:color="auto" w:sz="4" w:space="0"/>
              <w:left w:val="single" w:color="auto" w:sz="4" w:space="0"/>
              <w:bottom w:val="single" w:color="auto" w:sz="4" w:space="0"/>
              <w:right w:val="single" w:color="auto" w:sz="4" w:space="0"/>
            </w:tcBorders>
            <w:hideMark/>
          </w:tcPr>
          <w:p w:rsidRPr="00CC1E69" w:rsidR="00CC1E69" w:rsidP="00CC1E69" w:rsidRDefault="00CC1E69" w14:paraId="06981594" w14:textId="391539FB">
            <w:r w:rsidRPr="007A53F1">
              <w:t xml:space="preserve">The fund covers traditional cohesion policy </w:t>
            </w:r>
            <w:r w:rsidRPr="007A53F1">
              <w:rPr>
                <w:b/>
                <w:bCs/>
                <w:i/>
              </w:rPr>
              <w:t>and</w:t>
            </w:r>
            <w:r w:rsidRPr="007A53F1">
              <w:t xml:space="preserve"> Common Agricultural Policy areas, with the addition of asylum, migration and visa policy, border protection and home affairs. The fund is a comprehensive set of guaranteed national envelopes earmarked for individual EU Member States. In this regard, the MFF proposal assumes that approximately 44% of its total allocation will be redistributed in the form of guaranteed national envelopes (currently approximately 63%).</w:t>
            </w:r>
          </w:p>
        </w:tc>
        <w:tc>
          <w:tcPr>
            <w:tcW w:w="2500" w:type="pct"/>
            <w:tcBorders>
              <w:top w:val="single" w:color="auto" w:sz="4" w:space="0"/>
              <w:left w:val="single" w:color="auto" w:sz="4" w:space="0"/>
              <w:bottom w:val="single" w:color="auto" w:sz="4" w:space="0"/>
              <w:right w:val="single" w:color="auto" w:sz="4" w:space="0"/>
            </w:tcBorders>
            <w:hideMark/>
          </w:tcPr>
          <w:p w:rsidRPr="00CC1E69" w:rsidR="00CC1E69" w:rsidP="00CC1E69" w:rsidRDefault="00CC1E69" w14:paraId="13807E6C" w14:textId="7CF41D8C">
            <w:r w:rsidRPr="007A53F1">
              <w:t>The fund covers traditional cohesion policy</w:t>
            </w:r>
            <w:r w:rsidRPr="007A53F1">
              <w:rPr>
                <w:b/>
                <w:bCs/>
                <w:i/>
              </w:rPr>
              <w:t>,</w:t>
            </w:r>
            <w:r w:rsidRPr="007A53F1">
              <w:t xml:space="preserve"> Common Agricultural Policy </w:t>
            </w:r>
            <w:r w:rsidRPr="007A53F1">
              <w:rPr>
                <w:b/>
                <w:bCs/>
                <w:i/>
              </w:rPr>
              <w:t>and Common Fisheries policy</w:t>
            </w:r>
            <w:r w:rsidRPr="007A53F1">
              <w:t xml:space="preserve"> areas, with the addition of asylum, migration and visa policy, border protection and home affairs. The fund is a comprehensive set of guaranteed national envelopes earmarked for individual EU Member States. In this regard, the MFF proposal assumes that approximately 44% of its total allocation will be redistributed in the form of guaranteed national envelopes (currently approximately 63%).</w:t>
            </w:r>
          </w:p>
        </w:tc>
      </w:tr>
    </w:tbl>
    <w:p w:rsidRPr="00CC1E69" w:rsidR="00CC1E69" w:rsidP="00CC1E69" w:rsidRDefault="00CC1E69" w14:paraId="701D7D21" w14:textId="77777777"/>
    <w:p w:rsidRPr="00CC1E69" w:rsidR="00CC1E69" w:rsidP="00CC1E69" w:rsidRDefault="00CC1E69" w14:paraId="36563C79" w14:textId="77777777">
      <w:r w:rsidRPr="00CC1E69">
        <w:t>The amendment was accepted by the rapporteurs and by the Assembly.</w:t>
      </w:r>
    </w:p>
    <w:p w:rsidR="00CC1E69" w:rsidP="00EC0F0F" w:rsidRDefault="00CC1E69" w14:paraId="23388A92" w14:textId="77777777"/>
    <w:p w:rsidRPr="00CC1E69" w:rsidR="005F5315" w:rsidP="005F5315" w:rsidRDefault="005F5315" w14:paraId="5C37B498" w14:textId="6CFFEA4A">
      <w:r w:rsidRPr="00CC1E69">
        <w:rPr>
          <w:b/>
          <w:bCs/>
        </w:rPr>
        <w:t xml:space="preserve">Point </w:t>
      </w:r>
      <w:r>
        <w:rPr>
          <w:b/>
          <w:bCs/>
        </w:rPr>
        <w:t>2.3</w:t>
      </w:r>
      <w:r w:rsidRPr="00CC1E69">
        <w:rPr>
          <w:b/>
          <w:bCs/>
        </w:rPr>
        <w:t xml:space="preserve"> - Amendment </w:t>
      </w:r>
      <w:r>
        <w:rPr>
          <w:b/>
          <w:bCs/>
        </w:rPr>
        <w:t>5</w:t>
      </w:r>
      <w:r w:rsidRPr="00CC1E69">
        <w:t xml:space="preserve"> - tabled by tabled by Andris GOBIŅŠ</w:t>
      </w:r>
    </w:p>
    <w:p w:rsidRPr="00CC1E69" w:rsidR="005F5315" w:rsidP="005F5315" w:rsidRDefault="005F5315" w14:paraId="60181ED5" w14:textId="77777777"/>
    <w:p w:rsidRPr="00CC1E69" w:rsidR="005F5315" w:rsidP="005F5315" w:rsidRDefault="005F5315" w14:paraId="1863B5A3" w14:textId="77777777">
      <w:r w:rsidRPr="00CC1E69">
        <w:t>Amend as follows:</w:t>
      </w:r>
    </w:p>
    <w:p w:rsidRPr="00CC1E69" w:rsidR="005F5315" w:rsidP="005F5315" w:rsidRDefault="005F5315" w14:paraId="443BE30A"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C1E69" w:rsidR="005F5315" w:rsidTr="001D4199" w14:paraId="7FEB8FB4" w14:textId="77777777">
        <w:tc>
          <w:tcPr>
            <w:tcW w:w="2500" w:type="pct"/>
            <w:tcBorders>
              <w:top w:val="single" w:color="auto" w:sz="4" w:space="0"/>
              <w:left w:val="single" w:color="auto" w:sz="4" w:space="0"/>
              <w:bottom w:val="single" w:color="auto" w:sz="4" w:space="0"/>
              <w:right w:val="single" w:color="auto" w:sz="4" w:space="0"/>
            </w:tcBorders>
            <w:hideMark/>
          </w:tcPr>
          <w:p w:rsidRPr="00CC1E69" w:rsidR="005F5315" w:rsidP="001D4199" w:rsidRDefault="005F5315" w14:paraId="4881D2A5" w14:textId="77777777">
            <w:pPr>
              <w:jc w:val="center"/>
              <w:rPr>
                <w:b/>
                <w:bCs/>
                <w:i/>
              </w:rPr>
            </w:pPr>
            <w:r w:rsidRPr="00CC1E69">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C1E69" w:rsidR="005F5315" w:rsidP="001D4199" w:rsidRDefault="005F5315" w14:paraId="377ADFE1" w14:textId="77777777">
            <w:pPr>
              <w:jc w:val="center"/>
              <w:rPr>
                <w:b/>
                <w:bCs/>
                <w:i/>
              </w:rPr>
            </w:pPr>
            <w:r w:rsidRPr="00CC1E69">
              <w:rPr>
                <w:b/>
                <w:bCs/>
                <w:i/>
              </w:rPr>
              <w:t>Amendment</w:t>
            </w:r>
          </w:p>
        </w:tc>
      </w:tr>
      <w:tr w:rsidRPr="00CC1E69" w:rsidR="005F5315" w:rsidTr="001D4199" w14:paraId="7179452E" w14:textId="77777777">
        <w:tc>
          <w:tcPr>
            <w:tcW w:w="2500" w:type="pct"/>
            <w:tcBorders>
              <w:top w:val="single" w:color="auto" w:sz="4" w:space="0"/>
              <w:left w:val="single" w:color="auto" w:sz="4" w:space="0"/>
              <w:bottom w:val="single" w:color="auto" w:sz="4" w:space="0"/>
              <w:right w:val="single" w:color="auto" w:sz="4" w:space="0"/>
            </w:tcBorders>
            <w:hideMark/>
          </w:tcPr>
          <w:p w:rsidRPr="00CC1E69" w:rsidR="005F5315" w:rsidP="005F5315" w:rsidRDefault="005F5315" w14:paraId="0AF4EBD9" w14:textId="02D93486">
            <w:r w:rsidRPr="007A53F1">
              <w:t>With a financial envelope of EUR 865.1 billion, the fund is the largest component of the MFF and enables the financing of the NRPPs (EUR 782.9 billion), which complement another new MFF instrument, the EU Facility (EUR 71.9 billion) and the traditional Interreg programme (EUR 10.3 billion). The budget allocation is not enough to tackle the multitude and increased diversity of risks at the regional level. The EESC considers that the budget should be increased by at least 5% and that the budget for the CAP should be increased to a level of 0.5% of EU GDP by introducing a dedicated rural envelope</w:t>
            </w:r>
            <w:r w:rsidRPr="0045363E">
              <w:rPr>
                <w:b/>
                <w:bCs/>
              </w:rPr>
              <w:t>.</w:t>
            </w:r>
          </w:p>
        </w:tc>
        <w:tc>
          <w:tcPr>
            <w:tcW w:w="2500" w:type="pct"/>
            <w:tcBorders>
              <w:top w:val="single" w:color="auto" w:sz="4" w:space="0"/>
              <w:left w:val="single" w:color="auto" w:sz="4" w:space="0"/>
              <w:bottom w:val="single" w:color="auto" w:sz="4" w:space="0"/>
              <w:right w:val="single" w:color="auto" w:sz="4" w:space="0"/>
            </w:tcBorders>
            <w:hideMark/>
          </w:tcPr>
          <w:p w:rsidRPr="00CC1E69" w:rsidR="005F5315" w:rsidP="005F5315" w:rsidRDefault="005F5315" w14:paraId="71089642" w14:textId="36AD96D0">
            <w:r w:rsidRPr="007A53F1">
              <w:t>With a financial envelope of EUR 865.1 billion, the fund is the largest component of the MFF and enables the financing of the NRPPs (EUR 782.9 billion), which complement another new MFF instrument, the EU Facility (EUR 71.9 billion) and the traditional Interreg programme (EUR 10.3 billion). The budget allocation is not enough to tackle the multitude and increased diversity of risks at the regional level. The EESC considers that the budget should be increased by at least 5% and that the budget for the CAP should be increased to a level of 0.5% of EU GDP by introducing a dedicated rural envelope</w:t>
            </w:r>
            <w:r>
              <w:t xml:space="preserve"> </w:t>
            </w:r>
            <w:r w:rsidRPr="001D769B">
              <w:rPr>
                <w:b/>
                <w:bCs/>
                <w:i/>
                <w:iCs/>
              </w:rPr>
              <w:t>and a ring fenced financial architecture for the Treaty-based policies and needs further improvements</w:t>
            </w:r>
            <w:r>
              <w:t>.</w:t>
            </w:r>
          </w:p>
        </w:tc>
      </w:tr>
    </w:tbl>
    <w:p w:rsidRPr="00CC1E69" w:rsidR="005F5315" w:rsidP="005F5315" w:rsidRDefault="005F5315" w14:paraId="545FE26E" w14:textId="77777777"/>
    <w:p w:rsidRPr="00CC1E69" w:rsidR="005F5315" w:rsidP="005F5315" w:rsidRDefault="005F5315" w14:paraId="7D7E8560" w14:textId="77777777">
      <w:r w:rsidRPr="00CC1E69">
        <w:t>The amendment was accepted by the rapporteurs and by the Assembly.</w:t>
      </w:r>
    </w:p>
    <w:p w:rsidR="00CC1E69" w:rsidP="00EC0F0F" w:rsidRDefault="00CC1E69" w14:paraId="7F7FEC6E" w14:textId="77777777"/>
    <w:p w:rsidR="009A21EF" w:rsidRDefault="009A21EF" w14:paraId="7BBBC0A1" w14:textId="77777777">
      <w:pPr>
        <w:spacing w:line="240" w:lineRule="auto"/>
        <w:jc w:val="left"/>
        <w:rPr>
          <w:b/>
          <w:bCs/>
        </w:rPr>
      </w:pPr>
      <w:r>
        <w:rPr>
          <w:b/>
          <w:bCs/>
        </w:rPr>
        <w:br w:type="page"/>
      </w:r>
    </w:p>
    <w:p w:rsidRPr="00CE1543" w:rsidR="00CE1543" w:rsidP="00CE1543" w:rsidRDefault="00CE1543" w14:paraId="5289CAD5" w14:textId="228FA50E">
      <w:r w:rsidRPr="00CE1543">
        <w:rPr>
          <w:b/>
          <w:bCs/>
        </w:rPr>
        <w:t>Point 2.</w:t>
      </w:r>
      <w:r>
        <w:rPr>
          <w:b/>
          <w:bCs/>
        </w:rPr>
        <w:t>15</w:t>
      </w:r>
      <w:r w:rsidRPr="00CE1543">
        <w:rPr>
          <w:b/>
          <w:bCs/>
        </w:rPr>
        <w:t xml:space="preserve"> - Amendment </w:t>
      </w:r>
      <w:r>
        <w:rPr>
          <w:b/>
          <w:bCs/>
        </w:rPr>
        <w:t>6</w:t>
      </w:r>
      <w:r w:rsidRPr="00CE1543">
        <w:t xml:space="preserve"> - tabled by tabled by Andris GOBIŅŠ</w:t>
      </w:r>
    </w:p>
    <w:p w:rsidRPr="00CE1543" w:rsidR="00CE1543" w:rsidP="00CE1543" w:rsidRDefault="00CE1543" w14:paraId="0B373C93" w14:textId="77777777"/>
    <w:p w:rsidRPr="00CE1543" w:rsidR="00CE1543" w:rsidP="00CE1543" w:rsidRDefault="00CE1543" w14:paraId="611B9C28" w14:textId="77777777">
      <w:r w:rsidRPr="00CE1543">
        <w:t>Amend as follows:</w:t>
      </w:r>
    </w:p>
    <w:p w:rsidRPr="00CE1543" w:rsidR="00CE1543" w:rsidP="00CE1543" w:rsidRDefault="00CE1543" w14:paraId="7B4292AE"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E1543" w:rsidR="00CE1543" w:rsidTr="001D4199" w14:paraId="3A23C00E" w14:textId="77777777">
        <w:tc>
          <w:tcPr>
            <w:tcW w:w="2500" w:type="pct"/>
            <w:tcBorders>
              <w:top w:val="single" w:color="auto" w:sz="4" w:space="0"/>
              <w:left w:val="single" w:color="auto" w:sz="4" w:space="0"/>
              <w:bottom w:val="single" w:color="auto" w:sz="4" w:space="0"/>
              <w:right w:val="single" w:color="auto" w:sz="4" w:space="0"/>
            </w:tcBorders>
            <w:hideMark/>
          </w:tcPr>
          <w:p w:rsidRPr="00CE1543" w:rsidR="00CE1543" w:rsidP="00CE1543" w:rsidRDefault="00CE1543" w14:paraId="4402097B" w14:textId="77777777">
            <w:pPr>
              <w:rPr>
                <w:b/>
                <w:bCs/>
                <w:i/>
              </w:rPr>
            </w:pPr>
            <w:r w:rsidRPr="00CE1543">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E1543" w:rsidR="00CE1543" w:rsidP="00CE1543" w:rsidRDefault="00CE1543" w14:paraId="1D329FA8" w14:textId="77777777">
            <w:pPr>
              <w:rPr>
                <w:b/>
                <w:bCs/>
                <w:i/>
              </w:rPr>
            </w:pPr>
            <w:r w:rsidRPr="00CE1543">
              <w:rPr>
                <w:b/>
                <w:bCs/>
                <w:i/>
              </w:rPr>
              <w:t>Amendment</w:t>
            </w:r>
          </w:p>
        </w:tc>
      </w:tr>
      <w:tr w:rsidRPr="00CE1543" w:rsidR="00CE1543" w:rsidTr="001D4199" w14:paraId="15565A65" w14:textId="77777777">
        <w:tc>
          <w:tcPr>
            <w:tcW w:w="2500" w:type="pct"/>
            <w:tcBorders>
              <w:top w:val="single" w:color="auto" w:sz="4" w:space="0"/>
              <w:left w:val="single" w:color="auto" w:sz="4" w:space="0"/>
              <w:bottom w:val="single" w:color="auto" w:sz="4" w:space="0"/>
              <w:right w:val="single" w:color="auto" w:sz="4" w:space="0"/>
            </w:tcBorders>
            <w:hideMark/>
          </w:tcPr>
          <w:p w:rsidRPr="00CE1543" w:rsidR="00CE1543" w:rsidP="00CE1543" w:rsidRDefault="00CE1543" w14:paraId="088BB2A1" w14:textId="48EDFE45">
            <w:r w:rsidRPr="007A53F1">
              <w:t>Arguments in support of recommendation 1.</w:t>
            </w:r>
            <w:r w:rsidRPr="007A53F1">
              <w:rPr>
                <w:b/>
                <w:bCs/>
                <w:i/>
              </w:rPr>
              <w:t>15</w:t>
            </w:r>
          </w:p>
        </w:tc>
        <w:tc>
          <w:tcPr>
            <w:tcW w:w="2500" w:type="pct"/>
            <w:tcBorders>
              <w:top w:val="single" w:color="auto" w:sz="4" w:space="0"/>
              <w:left w:val="single" w:color="auto" w:sz="4" w:space="0"/>
              <w:bottom w:val="single" w:color="auto" w:sz="4" w:space="0"/>
              <w:right w:val="single" w:color="auto" w:sz="4" w:space="0"/>
            </w:tcBorders>
            <w:hideMark/>
          </w:tcPr>
          <w:p w:rsidRPr="00CE1543" w:rsidR="00CE1543" w:rsidP="00CE1543" w:rsidRDefault="00CE1543" w14:paraId="72508049" w14:textId="5B49E908">
            <w:r w:rsidRPr="007A53F1">
              <w:t>Arguments in support of recommendation 1.</w:t>
            </w:r>
            <w:r w:rsidRPr="007A53F1">
              <w:rPr>
                <w:b/>
                <w:bCs/>
                <w:i/>
              </w:rPr>
              <w:t>13</w:t>
            </w:r>
          </w:p>
        </w:tc>
      </w:tr>
    </w:tbl>
    <w:p w:rsidRPr="00CE1543" w:rsidR="00CE1543" w:rsidP="00CE1543" w:rsidRDefault="00CE1543" w14:paraId="2CD6A17F" w14:textId="77777777"/>
    <w:p w:rsidRPr="00CE1543" w:rsidR="00CE1543" w:rsidP="00CE1543" w:rsidRDefault="00CE1543" w14:paraId="40FE3F95" w14:textId="77777777">
      <w:r w:rsidRPr="00CE1543">
        <w:t>The amendment was accepted by the rapporteurs and by the Assembly.</w:t>
      </w:r>
    </w:p>
    <w:p w:rsidR="00CE1543" w:rsidP="00EC0F0F" w:rsidRDefault="00CE1543" w14:paraId="4B674221" w14:textId="77777777"/>
    <w:p w:rsidRPr="00A67235" w:rsidR="000E4B6B" w:rsidP="00EC0F0F" w:rsidRDefault="000E4B6B" w14:paraId="0133C75D" w14:textId="5FEE6915">
      <w:r w:rsidRPr="00A67235">
        <w:t xml:space="preserve">The opinion </w:t>
      </w:r>
      <w:r w:rsidRPr="009A21EF" w:rsidR="009A21EF">
        <w:t xml:space="preserve">thus amended was put to the vote and was adopted </w:t>
      </w:r>
      <w:r w:rsidRPr="00A67235">
        <w:t>by</w:t>
      </w:r>
      <w:r w:rsidR="00177DAC">
        <w:t xml:space="preserve"> </w:t>
      </w:r>
      <w:r w:rsidR="00736E5A">
        <w:t>19</w:t>
      </w:r>
      <w:r w:rsidRPr="00BD38A4" w:rsidR="00736E5A">
        <w:t>7</w:t>
      </w:r>
      <w:r w:rsidRPr="00FF5F20" w:rsidR="003B465E">
        <w:t xml:space="preserve"> votes in favour</w:t>
      </w:r>
      <w:r w:rsidRPr="00FF5F20" w:rsidR="00466E13">
        <w:t xml:space="preserve"> </w:t>
      </w:r>
      <w:r w:rsidR="00736E5A">
        <w:t xml:space="preserve">to 1 against </w:t>
      </w:r>
      <w:r w:rsidR="000A6320">
        <w:t xml:space="preserve">and </w:t>
      </w:r>
      <w:r w:rsidRPr="00FF5F20" w:rsidR="00857CB5">
        <w:t xml:space="preserve">with </w:t>
      </w:r>
      <w:r w:rsidR="00736E5A">
        <w:t>7</w:t>
      </w:r>
      <w:r w:rsidRPr="00FF5F20" w:rsidR="003B465E">
        <w:t xml:space="preserve"> abstentions</w:t>
      </w:r>
      <w:r w:rsidRPr="00637E63" w:rsidR="003B465E">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B64B1" w14:textId="77777777" w:rsidR="00EF2E0F" w:rsidRDefault="00EF2E0F">
      <w:r>
        <w:separator/>
      </w:r>
    </w:p>
  </w:endnote>
  <w:endnote w:type="continuationSeparator" w:id="0">
    <w:p w14:paraId="41D284F8" w14:textId="77777777" w:rsidR="00EF2E0F" w:rsidRDefault="00EF2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2DCC42FC" w:rsidR="00964A13" w:rsidRPr="00964A13" w:rsidRDefault="00736E07" w:rsidP="00964A13">
    <w:pPr>
      <w:pStyle w:val="Footer"/>
    </w:pPr>
    <w:r>
      <w:t>ECO/6</w:t>
    </w:r>
    <w:r w:rsidR="00B2153B">
      <w:t>8</w:t>
    </w:r>
    <w:r w:rsidR="008F11E9">
      <w:t>3</w:t>
    </w:r>
    <w:r>
      <w:t xml:space="preserve"> – EESC-</w:t>
    </w:r>
    <w:r w:rsidR="007F1384">
      <w:t>202</w:t>
    </w:r>
    <w:r w:rsidR="008F11E9">
      <w:t>5</w:t>
    </w:r>
    <w:r w:rsidR="007F1384">
      <w:t>-</w:t>
    </w:r>
    <w:r>
      <w:t>0</w:t>
    </w:r>
    <w:r w:rsidR="00B2153B">
      <w:t>2552</w:t>
    </w:r>
    <w:r>
      <w:t>-00-00-</w:t>
    </w:r>
    <w:r w:rsidR="00964A13">
      <w:t>CR-REF (</w:t>
    </w:r>
    <w:r w:rsidR="00A04B94">
      <w:t>EN</w:t>
    </w:r>
    <w:r w:rsidR="00964A13">
      <w:t xml:space="preserve">) </w:t>
    </w:r>
    <w:r w:rsidR="00964A13">
      <w:fldChar w:fldCharType="begin"/>
    </w:r>
    <w:r w:rsidR="00964A13">
      <w:instrText xml:space="preserve"> PAGE  \* Arabic  \* MERGEFORMAT </w:instrText>
    </w:r>
    <w:r w:rsidR="00964A13">
      <w:fldChar w:fldCharType="separate"/>
    </w:r>
    <w:r w:rsidR="001A6606">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1A6606">
      <w:rPr>
        <w:noProof/>
      </w:rPr>
      <w:instrText>1</w:instrText>
    </w:r>
    <w:r w:rsidR="00964A13">
      <w:fldChar w:fldCharType="end"/>
    </w:r>
    <w:r w:rsidR="00964A13">
      <w:instrText xml:space="preserve"> -0 </w:instrText>
    </w:r>
    <w:r w:rsidR="00964A13">
      <w:fldChar w:fldCharType="separate"/>
    </w:r>
    <w:r w:rsidR="001A6606">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0436D" w14:textId="77777777" w:rsidR="00EF2E0F" w:rsidRDefault="00EF2E0F">
      <w:r>
        <w:separator/>
      </w:r>
    </w:p>
  </w:footnote>
  <w:footnote w:type="continuationSeparator" w:id="0">
    <w:p w14:paraId="25F8ACE3" w14:textId="77777777" w:rsidR="00EF2E0F" w:rsidRDefault="00EF2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EC86654"/>
    <w:multiLevelType w:val="hybridMultilevel"/>
    <w:tmpl w:val="E8A0CE4C"/>
    <w:lvl w:ilvl="0" w:tplc="080C0001">
      <w:start w:val="1"/>
      <w:numFmt w:val="bullet"/>
      <w:lvlText w:val=""/>
      <w:lvlJc w:val="left"/>
      <w:pPr>
        <w:ind w:left="800" w:hanging="360"/>
      </w:pPr>
      <w:rPr>
        <w:rFonts w:ascii="Symbol" w:hAnsi="Symbol" w:hint="default"/>
      </w:rPr>
    </w:lvl>
    <w:lvl w:ilvl="1" w:tplc="080C0003" w:tentative="1">
      <w:start w:val="1"/>
      <w:numFmt w:val="bullet"/>
      <w:lvlText w:val="o"/>
      <w:lvlJc w:val="left"/>
      <w:pPr>
        <w:ind w:left="1520" w:hanging="360"/>
      </w:pPr>
      <w:rPr>
        <w:rFonts w:ascii="Courier New" w:hAnsi="Courier New" w:cs="Courier New" w:hint="default"/>
      </w:rPr>
    </w:lvl>
    <w:lvl w:ilvl="2" w:tplc="080C0005" w:tentative="1">
      <w:start w:val="1"/>
      <w:numFmt w:val="bullet"/>
      <w:lvlText w:val=""/>
      <w:lvlJc w:val="left"/>
      <w:pPr>
        <w:ind w:left="2240" w:hanging="360"/>
      </w:pPr>
      <w:rPr>
        <w:rFonts w:ascii="Wingdings" w:hAnsi="Wingdings" w:hint="default"/>
      </w:rPr>
    </w:lvl>
    <w:lvl w:ilvl="3" w:tplc="080C0001" w:tentative="1">
      <w:start w:val="1"/>
      <w:numFmt w:val="bullet"/>
      <w:lvlText w:val=""/>
      <w:lvlJc w:val="left"/>
      <w:pPr>
        <w:ind w:left="2960" w:hanging="360"/>
      </w:pPr>
      <w:rPr>
        <w:rFonts w:ascii="Symbol" w:hAnsi="Symbol" w:hint="default"/>
      </w:rPr>
    </w:lvl>
    <w:lvl w:ilvl="4" w:tplc="080C0003" w:tentative="1">
      <w:start w:val="1"/>
      <w:numFmt w:val="bullet"/>
      <w:lvlText w:val="o"/>
      <w:lvlJc w:val="left"/>
      <w:pPr>
        <w:ind w:left="3680" w:hanging="360"/>
      </w:pPr>
      <w:rPr>
        <w:rFonts w:ascii="Courier New" w:hAnsi="Courier New" w:cs="Courier New" w:hint="default"/>
      </w:rPr>
    </w:lvl>
    <w:lvl w:ilvl="5" w:tplc="080C0005" w:tentative="1">
      <w:start w:val="1"/>
      <w:numFmt w:val="bullet"/>
      <w:lvlText w:val=""/>
      <w:lvlJc w:val="left"/>
      <w:pPr>
        <w:ind w:left="4400" w:hanging="360"/>
      </w:pPr>
      <w:rPr>
        <w:rFonts w:ascii="Wingdings" w:hAnsi="Wingdings" w:hint="default"/>
      </w:rPr>
    </w:lvl>
    <w:lvl w:ilvl="6" w:tplc="080C0001" w:tentative="1">
      <w:start w:val="1"/>
      <w:numFmt w:val="bullet"/>
      <w:lvlText w:val=""/>
      <w:lvlJc w:val="left"/>
      <w:pPr>
        <w:ind w:left="5120" w:hanging="360"/>
      </w:pPr>
      <w:rPr>
        <w:rFonts w:ascii="Symbol" w:hAnsi="Symbol" w:hint="default"/>
      </w:rPr>
    </w:lvl>
    <w:lvl w:ilvl="7" w:tplc="080C0003" w:tentative="1">
      <w:start w:val="1"/>
      <w:numFmt w:val="bullet"/>
      <w:lvlText w:val="o"/>
      <w:lvlJc w:val="left"/>
      <w:pPr>
        <w:ind w:left="5840" w:hanging="360"/>
      </w:pPr>
      <w:rPr>
        <w:rFonts w:ascii="Courier New" w:hAnsi="Courier New" w:cs="Courier New" w:hint="default"/>
      </w:rPr>
    </w:lvl>
    <w:lvl w:ilvl="8" w:tplc="080C0005" w:tentative="1">
      <w:start w:val="1"/>
      <w:numFmt w:val="bullet"/>
      <w:lvlText w:val=""/>
      <w:lvlJc w:val="left"/>
      <w:pPr>
        <w:ind w:left="6560" w:hanging="360"/>
      </w:pPr>
      <w:rPr>
        <w:rFonts w:ascii="Wingdings" w:hAnsi="Wingdings" w:hint="default"/>
      </w:rPr>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6B40C75"/>
    <w:multiLevelType w:val="hybridMultilevel"/>
    <w:tmpl w:val="2C46D512"/>
    <w:lvl w:ilvl="0" w:tplc="080C0001">
      <w:start w:val="1"/>
      <w:numFmt w:val="bullet"/>
      <w:lvlText w:val=""/>
      <w:lvlJc w:val="left"/>
      <w:pPr>
        <w:ind w:left="800" w:hanging="360"/>
      </w:pPr>
      <w:rPr>
        <w:rFonts w:ascii="Symbol" w:hAnsi="Symbol" w:hint="default"/>
      </w:rPr>
    </w:lvl>
    <w:lvl w:ilvl="1" w:tplc="080C0003" w:tentative="1">
      <w:start w:val="1"/>
      <w:numFmt w:val="bullet"/>
      <w:lvlText w:val="o"/>
      <w:lvlJc w:val="left"/>
      <w:pPr>
        <w:ind w:left="1520" w:hanging="360"/>
      </w:pPr>
      <w:rPr>
        <w:rFonts w:ascii="Courier New" w:hAnsi="Courier New" w:cs="Courier New" w:hint="default"/>
      </w:rPr>
    </w:lvl>
    <w:lvl w:ilvl="2" w:tplc="080C0005" w:tentative="1">
      <w:start w:val="1"/>
      <w:numFmt w:val="bullet"/>
      <w:lvlText w:val=""/>
      <w:lvlJc w:val="left"/>
      <w:pPr>
        <w:ind w:left="2240" w:hanging="360"/>
      </w:pPr>
      <w:rPr>
        <w:rFonts w:ascii="Wingdings" w:hAnsi="Wingdings" w:hint="default"/>
      </w:rPr>
    </w:lvl>
    <w:lvl w:ilvl="3" w:tplc="080C0001" w:tentative="1">
      <w:start w:val="1"/>
      <w:numFmt w:val="bullet"/>
      <w:lvlText w:val=""/>
      <w:lvlJc w:val="left"/>
      <w:pPr>
        <w:ind w:left="2960" w:hanging="360"/>
      </w:pPr>
      <w:rPr>
        <w:rFonts w:ascii="Symbol" w:hAnsi="Symbol" w:hint="default"/>
      </w:rPr>
    </w:lvl>
    <w:lvl w:ilvl="4" w:tplc="080C0003" w:tentative="1">
      <w:start w:val="1"/>
      <w:numFmt w:val="bullet"/>
      <w:lvlText w:val="o"/>
      <w:lvlJc w:val="left"/>
      <w:pPr>
        <w:ind w:left="3680" w:hanging="360"/>
      </w:pPr>
      <w:rPr>
        <w:rFonts w:ascii="Courier New" w:hAnsi="Courier New" w:cs="Courier New" w:hint="default"/>
      </w:rPr>
    </w:lvl>
    <w:lvl w:ilvl="5" w:tplc="080C0005" w:tentative="1">
      <w:start w:val="1"/>
      <w:numFmt w:val="bullet"/>
      <w:lvlText w:val=""/>
      <w:lvlJc w:val="left"/>
      <w:pPr>
        <w:ind w:left="4400" w:hanging="360"/>
      </w:pPr>
      <w:rPr>
        <w:rFonts w:ascii="Wingdings" w:hAnsi="Wingdings" w:hint="default"/>
      </w:rPr>
    </w:lvl>
    <w:lvl w:ilvl="6" w:tplc="080C0001" w:tentative="1">
      <w:start w:val="1"/>
      <w:numFmt w:val="bullet"/>
      <w:lvlText w:val=""/>
      <w:lvlJc w:val="left"/>
      <w:pPr>
        <w:ind w:left="5120" w:hanging="360"/>
      </w:pPr>
      <w:rPr>
        <w:rFonts w:ascii="Symbol" w:hAnsi="Symbol" w:hint="default"/>
      </w:rPr>
    </w:lvl>
    <w:lvl w:ilvl="7" w:tplc="080C0003" w:tentative="1">
      <w:start w:val="1"/>
      <w:numFmt w:val="bullet"/>
      <w:lvlText w:val="o"/>
      <w:lvlJc w:val="left"/>
      <w:pPr>
        <w:ind w:left="5840" w:hanging="360"/>
      </w:pPr>
      <w:rPr>
        <w:rFonts w:ascii="Courier New" w:hAnsi="Courier New" w:cs="Courier New" w:hint="default"/>
      </w:rPr>
    </w:lvl>
    <w:lvl w:ilvl="8" w:tplc="080C0005" w:tentative="1">
      <w:start w:val="1"/>
      <w:numFmt w:val="bullet"/>
      <w:lvlText w:val=""/>
      <w:lvlJc w:val="left"/>
      <w:pPr>
        <w:ind w:left="6560" w:hanging="360"/>
      </w:pPr>
      <w:rPr>
        <w:rFonts w:ascii="Wingdings" w:hAnsi="Wingdings" w:hint="default"/>
      </w:rPr>
    </w:lvl>
  </w:abstractNum>
  <w:abstractNum w:abstractNumId="4"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5D05"/>
    <w:rsid w:val="00036097"/>
    <w:rsid w:val="0007564A"/>
    <w:rsid w:val="000A6320"/>
    <w:rsid w:val="000B3441"/>
    <w:rsid w:val="000D6AA3"/>
    <w:rsid w:val="000E4B6B"/>
    <w:rsid w:val="000F03D6"/>
    <w:rsid w:val="00127E23"/>
    <w:rsid w:val="00143A71"/>
    <w:rsid w:val="0015330A"/>
    <w:rsid w:val="00165632"/>
    <w:rsid w:val="001766AB"/>
    <w:rsid w:val="00177DAC"/>
    <w:rsid w:val="001A6606"/>
    <w:rsid w:val="001C7254"/>
    <w:rsid w:val="002346F9"/>
    <w:rsid w:val="00255A3F"/>
    <w:rsid w:val="002601CF"/>
    <w:rsid w:val="00273FDB"/>
    <w:rsid w:val="00284B50"/>
    <w:rsid w:val="002925F3"/>
    <w:rsid w:val="00297572"/>
    <w:rsid w:val="002B0DA2"/>
    <w:rsid w:val="002D2832"/>
    <w:rsid w:val="002F408A"/>
    <w:rsid w:val="003207CC"/>
    <w:rsid w:val="00320C0B"/>
    <w:rsid w:val="003439B0"/>
    <w:rsid w:val="00351527"/>
    <w:rsid w:val="003658B9"/>
    <w:rsid w:val="00365CF2"/>
    <w:rsid w:val="00381168"/>
    <w:rsid w:val="003876B5"/>
    <w:rsid w:val="00392924"/>
    <w:rsid w:val="003B465E"/>
    <w:rsid w:val="003C15D7"/>
    <w:rsid w:val="003C2604"/>
    <w:rsid w:val="003D7ED1"/>
    <w:rsid w:val="003E1619"/>
    <w:rsid w:val="003E7168"/>
    <w:rsid w:val="00410EA4"/>
    <w:rsid w:val="00423299"/>
    <w:rsid w:val="004459F8"/>
    <w:rsid w:val="00460CC5"/>
    <w:rsid w:val="00462091"/>
    <w:rsid w:val="00466E13"/>
    <w:rsid w:val="004A0843"/>
    <w:rsid w:val="004A2A4D"/>
    <w:rsid w:val="004B48C5"/>
    <w:rsid w:val="004B4BF4"/>
    <w:rsid w:val="004D4467"/>
    <w:rsid w:val="00525783"/>
    <w:rsid w:val="005434A7"/>
    <w:rsid w:val="00564B0D"/>
    <w:rsid w:val="00590C1E"/>
    <w:rsid w:val="00592891"/>
    <w:rsid w:val="005C0ED8"/>
    <w:rsid w:val="005E0AC9"/>
    <w:rsid w:val="005E0DA8"/>
    <w:rsid w:val="005E1A79"/>
    <w:rsid w:val="005E4FE1"/>
    <w:rsid w:val="005F5315"/>
    <w:rsid w:val="0060093D"/>
    <w:rsid w:val="006039C7"/>
    <w:rsid w:val="00630EF7"/>
    <w:rsid w:val="00631E06"/>
    <w:rsid w:val="00637E63"/>
    <w:rsid w:val="00646E27"/>
    <w:rsid w:val="00655B4A"/>
    <w:rsid w:val="00657235"/>
    <w:rsid w:val="006E153D"/>
    <w:rsid w:val="00711DDB"/>
    <w:rsid w:val="00726994"/>
    <w:rsid w:val="0073571F"/>
    <w:rsid w:val="00736E07"/>
    <w:rsid w:val="00736E5A"/>
    <w:rsid w:val="00781F89"/>
    <w:rsid w:val="007B14F4"/>
    <w:rsid w:val="007C6A55"/>
    <w:rsid w:val="007D1435"/>
    <w:rsid w:val="007F1384"/>
    <w:rsid w:val="00815851"/>
    <w:rsid w:val="00826375"/>
    <w:rsid w:val="0083269D"/>
    <w:rsid w:val="00857CB5"/>
    <w:rsid w:val="00862EFF"/>
    <w:rsid w:val="00877092"/>
    <w:rsid w:val="00892C39"/>
    <w:rsid w:val="008A371F"/>
    <w:rsid w:val="008E0097"/>
    <w:rsid w:val="008F11E9"/>
    <w:rsid w:val="008F1E9D"/>
    <w:rsid w:val="008F2211"/>
    <w:rsid w:val="00911202"/>
    <w:rsid w:val="009122E7"/>
    <w:rsid w:val="009326E3"/>
    <w:rsid w:val="00950FD3"/>
    <w:rsid w:val="00957E0F"/>
    <w:rsid w:val="00961F04"/>
    <w:rsid w:val="00964A13"/>
    <w:rsid w:val="00983FEF"/>
    <w:rsid w:val="009A06B2"/>
    <w:rsid w:val="009A21EF"/>
    <w:rsid w:val="009A455B"/>
    <w:rsid w:val="009C01D3"/>
    <w:rsid w:val="009D13D0"/>
    <w:rsid w:val="009E138D"/>
    <w:rsid w:val="00A04B94"/>
    <w:rsid w:val="00A11A21"/>
    <w:rsid w:val="00A14D3A"/>
    <w:rsid w:val="00A4021F"/>
    <w:rsid w:val="00A45E48"/>
    <w:rsid w:val="00A502CC"/>
    <w:rsid w:val="00A53158"/>
    <w:rsid w:val="00A64D59"/>
    <w:rsid w:val="00A67235"/>
    <w:rsid w:val="00A70F44"/>
    <w:rsid w:val="00A92A47"/>
    <w:rsid w:val="00AC0075"/>
    <w:rsid w:val="00AD7FA9"/>
    <w:rsid w:val="00B20B28"/>
    <w:rsid w:val="00B2153B"/>
    <w:rsid w:val="00B314DA"/>
    <w:rsid w:val="00B31CD1"/>
    <w:rsid w:val="00B322D1"/>
    <w:rsid w:val="00B8529E"/>
    <w:rsid w:val="00BA00CF"/>
    <w:rsid w:val="00BA69AE"/>
    <w:rsid w:val="00BD38A4"/>
    <w:rsid w:val="00BE7410"/>
    <w:rsid w:val="00C05B64"/>
    <w:rsid w:val="00C240C5"/>
    <w:rsid w:val="00C36D1E"/>
    <w:rsid w:val="00C458FA"/>
    <w:rsid w:val="00C4683E"/>
    <w:rsid w:val="00C87758"/>
    <w:rsid w:val="00CC1E69"/>
    <w:rsid w:val="00CD00A4"/>
    <w:rsid w:val="00CE1543"/>
    <w:rsid w:val="00CE366C"/>
    <w:rsid w:val="00D051DD"/>
    <w:rsid w:val="00D3099D"/>
    <w:rsid w:val="00D41590"/>
    <w:rsid w:val="00D54F5F"/>
    <w:rsid w:val="00D636AD"/>
    <w:rsid w:val="00D806A2"/>
    <w:rsid w:val="00D849B1"/>
    <w:rsid w:val="00DA2445"/>
    <w:rsid w:val="00DA7E82"/>
    <w:rsid w:val="00DB3BE0"/>
    <w:rsid w:val="00DB76EB"/>
    <w:rsid w:val="00DD05A8"/>
    <w:rsid w:val="00E24886"/>
    <w:rsid w:val="00E53D90"/>
    <w:rsid w:val="00E55BBF"/>
    <w:rsid w:val="00E61AA9"/>
    <w:rsid w:val="00E70261"/>
    <w:rsid w:val="00E91F1D"/>
    <w:rsid w:val="00EA2E07"/>
    <w:rsid w:val="00EC0F0F"/>
    <w:rsid w:val="00ED671F"/>
    <w:rsid w:val="00ED6BB4"/>
    <w:rsid w:val="00EE54C7"/>
    <w:rsid w:val="00EF2E0F"/>
    <w:rsid w:val="00F01EB5"/>
    <w:rsid w:val="00F531CB"/>
    <w:rsid w:val="00FC6AE1"/>
    <w:rsid w:val="00FE40EF"/>
    <w:rsid w:val="00FF5F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543"/>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customStyle="1" w:styleId="TableGrid1">
    <w:name w:val="Table Grid1"/>
    <w:basedOn w:val="TableNormal"/>
    <w:next w:val="TableGrid"/>
    <w:rsid w:val="008F1E9D"/>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F1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EA2E07"/>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5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A6WAAD5KZT2Q-235352946-11197</_dlc_DocId>
    <_dlc_DocIdUrl xmlns="1a33af13-4045-4f88-9d7b-618e30f79918">
      <Url>http://dm/eesc/2025/_layouts/15/DocIdRedir.aspx?ID=A6WAAD5KZT2Q-235352946-11197</Url>
      <Description>A6WAAD5KZT2Q-235352946-11197</Description>
    </_dlc_DocIdUrl>
    <Procedure xmlns="1a33af13-4045-4f88-9d7b-618e30f79918">2025/0240(COD)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2026-01-23T12:00:00+00:00</ProductionDate>
    <FicheYear xmlns="1a33af13-4045-4f88-9d7b-618e30f79918">2025</FicheYear>
    <DocumentNumber xmlns="a3e83899-37aa-47c6-ba54-4ea80e9c17cf">2552</DocumentNumber>
    <DossierNumber xmlns="1a33af13-4045-4f88-9d7b-618e30f79918">683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103</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SVENTEK &amp; MARIN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602</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2026-01-22T12:00:00+00:00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C8D0F6DC-8090-46D5-BCAF-2A4B019B4EB1}"/>
</file>

<file path=customXml/itemProps2.xml><?xml version="1.0" encoding="utf-8"?>
<ds:datastoreItem xmlns:ds="http://schemas.openxmlformats.org/officeDocument/2006/customXml" ds:itemID="{7745A98E-192A-4768-BCD4-D6B116A5297C}"/>
</file>

<file path=customXml/itemProps3.xml><?xml version="1.0" encoding="utf-8"?>
<ds:datastoreItem xmlns:ds="http://schemas.openxmlformats.org/officeDocument/2006/customXml" ds:itemID="{810F5B0F-5649-410D-9DA8-C199E2BB942A}"/>
</file>

<file path=customXml/itemProps4.xml><?xml version="1.0" encoding="utf-8"?>
<ds:datastoreItem xmlns:ds="http://schemas.openxmlformats.org/officeDocument/2006/customXml" ds:itemID="{DECB652B-054B-4FE7-8185-3722E4739CDE}"/>
</file>

<file path=docProps/app.xml><?xml version="1.0" encoding="utf-8"?>
<Properties xmlns="http://schemas.openxmlformats.org/officeDocument/2006/extended-properties" xmlns:vt="http://schemas.openxmlformats.org/officeDocument/2006/docPropsVTypes">
  <Template>Normal</Template>
  <TotalTime>5</TotalTime>
  <Pages>2</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Affordable Housing: Cohesion policy, Urban agenda and civil society</vt:lpstr>
    </vt:vector>
  </TitlesOfParts>
  <Company>CESE-CdR</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Fund for cohesion, agriculture and rural, fisheries and maritime, prosperity and security</dc:title>
  <dc:subject>Record of proceedings</dc:subject>
  <dc:creator>Hilary Morris</dc:creator>
  <cp:keywords>EESC-2025-02552-00-00-CR-TRA-EN</cp:keywords>
  <dc:description>Rapporteur: - SVENTEK &amp; MARIN Original language: - EN Date of document: - 23/01/2026 Date of meeting: -  External documents: - COM(2025)565- final Administrator responsible: -  MELEAS Georgios</dc:description>
  <cp:lastModifiedBy>TDriveSVCUserProd</cp:lastModifiedBy>
  <cp:revision>7</cp:revision>
  <cp:lastPrinted>2004-02-16T15:16:00Z</cp:lastPrinted>
  <dcterms:created xsi:type="dcterms:W3CDTF">2026-01-23T07:51:00Z</dcterms:created>
  <dcterms:modified xsi:type="dcterms:W3CDTF">2026-01-23T15:16:00Z</dcterms:modified>
  <cp:category>ECO/683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a7e5ca77-7f9d-495e-b419-54ace271c088</vt:lpwstr>
  </property>
  <property fmtid="{D5CDD505-2E9C-101B-9397-08002B2CF9AE}" pid="9" name="Procedure">
    <vt:lpwstr>2025/0240(COD)</vt:lpwstr>
  </property>
  <property fmtid="{D5CDD505-2E9C-101B-9397-08002B2CF9AE}" pid="10" name="AvailableTranslations">
    <vt:lpwstr>5;#EN|f2175f21-25d7-44a3-96da-d6a61b075e1b</vt:lpwstr>
  </property>
  <property fmtid="{D5CDD505-2E9C-101B-9397-08002B2CF9AE}" pid="11" name="DocumentType_0">
    <vt:lpwstr>CR|3d8a0a7b-557a-49c4-997f-22056dbd9ff4</vt:lpwstr>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2552</vt:i4>
  </property>
  <property fmtid="{D5CDD505-2E9C-101B-9397-08002B2CF9AE}" pid="15" name="FicheYear">
    <vt:i4>2025</vt:i4>
  </property>
  <property fmtid="{D5CDD505-2E9C-101B-9397-08002B2CF9AE}" pid="16" name="DocumentVersion">
    <vt:i4>0</vt:i4>
  </property>
  <property fmtid="{D5CDD505-2E9C-101B-9397-08002B2CF9AE}" pid="17" name="DossierNumber">
    <vt:i4>683</vt:i4>
  </property>
  <property fmtid="{D5CDD505-2E9C-101B-9397-08002B2CF9AE}" pid="18" name="DocumentStatus">
    <vt:lpwstr>3;#REF|722611fd-7eaf-44e3-8780-a3226646f5f0</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7" name="AvailableTranslations_0">
    <vt:lpwstr/>
  </property>
  <property fmtid="{D5CDD505-2E9C-101B-9397-08002B2CF9AE}" pid="28" name="DocumentStatus_0">
    <vt:lpwstr>REF|722611fd-7eaf-44e3-8780-a3226646f5f0</vt:lpwstr>
  </property>
  <property fmtid="{D5CDD505-2E9C-101B-9397-08002B2CF9AE}" pid="29" name="OriginalLanguage_0">
    <vt:lpwstr>EN|f2175f21-25d7-44a3-96da-d6a61b075e1b</vt:lpwstr>
  </property>
  <property fmtid="{D5CDD505-2E9C-101B-9397-08002B2CF9AE}" pid="30" name="TaxCatchAll">
    <vt:lpwstr>15;#Unrestricted|826e22d7-d029-4ec0-a450-0c28ff673572;#78;#CR|3d8a0a7b-557a-49c4-997f-22056dbd9ff4;#103;#ECO|8df351f5-c957-404c-8cf3-8ffb22c9cba2;#8;#Final|ea5e6674-7b27-4bac-b091-73adbb394efe;#5;#EN|f2175f21-25d7-44a3-96da-d6a61b075e1b;#3;#REF|722611fd-7eaf-44e3-8780-a3226646f5f0;#1;#EESC|422833ec-8d7e-4e65-8e4e-8bed07ffb729</vt:lpwstr>
  </property>
  <property fmtid="{D5CDD505-2E9C-101B-9397-08002B2CF9AE}" pid="31" name="Rapporteur">
    <vt:lpwstr>SVENTEK &amp; MARIN</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602</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AdoptionDate">
    <vt:filetime>2026-01-22T12:00:00Z</vt:filetime>
  </property>
  <property fmtid="{D5CDD505-2E9C-101B-9397-08002B2CF9AE}" pid="39" name="DocumentType">
    <vt:lpwstr>78;#CR|3d8a0a7b-557a-49c4-997f-22056dbd9ff4</vt:lpwstr>
  </property>
  <property fmtid="{D5CDD505-2E9C-101B-9397-08002B2CF9AE}" pid="40" name="DocumentLanguage">
    <vt:lpwstr>5;#EN|f2175f21-25d7-44a3-96da-d6a61b075e1b</vt:lpwstr>
  </property>
  <property fmtid="{D5CDD505-2E9C-101B-9397-08002B2CF9AE}" pid="41" name="_docset_NoMedatataSyncRequired">
    <vt:lpwstr>False</vt:lpwstr>
  </property>
</Properties>
</file>