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1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1014"/>
      </w:tblGrid>
      <w:tr w:rsidR="001C4138" w:rsidRPr="004F6117" w14:paraId="30B76F57" w14:textId="77777777" w:rsidTr="00DF6750">
        <w:trPr>
          <w:jc w:val="center"/>
        </w:trPr>
        <w:tc>
          <w:tcPr>
            <w:tcW w:w="11014" w:type="dxa"/>
          </w:tcPr>
          <w:p w14:paraId="3A99935F" w14:textId="7D5698A5" w:rsidR="001C4138" w:rsidRPr="004F6117" w:rsidRDefault="009E6E9E" w:rsidP="00F60C76">
            <w:pPr>
              <w:spacing w:before="120" w:after="120"/>
              <w:rPr>
                <w:rFonts w:ascii="Times New Roman" w:hAnsi="Times New Roman"/>
                <w:b/>
                <w:sz w:val="24"/>
                <w:szCs w:val="24"/>
              </w:rPr>
            </w:pPr>
            <w:r w:rsidRPr="00B82989">
              <w:rPr>
                <w:rFonts w:ascii="Times New Roman" w:hAnsi="Times New Roman"/>
                <w:b/>
                <w:sz w:val="24"/>
                <w:szCs w:val="24"/>
              </w:rPr>
              <w:t>European Preparedness Union Strategy</w:t>
            </w:r>
            <w:r w:rsidR="00554137" w:rsidRPr="00B82989">
              <w:rPr>
                <w:rFonts w:ascii="Times New Roman" w:hAnsi="Times New Roman"/>
                <w:b/>
                <w:sz w:val="24"/>
                <w:szCs w:val="24"/>
              </w:rPr>
              <w:br/>
              <w:t>(</w:t>
            </w:r>
            <w:r w:rsidRPr="00B82989">
              <w:rPr>
                <w:rFonts w:ascii="Times New Roman" w:hAnsi="Times New Roman"/>
                <w:b/>
                <w:sz w:val="24"/>
                <w:szCs w:val="24"/>
              </w:rPr>
              <w:t>own-initiative opinion)</w:t>
            </w:r>
            <w:r w:rsidR="00F60C76">
              <w:rPr>
                <w:rFonts w:ascii="Times New Roman" w:hAnsi="Times New Roman"/>
                <w:b/>
                <w:sz w:val="24"/>
                <w:szCs w:val="24"/>
              </w:rPr>
              <w:br/>
            </w:r>
            <w:proofErr w:type="gramStart"/>
            <w:r w:rsidR="00B82989" w:rsidRPr="00B82989">
              <w:rPr>
                <w:rFonts w:ascii="Times New Roman" w:hAnsi="Times New Roman"/>
                <w:b/>
                <w:sz w:val="24"/>
                <w:szCs w:val="24"/>
              </w:rPr>
              <w:t>JOIN(</w:t>
            </w:r>
            <w:proofErr w:type="gramEnd"/>
            <w:r w:rsidRPr="00B82989">
              <w:rPr>
                <w:rFonts w:ascii="Times New Roman" w:hAnsi="Times New Roman"/>
                <w:b/>
                <w:sz w:val="24"/>
                <w:szCs w:val="24"/>
              </w:rPr>
              <w:t>2025) 130</w:t>
            </w:r>
            <w:r w:rsidR="00B82989">
              <w:rPr>
                <w:rFonts w:ascii="Times New Roman" w:hAnsi="Times New Roman"/>
                <w:b/>
                <w:sz w:val="24"/>
                <w:szCs w:val="24"/>
              </w:rPr>
              <w:t xml:space="preserve"> final</w:t>
            </w:r>
            <w:r w:rsidR="00554137" w:rsidRPr="00B82989">
              <w:rPr>
                <w:rFonts w:ascii="Times New Roman" w:hAnsi="Times New Roman"/>
                <w:b/>
                <w:sz w:val="24"/>
                <w:szCs w:val="24"/>
              </w:rPr>
              <w:br/>
            </w:r>
            <w:r w:rsidR="00554137" w:rsidRPr="00B82989">
              <w:rPr>
                <w:rFonts w:ascii="Times New Roman" w:hAnsi="Times New Roman"/>
                <w:b/>
                <w:sz w:val="24"/>
                <w:szCs w:val="24"/>
                <w:lang w:val="en-IE"/>
              </w:rPr>
              <w:t>EESC-2025-0</w:t>
            </w:r>
            <w:r w:rsidRPr="00B82989">
              <w:rPr>
                <w:rFonts w:ascii="Times New Roman" w:hAnsi="Times New Roman"/>
                <w:b/>
                <w:sz w:val="24"/>
                <w:szCs w:val="24"/>
                <w:lang w:val="en-IE"/>
              </w:rPr>
              <w:t>1292</w:t>
            </w:r>
            <w:r w:rsidR="00554137" w:rsidRPr="00B82989">
              <w:rPr>
                <w:rFonts w:ascii="Times New Roman" w:hAnsi="Times New Roman"/>
                <w:b/>
                <w:sz w:val="24"/>
                <w:szCs w:val="24"/>
                <w:lang w:val="en-IE"/>
              </w:rPr>
              <w:t xml:space="preserve"> </w:t>
            </w:r>
            <w:r w:rsidR="00B82989" w:rsidRPr="00B82989">
              <w:rPr>
                <w:rFonts w:ascii="Times New Roman" w:hAnsi="Times New Roman"/>
                <w:b/>
                <w:sz w:val="24"/>
                <w:szCs w:val="24"/>
              </w:rPr>
              <w:t>–</w:t>
            </w:r>
            <w:r w:rsidR="00B82989">
              <w:rPr>
                <w:rFonts w:ascii="Times New Roman" w:hAnsi="Times New Roman"/>
                <w:b/>
                <w:sz w:val="24"/>
                <w:szCs w:val="24"/>
              </w:rPr>
              <w:t xml:space="preserve"> </w:t>
            </w:r>
            <w:r w:rsidRPr="00B82989">
              <w:rPr>
                <w:rFonts w:ascii="Times New Roman" w:hAnsi="Times New Roman"/>
                <w:b/>
                <w:sz w:val="24"/>
                <w:szCs w:val="24"/>
                <w:lang w:val="en-IE"/>
              </w:rPr>
              <w:t>SC/54</w:t>
            </w:r>
            <w:r w:rsidR="00554137" w:rsidRPr="00B82989">
              <w:rPr>
                <w:rFonts w:ascii="Times New Roman" w:hAnsi="Times New Roman"/>
                <w:b/>
                <w:sz w:val="24"/>
                <w:szCs w:val="24"/>
              </w:rPr>
              <w:br/>
              <w:t>59</w:t>
            </w:r>
            <w:r w:rsidRPr="00B82989">
              <w:rPr>
                <w:rFonts w:ascii="Times New Roman" w:hAnsi="Times New Roman"/>
                <w:b/>
                <w:sz w:val="24"/>
                <w:szCs w:val="24"/>
              </w:rPr>
              <w:t>9</w:t>
            </w:r>
            <w:proofErr w:type="spellStart"/>
            <w:r w:rsidR="00554137" w:rsidRPr="00B82989">
              <w:rPr>
                <w:rFonts w:ascii="Times New Roman" w:hAnsi="Times New Roman"/>
                <w:b/>
                <w:sz w:val="24"/>
                <w:szCs w:val="24"/>
                <w:vertAlign w:val="superscript"/>
                <w:lang w:val="en-IE"/>
              </w:rPr>
              <w:t>th</w:t>
            </w:r>
            <w:proofErr w:type="spellEnd"/>
            <w:r w:rsidR="00554137" w:rsidRPr="00B82989">
              <w:rPr>
                <w:rFonts w:ascii="Times New Roman" w:hAnsi="Times New Roman"/>
                <w:b/>
                <w:sz w:val="24"/>
                <w:szCs w:val="24"/>
                <w:lang w:val="en-IE"/>
              </w:rPr>
              <w:t xml:space="preserve"> </w:t>
            </w:r>
            <w:r w:rsidR="00554137" w:rsidRPr="00B82989">
              <w:rPr>
                <w:rFonts w:ascii="Times New Roman" w:hAnsi="Times New Roman"/>
                <w:b/>
                <w:sz w:val="24"/>
                <w:szCs w:val="24"/>
              </w:rPr>
              <w:t xml:space="preserve">Plenary Session – </w:t>
            </w:r>
            <w:r w:rsidR="00B82989">
              <w:rPr>
                <w:rFonts w:ascii="Times New Roman" w:hAnsi="Times New Roman"/>
                <w:b/>
                <w:sz w:val="24"/>
                <w:szCs w:val="24"/>
              </w:rPr>
              <w:t>September</w:t>
            </w:r>
            <w:r w:rsidR="00554137" w:rsidRPr="00B82989">
              <w:rPr>
                <w:rFonts w:ascii="Times New Roman" w:hAnsi="Times New Roman"/>
                <w:b/>
                <w:sz w:val="24"/>
                <w:szCs w:val="24"/>
              </w:rPr>
              <w:t xml:space="preserve"> 2025</w:t>
            </w:r>
            <w:r w:rsidR="00554137" w:rsidRPr="00B82989">
              <w:rPr>
                <w:rFonts w:ascii="Times New Roman" w:hAnsi="Times New Roman"/>
                <w:b/>
                <w:sz w:val="24"/>
                <w:szCs w:val="24"/>
              </w:rPr>
              <w:br/>
              <w:t xml:space="preserve">Rapporteur: </w:t>
            </w:r>
            <w:r w:rsidRPr="00B82989">
              <w:rPr>
                <w:rFonts w:ascii="Times New Roman" w:hAnsi="Times New Roman"/>
                <w:b/>
                <w:sz w:val="24"/>
                <w:szCs w:val="24"/>
                <w:lang w:val="en-IE"/>
              </w:rPr>
              <w:t xml:space="preserve">Tomas ARVIDSSON (SE/I), </w:t>
            </w:r>
            <w:r w:rsidRPr="00B82989">
              <w:rPr>
                <w:rFonts w:ascii="Times New Roman" w:hAnsi="Times New Roman"/>
                <w:b/>
                <w:sz w:val="24"/>
                <w:szCs w:val="24"/>
              </w:rPr>
              <w:t>Giulia BARBUCCI (IT/II), Ariane RODERT</w:t>
            </w:r>
            <w:r w:rsidR="00B82989">
              <w:rPr>
                <w:rFonts w:ascii="Times New Roman" w:hAnsi="Times New Roman"/>
                <w:b/>
                <w:sz w:val="24"/>
                <w:szCs w:val="24"/>
              </w:rPr>
              <w:t xml:space="preserve"> (SE/III)</w:t>
            </w:r>
            <w:r w:rsidRPr="00B82989">
              <w:rPr>
                <w:rFonts w:ascii="Times New Roman" w:hAnsi="Times New Roman"/>
                <w:b/>
                <w:sz w:val="24"/>
                <w:szCs w:val="24"/>
              </w:rPr>
              <w:br/>
            </w:r>
            <w:r w:rsidR="00554137" w:rsidRPr="00B82989">
              <w:rPr>
                <w:rFonts w:ascii="Times New Roman" w:hAnsi="Times New Roman"/>
                <w:b/>
                <w:sz w:val="24"/>
                <w:szCs w:val="24"/>
              </w:rPr>
              <w:t xml:space="preserve">DG </w:t>
            </w:r>
            <w:r w:rsidRPr="00B82989">
              <w:rPr>
                <w:rFonts w:ascii="Times New Roman" w:hAnsi="Times New Roman"/>
                <w:b/>
                <w:sz w:val="24"/>
                <w:szCs w:val="24"/>
              </w:rPr>
              <w:t>ECHO</w:t>
            </w:r>
            <w:r w:rsidR="00554137" w:rsidRPr="00B82989">
              <w:rPr>
                <w:rFonts w:ascii="Times New Roman" w:hAnsi="Times New Roman"/>
                <w:b/>
                <w:sz w:val="24"/>
                <w:szCs w:val="24"/>
              </w:rPr>
              <w:t xml:space="preserve"> – Commissioner </w:t>
            </w:r>
            <w:r w:rsidRPr="00B82989">
              <w:rPr>
                <w:rFonts w:ascii="Times New Roman" w:hAnsi="Times New Roman"/>
                <w:b/>
                <w:sz w:val="24"/>
                <w:szCs w:val="24"/>
              </w:rPr>
              <w:t>LAHBIB</w:t>
            </w:r>
          </w:p>
        </w:tc>
      </w:tr>
      <w:tr w:rsidR="004F6117" w:rsidRPr="004F6117" w14:paraId="041809D9" w14:textId="77777777" w:rsidTr="00DF6750">
        <w:trPr>
          <w:jc w:val="center"/>
        </w:trPr>
        <w:tc>
          <w:tcPr>
            <w:tcW w:w="11014" w:type="dxa"/>
          </w:tcPr>
          <w:p w14:paraId="52C253DC" w14:textId="6A508979" w:rsidR="004F6117" w:rsidRPr="004F6117" w:rsidRDefault="0049246C" w:rsidP="0049246C">
            <w:pPr>
              <w:spacing w:before="120" w:after="120"/>
              <w:jc w:val="center"/>
              <w:rPr>
                <w:rFonts w:ascii="Times New Roman" w:hAnsi="Times New Roman"/>
                <w:b/>
                <w:sz w:val="24"/>
                <w:szCs w:val="24"/>
                <w:highlight w:val="yellow"/>
              </w:rPr>
            </w:pPr>
            <w:r w:rsidRPr="004F6117">
              <w:rPr>
                <w:rFonts w:ascii="Times New Roman" w:hAnsi="Times New Roman"/>
                <w:b/>
                <w:sz w:val="24"/>
                <w:szCs w:val="24"/>
              </w:rPr>
              <w:t>European Commission position on points</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4F6117" w:rsidRPr="004F6117" w14:paraId="461CAB07" w14:textId="77777777" w:rsidTr="00DF6750">
        <w:trPr>
          <w:jc w:val="center"/>
        </w:trPr>
        <w:tc>
          <w:tcPr>
            <w:tcW w:w="11014" w:type="dxa"/>
          </w:tcPr>
          <w:p w14:paraId="1BC6A6B5" w14:textId="0D8A0F25" w:rsidR="00BB64B0" w:rsidRPr="009C423F" w:rsidRDefault="00BB64B0" w:rsidP="00DF6750">
            <w:pPr>
              <w:widowControl w:val="0"/>
              <w:spacing w:before="120" w:after="120"/>
              <w:jc w:val="both"/>
              <w:rPr>
                <w:rFonts w:ascii="Times New Roman" w:hAnsi="Times New Roman"/>
                <w:sz w:val="24"/>
                <w:szCs w:val="24"/>
                <w:u w:val="single"/>
              </w:rPr>
            </w:pPr>
            <w:r w:rsidRPr="009C423F">
              <w:rPr>
                <w:rFonts w:ascii="Times New Roman" w:hAnsi="Times New Roman"/>
                <w:sz w:val="24"/>
                <w:szCs w:val="24"/>
              </w:rPr>
              <w:t xml:space="preserve">The Commission </w:t>
            </w:r>
            <w:r w:rsidR="00102F49" w:rsidRPr="009C423F">
              <w:rPr>
                <w:rFonts w:ascii="Times New Roman" w:hAnsi="Times New Roman"/>
                <w:sz w:val="24"/>
                <w:szCs w:val="24"/>
              </w:rPr>
              <w:t>welcomes</w:t>
            </w:r>
            <w:r w:rsidRPr="009C423F">
              <w:rPr>
                <w:rFonts w:ascii="Times New Roman" w:hAnsi="Times New Roman"/>
                <w:sz w:val="24"/>
                <w:szCs w:val="24"/>
              </w:rPr>
              <w:t xml:space="preserve"> the </w:t>
            </w:r>
            <w:r w:rsidR="00EA40CE" w:rsidRPr="009C423F">
              <w:rPr>
                <w:rFonts w:ascii="Times New Roman" w:hAnsi="Times New Roman"/>
                <w:sz w:val="24"/>
                <w:szCs w:val="24"/>
              </w:rPr>
              <w:t>Committee</w:t>
            </w:r>
            <w:r w:rsidRPr="009C423F">
              <w:rPr>
                <w:rFonts w:ascii="Times New Roman" w:hAnsi="Times New Roman"/>
                <w:sz w:val="24"/>
                <w:szCs w:val="24"/>
              </w:rPr>
              <w:t xml:space="preserve"> opinion on the European Preparedness Union Strategy</w:t>
            </w:r>
            <w:r w:rsidR="00DF6750">
              <w:rPr>
                <w:rFonts w:ascii="Times New Roman" w:hAnsi="Times New Roman"/>
                <w:sz w:val="24"/>
                <w:szCs w:val="24"/>
              </w:rPr>
              <w:t> </w:t>
            </w:r>
            <w:r w:rsidR="00102F49" w:rsidRPr="009C423F">
              <w:rPr>
                <w:rFonts w:ascii="Times New Roman" w:hAnsi="Times New Roman"/>
                <w:sz w:val="24"/>
                <w:szCs w:val="24"/>
              </w:rPr>
              <w:t>(PUS)</w:t>
            </w:r>
            <w:r w:rsidRPr="009C423F">
              <w:rPr>
                <w:rFonts w:ascii="Times New Roman" w:hAnsi="Times New Roman"/>
                <w:sz w:val="24"/>
                <w:szCs w:val="24"/>
              </w:rPr>
              <w:t xml:space="preserve"> and all the concerns raised </w:t>
            </w:r>
            <w:proofErr w:type="gramStart"/>
            <w:r w:rsidR="001D276E" w:rsidRPr="009C423F">
              <w:rPr>
                <w:rFonts w:ascii="Times New Roman" w:hAnsi="Times New Roman"/>
                <w:sz w:val="24"/>
                <w:szCs w:val="24"/>
              </w:rPr>
              <w:t>with regard to</w:t>
            </w:r>
            <w:proofErr w:type="gramEnd"/>
            <w:r w:rsidRPr="009C423F">
              <w:rPr>
                <w:rFonts w:ascii="Times New Roman" w:hAnsi="Times New Roman"/>
                <w:sz w:val="24"/>
                <w:szCs w:val="24"/>
              </w:rPr>
              <w:t xml:space="preserve"> this relevant topic</w:t>
            </w:r>
            <w:r w:rsidR="00102F49" w:rsidRPr="009C423F">
              <w:rPr>
                <w:rFonts w:ascii="Times New Roman" w:hAnsi="Times New Roman"/>
                <w:sz w:val="24"/>
                <w:szCs w:val="24"/>
              </w:rPr>
              <w:t>.</w:t>
            </w:r>
            <w:r w:rsidRPr="009C423F">
              <w:rPr>
                <w:rFonts w:ascii="Times New Roman" w:hAnsi="Times New Roman"/>
                <w:sz w:val="24"/>
                <w:szCs w:val="24"/>
              </w:rPr>
              <w:t xml:space="preserve"> At a time when Europe is facing enormous challenges in terms of safety and security, the Commission </w:t>
            </w:r>
            <w:r w:rsidR="001D276E" w:rsidRPr="009C423F">
              <w:rPr>
                <w:rFonts w:ascii="Times New Roman" w:hAnsi="Times New Roman"/>
                <w:sz w:val="24"/>
                <w:szCs w:val="24"/>
              </w:rPr>
              <w:t xml:space="preserve">attaches much importance </w:t>
            </w:r>
            <w:r w:rsidR="006C1DD6" w:rsidRPr="009C423F">
              <w:rPr>
                <w:rFonts w:ascii="Times New Roman" w:hAnsi="Times New Roman"/>
                <w:sz w:val="24"/>
                <w:szCs w:val="24"/>
              </w:rPr>
              <w:t>to the</w:t>
            </w:r>
            <w:r w:rsidRPr="009C423F">
              <w:rPr>
                <w:rFonts w:ascii="Times New Roman" w:hAnsi="Times New Roman"/>
                <w:sz w:val="24"/>
                <w:szCs w:val="24"/>
              </w:rPr>
              <w:t xml:space="preserve"> engagement of all relevant partners and stakeholders</w:t>
            </w:r>
            <w:r w:rsidR="00102F49" w:rsidRPr="009C423F">
              <w:rPr>
                <w:rFonts w:ascii="Times New Roman" w:hAnsi="Times New Roman"/>
                <w:sz w:val="24"/>
                <w:szCs w:val="24"/>
              </w:rPr>
              <w:t xml:space="preserve"> in this file</w:t>
            </w:r>
            <w:r w:rsidRPr="009C423F">
              <w:rPr>
                <w:rFonts w:ascii="Times New Roman" w:hAnsi="Times New Roman"/>
                <w:sz w:val="24"/>
                <w:szCs w:val="24"/>
              </w:rPr>
              <w:t xml:space="preserve">, so </w:t>
            </w:r>
            <w:r w:rsidR="002743E4" w:rsidRPr="009C423F">
              <w:rPr>
                <w:rFonts w:ascii="Times New Roman" w:hAnsi="Times New Roman"/>
                <w:sz w:val="24"/>
                <w:szCs w:val="24"/>
              </w:rPr>
              <w:t>it</w:t>
            </w:r>
            <w:r w:rsidRPr="009C423F">
              <w:rPr>
                <w:rFonts w:ascii="Times New Roman" w:hAnsi="Times New Roman"/>
                <w:sz w:val="24"/>
                <w:szCs w:val="24"/>
              </w:rPr>
              <w:t xml:space="preserve"> can increase </w:t>
            </w:r>
            <w:r w:rsidR="002743E4" w:rsidRPr="009C423F">
              <w:rPr>
                <w:rFonts w:ascii="Times New Roman" w:hAnsi="Times New Roman"/>
                <w:sz w:val="24"/>
                <w:szCs w:val="24"/>
              </w:rPr>
              <w:t>EU</w:t>
            </w:r>
            <w:r w:rsidRPr="009C423F">
              <w:rPr>
                <w:rFonts w:ascii="Times New Roman" w:hAnsi="Times New Roman"/>
                <w:sz w:val="24"/>
                <w:szCs w:val="24"/>
              </w:rPr>
              <w:t xml:space="preserve"> preparedness levels and work in a more integrated approach</w:t>
            </w:r>
            <w:r w:rsidR="000973E8" w:rsidRPr="009C423F">
              <w:rPr>
                <w:rFonts w:ascii="Times New Roman" w:hAnsi="Times New Roman"/>
                <w:sz w:val="24"/>
                <w:szCs w:val="24"/>
              </w:rPr>
              <w:t>. In particular, the Commission would like to highlight the following points:</w:t>
            </w:r>
          </w:p>
          <w:p w14:paraId="423C272F" w14:textId="77777777" w:rsidR="000973E8" w:rsidRPr="009C423F" w:rsidRDefault="000973E8" w:rsidP="00DF6750">
            <w:pPr>
              <w:widowControl w:val="0"/>
              <w:spacing w:before="120" w:after="120"/>
              <w:jc w:val="both"/>
              <w:rPr>
                <w:rFonts w:ascii="Times New Roman" w:hAnsi="Times New Roman"/>
                <w:sz w:val="24"/>
                <w:szCs w:val="24"/>
                <w:u w:val="single"/>
              </w:rPr>
            </w:pPr>
            <w:r w:rsidRPr="009C423F">
              <w:rPr>
                <w:rFonts w:ascii="Times New Roman" w:hAnsi="Times New Roman"/>
                <w:sz w:val="24"/>
                <w:szCs w:val="24"/>
                <w:u w:val="single"/>
              </w:rPr>
              <w:t>Point 1.1 of the opinion</w:t>
            </w:r>
            <w:r w:rsidRPr="009C423F">
              <w:rPr>
                <w:rFonts w:ascii="Times New Roman" w:hAnsi="Times New Roman"/>
                <w:sz w:val="24"/>
                <w:szCs w:val="24"/>
              </w:rPr>
              <w:t>: The Commission shares the urgency/need of strengthening preparedness to respond to increasingly complex crises, from natural disasters up to a full-armed aggression scenario.</w:t>
            </w:r>
          </w:p>
          <w:p w14:paraId="2EF63E4E" w14:textId="6B5F1257" w:rsidR="00BB64B0" w:rsidRPr="009C423F" w:rsidRDefault="00BB64B0" w:rsidP="00DF6750">
            <w:pPr>
              <w:widowControl w:val="0"/>
              <w:spacing w:before="120" w:after="120"/>
              <w:jc w:val="both"/>
              <w:rPr>
                <w:rFonts w:ascii="Times New Roman" w:hAnsi="Times New Roman"/>
                <w:sz w:val="24"/>
                <w:szCs w:val="24"/>
              </w:rPr>
            </w:pPr>
            <w:r w:rsidRPr="009C423F">
              <w:rPr>
                <w:rFonts w:ascii="Times New Roman" w:hAnsi="Times New Roman"/>
                <w:sz w:val="24"/>
                <w:szCs w:val="24"/>
                <w:u w:val="single"/>
              </w:rPr>
              <w:t>Point 1.2</w:t>
            </w:r>
            <w:r w:rsidR="00390979" w:rsidRPr="009C423F">
              <w:rPr>
                <w:rFonts w:ascii="Times New Roman" w:hAnsi="Times New Roman"/>
                <w:sz w:val="24"/>
                <w:szCs w:val="24"/>
                <w:u w:val="single"/>
              </w:rPr>
              <w:t xml:space="preserve"> and 2.6.1</w:t>
            </w:r>
            <w:r w:rsidRPr="009C423F">
              <w:rPr>
                <w:rFonts w:ascii="Times New Roman" w:hAnsi="Times New Roman"/>
                <w:sz w:val="24"/>
                <w:szCs w:val="24"/>
                <w:u w:val="single"/>
              </w:rPr>
              <w:t xml:space="preserve"> of the opinion:</w:t>
            </w:r>
            <w:r w:rsidRPr="009C423F">
              <w:rPr>
                <w:rFonts w:ascii="Times New Roman" w:hAnsi="Times New Roman"/>
                <w:sz w:val="24"/>
                <w:szCs w:val="24"/>
              </w:rPr>
              <w:t xml:space="preserve"> </w:t>
            </w:r>
            <w:r w:rsidRPr="009C423F">
              <w:rPr>
                <w:rFonts w:ascii="Times New Roman" w:eastAsia="Times New Roman" w:hAnsi="Times New Roman"/>
                <w:sz w:val="24"/>
                <w:szCs w:val="24"/>
              </w:rPr>
              <w:t xml:space="preserve">The Commission agrees with the Committee in this </w:t>
            </w:r>
            <w:r w:rsidR="00102F49" w:rsidRPr="009C423F">
              <w:rPr>
                <w:rFonts w:ascii="Times New Roman" w:eastAsia="Times New Roman" w:hAnsi="Times New Roman"/>
                <w:sz w:val="24"/>
                <w:szCs w:val="24"/>
              </w:rPr>
              <w:t>regard and</w:t>
            </w:r>
            <w:r w:rsidRPr="009C423F">
              <w:rPr>
                <w:rFonts w:ascii="Times New Roman" w:eastAsia="Times New Roman" w:hAnsi="Times New Roman"/>
                <w:sz w:val="24"/>
                <w:szCs w:val="24"/>
              </w:rPr>
              <w:t xml:space="preserve"> </w:t>
            </w:r>
            <w:r w:rsidR="00102F49" w:rsidRPr="009C423F">
              <w:rPr>
                <w:rFonts w:ascii="Times New Roman" w:eastAsia="Times New Roman" w:hAnsi="Times New Roman"/>
                <w:sz w:val="24"/>
                <w:szCs w:val="24"/>
              </w:rPr>
              <w:t>would like</w:t>
            </w:r>
            <w:r w:rsidRPr="009C423F">
              <w:rPr>
                <w:rFonts w:ascii="Times New Roman" w:eastAsia="Times New Roman" w:hAnsi="Times New Roman"/>
                <w:sz w:val="24"/>
                <w:szCs w:val="24"/>
              </w:rPr>
              <w:t xml:space="preserve"> to stress that the respect of international humanitarian law</w:t>
            </w:r>
            <w:r w:rsidR="00F60C76" w:rsidRPr="009C423F">
              <w:rPr>
                <w:rFonts w:ascii="Times New Roman" w:eastAsia="Times New Roman" w:hAnsi="Times New Roman"/>
                <w:sz w:val="24"/>
                <w:szCs w:val="24"/>
              </w:rPr>
              <w:t> </w:t>
            </w:r>
            <w:r w:rsidR="00B15E53" w:rsidRPr="009C423F">
              <w:rPr>
                <w:rFonts w:ascii="Times New Roman" w:eastAsia="Times New Roman" w:hAnsi="Times New Roman"/>
                <w:sz w:val="24"/>
                <w:szCs w:val="24"/>
              </w:rPr>
              <w:t>(IHL)</w:t>
            </w:r>
            <w:r w:rsidR="00F60C76" w:rsidRPr="009C423F">
              <w:rPr>
                <w:rFonts w:ascii="Times New Roman" w:eastAsia="Times New Roman" w:hAnsi="Times New Roman"/>
                <w:sz w:val="24"/>
                <w:szCs w:val="24"/>
              </w:rPr>
              <w:t xml:space="preserve"> </w:t>
            </w:r>
            <w:r w:rsidRPr="009C423F">
              <w:rPr>
                <w:rFonts w:ascii="Times New Roman" w:eastAsia="Times New Roman" w:hAnsi="Times New Roman"/>
                <w:sz w:val="24"/>
                <w:szCs w:val="24"/>
              </w:rPr>
              <w:t>is fully considered in the framework of this strategy</w:t>
            </w:r>
            <w:r w:rsidRPr="009C423F">
              <w:rPr>
                <w:rFonts w:ascii="Times New Roman" w:hAnsi="Times New Roman"/>
                <w:sz w:val="24"/>
                <w:szCs w:val="24"/>
              </w:rPr>
              <w:t>.</w:t>
            </w:r>
            <w:r w:rsidR="00390979" w:rsidRPr="009C423F">
              <w:rPr>
                <w:rFonts w:ascii="Times New Roman" w:hAnsi="Times New Roman"/>
                <w:sz w:val="24"/>
                <w:szCs w:val="24"/>
              </w:rPr>
              <w:t xml:space="preserve"> F</w:t>
            </w:r>
            <w:r w:rsidR="00390979" w:rsidRPr="009C423F">
              <w:rPr>
                <w:rFonts w:ascii="Times New Roman" w:eastAsia="Times New Roman" w:hAnsi="Times New Roman"/>
                <w:sz w:val="24"/>
                <w:szCs w:val="24"/>
              </w:rPr>
              <w:t>undamental rights, and international humanitarian law, must be respected under all circumstances, including in an extreme crisis or as well as armed conflict.</w:t>
            </w:r>
          </w:p>
          <w:p w14:paraId="293E8507" w14:textId="21E49A07" w:rsidR="004F6117" w:rsidRPr="009C423F" w:rsidRDefault="00BB64B0" w:rsidP="00DF6750">
            <w:pPr>
              <w:widowControl w:val="0"/>
              <w:spacing w:before="120" w:after="120"/>
              <w:jc w:val="both"/>
              <w:rPr>
                <w:rFonts w:ascii="Times New Roman" w:eastAsia="Times New Roman" w:hAnsi="Times New Roman"/>
                <w:sz w:val="24"/>
                <w:szCs w:val="24"/>
              </w:rPr>
            </w:pPr>
            <w:r w:rsidRPr="009C423F">
              <w:rPr>
                <w:rFonts w:ascii="Times New Roman" w:hAnsi="Times New Roman"/>
                <w:sz w:val="24"/>
                <w:szCs w:val="24"/>
                <w:u w:val="single"/>
              </w:rPr>
              <w:t>Point 1.4 of the opinion:</w:t>
            </w:r>
            <w:r w:rsidRPr="009C423F">
              <w:rPr>
                <w:rFonts w:ascii="Times New Roman" w:hAnsi="Times New Roman"/>
                <w:sz w:val="24"/>
                <w:szCs w:val="24"/>
              </w:rPr>
              <w:t xml:space="preserve"> </w:t>
            </w:r>
            <w:r w:rsidRPr="009C423F">
              <w:rPr>
                <w:rFonts w:ascii="Times New Roman" w:eastAsia="Times New Roman" w:hAnsi="Times New Roman"/>
                <w:sz w:val="24"/>
                <w:szCs w:val="24"/>
              </w:rPr>
              <w:t xml:space="preserve">The </w:t>
            </w:r>
            <w:r w:rsidR="00102F49" w:rsidRPr="009C423F">
              <w:rPr>
                <w:rFonts w:ascii="Times New Roman" w:eastAsia="Times New Roman" w:hAnsi="Times New Roman"/>
                <w:sz w:val="24"/>
                <w:szCs w:val="24"/>
              </w:rPr>
              <w:t>PUS</w:t>
            </w:r>
            <w:r w:rsidRPr="009C423F">
              <w:rPr>
                <w:rFonts w:ascii="Times New Roman" w:eastAsia="Times New Roman" w:hAnsi="Times New Roman"/>
                <w:sz w:val="24"/>
                <w:szCs w:val="24"/>
              </w:rPr>
              <w:t xml:space="preserve"> underlines the relevance of civil society specifically by covering a</w:t>
            </w:r>
            <w:r w:rsidR="00EA40CE" w:rsidRPr="009C423F">
              <w:rPr>
                <w:rFonts w:ascii="Times New Roman" w:eastAsia="Times New Roman" w:hAnsi="Times New Roman"/>
                <w:sz w:val="24"/>
                <w:szCs w:val="24"/>
              </w:rPr>
              <w:t> </w:t>
            </w:r>
            <w:r w:rsidRPr="009C423F">
              <w:rPr>
                <w:rFonts w:ascii="Times New Roman" w:eastAsia="Times New Roman" w:hAnsi="Times New Roman"/>
                <w:sz w:val="24"/>
                <w:szCs w:val="24"/>
              </w:rPr>
              <w:t>whole-of-society approach</w:t>
            </w:r>
            <w:r w:rsidR="00AD47DF" w:rsidRPr="009C423F">
              <w:rPr>
                <w:rFonts w:ascii="Times New Roman" w:hAnsi="Times New Roman"/>
                <w:sz w:val="24"/>
                <w:szCs w:val="24"/>
              </w:rPr>
              <w:t xml:space="preserve">, </w:t>
            </w:r>
            <w:r w:rsidR="00C7224D" w:rsidRPr="009C423F">
              <w:rPr>
                <w:rFonts w:ascii="Times New Roman" w:eastAsia="Times New Roman" w:hAnsi="Times New Roman"/>
                <w:sz w:val="24"/>
                <w:szCs w:val="24"/>
              </w:rPr>
              <w:t xml:space="preserve">building on current positive examples of engagement with civil society, </w:t>
            </w:r>
            <w:r w:rsidR="00AD47DF" w:rsidRPr="009C423F">
              <w:rPr>
                <w:rFonts w:ascii="Times New Roman" w:eastAsia="Times New Roman" w:hAnsi="Times New Roman"/>
                <w:sz w:val="24"/>
                <w:szCs w:val="24"/>
              </w:rPr>
              <w:t xml:space="preserve">such </w:t>
            </w:r>
            <w:r w:rsidR="00C7224D" w:rsidRPr="009C423F">
              <w:rPr>
                <w:rFonts w:ascii="Times New Roman" w:eastAsia="Times New Roman" w:hAnsi="Times New Roman"/>
                <w:sz w:val="24"/>
                <w:szCs w:val="24"/>
              </w:rPr>
              <w:t>as the HERA Civil Society Forum</w:t>
            </w:r>
            <w:r w:rsidR="00B15E53" w:rsidRPr="009C423F">
              <w:rPr>
                <w:rFonts w:ascii="Times New Roman" w:eastAsia="Times New Roman" w:hAnsi="Times New Roman"/>
                <w:sz w:val="24"/>
                <w:szCs w:val="24"/>
              </w:rPr>
              <w:t xml:space="preserve"> (CSF)</w:t>
            </w:r>
            <w:r w:rsidR="00C7224D" w:rsidRPr="009C423F">
              <w:rPr>
                <w:rFonts w:ascii="Times New Roman" w:eastAsia="Times New Roman" w:hAnsi="Times New Roman"/>
                <w:sz w:val="24"/>
                <w:szCs w:val="24"/>
              </w:rPr>
              <w:t>.</w:t>
            </w:r>
          </w:p>
          <w:p w14:paraId="2A3A1217" w14:textId="0B92EDE1" w:rsidR="000973E8" w:rsidRPr="009C423F" w:rsidRDefault="000973E8" w:rsidP="00DF6750">
            <w:pPr>
              <w:widowControl w:val="0"/>
              <w:spacing w:before="120" w:after="120"/>
              <w:jc w:val="both"/>
              <w:rPr>
                <w:rFonts w:ascii="Times New Roman" w:hAnsi="Times New Roman"/>
                <w:sz w:val="24"/>
                <w:szCs w:val="24"/>
                <w:u w:val="single"/>
              </w:rPr>
            </w:pPr>
            <w:r w:rsidRPr="009C423F">
              <w:rPr>
                <w:rFonts w:ascii="Times New Roman" w:hAnsi="Times New Roman"/>
                <w:sz w:val="24"/>
                <w:szCs w:val="24"/>
                <w:u w:val="single"/>
              </w:rPr>
              <w:t xml:space="preserve">Point 1.5 of the opinion: </w:t>
            </w:r>
            <w:r w:rsidRPr="009C423F">
              <w:rPr>
                <w:rFonts w:ascii="Times New Roman" w:eastAsia="Times New Roman" w:hAnsi="Times New Roman"/>
                <w:sz w:val="24"/>
                <w:szCs w:val="24"/>
              </w:rPr>
              <w:t xml:space="preserve">The Commission is already working with all relevant stakeholders, namely the Council, but also with private sector and citizens, in view of assuring a smooth and cross sector implementation of the proposed actions. Several actions, such as the EU Stockpiling Strategy, the </w:t>
            </w:r>
            <w:r w:rsidRPr="009C423F">
              <w:rPr>
                <w:rFonts w:ascii="Times New Roman" w:eastAsia="Times New Roman" w:hAnsi="Times New Roman"/>
                <w:color w:val="000000"/>
                <w:sz w:val="24"/>
                <w:szCs w:val="24"/>
              </w:rPr>
              <w:t>Union Civil Protection Mechanism and Health Emergency Response</w:t>
            </w:r>
            <w:r w:rsidRPr="009C423F">
              <w:rPr>
                <w:rFonts w:ascii="Times New Roman" w:eastAsia="Times New Roman" w:hAnsi="Times New Roman"/>
                <w:sz w:val="24"/>
                <w:szCs w:val="24"/>
              </w:rPr>
              <w:t xml:space="preserve"> (UCPM/HER) legal proposal and the Medical Countermeasures Strategy have already been </w:t>
            </w:r>
            <w:r w:rsidR="00B44C00">
              <w:rPr>
                <w:rFonts w:ascii="Times New Roman" w:eastAsia="Times New Roman" w:hAnsi="Times New Roman"/>
                <w:sz w:val="24"/>
                <w:szCs w:val="24"/>
              </w:rPr>
              <w:t>adopt</w:t>
            </w:r>
            <w:r w:rsidRPr="009C423F">
              <w:rPr>
                <w:rFonts w:ascii="Times New Roman" w:eastAsia="Times New Roman" w:hAnsi="Times New Roman"/>
                <w:sz w:val="24"/>
                <w:szCs w:val="24"/>
              </w:rPr>
              <w:t xml:space="preserve">ed within the proposed timeframes. The implementation of other actions advances </w:t>
            </w:r>
            <w:r w:rsidR="00B44C00">
              <w:rPr>
                <w:rFonts w:ascii="Times New Roman" w:eastAsia="Times New Roman" w:hAnsi="Times New Roman"/>
                <w:sz w:val="24"/>
                <w:szCs w:val="24"/>
              </w:rPr>
              <w:t>according to</w:t>
            </w:r>
            <w:r w:rsidRPr="009C423F">
              <w:rPr>
                <w:rFonts w:ascii="Times New Roman" w:eastAsia="Times New Roman" w:hAnsi="Times New Roman"/>
                <w:sz w:val="24"/>
                <w:szCs w:val="24"/>
              </w:rPr>
              <w:t xml:space="preserve"> their respective timeline.</w:t>
            </w:r>
          </w:p>
          <w:p w14:paraId="2810EBC4" w14:textId="0473A436" w:rsidR="000973E8" w:rsidRPr="009C423F" w:rsidRDefault="000973E8" w:rsidP="00DF6750">
            <w:pPr>
              <w:widowControl w:val="0"/>
              <w:spacing w:before="120" w:after="120"/>
              <w:jc w:val="both"/>
              <w:rPr>
                <w:rFonts w:ascii="Times New Roman" w:eastAsia="Times New Roman" w:hAnsi="Times New Roman"/>
                <w:color w:val="000000"/>
                <w:sz w:val="24"/>
                <w:szCs w:val="24"/>
              </w:rPr>
            </w:pPr>
            <w:r w:rsidRPr="009C423F">
              <w:rPr>
                <w:rFonts w:ascii="Times New Roman" w:hAnsi="Times New Roman"/>
                <w:sz w:val="24"/>
                <w:szCs w:val="24"/>
                <w:u w:val="single"/>
              </w:rPr>
              <w:t>Point 1.6</w:t>
            </w:r>
            <w:r w:rsidR="00E864E1" w:rsidRPr="009C423F">
              <w:rPr>
                <w:rFonts w:ascii="Times New Roman" w:hAnsi="Times New Roman"/>
                <w:sz w:val="24"/>
                <w:szCs w:val="24"/>
                <w:u w:val="single"/>
              </w:rPr>
              <w:t xml:space="preserve">, </w:t>
            </w:r>
            <w:r w:rsidRPr="009C423F">
              <w:rPr>
                <w:rFonts w:ascii="Times New Roman" w:hAnsi="Times New Roman"/>
                <w:sz w:val="24"/>
                <w:szCs w:val="24"/>
                <w:u w:val="single"/>
              </w:rPr>
              <w:t>1.7</w:t>
            </w:r>
            <w:r w:rsidR="00E864E1" w:rsidRPr="009C423F">
              <w:rPr>
                <w:rFonts w:ascii="Times New Roman" w:hAnsi="Times New Roman"/>
                <w:sz w:val="24"/>
                <w:szCs w:val="24"/>
                <w:u w:val="single"/>
              </w:rPr>
              <w:t xml:space="preserve"> and 2.2.1</w:t>
            </w:r>
            <w:r w:rsidRPr="009C423F">
              <w:rPr>
                <w:rFonts w:ascii="Times New Roman" w:hAnsi="Times New Roman"/>
                <w:sz w:val="24"/>
                <w:szCs w:val="24"/>
                <w:u w:val="single"/>
              </w:rPr>
              <w:t xml:space="preserve"> of the opinion: </w:t>
            </w:r>
            <w:r w:rsidR="00E864E1" w:rsidRPr="009C423F">
              <w:rPr>
                <w:rFonts w:ascii="Times New Roman" w:hAnsi="Times New Roman"/>
                <w:sz w:val="24"/>
                <w:szCs w:val="24"/>
              </w:rPr>
              <w:t xml:space="preserve">The Commission's proposal for the MFF for 2028-2034 </w:t>
            </w:r>
            <w:r w:rsidR="000B2AEC">
              <w:rPr>
                <w:rFonts w:ascii="Times New Roman" w:hAnsi="Times New Roman"/>
                <w:sz w:val="24"/>
                <w:szCs w:val="24"/>
              </w:rPr>
              <w:t>suggests</w:t>
            </w:r>
            <w:r w:rsidR="00E864E1" w:rsidRPr="009C423F">
              <w:rPr>
                <w:rFonts w:ascii="Times New Roman" w:hAnsi="Times New Roman"/>
                <w:sz w:val="24"/>
                <w:szCs w:val="24"/>
              </w:rPr>
              <w:t xml:space="preserve"> embedding the ‘preparedness by design’ principle</w:t>
            </w:r>
            <w:r w:rsidR="000B2AEC">
              <w:rPr>
                <w:rFonts w:ascii="Times New Roman" w:hAnsi="Times New Roman"/>
                <w:sz w:val="24"/>
                <w:szCs w:val="24"/>
              </w:rPr>
              <w:t xml:space="preserve"> into its structure</w:t>
            </w:r>
            <w:r w:rsidRPr="009C423F">
              <w:rPr>
                <w:rFonts w:ascii="Times New Roman" w:eastAsia="Times New Roman" w:hAnsi="Times New Roman"/>
                <w:color w:val="000000"/>
                <w:sz w:val="24"/>
                <w:szCs w:val="24"/>
              </w:rPr>
              <w:t>.</w:t>
            </w:r>
            <w:r w:rsidR="00E864E1" w:rsidRPr="009C423F">
              <w:rPr>
                <w:rFonts w:ascii="Times New Roman" w:eastAsia="Times New Roman" w:hAnsi="Times New Roman"/>
                <w:color w:val="000000"/>
                <w:sz w:val="24"/>
                <w:szCs w:val="24"/>
              </w:rPr>
              <w:t xml:space="preserve"> </w:t>
            </w:r>
            <w:r w:rsidR="00E864E1" w:rsidRPr="009C423F">
              <w:rPr>
                <w:rFonts w:ascii="Times New Roman" w:hAnsi="Times New Roman"/>
                <w:sz w:val="24"/>
                <w:szCs w:val="24"/>
              </w:rPr>
              <w:t xml:space="preserve">According to this principle, preparedness and security considerations should be mainstreamed across EU legislation, policies and future programmes, without prejudice to EU cohesion objectives. </w:t>
            </w:r>
            <w:r w:rsidRPr="009C423F">
              <w:rPr>
                <w:rFonts w:ascii="Times New Roman" w:eastAsia="Times New Roman" w:hAnsi="Times New Roman"/>
                <w:color w:val="000000"/>
                <w:sz w:val="24"/>
                <w:szCs w:val="24"/>
              </w:rPr>
              <w:t xml:space="preserve">In addition to the capacity provided by the new UCPM/HER instrument, national and regional partnership plans are proposed to support investments and reforms to enhance crisis prevention, climate resilience and preparedness at national and regional level. The EU Facility, if agreed, would be able to finance the response to disasters and unexpected events, to supplement national financial allocations or finance actions directly at EU level. In addition, the proposed European Competitiveness Fund would enhance the EU’s preparedness and strategic autonomy in key sectors, technologies and infrastructure. It will support building up industrial capacities and cutting-edge technologies contributing to strengthening the </w:t>
            </w:r>
            <w:r w:rsidRPr="009C423F">
              <w:rPr>
                <w:rFonts w:ascii="Times New Roman" w:eastAsia="Times New Roman" w:hAnsi="Times New Roman"/>
                <w:color w:val="000000"/>
                <w:sz w:val="24"/>
                <w:szCs w:val="24"/>
              </w:rPr>
              <w:lastRenderedPageBreak/>
              <w:t>resilience of the EU including by investing in the protection of critical infrastructure. Global Europe will offer a</w:t>
            </w:r>
            <w:r w:rsidR="00DF6750">
              <w:rPr>
                <w:rFonts w:ascii="Times New Roman" w:eastAsia="Times New Roman" w:hAnsi="Times New Roman"/>
                <w:color w:val="000000"/>
                <w:sz w:val="24"/>
                <w:szCs w:val="24"/>
              </w:rPr>
              <w:t> </w:t>
            </w:r>
            <w:r w:rsidRPr="009C423F">
              <w:rPr>
                <w:rFonts w:ascii="Times New Roman" w:eastAsia="Times New Roman" w:hAnsi="Times New Roman"/>
                <w:color w:val="000000"/>
                <w:sz w:val="24"/>
                <w:szCs w:val="24"/>
              </w:rPr>
              <w:t xml:space="preserve">comprehensive toolbox for action in third countries. </w:t>
            </w:r>
            <w:r w:rsidRPr="009C423F">
              <w:rPr>
                <w:rFonts w:ascii="Times New Roman" w:hAnsi="Times New Roman"/>
                <w:sz w:val="24"/>
                <w:szCs w:val="24"/>
              </w:rPr>
              <w:t>The Commission has already amended the European Regional Development Fund (ERDF)</w:t>
            </w:r>
            <w:r w:rsidRPr="009C423F">
              <w:rPr>
                <w:rStyle w:val="FootnoteReference"/>
                <w:rFonts w:ascii="Times New Roman" w:hAnsi="Times New Roman"/>
                <w:szCs w:val="24"/>
              </w:rPr>
              <w:footnoteReference w:id="1"/>
            </w:r>
            <w:r w:rsidRPr="009C423F">
              <w:rPr>
                <w:rFonts w:ascii="Times New Roman" w:hAnsi="Times New Roman"/>
                <w:sz w:val="24"/>
                <w:szCs w:val="24"/>
              </w:rPr>
              <w:t xml:space="preserve"> and Cohesion Fund</w:t>
            </w:r>
            <w:r w:rsidRPr="009C423F">
              <w:rPr>
                <w:rStyle w:val="FootnoteReference"/>
                <w:rFonts w:ascii="Times New Roman" w:hAnsi="Times New Roman"/>
                <w:szCs w:val="24"/>
              </w:rPr>
              <w:footnoteReference w:id="2"/>
            </w:r>
            <w:r w:rsidRPr="009C423F">
              <w:rPr>
                <w:rFonts w:ascii="Times New Roman" w:hAnsi="Times New Roman"/>
                <w:sz w:val="24"/>
                <w:szCs w:val="24"/>
              </w:rPr>
              <w:t xml:space="preserve"> Regulations, in the framework of the Mid-term review of cohesion policy programmes</w:t>
            </w:r>
            <w:r w:rsidRPr="009C423F">
              <w:rPr>
                <w:rStyle w:val="FootnoteReference"/>
                <w:rFonts w:ascii="Times New Roman" w:hAnsi="Times New Roman"/>
                <w:szCs w:val="24"/>
              </w:rPr>
              <w:footnoteReference w:id="3"/>
            </w:r>
            <w:r w:rsidRPr="009C423F">
              <w:rPr>
                <w:rFonts w:ascii="Times New Roman" w:hAnsi="Times New Roman"/>
                <w:sz w:val="24"/>
                <w:szCs w:val="24"/>
              </w:rPr>
              <w:t>, encouraging Member States to redirect existing national allocations under these funds towards investments enhancing civil preparedness and dual-use capacities in line with the specific needs and priorities of each programme.</w:t>
            </w:r>
          </w:p>
          <w:p w14:paraId="48248618" w14:textId="1DC5FAE3" w:rsidR="00E864E1" w:rsidRPr="009C423F" w:rsidRDefault="00D861CC" w:rsidP="00DF6750">
            <w:pPr>
              <w:widowControl w:val="0"/>
              <w:spacing w:before="120" w:after="120"/>
              <w:jc w:val="both"/>
              <w:rPr>
                <w:rFonts w:ascii="Times New Roman" w:eastAsia="Times New Roman" w:hAnsi="Times New Roman"/>
                <w:sz w:val="24"/>
                <w:szCs w:val="24"/>
              </w:rPr>
            </w:pPr>
            <w:r w:rsidRPr="009C423F">
              <w:rPr>
                <w:rFonts w:ascii="Times New Roman" w:hAnsi="Times New Roman"/>
                <w:sz w:val="24"/>
                <w:szCs w:val="24"/>
                <w:u w:val="single"/>
              </w:rPr>
              <w:t>Point 1.8</w:t>
            </w:r>
            <w:r w:rsidR="000B2AEC">
              <w:rPr>
                <w:rFonts w:ascii="Times New Roman" w:hAnsi="Times New Roman"/>
                <w:sz w:val="24"/>
                <w:szCs w:val="24"/>
                <w:u w:val="single"/>
              </w:rPr>
              <w:t xml:space="preserve"> and 2.1.1</w:t>
            </w:r>
            <w:r w:rsidRPr="009C423F">
              <w:rPr>
                <w:rFonts w:ascii="Times New Roman" w:hAnsi="Times New Roman"/>
                <w:sz w:val="24"/>
                <w:szCs w:val="24"/>
                <w:u w:val="single"/>
              </w:rPr>
              <w:t xml:space="preserve"> of the opinion:</w:t>
            </w:r>
            <w:r w:rsidRPr="009C423F">
              <w:rPr>
                <w:rFonts w:ascii="Times New Roman" w:hAnsi="Times New Roman"/>
                <w:sz w:val="24"/>
                <w:szCs w:val="24"/>
              </w:rPr>
              <w:t xml:space="preserve"> The Commission agrees with the Committee on this point. The Commission already works towards a</w:t>
            </w:r>
            <w:r w:rsidR="00A03258">
              <w:rPr>
                <w:rFonts w:ascii="Times New Roman" w:hAnsi="Times New Roman"/>
                <w:sz w:val="24"/>
                <w:szCs w:val="24"/>
              </w:rPr>
              <w:t xml:space="preserve"> comprehensive</w:t>
            </w:r>
            <w:r w:rsidRPr="009C423F">
              <w:rPr>
                <w:rFonts w:ascii="Times New Roman" w:hAnsi="Times New Roman"/>
                <w:sz w:val="24"/>
                <w:szCs w:val="24"/>
              </w:rPr>
              <w:t xml:space="preserve"> risks and threats </w:t>
            </w:r>
            <w:r w:rsidR="00A03258">
              <w:rPr>
                <w:rFonts w:ascii="Times New Roman" w:hAnsi="Times New Roman"/>
                <w:sz w:val="24"/>
                <w:szCs w:val="24"/>
              </w:rPr>
              <w:t xml:space="preserve">assessment to facilitate an integrated view of such risks and </w:t>
            </w:r>
            <w:proofErr w:type="gramStart"/>
            <w:r w:rsidR="00A03258">
              <w:rPr>
                <w:rFonts w:ascii="Times New Roman" w:hAnsi="Times New Roman"/>
                <w:sz w:val="24"/>
                <w:szCs w:val="24"/>
              </w:rPr>
              <w:t>threats, and</w:t>
            </w:r>
            <w:proofErr w:type="gramEnd"/>
            <w:r w:rsidRPr="009C423F">
              <w:rPr>
                <w:rFonts w:ascii="Times New Roman" w:hAnsi="Times New Roman"/>
                <w:sz w:val="24"/>
                <w:szCs w:val="24"/>
              </w:rPr>
              <w:t xml:space="preserve"> incorporating the geographical and transboundary nature of such challenges. </w:t>
            </w:r>
            <w:r w:rsidR="00E864E1" w:rsidRPr="009C423F">
              <w:rPr>
                <w:rFonts w:ascii="Times New Roman" w:eastAsia="Times New Roman" w:hAnsi="Times New Roman"/>
                <w:sz w:val="24"/>
                <w:szCs w:val="24"/>
              </w:rPr>
              <w:t xml:space="preserve">The Commission also welcomes all the support by the EESC on all the actions on foresight and </w:t>
            </w:r>
            <w:r w:rsidR="00674924" w:rsidRPr="009C423F">
              <w:rPr>
                <w:rFonts w:ascii="Times New Roman" w:eastAsia="Times New Roman" w:hAnsi="Times New Roman"/>
                <w:sz w:val="24"/>
                <w:szCs w:val="24"/>
              </w:rPr>
              <w:t>anticipation and</w:t>
            </w:r>
            <w:r w:rsidR="00E864E1" w:rsidRPr="009C423F">
              <w:rPr>
                <w:rFonts w:ascii="Times New Roman" w:eastAsia="Times New Roman" w:hAnsi="Times New Roman"/>
                <w:sz w:val="24"/>
                <w:szCs w:val="24"/>
              </w:rPr>
              <w:t xml:space="preserve"> will develop an EU Comprehensive Risk and Threat Assessment by the end of 2026. The process will include different stakeholders and perspectives. The assessment will draw on the latest scientific research, notably the JRC Analysis of current and emerging risks, published in June 2025.</w:t>
            </w:r>
          </w:p>
          <w:p w14:paraId="0421059B" w14:textId="0296BDEC" w:rsidR="00D861CC" w:rsidRPr="009C423F" w:rsidRDefault="00D861CC" w:rsidP="00DF6750">
            <w:pPr>
              <w:widowControl w:val="0"/>
              <w:spacing w:before="120" w:after="120"/>
              <w:jc w:val="both"/>
              <w:rPr>
                <w:rFonts w:ascii="Times New Roman" w:hAnsi="Times New Roman"/>
                <w:sz w:val="24"/>
                <w:szCs w:val="24"/>
              </w:rPr>
            </w:pPr>
            <w:r w:rsidRPr="009C423F">
              <w:rPr>
                <w:rFonts w:ascii="Times New Roman" w:hAnsi="Times New Roman"/>
                <w:sz w:val="24"/>
                <w:szCs w:val="24"/>
                <w:u w:val="single"/>
              </w:rPr>
              <w:t>Point 1.9 of the opinion:</w:t>
            </w:r>
            <w:r w:rsidRPr="009C423F">
              <w:rPr>
                <w:rFonts w:ascii="Times New Roman" w:hAnsi="Times New Roman"/>
                <w:sz w:val="24"/>
                <w:szCs w:val="24"/>
              </w:rPr>
              <w:t xml:space="preserve"> The Commission agrees with the Committee. By allowing </w:t>
            </w:r>
            <w:r w:rsidR="00E947B1">
              <w:rPr>
                <w:rFonts w:ascii="Times New Roman" w:hAnsi="Times New Roman"/>
                <w:sz w:val="24"/>
                <w:szCs w:val="24"/>
              </w:rPr>
              <w:t xml:space="preserve">national allocations under </w:t>
            </w:r>
            <w:r w:rsidRPr="009C423F">
              <w:rPr>
                <w:rFonts w:ascii="Times New Roman" w:hAnsi="Times New Roman"/>
                <w:sz w:val="24"/>
                <w:szCs w:val="24"/>
              </w:rPr>
              <w:t xml:space="preserve">cohesion policy funds to be shifted towards new preparedness priorities, </w:t>
            </w:r>
            <w:r w:rsidR="00F60C76" w:rsidRPr="009C423F">
              <w:rPr>
                <w:rFonts w:ascii="Times New Roman" w:hAnsi="Times New Roman"/>
                <w:sz w:val="24"/>
                <w:szCs w:val="24"/>
              </w:rPr>
              <w:t>the Commission</w:t>
            </w:r>
            <w:r w:rsidRPr="009C423F">
              <w:rPr>
                <w:rFonts w:ascii="Times New Roman" w:hAnsi="Times New Roman"/>
                <w:sz w:val="24"/>
                <w:szCs w:val="24"/>
              </w:rPr>
              <w:t xml:space="preserve"> can ensure that the regions facing temporary crises in the future will not be left behind and will be better equipped to face such challenges, making them more resilient and ensuring their economic viability and growth. </w:t>
            </w:r>
            <w:r w:rsidR="00674924" w:rsidRPr="009C423F">
              <w:rPr>
                <w:rFonts w:ascii="Times New Roman" w:hAnsi="Times New Roman"/>
                <w:sz w:val="24"/>
                <w:szCs w:val="24"/>
              </w:rPr>
              <w:t>The EU Solidarity Fund (EUSF) also plays a crucial role in this regard, providing financial assistance to Member States and countries negotiating their accession to the EU, in the event of major or regional natural disasters or major public health emergencies, by covering part of the emergency and recovery operations financed by public authorities.</w:t>
            </w:r>
          </w:p>
          <w:p w14:paraId="49E6CAB9" w14:textId="3C4729D1" w:rsidR="00E864E1" w:rsidRPr="009C423F" w:rsidRDefault="00BB64B0" w:rsidP="00DF6750">
            <w:pPr>
              <w:widowControl w:val="0"/>
              <w:spacing w:before="120" w:after="120"/>
              <w:jc w:val="both"/>
              <w:rPr>
                <w:rFonts w:ascii="Times New Roman" w:hAnsi="Times New Roman"/>
                <w:sz w:val="24"/>
                <w:szCs w:val="24"/>
                <w:u w:val="single"/>
              </w:rPr>
            </w:pPr>
            <w:r w:rsidRPr="009C423F">
              <w:rPr>
                <w:rFonts w:ascii="Times New Roman" w:hAnsi="Times New Roman"/>
                <w:sz w:val="24"/>
                <w:szCs w:val="24"/>
                <w:u w:val="single"/>
              </w:rPr>
              <w:t xml:space="preserve">Point </w:t>
            </w:r>
            <w:r w:rsidR="00B84937" w:rsidRPr="009C423F">
              <w:rPr>
                <w:rFonts w:ascii="Times New Roman" w:hAnsi="Times New Roman"/>
                <w:sz w:val="24"/>
                <w:szCs w:val="24"/>
                <w:u w:val="single"/>
              </w:rPr>
              <w:t>2.2.2</w:t>
            </w:r>
            <w:r w:rsidRPr="009C423F">
              <w:rPr>
                <w:rFonts w:ascii="Times New Roman" w:hAnsi="Times New Roman"/>
                <w:sz w:val="24"/>
                <w:szCs w:val="24"/>
                <w:u w:val="single"/>
              </w:rPr>
              <w:t xml:space="preserve"> of the opinion:</w:t>
            </w:r>
            <w:r w:rsidR="00B84937" w:rsidRPr="009C423F">
              <w:rPr>
                <w:rFonts w:ascii="Times New Roman" w:hAnsi="Times New Roman"/>
                <w:sz w:val="24"/>
                <w:szCs w:val="24"/>
              </w:rPr>
              <w:t xml:space="preserve"> </w:t>
            </w:r>
            <w:r w:rsidR="00E864E1" w:rsidRPr="009C423F">
              <w:rPr>
                <w:rFonts w:ascii="Times New Roman" w:eastAsia="Times New Roman" w:hAnsi="Times New Roman"/>
                <w:sz w:val="24"/>
                <w:szCs w:val="24"/>
              </w:rPr>
              <w:t xml:space="preserve">The PUS builds on what already exists in EU legislation (under the </w:t>
            </w:r>
            <w:r w:rsidR="00EF41B8">
              <w:rPr>
                <w:rFonts w:ascii="Times New Roman" w:eastAsia="Times New Roman" w:hAnsi="Times New Roman"/>
                <w:sz w:val="24"/>
                <w:szCs w:val="24"/>
              </w:rPr>
              <w:t>C</w:t>
            </w:r>
            <w:r w:rsidR="00E864E1" w:rsidRPr="009C423F">
              <w:rPr>
                <w:rFonts w:ascii="Times New Roman" w:eastAsia="Times New Roman" w:hAnsi="Times New Roman"/>
                <w:sz w:val="24"/>
                <w:szCs w:val="24"/>
              </w:rPr>
              <w:t xml:space="preserve">ritical </w:t>
            </w:r>
            <w:r w:rsidR="00EF41B8">
              <w:rPr>
                <w:rFonts w:ascii="Times New Roman" w:eastAsia="Times New Roman" w:hAnsi="Times New Roman"/>
                <w:sz w:val="24"/>
                <w:szCs w:val="24"/>
              </w:rPr>
              <w:t>E</w:t>
            </w:r>
            <w:r w:rsidR="00E864E1" w:rsidRPr="009C423F">
              <w:rPr>
                <w:rFonts w:ascii="Times New Roman" w:eastAsia="Times New Roman" w:hAnsi="Times New Roman"/>
                <w:sz w:val="24"/>
                <w:szCs w:val="24"/>
              </w:rPr>
              <w:t xml:space="preserve">ntities </w:t>
            </w:r>
            <w:r w:rsidR="00EF41B8">
              <w:rPr>
                <w:rFonts w:ascii="Times New Roman" w:eastAsia="Times New Roman" w:hAnsi="Times New Roman"/>
                <w:sz w:val="24"/>
                <w:szCs w:val="24"/>
              </w:rPr>
              <w:t>R</w:t>
            </w:r>
            <w:r w:rsidR="00E864E1" w:rsidRPr="009C423F">
              <w:rPr>
                <w:rFonts w:ascii="Times New Roman" w:eastAsia="Times New Roman" w:hAnsi="Times New Roman"/>
                <w:sz w:val="24"/>
                <w:szCs w:val="24"/>
              </w:rPr>
              <w:t xml:space="preserve">esilience </w:t>
            </w:r>
            <w:r w:rsidR="00EF41B8">
              <w:rPr>
                <w:rFonts w:ascii="Times New Roman" w:eastAsia="Times New Roman" w:hAnsi="Times New Roman"/>
                <w:sz w:val="24"/>
                <w:szCs w:val="24"/>
              </w:rPr>
              <w:t>D</w:t>
            </w:r>
            <w:r w:rsidR="00E864E1" w:rsidRPr="009C423F">
              <w:rPr>
                <w:rFonts w:ascii="Times New Roman" w:eastAsia="Times New Roman" w:hAnsi="Times New Roman"/>
                <w:sz w:val="24"/>
                <w:szCs w:val="24"/>
              </w:rPr>
              <w:t xml:space="preserve">irective and </w:t>
            </w:r>
            <w:r w:rsidR="00EF41B8">
              <w:rPr>
                <w:rFonts w:ascii="Times New Roman" w:eastAsia="Times New Roman" w:hAnsi="Times New Roman"/>
                <w:sz w:val="24"/>
                <w:szCs w:val="24"/>
              </w:rPr>
              <w:t>the N</w:t>
            </w:r>
            <w:r w:rsidR="00E864E1" w:rsidRPr="009C423F">
              <w:rPr>
                <w:rFonts w:ascii="Times New Roman" w:eastAsia="Times New Roman" w:hAnsi="Times New Roman"/>
                <w:sz w:val="24"/>
                <w:szCs w:val="24"/>
              </w:rPr>
              <w:t xml:space="preserve">etwork and </w:t>
            </w:r>
            <w:r w:rsidR="00EF41B8">
              <w:rPr>
                <w:rFonts w:ascii="Times New Roman" w:eastAsia="Times New Roman" w:hAnsi="Times New Roman"/>
                <w:sz w:val="24"/>
                <w:szCs w:val="24"/>
              </w:rPr>
              <w:t>I</w:t>
            </w:r>
            <w:r w:rsidR="00E864E1" w:rsidRPr="009C423F">
              <w:rPr>
                <w:rFonts w:ascii="Times New Roman" w:eastAsia="Times New Roman" w:hAnsi="Times New Roman"/>
                <w:sz w:val="24"/>
                <w:szCs w:val="24"/>
              </w:rPr>
              <w:t xml:space="preserve">nformation </w:t>
            </w:r>
            <w:r w:rsidR="00EF41B8">
              <w:rPr>
                <w:rFonts w:ascii="Times New Roman" w:eastAsia="Times New Roman" w:hAnsi="Times New Roman"/>
                <w:sz w:val="24"/>
                <w:szCs w:val="24"/>
              </w:rPr>
              <w:t>S</w:t>
            </w:r>
            <w:r w:rsidR="00E864E1" w:rsidRPr="009C423F">
              <w:rPr>
                <w:rFonts w:ascii="Times New Roman" w:eastAsia="Times New Roman" w:hAnsi="Times New Roman"/>
                <w:sz w:val="24"/>
                <w:szCs w:val="24"/>
              </w:rPr>
              <w:t xml:space="preserve">ystems </w:t>
            </w:r>
            <w:r w:rsidR="00EF41B8">
              <w:rPr>
                <w:rFonts w:ascii="Times New Roman" w:eastAsia="Times New Roman" w:hAnsi="Times New Roman"/>
                <w:sz w:val="24"/>
                <w:szCs w:val="24"/>
              </w:rPr>
              <w:t>D</w:t>
            </w:r>
            <w:r w:rsidR="00E864E1" w:rsidRPr="009C423F">
              <w:rPr>
                <w:rFonts w:ascii="Times New Roman" w:eastAsia="Times New Roman" w:hAnsi="Times New Roman"/>
                <w:sz w:val="24"/>
                <w:szCs w:val="24"/>
              </w:rPr>
              <w:t>irective) and other related initiatives such as the NATO baseline requirements. However, EU minimum preparedness requirements should be broader than existing sectoral initiatives.</w:t>
            </w:r>
          </w:p>
          <w:p w14:paraId="407A7D33" w14:textId="35FBF220" w:rsidR="00BB64B0" w:rsidRPr="009C423F" w:rsidRDefault="00BB64B0" w:rsidP="00DF6750">
            <w:pPr>
              <w:widowControl w:val="0"/>
              <w:spacing w:before="120" w:after="120"/>
              <w:jc w:val="both"/>
              <w:rPr>
                <w:rFonts w:ascii="Times New Roman" w:hAnsi="Times New Roman"/>
                <w:sz w:val="24"/>
                <w:szCs w:val="24"/>
                <w:u w:val="single"/>
              </w:rPr>
            </w:pPr>
            <w:r w:rsidRPr="009C423F">
              <w:rPr>
                <w:rFonts w:ascii="Times New Roman" w:hAnsi="Times New Roman"/>
                <w:sz w:val="24"/>
                <w:szCs w:val="24"/>
                <w:u w:val="single"/>
              </w:rPr>
              <w:t xml:space="preserve">Point </w:t>
            </w:r>
            <w:r w:rsidR="00B84937" w:rsidRPr="009C423F">
              <w:rPr>
                <w:rFonts w:ascii="Times New Roman" w:hAnsi="Times New Roman"/>
                <w:sz w:val="24"/>
                <w:szCs w:val="24"/>
                <w:u w:val="single"/>
              </w:rPr>
              <w:t>2.2.3</w:t>
            </w:r>
            <w:r w:rsidRPr="009C423F">
              <w:rPr>
                <w:rFonts w:ascii="Times New Roman" w:hAnsi="Times New Roman"/>
                <w:sz w:val="24"/>
                <w:szCs w:val="24"/>
                <w:u w:val="single"/>
              </w:rPr>
              <w:t xml:space="preserve"> of the opinion:</w:t>
            </w:r>
            <w:r w:rsidR="00B84937" w:rsidRPr="009C423F">
              <w:rPr>
                <w:rFonts w:ascii="Times New Roman" w:hAnsi="Times New Roman"/>
                <w:sz w:val="24"/>
                <w:szCs w:val="24"/>
              </w:rPr>
              <w:t xml:space="preserve"> </w:t>
            </w:r>
            <w:r w:rsidR="001041FE" w:rsidRPr="009C423F">
              <w:rPr>
                <w:rFonts w:ascii="Times New Roman" w:eastAsia="Times New Roman" w:hAnsi="Times New Roman"/>
                <w:sz w:val="24"/>
                <w:szCs w:val="24"/>
              </w:rPr>
              <w:t>Strengthening public services is in line with (a)</w:t>
            </w:r>
            <w:r w:rsidR="00EF6293" w:rsidRPr="009C423F">
              <w:rPr>
                <w:rFonts w:ascii="Times New Roman" w:eastAsia="Times New Roman" w:hAnsi="Times New Roman"/>
                <w:sz w:val="24"/>
                <w:szCs w:val="24"/>
              </w:rPr>
              <w:t> </w:t>
            </w:r>
            <w:r w:rsidR="001041FE" w:rsidRPr="009C423F">
              <w:rPr>
                <w:rFonts w:ascii="Times New Roman" w:eastAsia="Times New Roman" w:hAnsi="Times New Roman"/>
                <w:sz w:val="24"/>
                <w:szCs w:val="24"/>
              </w:rPr>
              <w:t>the whole-of-government approach, which brings together all relevant actors, across all levels of government (local, regional, national, and EU), promotes collaboration, policy coherence and sharing of resources, and (b)</w:t>
            </w:r>
            <w:r w:rsidR="00EF6293" w:rsidRPr="009C423F">
              <w:rPr>
                <w:rFonts w:ascii="Times New Roman" w:hAnsi="Times New Roman"/>
                <w:sz w:val="24"/>
                <w:szCs w:val="24"/>
              </w:rPr>
              <w:t> </w:t>
            </w:r>
            <w:r w:rsidR="001041FE" w:rsidRPr="009C423F">
              <w:rPr>
                <w:rFonts w:ascii="Times New Roman" w:eastAsia="Times New Roman" w:hAnsi="Times New Roman"/>
                <w:sz w:val="24"/>
                <w:szCs w:val="24"/>
              </w:rPr>
              <w:t>the whole-of-society approach, which fosters an inclusive culture of preparedness and resilience involving citizens, local communities and civil society, businesses and social partners as well as the scientific and academic communities.</w:t>
            </w:r>
          </w:p>
          <w:p w14:paraId="55059351" w14:textId="636F4DB5" w:rsidR="00674924" w:rsidRPr="009C423F" w:rsidRDefault="00BB64B0" w:rsidP="00DF6750">
            <w:pPr>
              <w:widowControl w:val="0"/>
              <w:tabs>
                <w:tab w:val="num" w:pos="720"/>
              </w:tabs>
              <w:spacing w:before="120" w:after="120"/>
              <w:jc w:val="both"/>
              <w:rPr>
                <w:rFonts w:ascii="Times New Roman" w:eastAsia="Times New Roman" w:hAnsi="Times New Roman"/>
                <w:sz w:val="24"/>
                <w:szCs w:val="24"/>
              </w:rPr>
            </w:pPr>
            <w:r w:rsidRPr="009C423F">
              <w:rPr>
                <w:rFonts w:ascii="Times New Roman" w:hAnsi="Times New Roman"/>
                <w:sz w:val="24"/>
                <w:szCs w:val="24"/>
                <w:u w:val="single"/>
              </w:rPr>
              <w:t>Point</w:t>
            </w:r>
            <w:r w:rsidR="00EF6293" w:rsidRPr="009C423F">
              <w:rPr>
                <w:rFonts w:ascii="Times New Roman" w:hAnsi="Times New Roman"/>
                <w:sz w:val="24"/>
                <w:szCs w:val="24"/>
                <w:u w:val="single"/>
              </w:rPr>
              <w:t>s</w:t>
            </w:r>
            <w:r w:rsidRPr="009C423F">
              <w:rPr>
                <w:rFonts w:ascii="Times New Roman" w:hAnsi="Times New Roman"/>
                <w:sz w:val="24"/>
                <w:szCs w:val="24"/>
                <w:u w:val="single"/>
              </w:rPr>
              <w:t xml:space="preserve"> </w:t>
            </w:r>
            <w:r w:rsidR="00B47C74" w:rsidRPr="009C423F">
              <w:rPr>
                <w:rFonts w:ascii="Times New Roman" w:hAnsi="Times New Roman"/>
                <w:sz w:val="24"/>
                <w:szCs w:val="24"/>
                <w:u w:val="single"/>
              </w:rPr>
              <w:t xml:space="preserve">2.2.5 and </w:t>
            </w:r>
            <w:r w:rsidR="00B84937" w:rsidRPr="009C423F">
              <w:rPr>
                <w:rFonts w:ascii="Times New Roman" w:hAnsi="Times New Roman"/>
                <w:sz w:val="24"/>
                <w:szCs w:val="24"/>
                <w:u w:val="single"/>
              </w:rPr>
              <w:t>2.2.6</w:t>
            </w:r>
            <w:r w:rsidRPr="009C423F">
              <w:rPr>
                <w:rFonts w:ascii="Times New Roman" w:hAnsi="Times New Roman"/>
                <w:sz w:val="24"/>
                <w:szCs w:val="24"/>
                <w:u w:val="single"/>
              </w:rPr>
              <w:t xml:space="preserve"> of the opinion:</w:t>
            </w:r>
            <w:r w:rsidR="00B84937" w:rsidRPr="009C423F">
              <w:rPr>
                <w:rFonts w:ascii="Times New Roman" w:hAnsi="Times New Roman"/>
                <w:sz w:val="24"/>
                <w:szCs w:val="24"/>
              </w:rPr>
              <w:t xml:space="preserve"> </w:t>
            </w:r>
            <w:r w:rsidR="00E864E1" w:rsidRPr="009C423F">
              <w:rPr>
                <w:rFonts w:ascii="Times New Roman" w:eastAsia="Times New Roman" w:hAnsi="Times New Roman"/>
                <w:sz w:val="24"/>
                <w:szCs w:val="24"/>
              </w:rPr>
              <w:t xml:space="preserve">In July 2025 the European Commission has adopted a Stockpiling Strategy and a Medical Countermeasures Strategy (MCM) to ensure the continuous availability of the critical goods and MCM in all Member States during </w:t>
            </w:r>
            <w:r w:rsidR="00674924" w:rsidRPr="009C423F">
              <w:rPr>
                <w:rFonts w:ascii="Times New Roman" w:eastAsia="Times New Roman" w:hAnsi="Times New Roman"/>
                <w:sz w:val="24"/>
                <w:szCs w:val="24"/>
              </w:rPr>
              <w:t>a crisis</w:t>
            </w:r>
            <w:r w:rsidR="00E864E1" w:rsidRPr="009C423F">
              <w:rPr>
                <w:rFonts w:ascii="Times New Roman" w:eastAsia="Times New Roman" w:hAnsi="Times New Roman"/>
                <w:sz w:val="24"/>
                <w:szCs w:val="24"/>
              </w:rPr>
              <w:t>. It aims to combine centralised EU-level reserves with Member States’ contributions, supported by public-private partnerships.</w:t>
            </w:r>
            <w:r w:rsidR="00E864E1" w:rsidRPr="009C423F">
              <w:rPr>
                <w:sz w:val="24"/>
                <w:szCs w:val="24"/>
              </w:rPr>
              <w:t xml:space="preserve"> </w:t>
            </w:r>
            <w:r w:rsidR="00E864E1" w:rsidRPr="009C423F">
              <w:rPr>
                <w:rFonts w:ascii="Times New Roman" w:eastAsia="Times New Roman" w:hAnsi="Times New Roman"/>
                <w:sz w:val="24"/>
                <w:szCs w:val="24"/>
              </w:rPr>
              <w:t>An EU stockpiling plan for medical countermeasures is annexed to the MCM Strategy, providing for a first sectoral deliverable of the Stockpiling strategy. This is only one of the tailored approaches needed.</w:t>
            </w:r>
            <w:r w:rsidR="00674924" w:rsidRPr="009C423F">
              <w:rPr>
                <w:rFonts w:ascii="Times New Roman" w:eastAsia="Times New Roman" w:hAnsi="Times New Roman"/>
                <w:sz w:val="24"/>
                <w:szCs w:val="24"/>
              </w:rPr>
              <w:t xml:space="preserve"> Moreover, the </w:t>
            </w:r>
            <w:r w:rsidR="00EF41B8">
              <w:rPr>
                <w:rFonts w:ascii="Times New Roman" w:eastAsia="Times New Roman" w:hAnsi="Times New Roman"/>
                <w:sz w:val="24"/>
                <w:szCs w:val="24"/>
              </w:rPr>
              <w:t xml:space="preserve">upcoming </w:t>
            </w:r>
            <w:r w:rsidR="00674924" w:rsidRPr="009C423F">
              <w:rPr>
                <w:rFonts w:ascii="Times New Roman" w:eastAsia="Times New Roman" w:hAnsi="Times New Roman"/>
                <w:sz w:val="24"/>
                <w:szCs w:val="24"/>
              </w:rPr>
              <w:t xml:space="preserve">EU Climate Adaptation Plan aims to support Member States in the areas of preparedness and resilience, mainly through the integration </w:t>
            </w:r>
            <w:r w:rsidR="00674924" w:rsidRPr="009C423F">
              <w:rPr>
                <w:rFonts w:ascii="Times New Roman" w:eastAsia="Times New Roman" w:hAnsi="Times New Roman"/>
                <w:sz w:val="24"/>
                <w:szCs w:val="24"/>
              </w:rPr>
              <w:lastRenderedPageBreak/>
              <w:t>of climate resilience</w:t>
            </w:r>
            <w:r w:rsidR="00D112A0" w:rsidRPr="009C423F">
              <w:rPr>
                <w:rFonts w:ascii="Times New Roman" w:eastAsia="Times New Roman" w:hAnsi="Times New Roman"/>
                <w:sz w:val="24"/>
                <w:szCs w:val="24"/>
              </w:rPr>
              <w:t xml:space="preserve"> into key policy areas, support for better agricultural practices and financial considerations.</w:t>
            </w:r>
          </w:p>
          <w:p w14:paraId="00906F82" w14:textId="51A7CC3B" w:rsidR="00B84937" w:rsidRPr="009C423F" w:rsidRDefault="00BB64B0" w:rsidP="00DF6750">
            <w:pPr>
              <w:widowControl w:val="0"/>
              <w:spacing w:before="120" w:after="120"/>
              <w:jc w:val="both"/>
              <w:rPr>
                <w:rFonts w:ascii="Times New Roman" w:hAnsi="Times New Roman"/>
                <w:sz w:val="24"/>
                <w:szCs w:val="24"/>
                <w:u w:val="single"/>
              </w:rPr>
            </w:pPr>
            <w:r w:rsidRPr="009C423F">
              <w:rPr>
                <w:rFonts w:ascii="Times New Roman" w:hAnsi="Times New Roman"/>
                <w:sz w:val="24"/>
                <w:szCs w:val="24"/>
                <w:u w:val="single"/>
              </w:rPr>
              <w:t xml:space="preserve">Point </w:t>
            </w:r>
            <w:r w:rsidR="00B84937" w:rsidRPr="009C423F">
              <w:rPr>
                <w:rFonts w:ascii="Times New Roman" w:hAnsi="Times New Roman"/>
                <w:sz w:val="24"/>
                <w:szCs w:val="24"/>
                <w:u w:val="single"/>
              </w:rPr>
              <w:t>2.3.2</w:t>
            </w:r>
            <w:r w:rsidRPr="009C423F">
              <w:rPr>
                <w:rFonts w:ascii="Times New Roman" w:hAnsi="Times New Roman"/>
                <w:sz w:val="24"/>
                <w:szCs w:val="24"/>
                <w:u w:val="single"/>
              </w:rPr>
              <w:t xml:space="preserve"> of the opinion:</w:t>
            </w:r>
            <w:r w:rsidR="00B84937" w:rsidRPr="009C423F">
              <w:rPr>
                <w:rFonts w:ascii="Times New Roman" w:hAnsi="Times New Roman"/>
                <w:sz w:val="24"/>
                <w:szCs w:val="24"/>
              </w:rPr>
              <w:t xml:space="preserve"> </w:t>
            </w:r>
            <w:r w:rsidR="00B84937" w:rsidRPr="009C423F">
              <w:rPr>
                <w:rFonts w:ascii="Times New Roman" w:eastAsia="Times New Roman" w:hAnsi="Times New Roman"/>
                <w:sz w:val="24"/>
                <w:szCs w:val="24"/>
              </w:rPr>
              <w:t xml:space="preserve">The Commission agrees with the Committee in this regard. Awareness of risks and threats is essential </w:t>
            </w:r>
            <w:r w:rsidR="003F599E" w:rsidRPr="009C423F">
              <w:rPr>
                <w:rFonts w:ascii="Times New Roman" w:eastAsia="Times New Roman" w:hAnsi="Times New Roman"/>
                <w:sz w:val="24"/>
                <w:szCs w:val="24"/>
              </w:rPr>
              <w:t>for</w:t>
            </w:r>
            <w:r w:rsidR="00B84937" w:rsidRPr="009C423F">
              <w:rPr>
                <w:rFonts w:ascii="Times New Roman" w:eastAsia="Times New Roman" w:hAnsi="Times New Roman"/>
                <w:sz w:val="24"/>
                <w:szCs w:val="24"/>
              </w:rPr>
              <w:t xml:space="preserve"> ensuring that EU citizens and communities become active participants in crisis preparedness and response efforts. The Commission will develop guidelines for </w:t>
            </w:r>
            <w:r w:rsidR="00EC5711" w:rsidRPr="009C423F">
              <w:rPr>
                <w:rFonts w:ascii="Times New Roman" w:eastAsia="Times New Roman" w:hAnsi="Times New Roman"/>
                <w:sz w:val="24"/>
                <w:szCs w:val="24"/>
              </w:rPr>
              <w:t xml:space="preserve">Member States </w:t>
            </w:r>
            <w:r w:rsidR="00B84937" w:rsidRPr="009C423F">
              <w:rPr>
                <w:rFonts w:ascii="Times New Roman" w:eastAsia="Times New Roman" w:hAnsi="Times New Roman"/>
                <w:sz w:val="24"/>
                <w:szCs w:val="24"/>
              </w:rPr>
              <w:t>on how to communicate disaster risks to citizens. These guidelines will pay particular attention to the needs of vulnerable groups, such as the elderly and persons with disabilities. The draft guidelines will be discussed using the UCPM Knowledge Network Risk Communication Community of Practice as well as with citizens during the Citizens Panel on preparedness</w:t>
            </w:r>
            <w:r w:rsidR="003F599E" w:rsidRPr="009C423F">
              <w:rPr>
                <w:rFonts w:ascii="Times New Roman" w:eastAsia="Times New Roman" w:hAnsi="Times New Roman"/>
                <w:sz w:val="24"/>
                <w:szCs w:val="24"/>
              </w:rPr>
              <w:t>, which the</w:t>
            </w:r>
            <w:r w:rsidR="00B84937" w:rsidRPr="009C423F">
              <w:rPr>
                <w:rFonts w:ascii="Times New Roman" w:eastAsia="Times New Roman" w:hAnsi="Times New Roman"/>
                <w:sz w:val="24"/>
                <w:szCs w:val="24"/>
              </w:rPr>
              <w:t xml:space="preserve"> </w:t>
            </w:r>
            <w:r w:rsidR="00E21D79" w:rsidRPr="009C423F">
              <w:rPr>
                <w:rFonts w:ascii="Times New Roman" w:eastAsia="Times New Roman" w:hAnsi="Times New Roman"/>
                <w:sz w:val="24"/>
                <w:szCs w:val="24"/>
                <w:lang w:val="en-IE"/>
              </w:rPr>
              <w:t>Directorate-General for European Civil Protection and Humanitarian Aid Operations</w:t>
            </w:r>
            <w:r w:rsidR="00E21D79" w:rsidRPr="009C423F">
              <w:rPr>
                <w:rFonts w:ascii="Times New Roman" w:eastAsia="Times New Roman" w:hAnsi="Times New Roman"/>
                <w:sz w:val="24"/>
                <w:szCs w:val="24"/>
              </w:rPr>
              <w:t> (</w:t>
            </w:r>
            <w:r w:rsidR="00B84937" w:rsidRPr="009C423F">
              <w:rPr>
                <w:rFonts w:ascii="Times New Roman" w:eastAsia="Times New Roman" w:hAnsi="Times New Roman"/>
                <w:sz w:val="24"/>
                <w:szCs w:val="24"/>
              </w:rPr>
              <w:t>DG ECHO</w:t>
            </w:r>
            <w:r w:rsidR="00E21D79" w:rsidRPr="009C423F">
              <w:rPr>
                <w:rFonts w:ascii="Times New Roman" w:eastAsia="Times New Roman" w:hAnsi="Times New Roman"/>
                <w:sz w:val="24"/>
                <w:szCs w:val="24"/>
              </w:rPr>
              <w:t>)</w:t>
            </w:r>
            <w:r w:rsidR="00B84937" w:rsidRPr="009C423F">
              <w:rPr>
                <w:rFonts w:ascii="Times New Roman" w:eastAsia="Times New Roman" w:hAnsi="Times New Roman"/>
                <w:sz w:val="24"/>
                <w:szCs w:val="24"/>
              </w:rPr>
              <w:t xml:space="preserve"> will be co-leading in the first semester of 2026.</w:t>
            </w:r>
          </w:p>
          <w:p w14:paraId="0C35C197" w14:textId="117D50EE" w:rsidR="00B84937" w:rsidRPr="009C423F" w:rsidRDefault="00B84937" w:rsidP="00DF6750">
            <w:pPr>
              <w:widowControl w:val="0"/>
              <w:spacing w:before="120" w:after="120"/>
              <w:jc w:val="both"/>
              <w:rPr>
                <w:rFonts w:ascii="Times New Roman" w:hAnsi="Times New Roman"/>
                <w:sz w:val="24"/>
                <w:szCs w:val="24"/>
              </w:rPr>
            </w:pPr>
            <w:r w:rsidRPr="009C423F">
              <w:rPr>
                <w:rFonts w:ascii="Times New Roman" w:hAnsi="Times New Roman"/>
                <w:sz w:val="24"/>
                <w:szCs w:val="24"/>
                <w:u w:val="single"/>
              </w:rPr>
              <w:t>Point 2.3.3 of the opinion:</w:t>
            </w:r>
            <w:r w:rsidRPr="009C423F">
              <w:rPr>
                <w:rFonts w:ascii="Times New Roman" w:hAnsi="Times New Roman"/>
                <w:sz w:val="24"/>
                <w:szCs w:val="24"/>
              </w:rPr>
              <w:t xml:space="preserve"> </w:t>
            </w:r>
            <w:r w:rsidRPr="009C423F">
              <w:rPr>
                <w:rFonts w:ascii="Times New Roman" w:eastAsia="Times New Roman" w:hAnsi="Times New Roman"/>
                <w:sz w:val="24"/>
                <w:szCs w:val="24"/>
              </w:rPr>
              <w:t xml:space="preserve">The Commission confirms that, in line with the </w:t>
            </w:r>
            <w:r w:rsidR="00274056" w:rsidRPr="009C423F">
              <w:rPr>
                <w:rFonts w:ascii="Times New Roman" w:eastAsia="Times New Roman" w:hAnsi="Times New Roman"/>
                <w:sz w:val="24"/>
                <w:szCs w:val="24"/>
              </w:rPr>
              <w:t>PUS</w:t>
            </w:r>
            <w:r w:rsidRPr="009C423F">
              <w:rPr>
                <w:rFonts w:ascii="Times New Roman" w:eastAsia="Times New Roman" w:hAnsi="Times New Roman"/>
                <w:sz w:val="24"/>
                <w:szCs w:val="24"/>
              </w:rPr>
              <w:t>, proposals to raise citizens’ awareness of risks and threats will contribute to foster a culture of inclusive preparedness and intergenerational societal resilience.</w:t>
            </w:r>
          </w:p>
          <w:p w14:paraId="1157AFE7" w14:textId="40050B65" w:rsidR="00390979" w:rsidRPr="009C423F" w:rsidRDefault="00B84937" w:rsidP="00DF6750">
            <w:pPr>
              <w:widowControl w:val="0"/>
              <w:spacing w:before="120" w:after="120"/>
              <w:jc w:val="both"/>
              <w:rPr>
                <w:rFonts w:ascii="Times New Roman" w:hAnsi="Times New Roman"/>
                <w:sz w:val="24"/>
                <w:szCs w:val="24"/>
              </w:rPr>
            </w:pPr>
            <w:r w:rsidRPr="009C423F">
              <w:rPr>
                <w:rFonts w:ascii="Times New Roman" w:hAnsi="Times New Roman"/>
                <w:sz w:val="24"/>
                <w:szCs w:val="24"/>
                <w:u w:val="single"/>
              </w:rPr>
              <w:t>Point</w:t>
            </w:r>
            <w:r w:rsidR="00390979" w:rsidRPr="009C423F">
              <w:rPr>
                <w:rFonts w:ascii="Times New Roman" w:hAnsi="Times New Roman"/>
                <w:sz w:val="24"/>
                <w:szCs w:val="24"/>
                <w:u w:val="single"/>
              </w:rPr>
              <w:t>s</w:t>
            </w:r>
            <w:r w:rsidRPr="009C423F">
              <w:rPr>
                <w:rFonts w:ascii="Times New Roman" w:hAnsi="Times New Roman"/>
                <w:sz w:val="24"/>
                <w:szCs w:val="24"/>
                <w:u w:val="single"/>
              </w:rPr>
              <w:t xml:space="preserve"> 2.3.5</w:t>
            </w:r>
            <w:r w:rsidR="00390979" w:rsidRPr="009C423F">
              <w:rPr>
                <w:rFonts w:ascii="Times New Roman" w:hAnsi="Times New Roman"/>
                <w:sz w:val="24"/>
                <w:szCs w:val="24"/>
                <w:u w:val="single"/>
              </w:rPr>
              <w:t>, 2.3.6 and 2.3.7</w:t>
            </w:r>
            <w:r w:rsidRPr="009C423F">
              <w:rPr>
                <w:rFonts w:ascii="Times New Roman" w:hAnsi="Times New Roman"/>
                <w:sz w:val="24"/>
                <w:szCs w:val="24"/>
                <w:u w:val="single"/>
              </w:rPr>
              <w:t xml:space="preserve"> of the opinion:</w:t>
            </w:r>
            <w:r w:rsidRPr="009C423F">
              <w:rPr>
                <w:rFonts w:ascii="Times New Roman" w:hAnsi="Times New Roman"/>
                <w:sz w:val="24"/>
                <w:szCs w:val="24"/>
              </w:rPr>
              <w:t xml:space="preserve"> </w:t>
            </w:r>
            <w:r w:rsidR="00390979" w:rsidRPr="009C423F">
              <w:rPr>
                <w:rFonts w:ascii="Times New Roman" w:eastAsia="Times New Roman" w:hAnsi="Times New Roman"/>
                <w:sz w:val="24"/>
                <w:szCs w:val="24"/>
              </w:rPr>
              <w:t>The Commission supports the importance of engaging M</w:t>
            </w:r>
            <w:r w:rsidR="00DF6750">
              <w:rPr>
                <w:rFonts w:ascii="Times New Roman" w:eastAsia="Times New Roman" w:hAnsi="Times New Roman"/>
                <w:sz w:val="24"/>
                <w:szCs w:val="24"/>
              </w:rPr>
              <w:t xml:space="preserve">ember </w:t>
            </w:r>
            <w:r w:rsidR="00390979" w:rsidRPr="009C423F">
              <w:rPr>
                <w:rFonts w:ascii="Times New Roman" w:eastAsia="Times New Roman" w:hAnsi="Times New Roman"/>
                <w:sz w:val="24"/>
                <w:szCs w:val="24"/>
              </w:rPr>
              <w:t>S</w:t>
            </w:r>
            <w:r w:rsidR="00DF6750">
              <w:rPr>
                <w:rFonts w:ascii="Times New Roman" w:eastAsia="Times New Roman" w:hAnsi="Times New Roman"/>
                <w:sz w:val="24"/>
                <w:szCs w:val="24"/>
              </w:rPr>
              <w:t>tates</w:t>
            </w:r>
            <w:r w:rsidR="00390979" w:rsidRPr="009C423F">
              <w:rPr>
                <w:rFonts w:ascii="Times New Roman" w:eastAsia="Times New Roman" w:hAnsi="Times New Roman"/>
                <w:sz w:val="24"/>
                <w:szCs w:val="24"/>
              </w:rPr>
              <w:t xml:space="preserve"> at all levels to initiate civil dialogues with civil society organisations</w:t>
            </w:r>
            <w:r w:rsidR="00DF6750">
              <w:rPr>
                <w:rFonts w:ascii="Times New Roman" w:eastAsia="Times New Roman" w:hAnsi="Times New Roman"/>
                <w:sz w:val="24"/>
                <w:szCs w:val="24"/>
              </w:rPr>
              <w:t> </w:t>
            </w:r>
            <w:r w:rsidR="00390979" w:rsidRPr="009C423F">
              <w:rPr>
                <w:rFonts w:ascii="Times New Roman" w:eastAsia="Times New Roman" w:hAnsi="Times New Roman"/>
                <w:sz w:val="24"/>
                <w:szCs w:val="24"/>
              </w:rPr>
              <w:t xml:space="preserve">(CSOs) as a measure to boost civil society preparedness. The Strategy is based on a comprehensive all-hazards, whole-of-government and whole-of-society approach. </w:t>
            </w:r>
            <w:r w:rsidR="00390979" w:rsidRPr="009C423F">
              <w:rPr>
                <w:rFonts w:ascii="Times New Roman" w:eastAsia="Times New Roman" w:hAnsi="Times New Roman"/>
                <w:sz w:val="24"/>
                <w:szCs w:val="24"/>
                <w:lang w:val="en-IE"/>
              </w:rPr>
              <w:t>Preparedness is a collective responsibility, shared by public authorities, civil society, businesses, communities and citizens. Citizens across the EU must be better empowered to critically evaluate information, actively engage to prevent crises and be adequately prepared to respond.</w:t>
            </w:r>
          </w:p>
          <w:p w14:paraId="3E0619DE" w14:textId="1C92F816" w:rsidR="00B84937" w:rsidRPr="009C423F" w:rsidRDefault="00B84937" w:rsidP="00DF6750">
            <w:pPr>
              <w:widowControl w:val="0"/>
              <w:spacing w:before="120" w:after="120"/>
              <w:jc w:val="both"/>
              <w:rPr>
                <w:rFonts w:ascii="Times New Roman" w:eastAsia="Times New Roman" w:hAnsi="Times New Roman"/>
                <w:sz w:val="24"/>
                <w:szCs w:val="24"/>
              </w:rPr>
            </w:pPr>
            <w:r w:rsidRPr="009C423F">
              <w:rPr>
                <w:rFonts w:ascii="Times New Roman" w:hAnsi="Times New Roman"/>
                <w:sz w:val="24"/>
                <w:szCs w:val="24"/>
                <w:u w:val="single"/>
              </w:rPr>
              <w:t>Point 2.3.8 of the opinion:</w:t>
            </w:r>
            <w:r w:rsidRPr="009C423F">
              <w:rPr>
                <w:rFonts w:ascii="Times New Roman" w:hAnsi="Times New Roman"/>
                <w:sz w:val="24"/>
                <w:szCs w:val="24"/>
              </w:rPr>
              <w:t xml:space="preserve"> </w:t>
            </w:r>
            <w:r w:rsidR="00274056" w:rsidRPr="009C423F">
              <w:rPr>
                <w:rFonts w:ascii="Times New Roman" w:eastAsia="Times New Roman" w:hAnsi="Times New Roman"/>
                <w:sz w:val="24"/>
                <w:szCs w:val="24"/>
              </w:rPr>
              <w:t xml:space="preserve">In addition to what was already referred in </w:t>
            </w:r>
            <w:r w:rsidR="00DF6750" w:rsidRPr="006E0C01">
              <w:rPr>
                <w:rFonts w:ascii="Times New Roman" w:eastAsia="Times New Roman" w:hAnsi="Times New Roman"/>
                <w:sz w:val="24"/>
                <w:szCs w:val="24"/>
                <w:u w:val="single"/>
              </w:rPr>
              <w:t>p</w:t>
            </w:r>
            <w:r w:rsidR="00274056" w:rsidRPr="006E0C01">
              <w:rPr>
                <w:rFonts w:ascii="Times New Roman" w:eastAsia="Times New Roman" w:hAnsi="Times New Roman"/>
                <w:sz w:val="24"/>
                <w:szCs w:val="24"/>
                <w:u w:val="single"/>
              </w:rPr>
              <w:t>oint 2.2.8</w:t>
            </w:r>
            <w:r w:rsidR="00274056" w:rsidRPr="009C423F">
              <w:rPr>
                <w:rFonts w:ascii="Times New Roman" w:eastAsia="Times New Roman" w:hAnsi="Times New Roman"/>
                <w:sz w:val="24"/>
                <w:szCs w:val="24"/>
              </w:rPr>
              <w:t>, the Commission recalls that</w:t>
            </w:r>
            <w:r w:rsidRPr="009C423F">
              <w:rPr>
                <w:rFonts w:ascii="Times New Roman" w:eastAsia="Times New Roman" w:hAnsi="Times New Roman"/>
                <w:sz w:val="24"/>
                <w:szCs w:val="24"/>
              </w:rPr>
              <w:t xml:space="preserve"> </w:t>
            </w:r>
            <w:r w:rsidR="00E21D79" w:rsidRPr="009C423F">
              <w:rPr>
                <w:rFonts w:ascii="Times New Roman" w:eastAsia="Times New Roman" w:hAnsi="Times New Roman"/>
                <w:sz w:val="24"/>
                <w:szCs w:val="24"/>
              </w:rPr>
              <w:t>in the beginning of 2025 it</w:t>
            </w:r>
            <w:r w:rsidRPr="009C423F">
              <w:rPr>
                <w:rFonts w:ascii="Times New Roman" w:eastAsia="Times New Roman" w:hAnsi="Times New Roman"/>
                <w:sz w:val="24"/>
                <w:szCs w:val="24"/>
              </w:rPr>
              <w:t xml:space="preserve"> kicked off a Baltic Civil Defence Cooperation project</w:t>
            </w:r>
            <w:r w:rsidR="00A82337" w:rsidRPr="009C423F">
              <w:rPr>
                <w:rStyle w:val="FootnoteReference"/>
                <w:rFonts w:ascii="Times New Roman" w:eastAsia="Times New Roman" w:hAnsi="Times New Roman"/>
                <w:szCs w:val="24"/>
              </w:rPr>
              <w:footnoteReference w:id="4"/>
            </w:r>
            <w:r w:rsidRPr="009C423F">
              <w:rPr>
                <w:rFonts w:ascii="Times New Roman" w:eastAsia="Times New Roman" w:hAnsi="Times New Roman"/>
                <w:sz w:val="24"/>
                <w:szCs w:val="24"/>
              </w:rPr>
              <w:t xml:space="preserve"> involving Red Cross societies and an Empower-Citizens project that will actively integrate citizen feedback into preparedness plans.</w:t>
            </w:r>
          </w:p>
          <w:p w14:paraId="01345C70" w14:textId="65DF0E33" w:rsidR="00B84937" w:rsidRPr="009C423F" w:rsidRDefault="00B84937" w:rsidP="00DF6750">
            <w:pPr>
              <w:widowControl w:val="0"/>
              <w:spacing w:before="120" w:after="120"/>
              <w:jc w:val="both"/>
              <w:rPr>
                <w:rFonts w:ascii="Times New Roman" w:hAnsi="Times New Roman"/>
                <w:sz w:val="24"/>
                <w:szCs w:val="24"/>
              </w:rPr>
            </w:pPr>
            <w:r w:rsidRPr="009C423F">
              <w:rPr>
                <w:rFonts w:ascii="Times New Roman" w:hAnsi="Times New Roman"/>
                <w:sz w:val="24"/>
                <w:szCs w:val="24"/>
                <w:u w:val="single"/>
              </w:rPr>
              <w:t xml:space="preserve">Point </w:t>
            </w:r>
            <w:r w:rsidR="00324DF9" w:rsidRPr="009C423F">
              <w:rPr>
                <w:rFonts w:ascii="Times New Roman" w:hAnsi="Times New Roman"/>
                <w:sz w:val="24"/>
                <w:szCs w:val="24"/>
                <w:u w:val="single"/>
              </w:rPr>
              <w:t>2.3.9</w:t>
            </w:r>
            <w:r w:rsidRPr="009C423F">
              <w:rPr>
                <w:rFonts w:ascii="Times New Roman" w:hAnsi="Times New Roman"/>
                <w:sz w:val="24"/>
                <w:szCs w:val="24"/>
                <w:u w:val="single"/>
              </w:rPr>
              <w:t xml:space="preserve"> of the opinion:</w:t>
            </w:r>
            <w:r w:rsidR="00324DF9" w:rsidRPr="009C423F">
              <w:rPr>
                <w:rFonts w:ascii="Times New Roman" w:hAnsi="Times New Roman"/>
                <w:sz w:val="24"/>
                <w:szCs w:val="24"/>
              </w:rPr>
              <w:t xml:space="preserve"> </w:t>
            </w:r>
            <w:r w:rsidR="00324DF9" w:rsidRPr="009C423F">
              <w:rPr>
                <w:rFonts w:ascii="Times New Roman" w:eastAsia="Times New Roman" w:hAnsi="Times New Roman"/>
                <w:sz w:val="24"/>
                <w:szCs w:val="24"/>
              </w:rPr>
              <w:t xml:space="preserve">Population preparedness and societal resilience are a central part of the strategy. Citizens and communities are the backbone of their own security, so </w:t>
            </w:r>
            <w:r w:rsidR="002D36BA" w:rsidRPr="009C423F">
              <w:rPr>
                <w:rFonts w:ascii="Times New Roman" w:eastAsia="Times New Roman" w:hAnsi="Times New Roman"/>
                <w:sz w:val="24"/>
                <w:szCs w:val="24"/>
              </w:rPr>
              <w:t>the Commission</w:t>
            </w:r>
            <w:r w:rsidR="00324DF9" w:rsidRPr="009C423F">
              <w:rPr>
                <w:rFonts w:ascii="Times New Roman" w:eastAsia="Times New Roman" w:hAnsi="Times New Roman"/>
                <w:sz w:val="24"/>
                <w:szCs w:val="24"/>
              </w:rPr>
              <w:t xml:space="preserve"> should ensure that they are prepared and equipped to face crises. Awareness of risks and threats is essential to ensuring that EU citizens and communities become active participants in crisis preparedness and response efforts.</w:t>
            </w:r>
          </w:p>
          <w:p w14:paraId="4985C135" w14:textId="0A880737" w:rsidR="00324DF9" w:rsidRPr="009C423F" w:rsidRDefault="00B84937" w:rsidP="00DF6750">
            <w:pPr>
              <w:widowControl w:val="0"/>
              <w:spacing w:before="120" w:after="120"/>
              <w:jc w:val="both"/>
              <w:rPr>
                <w:rFonts w:ascii="Times New Roman" w:eastAsia="Times New Roman" w:hAnsi="Times New Roman"/>
                <w:color w:val="000000"/>
                <w:sz w:val="24"/>
                <w:szCs w:val="24"/>
              </w:rPr>
            </w:pPr>
            <w:r w:rsidRPr="009C423F">
              <w:rPr>
                <w:rFonts w:ascii="Times New Roman" w:hAnsi="Times New Roman"/>
                <w:sz w:val="24"/>
                <w:szCs w:val="24"/>
                <w:u w:val="single"/>
              </w:rPr>
              <w:t xml:space="preserve">Point </w:t>
            </w:r>
            <w:r w:rsidR="00324DF9" w:rsidRPr="009C423F">
              <w:rPr>
                <w:rFonts w:ascii="Times New Roman" w:hAnsi="Times New Roman"/>
                <w:sz w:val="24"/>
                <w:szCs w:val="24"/>
                <w:u w:val="single"/>
              </w:rPr>
              <w:t>2.3.11</w:t>
            </w:r>
            <w:r w:rsidRPr="009C423F">
              <w:rPr>
                <w:rFonts w:ascii="Times New Roman" w:hAnsi="Times New Roman"/>
                <w:sz w:val="24"/>
                <w:szCs w:val="24"/>
                <w:u w:val="single"/>
              </w:rPr>
              <w:t xml:space="preserve"> of the opinion:</w:t>
            </w:r>
            <w:r w:rsidR="00324DF9" w:rsidRPr="009C423F">
              <w:rPr>
                <w:rFonts w:ascii="Times New Roman" w:hAnsi="Times New Roman"/>
                <w:sz w:val="24"/>
                <w:szCs w:val="24"/>
              </w:rPr>
              <w:t xml:space="preserve"> </w:t>
            </w:r>
            <w:r w:rsidR="00324DF9" w:rsidRPr="009C423F">
              <w:rPr>
                <w:rFonts w:ascii="Times New Roman" w:eastAsia="Times New Roman" w:hAnsi="Times New Roman"/>
                <w:color w:val="000000"/>
                <w:sz w:val="24"/>
                <w:szCs w:val="24"/>
              </w:rPr>
              <w:t>In line with the Union of Skills</w:t>
            </w:r>
            <w:r w:rsidR="00A82337" w:rsidRPr="009C423F">
              <w:rPr>
                <w:rStyle w:val="FootnoteReference"/>
                <w:rFonts w:ascii="Times New Roman" w:eastAsia="Times New Roman" w:hAnsi="Times New Roman"/>
                <w:color w:val="000000"/>
                <w:szCs w:val="24"/>
              </w:rPr>
              <w:footnoteReference w:id="5"/>
            </w:r>
            <w:r w:rsidR="00EF41B8">
              <w:rPr>
                <w:rFonts w:ascii="Times New Roman" w:eastAsia="Times New Roman" w:hAnsi="Times New Roman"/>
                <w:color w:val="000000"/>
                <w:sz w:val="24"/>
                <w:szCs w:val="24"/>
              </w:rPr>
              <w:t xml:space="preserve"> and the Democracy Shield</w:t>
            </w:r>
            <w:r w:rsidR="00324DF9" w:rsidRPr="009C423F">
              <w:rPr>
                <w:rFonts w:ascii="Times New Roman" w:eastAsia="Times New Roman" w:hAnsi="Times New Roman"/>
                <w:color w:val="000000"/>
                <w:sz w:val="24"/>
                <w:szCs w:val="24"/>
              </w:rPr>
              <w:t>, the Commission will develop curriculum guidelines (starting from early childhood education) to help learners acquire basic preparedness skills, including on media literacy for active, informed citizenship and to combat disinformation and information manipulation, and a repository of teaching materials on preparedness.</w:t>
            </w:r>
          </w:p>
          <w:p w14:paraId="21EC8D52" w14:textId="3F76CAA6" w:rsidR="00B76ED5" w:rsidRPr="009C423F" w:rsidRDefault="00B76ED5" w:rsidP="00DF6750">
            <w:pPr>
              <w:widowControl w:val="0"/>
              <w:spacing w:before="120" w:after="120"/>
              <w:jc w:val="both"/>
              <w:rPr>
                <w:rFonts w:ascii="Times New Roman" w:hAnsi="Times New Roman"/>
                <w:sz w:val="24"/>
                <w:szCs w:val="24"/>
              </w:rPr>
            </w:pPr>
            <w:r w:rsidRPr="009C423F">
              <w:rPr>
                <w:rFonts w:ascii="Times New Roman" w:hAnsi="Times New Roman"/>
                <w:sz w:val="24"/>
                <w:szCs w:val="24"/>
                <w:u w:val="single"/>
              </w:rPr>
              <w:t>Point 2.4.1 of the opinion:</w:t>
            </w:r>
            <w:r w:rsidRPr="009C423F">
              <w:rPr>
                <w:rFonts w:ascii="Times New Roman" w:hAnsi="Times New Roman"/>
                <w:sz w:val="24"/>
                <w:szCs w:val="24"/>
              </w:rPr>
              <w:t xml:space="preserve"> The Public-Private Preparedness Task Force will build on existing arrangements, such as the network set up by the Commission to ensure rapid vaccine production during health emergencies</w:t>
            </w:r>
            <w:r w:rsidR="00A82337" w:rsidRPr="009C423F">
              <w:rPr>
                <w:rFonts w:ascii="Times New Roman" w:hAnsi="Times New Roman"/>
                <w:sz w:val="24"/>
                <w:szCs w:val="24"/>
              </w:rPr>
              <w:t> </w:t>
            </w:r>
            <w:r w:rsidRPr="009C423F">
              <w:rPr>
                <w:rFonts w:ascii="Times New Roman" w:hAnsi="Times New Roman"/>
                <w:sz w:val="24"/>
                <w:szCs w:val="24"/>
              </w:rPr>
              <w:t>(EU FAB).</w:t>
            </w:r>
          </w:p>
          <w:p w14:paraId="4DF832E3" w14:textId="065C3DAC" w:rsidR="00324DF9" w:rsidRPr="009C423F" w:rsidRDefault="00B84937" w:rsidP="00DF6750">
            <w:pPr>
              <w:widowControl w:val="0"/>
              <w:spacing w:before="120" w:after="120"/>
              <w:jc w:val="both"/>
              <w:rPr>
                <w:rFonts w:ascii="Times New Roman" w:hAnsi="Times New Roman"/>
                <w:sz w:val="24"/>
                <w:szCs w:val="24"/>
              </w:rPr>
            </w:pPr>
            <w:r w:rsidRPr="009C423F">
              <w:rPr>
                <w:rFonts w:ascii="Times New Roman" w:hAnsi="Times New Roman"/>
                <w:sz w:val="24"/>
                <w:szCs w:val="24"/>
                <w:u w:val="single"/>
              </w:rPr>
              <w:t xml:space="preserve">Point </w:t>
            </w:r>
            <w:r w:rsidR="00324DF9" w:rsidRPr="009C423F">
              <w:rPr>
                <w:rFonts w:ascii="Times New Roman" w:hAnsi="Times New Roman"/>
                <w:sz w:val="24"/>
                <w:szCs w:val="24"/>
                <w:u w:val="single"/>
              </w:rPr>
              <w:t>2.4.2</w:t>
            </w:r>
            <w:r w:rsidRPr="009C423F">
              <w:rPr>
                <w:rFonts w:ascii="Times New Roman" w:hAnsi="Times New Roman"/>
                <w:sz w:val="24"/>
                <w:szCs w:val="24"/>
                <w:u w:val="single"/>
              </w:rPr>
              <w:t xml:space="preserve"> of the opinion:</w:t>
            </w:r>
            <w:r w:rsidR="00324DF9" w:rsidRPr="009C423F">
              <w:rPr>
                <w:rFonts w:ascii="Times New Roman" w:hAnsi="Times New Roman"/>
                <w:sz w:val="24"/>
                <w:szCs w:val="24"/>
              </w:rPr>
              <w:t xml:space="preserve"> </w:t>
            </w:r>
            <w:r w:rsidR="00324DF9" w:rsidRPr="009C423F">
              <w:rPr>
                <w:rFonts w:ascii="Times New Roman" w:eastAsia="Times New Roman" w:hAnsi="Times New Roman"/>
                <w:sz w:val="24"/>
                <w:szCs w:val="24"/>
              </w:rPr>
              <w:t xml:space="preserve">The Commission </w:t>
            </w:r>
            <w:r w:rsidR="00390979" w:rsidRPr="009C423F">
              <w:rPr>
                <w:rFonts w:ascii="Times New Roman" w:eastAsia="Times New Roman" w:hAnsi="Times New Roman"/>
                <w:sz w:val="24"/>
                <w:szCs w:val="24"/>
              </w:rPr>
              <w:t>agrees with</w:t>
            </w:r>
            <w:r w:rsidR="00324DF9" w:rsidRPr="009C423F">
              <w:rPr>
                <w:rFonts w:ascii="Times New Roman" w:eastAsia="Times New Roman" w:hAnsi="Times New Roman"/>
                <w:sz w:val="24"/>
                <w:szCs w:val="24"/>
              </w:rPr>
              <w:t xml:space="preserve"> the Committee</w:t>
            </w:r>
            <w:r w:rsidR="00390979" w:rsidRPr="009C423F">
              <w:rPr>
                <w:rFonts w:ascii="Times New Roman" w:eastAsia="Times New Roman" w:hAnsi="Times New Roman"/>
                <w:sz w:val="24"/>
                <w:szCs w:val="24"/>
              </w:rPr>
              <w:t xml:space="preserve"> that</w:t>
            </w:r>
            <w:r w:rsidR="00324DF9" w:rsidRPr="009C423F">
              <w:rPr>
                <w:rFonts w:ascii="Times New Roman" w:eastAsia="Times New Roman" w:hAnsi="Times New Roman"/>
                <w:sz w:val="24"/>
                <w:szCs w:val="24"/>
              </w:rPr>
              <w:t xml:space="preserve"> the private sector </w:t>
            </w:r>
            <w:r w:rsidR="00390979" w:rsidRPr="009C423F">
              <w:rPr>
                <w:rFonts w:ascii="Times New Roman" w:eastAsia="Times New Roman" w:hAnsi="Times New Roman"/>
                <w:sz w:val="24"/>
                <w:szCs w:val="24"/>
              </w:rPr>
              <w:t>i</w:t>
            </w:r>
            <w:r w:rsidR="00324DF9" w:rsidRPr="009C423F">
              <w:rPr>
                <w:rFonts w:ascii="Times New Roman" w:eastAsia="Times New Roman" w:hAnsi="Times New Roman"/>
                <w:sz w:val="24"/>
                <w:szCs w:val="24"/>
              </w:rPr>
              <w:t xml:space="preserve">s a strategic partner in European preparedness. Building trust between the public and private sectors is fundamental </w:t>
            </w:r>
            <w:r w:rsidR="007A7362" w:rsidRPr="009C423F">
              <w:rPr>
                <w:rFonts w:ascii="Times New Roman" w:eastAsia="Times New Roman" w:hAnsi="Times New Roman"/>
                <w:sz w:val="24"/>
                <w:szCs w:val="24"/>
              </w:rPr>
              <w:t>for</w:t>
            </w:r>
            <w:r w:rsidR="00324DF9" w:rsidRPr="009C423F">
              <w:rPr>
                <w:rFonts w:ascii="Times New Roman" w:eastAsia="Times New Roman" w:hAnsi="Times New Roman"/>
                <w:sz w:val="24"/>
                <w:szCs w:val="24"/>
              </w:rPr>
              <w:t xml:space="preserve"> effective cooperation. The forthcoming Public Private Preparedness Task </w:t>
            </w:r>
            <w:r w:rsidR="00274056" w:rsidRPr="009C423F">
              <w:rPr>
                <w:rFonts w:ascii="Times New Roman" w:eastAsia="Times New Roman" w:hAnsi="Times New Roman"/>
                <w:sz w:val="24"/>
                <w:szCs w:val="24"/>
              </w:rPr>
              <w:t>Force is</w:t>
            </w:r>
            <w:r w:rsidR="00324DF9" w:rsidRPr="009C423F">
              <w:rPr>
                <w:rFonts w:ascii="Times New Roman" w:eastAsia="Times New Roman" w:hAnsi="Times New Roman"/>
                <w:sz w:val="24"/>
                <w:szCs w:val="24"/>
              </w:rPr>
              <w:t xml:space="preserve"> a first step in this </w:t>
            </w:r>
            <w:r w:rsidR="007A7362" w:rsidRPr="009C423F">
              <w:rPr>
                <w:rFonts w:ascii="Times New Roman" w:eastAsia="Times New Roman" w:hAnsi="Times New Roman"/>
                <w:sz w:val="24"/>
                <w:szCs w:val="24"/>
              </w:rPr>
              <w:t>direction</w:t>
            </w:r>
            <w:r w:rsidR="00324DF9" w:rsidRPr="009C423F">
              <w:rPr>
                <w:rFonts w:ascii="Times New Roman" w:eastAsia="Times New Roman" w:hAnsi="Times New Roman"/>
                <w:sz w:val="24"/>
                <w:szCs w:val="24"/>
              </w:rPr>
              <w:t xml:space="preserve">. </w:t>
            </w:r>
            <w:r w:rsidR="009713ED" w:rsidRPr="009C423F">
              <w:rPr>
                <w:rFonts w:ascii="Times New Roman" w:hAnsi="Times New Roman"/>
                <w:sz w:val="24"/>
                <w:szCs w:val="24"/>
              </w:rPr>
              <w:t>In addition to the Task Force, the Commission can already present concrete examples of public-private partnerships aimed at ensuring access to crisis-relevant products, like vaccines through the EU Vaccine HUB</w:t>
            </w:r>
            <w:r w:rsidR="00A82337" w:rsidRPr="009C423F">
              <w:rPr>
                <w:rStyle w:val="FootnoteReference"/>
                <w:rFonts w:ascii="Times New Roman" w:hAnsi="Times New Roman"/>
                <w:szCs w:val="24"/>
              </w:rPr>
              <w:footnoteReference w:id="6"/>
            </w:r>
            <w:r w:rsidR="009713ED" w:rsidRPr="009C423F">
              <w:rPr>
                <w:rFonts w:ascii="Times New Roman" w:hAnsi="Times New Roman"/>
                <w:sz w:val="24"/>
                <w:szCs w:val="24"/>
              </w:rPr>
              <w:t xml:space="preserve"> </w:t>
            </w:r>
            <w:r w:rsidR="009713ED" w:rsidRPr="009C423F">
              <w:rPr>
                <w:rFonts w:ascii="Times New Roman" w:hAnsi="Times New Roman"/>
                <w:sz w:val="24"/>
                <w:szCs w:val="24"/>
              </w:rPr>
              <w:lastRenderedPageBreak/>
              <w:t>(a collaborative network to ensure end to end vaccine delivery).</w:t>
            </w:r>
          </w:p>
          <w:p w14:paraId="16ECDDD8" w14:textId="1EF3A383" w:rsidR="007878D2" w:rsidRPr="009C423F" w:rsidRDefault="003A5286" w:rsidP="00DF6750">
            <w:pPr>
              <w:widowControl w:val="0"/>
              <w:spacing w:before="120" w:after="120"/>
              <w:jc w:val="both"/>
              <w:rPr>
                <w:rFonts w:ascii="Times New Roman" w:hAnsi="Times New Roman"/>
                <w:sz w:val="24"/>
                <w:szCs w:val="24"/>
              </w:rPr>
            </w:pPr>
            <w:r w:rsidRPr="009C423F">
              <w:rPr>
                <w:rFonts w:ascii="Times New Roman" w:hAnsi="Times New Roman"/>
                <w:sz w:val="24"/>
                <w:szCs w:val="24"/>
                <w:u w:val="single"/>
              </w:rPr>
              <w:t>Point 2.4.3 of the opinion:</w:t>
            </w:r>
            <w:r w:rsidR="007878D2" w:rsidRPr="009C423F">
              <w:rPr>
                <w:rFonts w:ascii="Times New Roman" w:hAnsi="Times New Roman"/>
                <w:sz w:val="24"/>
                <w:szCs w:val="24"/>
              </w:rPr>
              <w:t xml:space="preserve"> The new Single Market Strategy</w:t>
            </w:r>
            <w:r w:rsidR="00374D89" w:rsidRPr="009C423F">
              <w:rPr>
                <w:rStyle w:val="FootnoteReference"/>
                <w:rFonts w:ascii="Times New Roman" w:hAnsi="Times New Roman"/>
                <w:szCs w:val="24"/>
              </w:rPr>
              <w:footnoteReference w:id="7"/>
            </w:r>
            <w:r w:rsidR="007878D2" w:rsidRPr="009C423F">
              <w:rPr>
                <w:rFonts w:ascii="Times New Roman" w:hAnsi="Times New Roman"/>
                <w:sz w:val="24"/>
                <w:szCs w:val="24"/>
              </w:rPr>
              <w:t xml:space="preserve"> is the Commission’s plan to make the single market simpler, seamless and strong, unlocking its full potential for citizens, workers and businesses. It focuses on removing the most harmful barriers, reducing red tape, promoting investment and ensuring fair competition.</w:t>
            </w:r>
          </w:p>
          <w:p w14:paraId="7A02FEE0" w14:textId="6153A689" w:rsidR="00FF67D6" w:rsidRPr="009C423F" w:rsidRDefault="007878D2" w:rsidP="00DF6750">
            <w:pPr>
              <w:widowControl w:val="0"/>
              <w:spacing w:before="120" w:after="120"/>
              <w:jc w:val="both"/>
              <w:rPr>
                <w:rFonts w:ascii="Times New Roman" w:hAnsi="Times New Roman"/>
                <w:sz w:val="24"/>
                <w:szCs w:val="24"/>
              </w:rPr>
            </w:pPr>
            <w:r w:rsidRPr="009C423F">
              <w:rPr>
                <w:rFonts w:ascii="Times New Roman" w:hAnsi="Times New Roman"/>
                <w:sz w:val="24"/>
                <w:szCs w:val="24"/>
              </w:rPr>
              <w:t>Creating a truly integrated Single Market is not only critical for European competitiveness, but also for its resilience. The Internal Market Emergency and Resilience Act</w:t>
            </w:r>
            <w:r w:rsidR="00374D89" w:rsidRPr="009C423F">
              <w:rPr>
                <w:rFonts w:ascii="Times New Roman" w:hAnsi="Times New Roman"/>
                <w:sz w:val="24"/>
                <w:szCs w:val="24"/>
              </w:rPr>
              <w:t> </w:t>
            </w:r>
            <w:r w:rsidRPr="009C423F">
              <w:rPr>
                <w:rFonts w:ascii="Times New Roman" w:hAnsi="Times New Roman"/>
                <w:sz w:val="24"/>
                <w:szCs w:val="24"/>
              </w:rPr>
              <w:t>(IMERA)</w:t>
            </w:r>
            <w:r w:rsidR="00696994" w:rsidRPr="009C423F">
              <w:rPr>
                <w:rStyle w:val="FootnoteReference"/>
                <w:rFonts w:ascii="Times New Roman" w:hAnsi="Times New Roman"/>
                <w:szCs w:val="24"/>
              </w:rPr>
              <w:footnoteReference w:id="8"/>
            </w:r>
            <w:r w:rsidRPr="009C423F">
              <w:rPr>
                <w:rFonts w:ascii="Times New Roman" w:hAnsi="Times New Roman"/>
                <w:sz w:val="24"/>
                <w:szCs w:val="24"/>
              </w:rPr>
              <w:t xml:space="preserve"> aims to ensure the uninterrupted movement of essential goods, services and persons across the EU during a crisis. It also ensures that critical supplies are available whenever the EU faces an emergency. IMERA was adopted on 9</w:t>
            </w:r>
            <w:r w:rsidR="00696994" w:rsidRPr="009C423F">
              <w:rPr>
                <w:rFonts w:ascii="Times New Roman" w:hAnsi="Times New Roman"/>
                <w:sz w:val="24"/>
                <w:szCs w:val="24"/>
              </w:rPr>
              <w:t> </w:t>
            </w:r>
            <w:r w:rsidRPr="009C423F">
              <w:rPr>
                <w:rFonts w:ascii="Times New Roman" w:hAnsi="Times New Roman"/>
                <w:sz w:val="24"/>
                <w:szCs w:val="24"/>
              </w:rPr>
              <w:t>October 2024 and will come into effect on 29</w:t>
            </w:r>
            <w:r w:rsidR="00696994" w:rsidRPr="009C423F">
              <w:rPr>
                <w:rFonts w:ascii="Times New Roman" w:hAnsi="Times New Roman"/>
                <w:sz w:val="24"/>
                <w:szCs w:val="24"/>
              </w:rPr>
              <w:t> </w:t>
            </w:r>
            <w:r w:rsidRPr="009C423F">
              <w:rPr>
                <w:rFonts w:ascii="Times New Roman" w:hAnsi="Times New Roman"/>
                <w:sz w:val="24"/>
                <w:szCs w:val="24"/>
              </w:rPr>
              <w:t>May 2026.</w:t>
            </w:r>
          </w:p>
          <w:p w14:paraId="29CB3B58" w14:textId="1F348F56" w:rsidR="00390979" w:rsidRPr="009C423F" w:rsidRDefault="00B84937" w:rsidP="00DF6750">
            <w:pPr>
              <w:widowControl w:val="0"/>
              <w:spacing w:before="120" w:after="120"/>
              <w:jc w:val="both"/>
              <w:rPr>
                <w:rFonts w:ascii="Times New Roman" w:eastAsia="Times New Roman" w:hAnsi="Times New Roman"/>
                <w:sz w:val="24"/>
                <w:szCs w:val="24"/>
              </w:rPr>
            </w:pPr>
            <w:r w:rsidRPr="009C423F">
              <w:rPr>
                <w:rFonts w:ascii="Times New Roman" w:hAnsi="Times New Roman"/>
                <w:sz w:val="24"/>
                <w:szCs w:val="24"/>
                <w:u w:val="single"/>
              </w:rPr>
              <w:t xml:space="preserve">Point </w:t>
            </w:r>
            <w:r w:rsidR="00324DF9" w:rsidRPr="009C423F">
              <w:rPr>
                <w:rFonts w:ascii="Times New Roman" w:hAnsi="Times New Roman"/>
                <w:sz w:val="24"/>
                <w:szCs w:val="24"/>
                <w:u w:val="single"/>
              </w:rPr>
              <w:t>2.5.2</w:t>
            </w:r>
            <w:r w:rsidRPr="009C423F">
              <w:rPr>
                <w:rFonts w:ascii="Times New Roman" w:hAnsi="Times New Roman"/>
                <w:sz w:val="24"/>
                <w:szCs w:val="24"/>
                <w:u w:val="single"/>
              </w:rPr>
              <w:t xml:space="preserve"> of the opinion:</w:t>
            </w:r>
            <w:r w:rsidR="00324DF9" w:rsidRPr="009C423F">
              <w:rPr>
                <w:rFonts w:ascii="Times New Roman" w:hAnsi="Times New Roman"/>
                <w:sz w:val="24"/>
                <w:szCs w:val="24"/>
              </w:rPr>
              <w:t xml:space="preserve"> </w:t>
            </w:r>
            <w:r w:rsidR="00390979" w:rsidRPr="009C423F">
              <w:rPr>
                <w:rFonts w:ascii="Times New Roman" w:eastAsia="Times New Roman" w:hAnsi="Times New Roman"/>
                <w:sz w:val="24"/>
                <w:szCs w:val="24"/>
              </w:rPr>
              <w:t xml:space="preserve">The Commission agrees with the Committee in this regard. There is a need to improve the interaction between civilian and military actors, in line with their respective competences and in full cooperation with Member States. The Preparedness Union Strategy calls for stronger and reinforced civil-military cooperation within a preparedness framework, as we must prepare for massive cross-sectoral incidents and crises, including the possibility of armed aggression. EU-NATO cooperation is essential in this regard. The Commission is exploring ways to promote cross-sectoral dual-use applications and financing for products and technologies that can serve both civilian and defence purposes, such as health-related items. Actions in the area of medical countermeasures are by nature </w:t>
            </w:r>
            <w:proofErr w:type="gramStart"/>
            <w:r w:rsidR="00390979" w:rsidRPr="009C423F">
              <w:rPr>
                <w:rFonts w:ascii="Times New Roman" w:eastAsia="Times New Roman" w:hAnsi="Times New Roman"/>
                <w:sz w:val="24"/>
                <w:szCs w:val="24"/>
              </w:rPr>
              <w:t>dual-use</w:t>
            </w:r>
            <w:proofErr w:type="gramEnd"/>
            <w:r w:rsidR="00390979" w:rsidRPr="009C423F">
              <w:rPr>
                <w:rFonts w:ascii="Times New Roman" w:eastAsia="Times New Roman" w:hAnsi="Times New Roman"/>
                <w:sz w:val="24"/>
                <w:szCs w:val="24"/>
              </w:rPr>
              <w:t>, as such measures apply irrespective of whether the patient is civilian or military. By fostering a whole-of-government and whole-of-society approach for worst case scenarios, such as creating resilient critical infrastructure and the necessary stockpiles, the EU can increase its readiness, addressing both civilian and military needs.</w:t>
            </w:r>
            <w:r w:rsidR="00390979" w:rsidRPr="009C423F">
              <w:rPr>
                <w:sz w:val="24"/>
                <w:szCs w:val="24"/>
              </w:rPr>
              <w:t xml:space="preserve"> </w:t>
            </w:r>
            <w:r w:rsidR="00390979" w:rsidRPr="009C423F">
              <w:rPr>
                <w:rFonts w:ascii="Times New Roman" w:eastAsia="Times New Roman" w:hAnsi="Times New Roman"/>
                <w:sz w:val="24"/>
                <w:szCs w:val="24"/>
              </w:rPr>
              <w:t xml:space="preserve">The same approach underpins the new priority aimed at enhancing civil preparedness and dual-use capacities that is now available to cohesion policy programmes </w:t>
            </w:r>
            <w:r w:rsidR="00DF6750" w:rsidRPr="00B82989">
              <w:rPr>
                <w:rFonts w:ascii="Times New Roman" w:hAnsi="Times New Roman"/>
                <w:b/>
                <w:sz w:val="24"/>
                <w:szCs w:val="24"/>
              </w:rPr>
              <w:t>–</w:t>
            </w:r>
            <w:r w:rsidR="00390979" w:rsidRPr="009C423F">
              <w:rPr>
                <w:rFonts w:ascii="Times New Roman" w:eastAsia="Times New Roman" w:hAnsi="Times New Roman"/>
                <w:sz w:val="24"/>
                <w:szCs w:val="24"/>
              </w:rPr>
              <w:t xml:space="preserve"> as part of the Mid-term Review</w:t>
            </w:r>
            <w:r w:rsidR="00E947B1">
              <w:rPr>
                <w:rFonts w:ascii="Times New Roman" w:eastAsia="Times New Roman" w:hAnsi="Times New Roman"/>
                <w:sz w:val="24"/>
                <w:szCs w:val="24"/>
              </w:rPr>
              <w:t xml:space="preserve"> </w:t>
            </w:r>
            <w:r w:rsidR="00A44873">
              <w:rPr>
                <w:rFonts w:ascii="Times New Roman" w:eastAsia="Times New Roman" w:hAnsi="Times New Roman"/>
                <w:sz w:val="24"/>
                <w:szCs w:val="24"/>
              </w:rPr>
              <w:t>Regulation</w:t>
            </w:r>
            <w:r w:rsidR="00DF6750">
              <w:rPr>
                <w:rStyle w:val="FootnoteReference"/>
                <w:rFonts w:ascii="Times New Roman" w:eastAsia="Times New Roman" w:hAnsi="Times New Roman"/>
                <w:szCs w:val="24"/>
              </w:rPr>
              <w:footnoteReference w:id="9"/>
            </w:r>
            <w:r w:rsidR="00D002CB">
              <w:rPr>
                <w:rFonts w:ascii="Times New Roman" w:eastAsia="Times New Roman" w:hAnsi="Times New Roman"/>
                <w:sz w:val="24"/>
                <w:szCs w:val="24"/>
              </w:rPr>
              <w:t>,</w:t>
            </w:r>
            <w:r w:rsidR="00A44873">
              <w:rPr>
                <w:rFonts w:ascii="Times New Roman" w:eastAsia="Times New Roman" w:hAnsi="Times New Roman"/>
                <w:sz w:val="24"/>
                <w:szCs w:val="24"/>
              </w:rPr>
              <w:t xml:space="preserve"> which entered into force on 20</w:t>
            </w:r>
            <w:r w:rsidR="00DF6750">
              <w:rPr>
                <w:rFonts w:ascii="Times New Roman" w:eastAsia="Times New Roman" w:hAnsi="Times New Roman"/>
                <w:sz w:val="24"/>
                <w:szCs w:val="24"/>
              </w:rPr>
              <w:t> </w:t>
            </w:r>
            <w:r w:rsidR="00A44873">
              <w:rPr>
                <w:rFonts w:ascii="Times New Roman" w:eastAsia="Times New Roman" w:hAnsi="Times New Roman"/>
                <w:sz w:val="24"/>
                <w:szCs w:val="24"/>
              </w:rPr>
              <w:t>September 2025</w:t>
            </w:r>
            <w:r w:rsidR="00390979" w:rsidRPr="009C423F">
              <w:rPr>
                <w:rFonts w:ascii="Times New Roman" w:eastAsia="Times New Roman" w:hAnsi="Times New Roman"/>
                <w:sz w:val="24"/>
                <w:szCs w:val="24"/>
              </w:rPr>
              <w:t>. Member States were encouraged to redirect unused cohesion funding towards two new specific objectives: 1)</w:t>
            </w:r>
            <w:r w:rsidR="00DF6750">
              <w:rPr>
                <w:rFonts w:ascii="Times New Roman" w:eastAsia="Times New Roman" w:hAnsi="Times New Roman"/>
                <w:sz w:val="24"/>
                <w:szCs w:val="24"/>
              </w:rPr>
              <w:t> </w:t>
            </w:r>
            <w:r w:rsidR="006E0C01">
              <w:rPr>
                <w:rFonts w:ascii="Times New Roman" w:eastAsia="Times New Roman" w:hAnsi="Times New Roman"/>
                <w:sz w:val="24"/>
                <w:szCs w:val="24"/>
              </w:rPr>
              <w:t>d</w:t>
            </w:r>
            <w:r w:rsidR="00390979" w:rsidRPr="009C423F">
              <w:rPr>
                <w:rFonts w:ascii="Times New Roman" w:eastAsia="Times New Roman" w:hAnsi="Times New Roman"/>
                <w:sz w:val="24"/>
                <w:szCs w:val="24"/>
              </w:rPr>
              <w:t>eveloping resilient defence infrastructure, prioritising that of dual-use nature, including to foster military mobility in the Union, as well as enhancing civil preparedness. 2)</w:t>
            </w:r>
            <w:r w:rsidR="00DF6750">
              <w:rPr>
                <w:rFonts w:ascii="Times New Roman" w:eastAsia="Times New Roman" w:hAnsi="Times New Roman"/>
                <w:sz w:val="24"/>
                <w:szCs w:val="24"/>
              </w:rPr>
              <w:t> </w:t>
            </w:r>
            <w:r w:rsidR="006E0C01">
              <w:rPr>
                <w:rFonts w:ascii="Times New Roman" w:eastAsia="Times New Roman" w:hAnsi="Times New Roman"/>
                <w:sz w:val="24"/>
                <w:szCs w:val="24"/>
              </w:rPr>
              <w:t>e</w:t>
            </w:r>
            <w:r w:rsidR="00390979" w:rsidRPr="009C423F">
              <w:rPr>
                <w:rFonts w:ascii="Times New Roman" w:eastAsia="Times New Roman" w:hAnsi="Times New Roman"/>
                <w:sz w:val="24"/>
                <w:szCs w:val="24"/>
              </w:rPr>
              <w:t>nsuring civil preparedness and resilience in all types of territories.</w:t>
            </w:r>
          </w:p>
          <w:p w14:paraId="3D1031B9" w14:textId="5279916C" w:rsidR="00390979" w:rsidRPr="009C423F" w:rsidRDefault="00B84937" w:rsidP="00DF6750">
            <w:pPr>
              <w:widowControl w:val="0"/>
              <w:spacing w:before="120" w:after="120"/>
              <w:jc w:val="both"/>
              <w:rPr>
                <w:rFonts w:ascii="Times New Roman" w:hAnsi="Times New Roman"/>
                <w:sz w:val="24"/>
                <w:szCs w:val="24"/>
              </w:rPr>
            </w:pPr>
            <w:r w:rsidRPr="009C423F">
              <w:rPr>
                <w:rFonts w:ascii="Times New Roman" w:hAnsi="Times New Roman"/>
                <w:sz w:val="24"/>
                <w:szCs w:val="24"/>
                <w:u w:val="single"/>
              </w:rPr>
              <w:t xml:space="preserve">Point </w:t>
            </w:r>
            <w:r w:rsidR="00324DF9" w:rsidRPr="009C423F">
              <w:rPr>
                <w:rFonts w:ascii="Times New Roman" w:hAnsi="Times New Roman"/>
                <w:sz w:val="24"/>
                <w:szCs w:val="24"/>
                <w:u w:val="single"/>
              </w:rPr>
              <w:t>2.5.5</w:t>
            </w:r>
            <w:r w:rsidRPr="009C423F">
              <w:rPr>
                <w:rFonts w:ascii="Times New Roman" w:hAnsi="Times New Roman"/>
                <w:sz w:val="24"/>
                <w:szCs w:val="24"/>
                <w:u w:val="single"/>
              </w:rPr>
              <w:t xml:space="preserve"> of the opinion:</w:t>
            </w:r>
            <w:r w:rsidR="00324DF9" w:rsidRPr="009C423F">
              <w:rPr>
                <w:rFonts w:ascii="Times New Roman" w:hAnsi="Times New Roman"/>
                <w:sz w:val="24"/>
                <w:szCs w:val="24"/>
              </w:rPr>
              <w:t xml:space="preserve"> </w:t>
            </w:r>
            <w:r w:rsidR="00324DF9" w:rsidRPr="009C423F">
              <w:rPr>
                <w:rFonts w:ascii="Times New Roman" w:eastAsia="Times New Roman" w:hAnsi="Times New Roman"/>
                <w:sz w:val="24"/>
                <w:szCs w:val="24"/>
              </w:rPr>
              <w:t>The EU-wide cross-sectoral preparedness exercises are aimed at better coordination across different sectors and governance levels. Civil society may be included depending on the possible scenarios developed for the exercises.</w:t>
            </w:r>
            <w:r w:rsidR="00390979" w:rsidRPr="009C423F">
              <w:rPr>
                <w:rFonts w:ascii="Times New Roman" w:eastAsia="Times New Roman" w:hAnsi="Times New Roman"/>
                <w:sz w:val="24"/>
                <w:szCs w:val="24"/>
              </w:rPr>
              <w:t xml:space="preserve"> </w:t>
            </w:r>
            <w:r w:rsidR="00EF41B8">
              <w:rPr>
                <w:rFonts w:ascii="Times New Roman" w:eastAsia="Times New Roman" w:hAnsi="Times New Roman"/>
                <w:sz w:val="24"/>
                <w:szCs w:val="24"/>
              </w:rPr>
              <w:t>In</w:t>
            </w:r>
            <w:r w:rsidR="00390979" w:rsidRPr="009C423F">
              <w:rPr>
                <w:rFonts w:ascii="Times New Roman" w:eastAsia="Times New Roman" w:hAnsi="Times New Roman"/>
                <w:sz w:val="24"/>
                <w:szCs w:val="24"/>
              </w:rPr>
              <w:t xml:space="preserve"> 2026, the EU will conduct the exercise Integrated Resolve</w:t>
            </w:r>
            <w:r w:rsidR="00DF6750">
              <w:rPr>
                <w:rFonts w:ascii="Times New Roman" w:eastAsia="Times New Roman" w:hAnsi="Times New Roman"/>
                <w:sz w:val="24"/>
                <w:szCs w:val="24"/>
              </w:rPr>
              <w:t> </w:t>
            </w:r>
            <w:r w:rsidR="00390979" w:rsidRPr="009C423F">
              <w:rPr>
                <w:rFonts w:ascii="Times New Roman" w:eastAsia="Times New Roman" w:hAnsi="Times New Roman"/>
                <w:sz w:val="24"/>
                <w:szCs w:val="24"/>
              </w:rPr>
              <w:t>26, in cooperation with NATO under the Parallel and Coordinated Exercises</w:t>
            </w:r>
            <w:r w:rsidR="00DF6750">
              <w:rPr>
                <w:rFonts w:ascii="Times New Roman" w:eastAsia="Times New Roman" w:hAnsi="Times New Roman"/>
                <w:sz w:val="24"/>
                <w:szCs w:val="24"/>
              </w:rPr>
              <w:t> </w:t>
            </w:r>
            <w:r w:rsidR="00390979" w:rsidRPr="009C423F">
              <w:rPr>
                <w:rFonts w:ascii="Times New Roman" w:eastAsia="Times New Roman" w:hAnsi="Times New Roman"/>
                <w:sz w:val="24"/>
                <w:szCs w:val="24"/>
              </w:rPr>
              <w:t>(PACE) framework.</w:t>
            </w:r>
          </w:p>
          <w:p w14:paraId="659DFA96" w14:textId="4408E937" w:rsidR="00CF76A5" w:rsidRPr="009C423F" w:rsidRDefault="00CF76A5" w:rsidP="00DF6750">
            <w:pPr>
              <w:widowControl w:val="0"/>
              <w:spacing w:before="120" w:after="120"/>
              <w:jc w:val="both"/>
              <w:rPr>
                <w:rFonts w:ascii="Times New Roman" w:hAnsi="Times New Roman"/>
                <w:sz w:val="24"/>
                <w:szCs w:val="24"/>
                <w:u w:val="single"/>
              </w:rPr>
            </w:pPr>
            <w:r w:rsidRPr="009C423F">
              <w:rPr>
                <w:rFonts w:ascii="Times New Roman" w:hAnsi="Times New Roman"/>
                <w:sz w:val="24"/>
                <w:szCs w:val="24"/>
                <w:u w:val="single"/>
              </w:rPr>
              <w:t>Point 2.6.2 of the opinion:</w:t>
            </w:r>
            <w:r w:rsidRPr="009C423F">
              <w:rPr>
                <w:rFonts w:ascii="Times New Roman" w:hAnsi="Times New Roman"/>
                <w:sz w:val="24"/>
                <w:szCs w:val="24"/>
              </w:rPr>
              <w:t xml:space="preserve"> As expressed in the</w:t>
            </w:r>
            <w:r w:rsidR="007A7362" w:rsidRPr="009C423F">
              <w:rPr>
                <w:rFonts w:ascii="Times New Roman" w:hAnsi="Times New Roman"/>
                <w:sz w:val="24"/>
                <w:szCs w:val="24"/>
              </w:rPr>
              <w:t xml:space="preserve"> </w:t>
            </w:r>
            <w:r w:rsidR="00B15E53" w:rsidRPr="009C423F">
              <w:rPr>
                <w:rFonts w:ascii="Times New Roman" w:hAnsi="Times New Roman"/>
                <w:sz w:val="24"/>
                <w:szCs w:val="24"/>
              </w:rPr>
              <w:t>PUS</w:t>
            </w:r>
            <w:r w:rsidRPr="009C423F">
              <w:rPr>
                <w:rFonts w:ascii="Times New Roman" w:hAnsi="Times New Roman"/>
                <w:sz w:val="24"/>
                <w:szCs w:val="24"/>
              </w:rPr>
              <w:t>, respect for competences of the Union and of EU Member States will continue to be ensured, while multi-sectorial crisis coordination at Union level will be enhanced with the new EU crisis coordination hub</w:t>
            </w:r>
            <w:r w:rsidR="00390979" w:rsidRPr="009C423F">
              <w:rPr>
                <w:rFonts w:ascii="Times New Roman" w:hAnsi="Times New Roman"/>
                <w:sz w:val="24"/>
                <w:szCs w:val="24"/>
              </w:rPr>
              <w:t>, as proposed in the draft UCPM/HER regulation.</w:t>
            </w:r>
          </w:p>
          <w:p w14:paraId="41ADDDA4" w14:textId="237432C2" w:rsidR="004F6117" w:rsidRPr="00036CAD" w:rsidRDefault="003362EB" w:rsidP="00DF6750">
            <w:pPr>
              <w:widowControl w:val="0"/>
              <w:spacing w:before="120" w:after="120"/>
              <w:jc w:val="both"/>
              <w:rPr>
                <w:rFonts w:ascii="Times New Roman" w:hAnsi="Times New Roman"/>
                <w:sz w:val="24"/>
                <w:szCs w:val="24"/>
                <w:u w:val="single"/>
              </w:rPr>
            </w:pPr>
            <w:r w:rsidRPr="009C423F">
              <w:rPr>
                <w:rFonts w:ascii="Times New Roman" w:hAnsi="Times New Roman"/>
                <w:sz w:val="24"/>
                <w:szCs w:val="24"/>
                <w:u w:val="single"/>
              </w:rPr>
              <w:t>Point 2.7.2 of the opinion:</w:t>
            </w:r>
            <w:r w:rsidRPr="009C423F">
              <w:rPr>
                <w:rFonts w:ascii="Times New Roman" w:hAnsi="Times New Roman"/>
                <w:sz w:val="24"/>
                <w:szCs w:val="24"/>
              </w:rPr>
              <w:t xml:space="preserve"> The Commission welcomes the support by the Committee on the actions concerning external partnerships.</w:t>
            </w:r>
          </w:p>
        </w:tc>
      </w:tr>
    </w:tbl>
    <w:p w14:paraId="41D86A3C" w14:textId="77777777" w:rsidR="00554137" w:rsidRPr="00554137" w:rsidRDefault="00554137" w:rsidP="00F60C76">
      <w:pPr>
        <w:ind w:left="-851"/>
        <w:rPr>
          <w:rFonts w:ascii="Times New Roman" w:hAnsi="Times New Roman"/>
          <w:b/>
          <w:sz w:val="16"/>
          <w:szCs w:val="16"/>
          <w:u w:val="single"/>
        </w:rPr>
      </w:pPr>
    </w:p>
    <w:sectPr w:rsidR="00554137" w:rsidRPr="0055413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1991A" w14:textId="77777777" w:rsidR="00FF63EA" w:rsidRDefault="00FF63EA" w:rsidP="00FF63EA">
      <w:pPr>
        <w:spacing w:after="0" w:line="240" w:lineRule="auto"/>
      </w:pPr>
      <w:r>
        <w:separator/>
      </w:r>
    </w:p>
  </w:endnote>
  <w:endnote w:type="continuationSeparator" w:id="0">
    <w:p w14:paraId="4F20E001" w14:textId="77777777" w:rsidR="00FF63EA" w:rsidRDefault="00FF63EA"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B53E" w14:textId="77777777" w:rsidR="002B54D6" w:rsidRDefault="002B5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DB53F" w14:textId="77777777" w:rsidR="002B54D6" w:rsidRDefault="002B5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4A44" w14:textId="77777777" w:rsidR="002B54D6" w:rsidRDefault="002B5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141E3" w14:textId="77777777" w:rsidR="00FF63EA" w:rsidRDefault="00FF63EA" w:rsidP="00FF63EA">
      <w:pPr>
        <w:spacing w:after="0" w:line="240" w:lineRule="auto"/>
      </w:pPr>
      <w:r>
        <w:separator/>
      </w:r>
    </w:p>
  </w:footnote>
  <w:footnote w:type="continuationSeparator" w:id="0">
    <w:p w14:paraId="2E5903DE" w14:textId="77777777" w:rsidR="00FF63EA" w:rsidRDefault="00FF63EA" w:rsidP="00FF63EA">
      <w:pPr>
        <w:spacing w:after="0" w:line="240" w:lineRule="auto"/>
      </w:pPr>
      <w:r>
        <w:continuationSeparator/>
      </w:r>
    </w:p>
  </w:footnote>
  <w:footnote w:id="1">
    <w:p w14:paraId="760457D3" w14:textId="77777777" w:rsidR="000973E8" w:rsidRPr="006C1DD6" w:rsidRDefault="000973E8" w:rsidP="006E0C01">
      <w:pPr>
        <w:pStyle w:val="FootnoteText"/>
        <w:keepLines w:val="0"/>
        <w:widowControl w:val="0"/>
        <w:spacing w:after="0"/>
        <w:ind w:left="-567" w:right="-709" w:hanging="284"/>
        <w:rPr>
          <w:sz w:val="20"/>
          <w:szCs w:val="20"/>
        </w:rPr>
      </w:pPr>
      <w:r w:rsidRPr="006C1DD6">
        <w:rPr>
          <w:rStyle w:val="FootnoteReference"/>
          <w:sz w:val="20"/>
          <w:szCs w:val="20"/>
        </w:rPr>
        <w:footnoteRef/>
      </w:r>
      <w:r w:rsidRPr="006C1DD6">
        <w:rPr>
          <w:sz w:val="20"/>
          <w:szCs w:val="20"/>
        </w:rPr>
        <w:t xml:space="preserve"> </w:t>
      </w:r>
      <w:r w:rsidRPr="006C1DD6">
        <w:rPr>
          <w:sz w:val="20"/>
          <w:szCs w:val="20"/>
        </w:rPr>
        <w:tab/>
      </w:r>
      <w:r w:rsidRPr="006C1DD6">
        <w:rPr>
          <w:sz w:val="20"/>
          <w:szCs w:val="20"/>
          <w:lang w:val="en-GB"/>
        </w:rPr>
        <w:t xml:space="preserve">Regulation (EU) 2021/1058 of the European Parliament and of the Council of 24 June 2021 on the European Regional Development Fund and on the Cohesion Fund (consolidated text: </w:t>
      </w:r>
      <w:hyperlink r:id="rId1" w:tooltip="Gives access to this document through its ELI URI." w:history="1">
        <w:r w:rsidRPr="006C1DD6">
          <w:rPr>
            <w:rStyle w:val="Hyperlink"/>
            <w:sz w:val="20"/>
            <w:szCs w:val="20"/>
            <w:lang w:val="en-GB"/>
          </w:rPr>
          <w:t>http://data.europa.eu/eli/reg/2021/1058/2025-09-20</w:t>
        </w:r>
      </w:hyperlink>
      <w:r w:rsidRPr="006C1DD6">
        <w:rPr>
          <w:sz w:val="20"/>
          <w:szCs w:val="20"/>
          <w:lang w:val="en-GB"/>
        </w:rPr>
        <w:t>).</w:t>
      </w:r>
    </w:p>
  </w:footnote>
  <w:footnote w:id="2">
    <w:p w14:paraId="1FAA4266" w14:textId="77777777" w:rsidR="000973E8" w:rsidRPr="006C1DD6" w:rsidRDefault="000973E8" w:rsidP="006E0C01">
      <w:pPr>
        <w:pStyle w:val="FootnoteText"/>
        <w:keepLines w:val="0"/>
        <w:widowControl w:val="0"/>
        <w:spacing w:after="0"/>
        <w:ind w:left="-567" w:right="-709" w:hanging="284"/>
        <w:rPr>
          <w:sz w:val="20"/>
          <w:szCs w:val="20"/>
          <w:lang w:val="en-IE"/>
        </w:rPr>
      </w:pPr>
      <w:r w:rsidRPr="006C1DD6">
        <w:rPr>
          <w:rStyle w:val="FootnoteReference"/>
          <w:sz w:val="20"/>
          <w:szCs w:val="20"/>
        </w:rPr>
        <w:footnoteRef/>
      </w:r>
      <w:r w:rsidRPr="006C1DD6">
        <w:rPr>
          <w:sz w:val="20"/>
          <w:szCs w:val="20"/>
          <w:lang w:val="en-IE"/>
        </w:rPr>
        <w:t xml:space="preserve"> </w:t>
      </w:r>
      <w:r w:rsidRPr="006C1DD6">
        <w:rPr>
          <w:sz w:val="20"/>
          <w:szCs w:val="20"/>
          <w:lang w:val="en-IE"/>
        </w:rPr>
        <w:tab/>
      </w:r>
      <w:r w:rsidRPr="006C1DD6">
        <w:rPr>
          <w:sz w:val="20"/>
          <w:szCs w:val="20"/>
          <w:lang w:val="en-GB"/>
        </w:rPr>
        <w:t>Regulation (EU) 2021/1058 of the European Parliament and of the Council of 24 June 2021 on the European Regional Development Fund and on the Cohesion Fund (</w:t>
      </w:r>
      <w:r>
        <w:rPr>
          <w:sz w:val="20"/>
          <w:szCs w:val="20"/>
          <w:lang w:val="en-GB"/>
        </w:rPr>
        <w:t>c</w:t>
      </w:r>
      <w:r w:rsidRPr="006C1DD6">
        <w:rPr>
          <w:sz w:val="20"/>
          <w:szCs w:val="20"/>
          <w:lang w:val="en-GB"/>
        </w:rPr>
        <w:t>onsolidated text:</w:t>
      </w:r>
      <w:r w:rsidRPr="002D36BA">
        <w:rPr>
          <w:sz w:val="20"/>
          <w:szCs w:val="20"/>
          <w:lang w:val="en-GB"/>
        </w:rPr>
        <w:t xml:space="preserve"> </w:t>
      </w:r>
      <w:hyperlink r:id="rId2" w:tooltip="Gives access to this document through its ELI URI." w:history="1">
        <w:r w:rsidRPr="006C1DD6">
          <w:rPr>
            <w:rStyle w:val="Hyperlink"/>
            <w:sz w:val="20"/>
            <w:szCs w:val="20"/>
            <w:lang w:val="en-GB"/>
          </w:rPr>
          <w:t>http://data.europa.eu/eli/reg/2021/1058/2025-09-20</w:t>
        </w:r>
      </w:hyperlink>
      <w:r w:rsidRPr="006C1DD6">
        <w:rPr>
          <w:sz w:val="20"/>
          <w:szCs w:val="20"/>
          <w:lang w:val="en-GB"/>
        </w:rPr>
        <w:t>).</w:t>
      </w:r>
    </w:p>
  </w:footnote>
  <w:footnote w:id="3">
    <w:p w14:paraId="61C2098F" w14:textId="77777777" w:rsidR="000973E8" w:rsidRPr="006C1DD6" w:rsidRDefault="000973E8" w:rsidP="006E0C01">
      <w:pPr>
        <w:pStyle w:val="FootnoteText"/>
        <w:keepLines w:val="0"/>
        <w:widowControl w:val="0"/>
        <w:spacing w:after="0"/>
        <w:ind w:left="-567" w:hanging="284"/>
        <w:rPr>
          <w:sz w:val="20"/>
          <w:szCs w:val="20"/>
          <w:lang w:val="en-IE"/>
        </w:rPr>
      </w:pPr>
      <w:r w:rsidRPr="006C1DD6">
        <w:rPr>
          <w:rStyle w:val="FootnoteReference"/>
          <w:sz w:val="20"/>
          <w:szCs w:val="20"/>
        </w:rPr>
        <w:footnoteRef/>
      </w:r>
      <w:r w:rsidRPr="006C1DD6">
        <w:rPr>
          <w:sz w:val="20"/>
          <w:szCs w:val="20"/>
          <w:lang w:val="en-IE"/>
        </w:rPr>
        <w:t xml:space="preserve"> </w:t>
      </w:r>
      <w:r w:rsidRPr="006C1DD6">
        <w:rPr>
          <w:sz w:val="20"/>
          <w:szCs w:val="20"/>
          <w:lang w:val="en-IE"/>
        </w:rPr>
        <w:tab/>
      </w:r>
      <w:r w:rsidRPr="00B40AAB">
        <w:rPr>
          <w:sz w:val="20"/>
          <w:szCs w:val="20"/>
          <w:lang w:val="en-GB"/>
        </w:rPr>
        <w:t>SWD(2025) 299 final (</w:t>
      </w:r>
      <w:hyperlink r:id="rId3" w:history="1">
        <w:r w:rsidRPr="00B40AAB">
          <w:rPr>
            <w:rStyle w:val="Hyperlink"/>
            <w:sz w:val="20"/>
            <w:szCs w:val="20"/>
            <w:lang w:val="en-GB"/>
          </w:rPr>
          <w:t>LexUriServ.do</w:t>
        </w:r>
      </w:hyperlink>
      <w:r>
        <w:rPr>
          <w:sz w:val="20"/>
          <w:szCs w:val="20"/>
          <w:lang w:val="en-GB"/>
        </w:rPr>
        <w:t>).</w:t>
      </w:r>
    </w:p>
  </w:footnote>
  <w:footnote w:id="4">
    <w:p w14:paraId="0BE26702" w14:textId="65123541" w:rsidR="00A82337" w:rsidRPr="006C1DD6" w:rsidRDefault="00A82337" w:rsidP="006E0C01">
      <w:pPr>
        <w:pStyle w:val="FootnoteText"/>
        <w:keepLines w:val="0"/>
        <w:widowControl w:val="0"/>
        <w:spacing w:after="0"/>
        <w:ind w:left="-567" w:right="-709" w:hanging="284"/>
        <w:rPr>
          <w:sz w:val="20"/>
          <w:szCs w:val="20"/>
          <w:lang w:val="en-IE"/>
        </w:rPr>
      </w:pPr>
      <w:r w:rsidRPr="006C1DD6">
        <w:rPr>
          <w:rStyle w:val="FootnoteReference"/>
          <w:sz w:val="20"/>
          <w:szCs w:val="20"/>
        </w:rPr>
        <w:footnoteRef/>
      </w:r>
      <w:r w:rsidRPr="006C1DD6">
        <w:rPr>
          <w:sz w:val="20"/>
          <w:szCs w:val="20"/>
        </w:rPr>
        <w:t xml:space="preserve"> </w:t>
      </w:r>
      <w:r w:rsidRPr="006C1DD6">
        <w:rPr>
          <w:sz w:val="20"/>
          <w:szCs w:val="20"/>
          <w:lang w:val="en-IE"/>
        </w:rPr>
        <w:tab/>
      </w:r>
      <w:hyperlink r:id="rId4" w:anchor=":~:text=The%20%22Baltic%20Civil%20Defence%20Cooperation%20for%20Complex%20Emergencies%22,simulation%20and%20coordination%20exercises%20that%20include%20diverse%20participants." w:history="1">
        <w:r w:rsidRPr="006C1DD6">
          <w:rPr>
            <w:rStyle w:val="Hyperlink"/>
            <w:sz w:val="20"/>
            <w:szCs w:val="20"/>
            <w:lang w:val="en-GB"/>
          </w:rPr>
          <w:t>BCD: Baltic Civil Defence Cooperation for Complex Emergencies | UCP Knowledge Network</w:t>
        </w:r>
      </w:hyperlink>
      <w:r w:rsidRPr="006C1DD6">
        <w:rPr>
          <w:sz w:val="20"/>
          <w:szCs w:val="20"/>
          <w:lang w:val="en-IE"/>
        </w:rPr>
        <w:t>.</w:t>
      </w:r>
    </w:p>
  </w:footnote>
  <w:footnote w:id="5">
    <w:p w14:paraId="36D1FB7E" w14:textId="16233E41" w:rsidR="00A82337" w:rsidRPr="006C1DD6" w:rsidRDefault="00A82337" w:rsidP="006E0C01">
      <w:pPr>
        <w:pStyle w:val="FootnoteText"/>
        <w:keepLines w:val="0"/>
        <w:widowControl w:val="0"/>
        <w:spacing w:after="0"/>
        <w:ind w:left="-567" w:right="-851" w:hanging="284"/>
        <w:rPr>
          <w:sz w:val="20"/>
          <w:szCs w:val="20"/>
          <w:lang w:val="fr-BE"/>
        </w:rPr>
      </w:pPr>
      <w:r w:rsidRPr="006C1DD6">
        <w:rPr>
          <w:rStyle w:val="FootnoteReference"/>
          <w:sz w:val="20"/>
          <w:szCs w:val="20"/>
        </w:rPr>
        <w:footnoteRef/>
      </w:r>
      <w:r w:rsidRPr="006C1DD6">
        <w:rPr>
          <w:sz w:val="20"/>
          <w:szCs w:val="20"/>
          <w:lang w:val="fr-BE"/>
        </w:rPr>
        <w:t xml:space="preserve"> </w:t>
      </w:r>
      <w:r w:rsidRPr="006C1DD6">
        <w:rPr>
          <w:sz w:val="20"/>
          <w:szCs w:val="20"/>
          <w:lang w:val="fr-BE"/>
        </w:rPr>
        <w:tab/>
      </w:r>
      <w:proofErr w:type="gramStart"/>
      <w:r w:rsidRPr="006C1DD6">
        <w:rPr>
          <w:sz w:val="20"/>
          <w:szCs w:val="20"/>
          <w:lang w:val="fr-BE"/>
        </w:rPr>
        <w:t>COM(</w:t>
      </w:r>
      <w:proofErr w:type="gramEnd"/>
      <w:r w:rsidRPr="006C1DD6">
        <w:rPr>
          <w:sz w:val="20"/>
          <w:szCs w:val="20"/>
          <w:lang w:val="fr-BE"/>
        </w:rPr>
        <w:t>2025) 90 final (</w:t>
      </w:r>
      <w:hyperlink r:id="rId5" w:history="1">
        <w:r w:rsidRPr="006C1DD6">
          <w:rPr>
            <w:rStyle w:val="Hyperlink"/>
            <w:sz w:val="20"/>
            <w:szCs w:val="20"/>
            <w:lang w:val="fr-BE"/>
          </w:rPr>
          <w:t>EUR-Lex - 52025DC0090 - EN - EUR-Lex</w:t>
        </w:r>
      </w:hyperlink>
      <w:r w:rsidRPr="006C1DD6">
        <w:rPr>
          <w:sz w:val="20"/>
          <w:szCs w:val="20"/>
          <w:lang w:val="fr-BE"/>
        </w:rPr>
        <w:t>).</w:t>
      </w:r>
    </w:p>
  </w:footnote>
  <w:footnote w:id="6">
    <w:p w14:paraId="403EC1BA" w14:textId="0A1E5917" w:rsidR="00A82337" w:rsidRPr="006C1DD6" w:rsidRDefault="00A82337" w:rsidP="006E0C01">
      <w:pPr>
        <w:pStyle w:val="FootnoteText"/>
        <w:keepLines w:val="0"/>
        <w:widowControl w:val="0"/>
        <w:spacing w:after="0"/>
        <w:ind w:left="-567" w:right="-851" w:hanging="284"/>
        <w:rPr>
          <w:sz w:val="20"/>
          <w:szCs w:val="20"/>
          <w:lang w:val="en-IE"/>
        </w:rPr>
      </w:pPr>
      <w:r w:rsidRPr="006C1DD6">
        <w:rPr>
          <w:rStyle w:val="FootnoteReference"/>
          <w:sz w:val="20"/>
          <w:szCs w:val="20"/>
        </w:rPr>
        <w:footnoteRef/>
      </w:r>
      <w:r w:rsidRPr="006C1DD6">
        <w:rPr>
          <w:sz w:val="20"/>
          <w:szCs w:val="20"/>
        </w:rPr>
        <w:t xml:space="preserve"> </w:t>
      </w:r>
      <w:r w:rsidRPr="006C1DD6">
        <w:rPr>
          <w:sz w:val="20"/>
          <w:szCs w:val="20"/>
          <w:lang w:val="en-IE"/>
        </w:rPr>
        <w:tab/>
      </w:r>
      <w:hyperlink r:id="rId6" w:history="1">
        <w:r w:rsidRPr="006C1DD6">
          <w:rPr>
            <w:rStyle w:val="Hyperlink"/>
            <w:sz w:val="20"/>
            <w:szCs w:val="20"/>
            <w:lang w:val="en-GB"/>
          </w:rPr>
          <w:t>European Vaccine Hub to enhance health preparedness across EU</w:t>
        </w:r>
      </w:hyperlink>
      <w:r w:rsidRPr="006C1DD6">
        <w:rPr>
          <w:sz w:val="20"/>
          <w:szCs w:val="20"/>
          <w:lang w:val="en-IE"/>
        </w:rPr>
        <w:t>.</w:t>
      </w:r>
    </w:p>
  </w:footnote>
  <w:footnote w:id="7">
    <w:p w14:paraId="03D4A1F3" w14:textId="7B3F6F19" w:rsidR="00374D89" w:rsidRPr="00DF6750" w:rsidRDefault="00374D89" w:rsidP="006E0C01">
      <w:pPr>
        <w:pStyle w:val="FootnoteText"/>
        <w:keepLines w:val="0"/>
        <w:widowControl w:val="0"/>
        <w:spacing w:after="0"/>
        <w:ind w:left="-567" w:right="-709" w:hanging="284"/>
        <w:rPr>
          <w:sz w:val="20"/>
          <w:szCs w:val="20"/>
          <w:lang w:val="fr-BE"/>
        </w:rPr>
      </w:pPr>
      <w:r w:rsidRPr="00DF6750">
        <w:rPr>
          <w:rStyle w:val="FootnoteReference"/>
          <w:sz w:val="20"/>
          <w:szCs w:val="20"/>
        </w:rPr>
        <w:footnoteRef/>
      </w:r>
      <w:r w:rsidRPr="00DF6750">
        <w:rPr>
          <w:sz w:val="20"/>
          <w:szCs w:val="20"/>
          <w:lang w:val="fr-BE"/>
        </w:rPr>
        <w:t xml:space="preserve"> </w:t>
      </w:r>
      <w:r w:rsidRPr="00DF6750">
        <w:rPr>
          <w:sz w:val="20"/>
          <w:szCs w:val="20"/>
          <w:lang w:val="fr-BE"/>
        </w:rPr>
        <w:tab/>
      </w:r>
      <w:proofErr w:type="gramStart"/>
      <w:r w:rsidRPr="00DF6750">
        <w:rPr>
          <w:sz w:val="20"/>
          <w:szCs w:val="20"/>
          <w:lang w:val="fr-BE"/>
        </w:rPr>
        <w:t>COM(</w:t>
      </w:r>
      <w:proofErr w:type="gramEnd"/>
      <w:r w:rsidRPr="00DF6750">
        <w:rPr>
          <w:sz w:val="20"/>
          <w:szCs w:val="20"/>
          <w:lang w:val="fr-BE"/>
        </w:rPr>
        <w:t>2025) 500 final (</w:t>
      </w:r>
      <w:hyperlink r:id="rId7" w:history="1">
        <w:r w:rsidRPr="00DF6750">
          <w:rPr>
            <w:rStyle w:val="Hyperlink"/>
            <w:sz w:val="20"/>
            <w:szCs w:val="20"/>
            <w:lang w:val="fr-BE"/>
          </w:rPr>
          <w:t>EUR-Lex - 52025DC0500 - EN - EUR-Lex</w:t>
        </w:r>
      </w:hyperlink>
      <w:r w:rsidRPr="00DF6750">
        <w:rPr>
          <w:sz w:val="20"/>
          <w:szCs w:val="20"/>
          <w:lang w:val="fr-BE"/>
        </w:rPr>
        <w:t>).</w:t>
      </w:r>
    </w:p>
  </w:footnote>
  <w:footnote w:id="8">
    <w:p w14:paraId="0E4EAE15" w14:textId="612E63BD" w:rsidR="00696994" w:rsidRPr="00DF6750" w:rsidRDefault="00696994" w:rsidP="006E0C01">
      <w:pPr>
        <w:pStyle w:val="FootnoteText"/>
        <w:keepLines w:val="0"/>
        <w:widowControl w:val="0"/>
        <w:spacing w:after="0"/>
        <w:ind w:left="-567" w:right="-709" w:hanging="284"/>
        <w:rPr>
          <w:sz w:val="20"/>
          <w:szCs w:val="20"/>
          <w:lang w:val="en-IE"/>
        </w:rPr>
      </w:pPr>
      <w:r w:rsidRPr="00DF6750">
        <w:rPr>
          <w:rStyle w:val="FootnoteReference"/>
          <w:sz w:val="20"/>
          <w:szCs w:val="20"/>
        </w:rPr>
        <w:footnoteRef/>
      </w:r>
      <w:r w:rsidRPr="00DF6750">
        <w:rPr>
          <w:sz w:val="20"/>
          <w:szCs w:val="20"/>
        </w:rPr>
        <w:t xml:space="preserve"> </w:t>
      </w:r>
      <w:r w:rsidRPr="00DF6750">
        <w:rPr>
          <w:sz w:val="20"/>
          <w:szCs w:val="20"/>
          <w:lang w:val="en-IE"/>
        </w:rPr>
        <w:tab/>
      </w:r>
      <w:r w:rsidRPr="00DF6750">
        <w:rPr>
          <w:sz w:val="20"/>
          <w:szCs w:val="20"/>
          <w:lang w:val="en-GB"/>
        </w:rPr>
        <w:t>Regulation (EU) 2024/2747 of the European Parliament and of the Council of 9 October 2024 establishing a framework of measures related to an internal market emergency and to the resilience of the internal market and amending Council Regulation (EC) No 2679/98 (Internal Market Emergency and Resilience Act) (</w:t>
      </w:r>
      <w:hyperlink r:id="rId8" w:tooltip="Gives access to this document through its ELI URI." w:history="1">
        <w:r w:rsidRPr="00DF6750">
          <w:rPr>
            <w:rStyle w:val="Hyperlink"/>
            <w:sz w:val="20"/>
            <w:szCs w:val="20"/>
            <w:lang w:val="en-GB"/>
          </w:rPr>
          <w:t>http://data.europa.eu/eli/reg/2024/2747/oj</w:t>
        </w:r>
      </w:hyperlink>
      <w:r w:rsidRPr="00DF6750">
        <w:rPr>
          <w:sz w:val="20"/>
          <w:szCs w:val="20"/>
          <w:lang w:val="en-GB"/>
        </w:rPr>
        <w:t>).</w:t>
      </w:r>
    </w:p>
  </w:footnote>
  <w:footnote w:id="9">
    <w:p w14:paraId="446DE43A" w14:textId="2F7ED233" w:rsidR="00DF6750" w:rsidRPr="006E0C01" w:rsidRDefault="00DF6750" w:rsidP="006E0C01">
      <w:pPr>
        <w:pStyle w:val="FootnoteText"/>
        <w:keepLines w:val="0"/>
        <w:widowControl w:val="0"/>
        <w:spacing w:after="0"/>
        <w:ind w:left="-567" w:right="-851" w:hanging="284"/>
        <w:rPr>
          <w:sz w:val="20"/>
          <w:szCs w:val="20"/>
          <w:lang w:val="en-IE"/>
        </w:rPr>
      </w:pPr>
      <w:r w:rsidRPr="006E0C01">
        <w:rPr>
          <w:rStyle w:val="FootnoteReference"/>
          <w:sz w:val="20"/>
          <w:szCs w:val="20"/>
        </w:rPr>
        <w:footnoteRef/>
      </w:r>
      <w:r w:rsidRPr="006E0C01">
        <w:rPr>
          <w:sz w:val="20"/>
          <w:szCs w:val="20"/>
        </w:rPr>
        <w:t xml:space="preserve"> </w:t>
      </w:r>
      <w:r w:rsidRPr="006E0C01">
        <w:rPr>
          <w:sz w:val="20"/>
          <w:szCs w:val="20"/>
          <w:lang w:val="en-IE"/>
        </w:rPr>
        <w:tab/>
      </w:r>
      <w:r w:rsidRPr="006E0C01">
        <w:rPr>
          <w:sz w:val="20"/>
          <w:szCs w:val="20"/>
          <w:lang w:val="en-GB"/>
        </w:rPr>
        <w:t>Regulation (EU) 2025/1914 of the European Parliament and of the Council of 18 September 2025 amending Regulations (EU) 2021/1058 and (EU) 2021/1056 as regards specific measures to address strategic challenges in the context of the mid-term review (</w:t>
      </w:r>
      <w:hyperlink r:id="rId9" w:tooltip="Gives access to this document through its ELI URI." w:history="1">
        <w:r w:rsidRPr="006E0C01">
          <w:rPr>
            <w:rStyle w:val="Hyperlink"/>
            <w:sz w:val="20"/>
            <w:szCs w:val="20"/>
            <w:lang w:val="en-GB"/>
          </w:rPr>
          <w:t>http://data.europa.eu/eli/reg/2025/1914/oj</w:t>
        </w:r>
      </w:hyperlink>
      <w:r w:rsidRPr="006E0C01">
        <w:rPr>
          <w:sz w:val="20"/>
          <w:szCs w:val="20"/>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1049" w14:textId="77777777" w:rsidR="002B54D6" w:rsidRDefault="002B5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BDC7" w14:textId="77777777" w:rsidR="002B54D6" w:rsidRDefault="002B54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17DF" w14:textId="77777777" w:rsidR="002B54D6" w:rsidRDefault="002B5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26F5"/>
    <w:multiLevelType w:val="multilevel"/>
    <w:tmpl w:val="7120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40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NotTrackMoves/>
  <w:defaultTabStop w:val="720"/>
  <w:hyphenationZone w:val="425"/>
  <w:characterSpacingControl w:val="doNotCompress"/>
  <w:hdrShapeDefaults>
    <o:shapedefaults v:ext="edit" spidmax="614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s>
  <w:rsids>
    <w:rsidRoot w:val="00077C4F"/>
    <w:rsid w:val="00012A37"/>
    <w:rsid w:val="00033B63"/>
    <w:rsid w:val="0003584F"/>
    <w:rsid w:val="00036CAD"/>
    <w:rsid w:val="00041755"/>
    <w:rsid w:val="00046B15"/>
    <w:rsid w:val="00050594"/>
    <w:rsid w:val="00050837"/>
    <w:rsid w:val="00050DC7"/>
    <w:rsid w:val="00076109"/>
    <w:rsid w:val="00077C4F"/>
    <w:rsid w:val="00082A6A"/>
    <w:rsid w:val="00084C4D"/>
    <w:rsid w:val="00085332"/>
    <w:rsid w:val="00085AA6"/>
    <w:rsid w:val="00091D7C"/>
    <w:rsid w:val="000973E8"/>
    <w:rsid w:val="000A121F"/>
    <w:rsid w:val="000B2AEC"/>
    <w:rsid w:val="000F0274"/>
    <w:rsid w:val="000F5FD8"/>
    <w:rsid w:val="00102F49"/>
    <w:rsid w:val="001041FE"/>
    <w:rsid w:val="00110B2D"/>
    <w:rsid w:val="001167C0"/>
    <w:rsid w:val="00135C2A"/>
    <w:rsid w:val="001805B5"/>
    <w:rsid w:val="001B0E0B"/>
    <w:rsid w:val="001C4138"/>
    <w:rsid w:val="001D276E"/>
    <w:rsid w:val="001F2EC6"/>
    <w:rsid w:val="001F65D0"/>
    <w:rsid w:val="00217E59"/>
    <w:rsid w:val="00274056"/>
    <w:rsid w:val="002743E4"/>
    <w:rsid w:val="002924AA"/>
    <w:rsid w:val="00295E96"/>
    <w:rsid w:val="002B2BE9"/>
    <w:rsid w:val="002B54D6"/>
    <w:rsid w:val="002C07DC"/>
    <w:rsid w:val="002D36BA"/>
    <w:rsid w:val="002F03FA"/>
    <w:rsid w:val="003004D2"/>
    <w:rsid w:val="00303129"/>
    <w:rsid w:val="003220E7"/>
    <w:rsid w:val="00324DF9"/>
    <w:rsid w:val="003349A3"/>
    <w:rsid w:val="003362EB"/>
    <w:rsid w:val="00343324"/>
    <w:rsid w:val="0036379E"/>
    <w:rsid w:val="00374D89"/>
    <w:rsid w:val="00377967"/>
    <w:rsid w:val="00386143"/>
    <w:rsid w:val="00390979"/>
    <w:rsid w:val="003A5286"/>
    <w:rsid w:val="003B58DC"/>
    <w:rsid w:val="003C5298"/>
    <w:rsid w:val="003E16A4"/>
    <w:rsid w:val="003E2B8B"/>
    <w:rsid w:val="003F599E"/>
    <w:rsid w:val="003F686E"/>
    <w:rsid w:val="004134BD"/>
    <w:rsid w:val="00422FC2"/>
    <w:rsid w:val="00435DC6"/>
    <w:rsid w:val="00442552"/>
    <w:rsid w:val="004506E7"/>
    <w:rsid w:val="00455A1C"/>
    <w:rsid w:val="004675B5"/>
    <w:rsid w:val="004770D6"/>
    <w:rsid w:val="0049246C"/>
    <w:rsid w:val="00496610"/>
    <w:rsid w:val="004A1E20"/>
    <w:rsid w:val="004A7932"/>
    <w:rsid w:val="004B0D72"/>
    <w:rsid w:val="004C7604"/>
    <w:rsid w:val="004D4D61"/>
    <w:rsid w:val="004F6117"/>
    <w:rsid w:val="004F63F1"/>
    <w:rsid w:val="004F651E"/>
    <w:rsid w:val="00516D63"/>
    <w:rsid w:val="00522236"/>
    <w:rsid w:val="0052596B"/>
    <w:rsid w:val="00554137"/>
    <w:rsid w:val="00554D8D"/>
    <w:rsid w:val="00573835"/>
    <w:rsid w:val="00581306"/>
    <w:rsid w:val="0058610C"/>
    <w:rsid w:val="005B3D29"/>
    <w:rsid w:val="005C3105"/>
    <w:rsid w:val="005D15DC"/>
    <w:rsid w:val="005D3CF5"/>
    <w:rsid w:val="005E7EEF"/>
    <w:rsid w:val="00636603"/>
    <w:rsid w:val="006417A9"/>
    <w:rsid w:val="006509FB"/>
    <w:rsid w:val="00674924"/>
    <w:rsid w:val="00675DA4"/>
    <w:rsid w:val="00692C2F"/>
    <w:rsid w:val="00695797"/>
    <w:rsid w:val="00696994"/>
    <w:rsid w:val="00696A5E"/>
    <w:rsid w:val="006B3B69"/>
    <w:rsid w:val="006C1DD6"/>
    <w:rsid w:val="006C49B6"/>
    <w:rsid w:val="006E0C01"/>
    <w:rsid w:val="00722D5B"/>
    <w:rsid w:val="00734613"/>
    <w:rsid w:val="0073616C"/>
    <w:rsid w:val="00751910"/>
    <w:rsid w:val="00751E60"/>
    <w:rsid w:val="007547B5"/>
    <w:rsid w:val="00764968"/>
    <w:rsid w:val="00766C81"/>
    <w:rsid w:val="0077105D"/>
    <w:rsid w:val="00785F17"/>
    <w:rsid w:val="007878D2"/>
    <w:rsid w:val="00793364"/>
    <w:rsid w:val="00795A9E"/>
    <w:rsid w:val="00797A4F"/>
    <w:rsid w:val="007A606D"/>
    <w:rsid w:val="007A7362"/>
    <w:rsid w:val="007B30F6"/>
    <w:rsid w:val="007C10D1"/>
    <w:rsid w:val="007C2214"/>
    <w:rsid w:val="007C7FEC"/>
    <w:rsid w:val="00807B48"/>
    <w:rsid w:val="008135CA"/>
    <w:rsid w:val="0081584F"/>
    <w:rsid w:val="00815970"/>
    <w:rsid w:val="00830AC9"/>
    <w:rsid w:val="008703BF"/>
    <w:rsid w:val="008750B3"/>
    <w:rsid w:val="00877121"/>
    <w:rsid w:val="00885CF4"/>
    <w:rsid w:val="008925CE"/>
    <w:rsid w:val="008A5052"/>
    <w:rsid w:val="008A606F"/>
    <w:rsid w:val="008C4D41"/>
    <w:rsid w:val="008C60D9"/>
    <w:rsid w:val="008E5162"/>
    <w:rsid w:val="009052E2"/>
    <w:rsid w:val="0090666A"/>
    <w:rsid w:val="009175C1"/>
    <w:rsid w:val="0092793A"/>
    <w:rsid w:val="00947EF5"/>
    <w:rsid w:val="00955EC7"/>
    <w:rsid w:val="009713ED"/>
    <w:rsid w:val="00981F45"/>
    <w:rsid w:val="00987EE5"/>
    <w:rsid w:val="00994D12"/>
    <w:rsid w:val="009A3524"/>
    <w:rsid w:val="009B128B"/>
    <w:rsid w:val="009C423F"/>
    <w:rsid w:val="009E6E9E"/>
    <w:rsid w:val="00A03258"/>
    <w:rsid w:val="00A154B0"/>
    <w:rsid w:val="00A16F07"/>
    <w:rsid w:val="00A26B60"/>
    <w:rsid w:val="00A44873"/>
    <w:rsid w:val="00A46F2D"/>
    <w:rsid w:val="00A62C7B"/>
    <w:rsid w:val="00A72A25"/>
    <w:rsid w:val="00A76B1E"/>
    <w:rsid w:val="00A7709A"/>
    <w:rsid w:val="00A82337"/>
    <w:rsid w:val="00AA0D0B"/>
    <w:rsid w:val="00AD47DF"/>
    <w:rsid w:val="00AE1842"/>
    <w:rsid w:val="00AE3C7C"/>
    <w:rsid w:val="00B11E1C"/>
    <w:rsid w:val="00B15E53"/>
    <w:rsid w:val="00B31306"/>
    <w:rsid w:val="00B40AAB"/>
    <w:rsid w:val="00B42814"/>
    <w:rsid w:val="00B44C00"/>
    <w:rsid w:val="00B47C74"/>
    <w:rsid w:val="00B76ED5"/>
    <w:rsid w:val="00B82989"/>
    <w:rsid w:val="00B83936"/>
    <w:rsid w:val="00B84937"/>
    <w:rsid w:val="00BB64B0"/>
    <w:rsid w:val="00BD6EB7"/>
    <w:rsid w:val="00BE2D93"/>
    <w:rsid w:val="00C37BDD"/>
    <w:rsid w:val="00C54D27"/>
    <w:rsid w:val="00C6157A"/>
    <w:rsid w:val="00C7224D"/>
    <w:rsid w:val="00C76EEB"/>
    <w:rsid w:val="00C81181"/>
    <w:rsid w:val="00CE3C7F"/>
    <w:rsid w:val="00CF76A5"/>
    <w:rsid w:val="00CF7A30"/>
    <w:rsid w:val="00D002CB"/>
    <w:rsid w:val="00D01F5A"/>
    <w:rsid w:val="00D112A0"/>
    <w:rsid w:val="00D1323B"/>
    <w:rsid w:val="00D1716E"/>
    <w:rsid w:val="00D35070"/>
    <w:rsid w:val="00D51E30"/>
    <w:rsid w:val="00D5451E"/>
    <w:rsid w:val="00D64E05"/>
    <w:rsid w:val="00D81D50"/>
    <w:rsid w:val="00D861CC"/>
    <w:rsid w:val="00D90C78"/>
    <w:rsid w:val="00D92FD3"/>
    <w:rsid w:val="00DA3B6E"/>
    <w:rsid w:val="00DB7581"/>
    <w:rsid w:val="00DC2D7E"/>
    <w:rsid w:val="00DC70C1"/>
    <w:rsid w:val="00DF6750"/>
    <w:rsid w:val="00E05FA9"/>
    <w:rsid w:val="00E21D79"/>
    <w:rsid w:val="00E250ED"/>
    <w:rsid w:val="00E57270"/>
    <w:rsid w:val="00E755D8"/>
    <w:rsid w:val="00E83C12"/>
    <w:rsid w:val="00E864E1"/>
    <w:rsid w:val="00E904C8"/>
    <w:rsid w:val="00E947B1"/>
    <w:rsid w:val="00EA1BBF"/>
    <w:rsid w:val="00EA40CE"/>
    <w:rsid w:val="00EB29A9"/>
    <w:rsid w:val="00EB77D2"/>
    <w:rsid w:val="00EC5711"/>
    <w:rsid w:val="00ED749C"/>
    <w:rsid w:val="00EF41B8"/>
    <w:rsid w:val="00EF6293"/>
    <w:rsid w:val="00F316C8"/>
    <w:rsid w:val="00F4756F"/>
    <w:rsid w:val="00F53A63"/>
    <w:rsid w:val="00F60C76"/>
    <w:rsid w:val="00F632DE"/>
    <w:rsid w:val="00F735E4"/>
    <w:rsid w:val="00FB10EC"/>
    <w:rsid w:val="00FB7834"/>
    <w:rsid w:val="00FD002F"/>
    <w:rsid w:val="00FD4B6A"/>
    <w:rsid w:val="00FF03A8"/>
    <w:rsid w:val="00FF6055"/>
    <w:rsid w:val="00FF63EA"/>
    <w:rsid w:val="00FF6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6EDBE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BB64B0"/>
    <w:pPr>
      <w:keepLines/>
      <w:spacing w:after="60" w:line="240" w:lineRule="auto"/>
      <w:ind w:left="567" w:hanging="567"/>
      <w:jc w:val="both"/>
    </w:pPr>
    <w:rPr>
      <w:rFonts w:ascii="Times New Roman" w:eastAsia="Times New Roman" w:hAnsi="Times New Roman"/>
      <w:sz w:val="16"/>
      <w:lang w:val="en-US"/>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BB64B0"/>
    <w:rPr>
      <w:rFonts w:ascii="Times New Roman" w:eastAsia="Times New Roman" w:hAnsi="Times New Roman"/>
      <w:sz w:val="16"/>
      <w:szCs w:val="22"/>
      <w:lang w:val="en-US" w:eastAsia="en-US"/>
    </w:rPr>
  </w:style>
  <w:style w:type="character" w:styleId="FootnoteReference">
    <w:name w:val="footnote reference"/>
    <w:aliases w:val="Footnote symbol"/>
    <w:unhideWhenUsed/>
    <w:qFormat/>
    <w:rsid w:val="00BB64B0"/>
    <w:rPr>
      <w:sz w:val="24"/>
      <w:vertAlign w:val="superscript"/>
    </w:rPr>
  </w:style>
  <w:style w:type="character" w:styleId="Hyperlink">
    <w:name w:val="Hyperlink"/>
    <w:uiPriority w:val="99"/>
    <w:rsid w:val="00BB64B0"/>
    <w:rPr>
      <w:color w:val="0000FF"/>
      <w:u w:val="single"/>
    </w:rPr>
  </w:style>
  <w:style w:type="paragraph" w:styleId="Revision">
    <w:name w:val="Revision"/>
    <w:hidden/>
    <w:uiPriority w:val="99"/>
    <w:semiHidden/>
    <w:rsid w:val="00303129"/>
    <w:rPr>
      <w:sz w:val="22"/>
      <w:szCs w:val="22"/>
      <w:lang w:eastAsia="en-US"/>
    </w:rPr>
  </w:style>
  <w:style w:type="character" w:styleId="CommentReference">
    <w:name w:val="annotation reference"/>
    <w:basedOn w:val="DefaultParagraphFont"/>
    <w:uiPriority w:val="99"/>
    <w:semiHidden/>
    <w:unhideWhenUsed/>
    <w:rsid w:val="00303129"/>
    <w:rPr>
      <w:sz w:val="16"/>
      <w:szCs w:val="16"/>
    </w:rPr>
  </w:style>
  <w:style w:type="paragraph" w:styleId="CommentText">
    <w:name w:val="annotation text"/>
    <w:basedOn w:val="Normal"/>
    <w:link w:val="CommentTextChar"/>
    <w:uiPriority w:val="99"/>
    <w:unhideWhenUsed/>
    <w:rsid w:val="00303129"/>
    <w:rPr>
      <w:sz w:val="20"/>
      <w:szCs w:val="20"/>
    </w:rPr>
  </w:style>
  <w:style w:type="character" w:customStyle="1" w:styleId="CommentTextChar">
    <w:name w:val="Comment Text Char"/>
    <w:basedOn w:val="DefaultParagraphFont"/>
    <w:link w:val="CommentText"/>
    <w:uiPriority w:val="99"/>
    <w:rsid w:val="00303129"/>
    <w:rPr>
      <w:lang w:eastAsia="en-US"/>
    </w:rPr>
  </w:style>
  <w:style w:type="paragraph" w:styleId="CommentSubject">
    <w:name w:val="annotation subject"/>
    <w:basedOn w:val="CommentText"/>
    <w:next w:val="CommentText"/>
    <w:link w:val="CommentSubjectChar"/>
    <w:uiPriority w:val="99"/>
    <w:semiHidden/>
    <w:unhideWhenUsed/>
    <w:rsid w:val="00303129"/>
    <w:rPr>
      <w:b/>
      <w:bCs/>
    </w:rPr>
  </w:style>
  <w:style w:type="character" w:customStyle="1" w:styleId="CommentSubjectChar">
    <w:name w:val="Comment Subject Char"/>
    <w:basedOn w:val="CommentTextChar"/>
    <w:link w:val="CommentSubject"/>
    <w:uiPriority w:val="99"/>
    <w:semiHidden/>
    <w:rsid w:val="00303129"/>
    <w:rPr>
      <w:b/>
      <w:bCs/>
      <w:lang w:eastAsia="en-US"/>
    </w:rPr>
  </w:style>
  <w:style w:type="character" w:styleId="UnresolvedMention">
    <w:name w:val="Unresolved Mention"/>
    <w:basedOn w:val="DefaultParagraphFont"/>
    <w:uiPriority w:val="99"/>
    <w:semiHidden/>
    <w:unhideWhenUsed/>
    <w:rsid w:val="00A26B60"/>
    <w:rPr>
      <w:color w:val="605E5C"/>
      <w:shd w:val="clear" w:color="auto" w:fill="E1DFDD"/>
    </w:rPr>
  </w:style>
  <w:style w:type="character" w:styleId="FollowedHyperlink">
    <w:name w:val="FollowedHyperlink"/>
    <w:basedOn w:val="DefaultParagraphFont"/>
    <w:uiPriority w:val="99"/>
    <w:semiHidden/>
    <w:unhideWhenUsed/>
    <w:rsid w:val="00E21D79"/>
    <w:rPr>
      <w:color w:val="954F72" w:themeColor="followedHyperlink"/>
      <w:u w:val="single"/>
    </w:rPr>
  </w:style>
  <w:style w:type="paragraph" w:styleId="Header">
    <w:name w:val="header"/>
    <w:basedOn w:val="Normal"/>
    <w:link w:val="HeaderChar"/>
    <w:uiPriority w:val="99"/>
    <w:unhideWhenUsed/>
    <w:rsid w:val="002B54D6"/>
    <w:pPr>
      <w:tabs>
        <w:tab w:val="center" w:pos="4513"/>
        <w:tab w:val="right" w:pos="9026"/>
      </w:tabs>
    </w:pPr>
  </w:style>
  <w:style w:type="character" w:customStyle="1" w:styleId="HeaderChar">
    <w:name w:val="Header Char"/>
    <w:basedOn w:val="DefaultParagraphFont"/>
    <w:link w:val="Header"/>
    <w:uiPriority w:val="99"/>
    <w:rsid w:val="002B54D6"/>
    <w:rPr>
      <w:sz w:val="22"/>
      <w:szCs w:val="22"/>
      <w:lang w:eastAsia="en-US"/>
    </w:rPr>
  </w:style>
  <w:style w:type="paragraph" w:styleId="Footer">
    <w:name w:val="footer"/>
    <w:basedOn w:val="Normal"/>
    <w:link w:val="FooterChar"/>
    <w:uiPriority w:val="99"/>
    <w:unhideWhenUsed/>
    <w:rsid w:val="002B54D6"/>
    <w:pPr>
      <w:tabs>
        <w:tab w:val="center" w:pos="4513"/>
        <w:tab w:val="right" w:pos="9026"/>
      </w:tabs>
    </w:pPr>
  </w:style>
  <w:style w:type="character" w:customStyle="1" w:styleId="FooterChar">
    <w:name w:val="Footer Char"/>
    <w:basedOn w:val="DefaultParagraphFont"/>
    <w:link w:val="Footer"/>
    <w:uiPriority w:val="99"/>
    <w:rsid w:val="002B54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53396">
      <w:bodyDiv w:val="1"/>
      <w:marLeft w:val="0"/>
      <w:marRight w:val="0"/>
      <w:marTop w:val="0"/>
      <w:marBottom w:val="0"/>
      <w:divBdr>
        <w:top w:val="none" w:sz="0" w:space="0" w:color="auto"/>
        <w:left w:val="none" w:sz="0" w:space="0" w:color="auto"/>
        <w:bottom w:val="none" w:sz="0" w:space="0" w:color="auto"/>
        <w:right w:val="none" w:sz="0" w:space="0" w:color="auto"/>
      </w:divBdr>
    </w:div>
    <w:div w:id="886720164">
      <w:bodyDiv w:val="1"/>
      <w:marLeft w:val="0"/>
      <w:marRight w:val="0"/>
      <w:marTop w:val="0"/>
      <w:marBottom w:val="0"/>
      <w:divBdr>
        <w:top w:val="none" w:sz="0" w:space="0" w:color="auto"/>
        <w:left w:val="none" w:sz="0" w:space="0" w:color="auto"/>
        <w:bottom w:val="none" w:sz="0" w:space="0" w:color="auto"/>
        <w:right w:val="none" w:sz="0" w:space="0" w:color="auto"/>
      </w:divBdr>
      <w:divsChild>
        <w:div w:id="559556770">
          <w:marLeft w:val="0"/>
          <w:marRight w:val="0"/>
          <w:marTop w:val="0"/>
          <w:marBottom w:val="0"/>
          <w:divBdr>
            <w:top w:val="none" w:sz="0" w:space="0" w:color="auto"/>
            <w:left w:val="none" w:sz="0" w:space="0" w:color="auto"/>
            <w:bottom w:val="none" w:sz="0" w:space="0" w:color="auto"/>
            <w:right w:val="none" w:sz="0" w:space="0" w:color="auto"/>
          </w:divBdr>
        </w:div>
        <w:div w:id="672688575">
          <w:marLeft w:val="0"/>
          <w:marRight w:val="0"/>
          <w:marTop w:val="0"/>
          <w:marBottom w:val="0"/>
          <w:divBdr>
            <w:top w:val="none" w:sz="0" w:space="0" w:color="auto"/>
            <w:left w:val="none" w:sz="0" w:space="0" w:color="auto"/>
            <w:bottom w:val="none" w:sz="0" w:space="0" w:color="auto"/>
            <w:right w:val="none" w:sz="0" w:space="0" w:color="auto"/>
          </w:divBdr>
        </w:div>
        <w:div w:id="2066105544">
          <w:marLeft w:val="0"/>
          <w:marRight w:val="0"/>
          <w:marTop w:val="0"/>
          <w:marBottom w:val="0"/>
          <w:divBdr>
            <w:top w:val="none" w:sz="0" w:space="0" w:color="auto"/>
            <w:left w:val="none" w:sz="0" w:space="0" w:color="auto"/>
            <w:bottom w:val="none" w:sz="0" w:space="0" w:color="auto"/>
            <w:right w:val="none" w:sz="0" w:space="0" w:color="auto"/>
          </w:divBdr>
        </w:div>
        <w:div w:id="1361392488">
          <w:marLeft w:val="0"/>
          <w:marRight w:val="0"/>
          <w:marTop w:val="0"/>
          <w:marBottom w:val="0"/>
          <w:divBdr>
            <w:top w:val="none" w:sz="0" w:space="0" w:color="auto"/>
            <w:left w:val="none" w:sz="0" w:space="0" w:color="auto"/>
            <w:bottom w:val="none" w:sz="0" w:space="0" w:color="auto"/>
            <w:right w:val="none" w:sz="0" w:space="0" w:color="auto"/>
          </w:divBdr>
        </w:div>
      </w:divsChild>
    </w:div>
    <w:div w:id="1014114502">
      <w:bodyDiv w:val="1"/>
      <w:marLeft w:val="0"/>
      <w:marRight w:val="0"/>
      <w:marTop w:val="0"/>
      <w:marBottom w:val="0"/>
      <w:divBdr>
        <w:top w:val="none" w:sz="0" w:space="0" w:color="auto"/>
        <w:left w:val="none" w:sz="0" w:space="0" w:color="auto"/>
        <w:bottom w:val="none" w:sz="0" w:space="0" w:color="auto"/>
        <w:right w:val="none" w:sz="0" w:space="0" w:color="auto"/>
      </w:divBdr>
    </w:div>
    <w:div w:id="2089617221">
      <w:bodyDiv w:val="1"/>
      <w:marLeft w:val="0"/>
      <w:marRight w:val="0"/>
      <w:marTop w:val="0"/>
      <w:marBottom w:val="0"/>
      <w:divBdr>
        <w:top w:val="none" w:sz="0" w:space="0" w:color="auto"/>
        <w:left w:val="none" w:sz="0" w:space="0" w:color="auto"/>
        <w:bottom w:val="none" w:sz="0" w:space="0" w:color="auto"/>
        <w:right w:val="none" w:sz="0" w:space="0" w:color="auto"/>
      </w:divBdr>
      <w:divsChild>
        <w:div w:id="2005206020">
          <w:marLeft w:val="0"/>
          <w:marRight w:val="0"/>
          <w:marTop w:val="0"/>
          <w:marBottom w:val="0"/>
          <w:divBdr>
            <w:top w:val="none" w:sz="0" w:space="0" w:color="auto"/>
            <w:left w:val="none" w:sz="0" w:space="0" w:color="auto"/>
            <w:bottom w:val="none" w:sz="0" w:space="0" w:color="auto"/>
            <w:right w:val="none" w:sz="0" w:space="0" w:color="auto"/>
          </w:divBdr>
        </w:div>
        <w:div w:id="1689869227">
          <w:marLeft w:val="0"/>
          <w:marRight w:val="0"/>
          <w:marTop w:val="0"/>
          <w:marBottom w:val="0"/>
          <w:divBdr>
            <w:top w:val="none" w:sz="0" w:space="0" w:color="auto"/>
            <w:left w:val="none" w:sz="0" w:space="0" w:color="auto"/>
            <w:bottom w:val="none" w:sz="0" w:space="0" w:color="auto"/>
            <w:right w:val="none" w:sz="0" w:space="0" w:color="auto"/>
          </w:divBdr>
        </w:div>
        <w:div w:id="1239554074">
          <w:marLeft w:val="0"/>
          <w:marRight w:val="0"/>
          <w:marTop w:val="0"/>
          <w:marBottom w:val="0"/>
          <w:divBdr>
            <w:top w:val="none" w:sz="0" w:space="0" w:color="auto"/>
            <w:left w:val="none" w:sz="0" w:space="0" w:color="auto"/>
            <w:bottom w:val="none" w:sz="0" w:space="0" w:color="auto"/>
            <w:right w:val="none" w:sz="0" w:space="0" w:color="auto"/>
          </w:divBdr>
        </w:div>
        <w:div w:id="1056588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24/2747/oj" TargetMode="External"/><Relationship Id="rId3" Type="http://schemas.openxmlformats.org/officeDocument/2006/relationships/hyperlink" Target="https://eur-lex.europa.eu/LexUriServ/LexUriServ.do?uri=SWD:2025:0299:FIN:EN:PDF" TargetMode="External"/><Relationship Id="rId7" Type="http://schemas.openxmlformats.org/officeDocument/2006/relationships/hyperlink" Target="https://eur-lex.europa.eu/legal-content/EN/TXT/?uri=celex:52025DC0500" TargetMode="External"/><Relationship Id="rId2" Type="http://schemas.openxmlformats.org/officeDocument/2006/relationships/hyperlink" Target="http://data.europa.eu/eli/reg/2021/1058/2025-09-20" TargetMode="External"/><Relationship Id="rId1" Type="http://schemas.openxmlformats.org/officeDocument/2006/relationships/hyperlink" Target="http://data.europa.eu/eli/reg/2021/1058/2025-09-20" TargetMode="External"/><Relationship Id="rId6" Type="http://schemas.openxmlformats.org/officeDocument/2006/relationships/hyperlink" Target="https://ec.europa.eu/commission/presscorner/detail/en/ip_25_1306" TargetMode="External"/><Relationship Id="rId5" Type="http://schemas.openxmlformats.org/officeDocument/2006/relationships/hyperlink" Target="https://eur-lex.europa.eu/legal-content/EN/TXT/?uri=celex:52025DC0090" TargetMode="External"/><Relationship Id="rId4" Type="http://schemas.openxmlformats.org/officeDocument/2006/relationships/hyperlink" Target="https://civil-protection-knowledge-network.europa.eu/projects/bcd-baltic-civil-defence-cooperation-complex-emergencies" TargetMode="External"/><Relationship Id="rId9" Type="http://schemas.openxmlformats.org/officeDocument/2006/relationships/hyperlink" Target="http://data.europa.eu/eli/reg/2025/19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60b76ac-e86b-4c28-8f73-fb1fa26cb38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6C5FF7545B7948801649B9A2D39635" ma:contentTypeVersion="13" ma:contentTypeDescription="Create a new document." ma:contentTypeScope="" ma:versionID="de6140f6c9bb2a28eda074c2a1f32011">
  <xsd:schema xmlns:xsd="http://www.w3.org/2001/XMLSchema" xmlns:xs="http://www.w3.org/2001/XMLSchema" xmlns:p="http://schemas.microsoft.com/office/2006/metadata/properties" xmlns:ns3="360b76ac-e86b-4c28-8f73-fb1fa26cb38b" xmlns:ns4="8207ab88-a204-4a9c-84ca-648d3694c4c1" targetNamespace="http://schemas.microsoft.com/office/2006/metadata/properties" ma:root="true" ma:fieldsID="b2e8e47a12e880bb669412c2c43a347e" ns3:_="" ns4:_="">
    <xsd:import namespace="360b76ac-e86b-4c28-8f73-fb1fa26cb38b"/>
    <xsd:import namespace="8207ab88-a204-4a9c-84ca-648d3694c4c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b76ac-e86b-4c28-8f73-fb1fa26cb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7ab88-a204-4a9c-84ca-648d3694c4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0B5A3-EE8F-423A-83EF-FA62EC3D01D3}">
  <ds:schemaRefs>
    <ds:schemaRef ds:uri="http://schemas.microsoft.com/office/2006/metadata/properties"/>
    <ds:schemaRef ds:uri="http://purl.org/dc/elements/1.1/"/>
    <ds:schemaRef ds:uri="http://www.w3.org/XML/1998/namespace"/>
    <ds:schemaRef ds:uri="http://purl.org/dc/dcmitype/"/>
    <ds:schemaRef ds:uri="http://purl.org/dc/terms/"/>
    <ds:schemaRef ds:uri="360b76ac-e86b-4c28-8f73-fb1fa26cb38b"/>
    <ds:schemaRef ds:uri="http://schemas.microsoft.com/office/2006/documentManagement/types"/>
    <ds:schemaRef ds:uri="http://schemas.microsoft.com/office/infopath/2007/PartnerControls"/>
    <ds:schemaRef ds:uri="http://schemas.openxmlformats.org/package/2006/metadata/core-properties"/>
    <ds:schemaRef ds:uri="8207ab88-a204-4a9c-84ca-648d3694c4c1"/>
  </ds:schemaRefs>
</ds:datastoreItem>
</file>

<file path=customXml/itemProps2.xml><?xml version="1.0" encoding="utf-8"?>
<ds:datastoreItem xmlns:ds="http://schemas.openxmlformats.org/officeDocument/2006/customXml" ds:itemID="{8A307545-7AC6-4BAC-917A-9F7102C49BC9}">
  <ds:schemaRefs>
    <ds:schemaRef ds:uri="http://schemas.openxmlformats.org/officeDocument/2006/bibliography"/>
  </ds:schemaRefs>
</ds:datastoreItem>
</file>

<file path=customXml/itemProps3.xml><?xml version="1.0" encoding="utf-8"?>
<ds:datastoreItem xmlns:ds="http://schemas.openxmlformats.org/officeDocument/2006/customXml" ds:itemID="{CE7EDD51-A1AC-4F76-8874-BB8F4D83A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b76ac-e86b-4c28-8f73-fb1fa26cb38b"/>
    <ds:schemaRef ds:uri="8207ab88-a204-4a9c-84ca-648d3694c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21947-7E78-4ABA-8116-6E91E0900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2089</Words>
  <Characters>12206</Characters>
  <Application>Microsoft Office Word</Application>
  <DocSecurity>0</DocSecurity>
  <Lines>147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2026-01-21T08:34:00Z</dcterms:created>
  <dcterms:modified xsi:type="dcterms:W3CDTF">2026-01-21T08:34:00Z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2025-10-29T09:19:16Z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94f52459-f265-440c-9872-4cfd0952af4b</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0x010100E56C5FF7545B7948801649B9A2D39635</vt:lpwstr>
  </property>
</Properties>
</file>