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A52F3E" w:rsidRDefault="00077C4F" w:rsidP="00442FD7">
      <w:pPr>
        <w:spacing w:after="0" w:line="240" w:lineRule="auto"/>
        <w:ind w:left="-851"/>
        <w:rPr>
          <w:rFonts w:ascii="Times New Roman" w:hAnsi="Times New Roman"/>
          <w:bCs/>
          <w:sz w:val="16"/>
          <w:szCs w:val="16"/>
        </w:rPr>
      </w:pPr>
    </w:p>
    <w:tbl>
      <w:tblPr>
        <w:tblW w:w="1098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981"/>
      </w:tblGrid>
      <w:tr w:rsidR="001C4138" w:rsidRPr="00442552" w14:paraId="7E6372DC" w14:textId="77777777" w:rsidTr="009C2340">
        <w:trPr>
          <w:jc w:val="center"/>
        </w:trPr>
        <w:tc>
          <w:tcPr>
            <w:tcW w:w="10981" w:type="dxa"/>
          </w:tcPr>
          <w:p w14:paraId="3A4EDC3A" w14:textId="7296BE50" w:rsidR="001C4138" w:rsidRPr="004F6117" w:rsidRDefault="00BA455B" w:rsidP="001B47E0">
            <w:pPr>
              <w:spacing w:before="120" w:after="120"/>
              <w:rPr>
                <w:rFonts w:ascii="Times New Roman" w:hAnsi="Times New Roman"/>
                <w:b/>
                <w:sz w:val="24"/>
                <w:szCs w:val="24"/>
              </w:rPr>
            </w:pPr>
            <w:r>
              <w:rPr>
                <w:rFonts w:ascii="Times New Roman" w:hAnsi="Times New Roman"/>
                <w:b/>
                <w:sz w:val="24"/>
                <w:szCs w:val="24"/>
              </w:rPr>
              <w:t>Defence funding in the EU</w:t>
            </w:r>
            <w:r w:rsidR="0019073C">
              <w:rPr>
                <w:rFonts w:ascii="Times New Roman" w:hAnsi="Times New Roman"/>
                <w:b/>
                <w:sz w:val="24"/>
                <w:szCs w:val="24"/>
              </w:rPr>
              <w:br/>
            </w:r>
            <w:r w:rsidR="00A52F3E">
              <w:rPr>
                <w:rFonts w:ascii="Times New Roman" w:hAnsi="Times New Roman"/>
                <w:b/>
                <w:sz w:val="24"/>
                <w:szCs w:val="24"/>
              </w:rPr>
              <w:t>(e</w:t>
            </w:r>
            <w:r w:rsidR="008A32D2">
              <w:rPr>
                <w:rFonts w:ascii="Times New Roman" w:hAnsi="Times New Roman"/>
                <w:b/>
                <w:sz w:val="24"/>
                <w:szCs w:val="24"/>
              </w:rPr>
              <w:t>xploratory opinion</w:t>
            </w:r>
            <w:r w:rsidR="004832FC">
              <w:rPr>
                <w:rFonts w:ascii="Times New Roman" w:hAnsi="Times New Roman"/>
                <w:b/>
                <w:sz w:val="24"/>
                <w:szCs w:val="24"/>
              </w:rPr>
              <w:t xml:space="preserve"> </w:t>
            </w:r>
            <w:r w:rsidR="004832FC" w:rsidRPr="004832FC">
              <w:rPr>
                <w:rFonts w:ascii="Times New Roman" w:hAnsi="Times New Roman"/>
                <w:b/>
                <w:sz w:val="24"/>
                <w:szCs w:val="24"/>
              </w:rPr>
              <w:t>at the request of the Polish Presidency</w:t>
            </w:r>
            <w:r w:rsidR="00A52F3E">
              <w:rPr>
                <w:rFonts w:ascii="Times New Roman" w:hAnsi="Times New Roman"/>
                <w:b/>
                <w:sz w:val="24"/>
                <w:szCs w:val="24"/>
              </w:rPr>
              <w:t>)</w:t>
            </w:r>
            <w:r w:rsidR="0019073C">
              <w:rPr>
                <w:rFonts w:ascii="Times New Roman" w:hAnsi="Times New Roman"/>
                <w:b/>
                <w:sz w:val="24"/>
                <w:szCs w:val="24"/>
              </w:rPr>
              <w:br/>
            </w:r>
            <w:r w:rsidR="001C4138" w:rsidRPr="00EC0906">
              <w:rPr>
                <w:rFonts w:ascii="Times New Roman" w:hAnsi="Times New Roman"/>
                <w:b/>
                <w:sz w:val="24"/>
                <w:szCs w:val="24"/>
              </w:rPr>
              <w:t>EESC-202</w:t>
            </w:r>
            <w:r w:rsidR="00A52F3E">
              <w:rPr>
                <w:rFonts w:ascii="Times New Roman" w:hAnsi="Times New Roman"/>
                <w:b/>
                <w:sz w:val="24"/>
                <w:szCs w:val="24"/>
              </w:rPr>
              <w:t>4</w:t>
            </w:r>
            <w:r w:rsidR="001C4138" w:rsidRPr="00EC0906">
              <w:rPr>
                <w:rFonts w:ascii="Times New Roman" w:hAnsi="Times New Roman"/>
                <w:b/>
                <w:sz w:val="24"/>
                <w:szCs w:val="24"/>
              </w:rPr>
              <w:t>-</w:t>
            </w:r>
            <w:r w:rsidR="0019073C">
              <w:rPr>
                <w:rFonts w:ascii="Times New Roman" w:hAnsi="Times New Roman"/>
                <w:b/>
                <w:sz w:val="24"/>
                <w:szCs w:val="24"/>
              </w:rPr>
              <w:t>03643</w:t>
            </w:r>
            <w:r w:rsidR="00A52F3E">
              <w:rPr>
                <w:rFonts w:ascii="Times New Roman" w:hAnsi="Times New Roman"/>
                <w:b/>
                <w:sz w:val="24"/>
                <w:szCs w:val="24"/>
              </w:rPr>
              <w:t xml:space="preserve"> </w:t>
            </w:r>
            <w:r w:rsidR="001C4138" w:rsidRPr="00EC0906">
              <w:rPr>
                <w:rFonts w:ascii="Times New Roman" w:hAnsi="Times New Roman"/>
                <w:b/>
                <w:sz w:val="24"/>
                <w:szCs w:val="24"/>
              </w:rPr>
              <w:t xml:space="preserve">‒ </w:t>
            </w:r>
            <w:r w:rsidRPr="00EC0906">
              <w:rPr>
                <w:rFonts w:ascii="Times New Roman" w:hAnsi="Times New Roman"/>
                <w:b/>
                <w:sz w:val="24"/>
                <w:szCs w:val="24"/>
              </w:rPr>
              <w:t>ECO/655</w:t>
            </w:r>
            <w:r w:rsidR="001C4138" w:rsidRPr="00807B48">
              <w:rPr>
                <w:rFonts w:ascii="Times New Roman" w:hAnsi="Times New Roman"/>
                <w:b/>
                <w:sz w:val="24"/>
                <w:szCs w:val="24"/>
              </w:rPr>
              <w:br/>
            </w:r>
            <w:r>
              <w:rPr>
                <w:rFonts w:ascii="Times New Roman" w:hAnsi="Times New Roman"/>
                <w:b/>
                <w:sz w:val="24"/>
                <w:szCs w:val="24"/>
              </w:rPr>
              <w:t>594</w:t>
            </w:r>
            <w:r w:rsidRPr="00BA455B">
              <w:rPr>
                <w:rFonts w:ascii="Times New Roman" w:hAnsi="Times New Roman"/>
                <w:b/>
                <w:sz w:val="24"/>
                <w:szCs w:val="24"/>
                <w:vertAlign w:val="superscript"/>
              </w:rPr>
              <w:t>th</w:t>
            </w:r>
            <w:r w:rsidR="001C4138" w:rsidRPr="00A140A0">
              <w:rPr>
                <w:b/>
              </w:rPr>
              <w:t xml:space="preserve"> </w:t>
            </w:r>
            <w:r w:rsidR="001C4138" w:rsidRPr="00AE3C7C">
              <w:rPr>
                <w:rFonts w:ascii="Times New Roman" w:hAnsi="Times New Roman"/>
                <w:b/>
                <w:sz w:val="24"/>
                <w:szCs w:val="24"/>
              </w:rPr>
              <w:t xml:space="preserve">Plenary Session – </w:t>
            </w:r>
            <w:r>
              <w:rPr>
                <w:rFonts w:ascii="Times New Roman" w:hAnsi="Times New Roman"/>
                <w:b/>
                <w:sz w:val="24"/>
                <w:szCs w:val="24"/>
              </w:rPr>
              <w:t>February 2025</w:t>
            </w:r>
            <w:r w:rsidR="001C4138" w:rsidRPr="00807B48">
              <w:rPr>
                <w:rFonts w:ascii="Times New Roman" w:hAnsi="Times New Roman"/>
                <w:b/>
                <w:sz w:val="24"/>
                <w:szCs w:val="24"/>
              </w:rPr>
              <w:br/>
              <w:t xml:space="preserve">Rapporteur: </w:t>
            </w:r>
            <w:r>
              <w:rPr>
                <w:rFonts w:ascii="Times New Roman" w:hAnsi="Times New Roman"/>
                <w:b/>
                <w:sz w:val="24"/>
                <w:szCs w:val="24"/>
              </w:rPr>
              <w:t>Marcin NOWACKI</w:t>
            </w:r>
            <w:r w:rsidR="001C4138">
              <w:rPr>
                <w:rFonts w:ascii="Times New Roman" w:hAnsi="Times New Roman"/>
                <w:b/>
                <w:sz w:val="24"/>
                <w:szCs w:val="24"/>
              </w:rPr>
              <w:t xml:space="preserve"> </w:t>
            </w:r>
            <w:r>
              <w:rPr>
                <w:rFonts w:ascii="Times New Roman" w:hAnsi="Times New Roman"/>
                <w:b/>
                <w:sz w:val="24"/>
                <w:szCs w:val="24"/>
              </w:rPr>
              <w:t>(PL</w:t>
            </w:r>
            <w:r w:rsidR="0019073C">
              <w:rPr>
                <w:rFonts w:ascii="Times New Roman" w:hAnsi="Times New Roman"/>
                <w:b/>
                <w:sz w:val="24"/>
                <w:szCs w:val="24"/>
              </w:rPr>
              <w:t>-I</w:t>
            </w:r>
            <w:r w:rsidR="001C4138">
              <w:rPr>
                <w:rFonts w:ascii="Times New Roman" w:hAnsi="Times New Roman"/>
                <w:b/>
                <w:sz w:val="24"/>
                <w:szCs w:val="24"/>
              </w:rPr>
              <w:t>)</w:t>
            </w:r>
            <w:r w:rsidR="001C4138" w:rsidRPr="00807B48">
              <w:rPr>
                <w:rFonts w:ascii="Times New Roman" w:hAnsi="Times New Roman"/>
                <w:b/>
                <w:sz w:val="24"/>
                <w:szCs w:val="24"/>
              </w:rPr>
              <w:br/>
              <w:t xml:space="preserve">DG </w:t>
            </w:r>
            <w:r>
              <w:rPr>
                <w:rFonts w:ascii="Times New Roman" w:hAnsi="Times New Roman"/>
                <w:b/>
                <w:sz w:val="24"/>
                <w:szCs w:val="24"/>
              </w:rPr>
              <w:t>DEFIS</w:t>
            </w:r>
            <w:r w:rsidR="001C4138" w:rsidRPr="00807B48">
              <w:rPr>
                <w:rFonts w:ascii="Times New Roman" w:hAnsi="Times New Roman"/>
                <w:b/>
                <w:sz w:val="24"/>
                <w:szCs w:val="24"/>
              </w:rPr>
              <w:t xml:space="preserve"> – Commissioner </w:t>
            </w:r>
            <w:r>
              <w:rPr>
                <w:rFonts w:ascii="Times New Roman" w:hAnsi="Times New Roman"/>
                <w:b/>
                <w:sz w:val="24"/>
                <w:szCs w:val="24"/>
              </w:rPr>
              <w:t>K</w:t>
            </w:r>
            <w:r w:rsidR="008A32D2">
              <w:rPr>
                <w:rFonts w:ascii="Times New Roman" w:hAnsi="Times New Roman"/>
                <w:b/>
                <w:sz w:val="24"/>
                <w:szCs w:val="24"/>
              </w:rPr>
              <w:t>UBILIUS</w:t>
            </w:r>
          </w:p>
        </w:tc>
      </w:tr>
      <w:tr w:rsidR="00734613" w:rsidRPr="00442552" w14:paraId="1937071F" w14:textId="77777777" w:rsidTr="009C2340">
        <w:trPr>
          <w:jc w:val="center"/>
        </w:trPr>
        <w:tc>
          <w:tcPr>
            <w:tcW w:w="10981" w:type="dxa"/>
          </w:tcPr>
          <w:p w14:paraId="1E50B4DB" w14:textId="734CD31A"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A52F3E">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9C2340">
        <w:trPr>
          <w:jc w:val="center"/>
        </w:trPr>
        <w:tc>
          <w:tcPr>
            <w:tcW w:w="10981" w:type="dxa"/>
          </w:tcPr>
          <w:p w14:paraId="3F84ECA0" w14:textId="30FA12ED" w:rsidR="0069228D" w:rsidRPr="0069228D" w:rsidRDefault="001854B2" w:rsidP="00A52F3E">
            <w:pPr>
              <w:widowControl w:val="0"/>
              <w:spacing w:before="120" w:after="120"/>
              <w:jc w:val="both"/>
              <w:rPr>
                <w:rFonts w:ascii="Times New Roman" w:hAnsi="Times New Roman"/>
                <w:sz w:val="24"/>
                <w:szCs w:val="24"/>
              </w:rPr>
            </w:pPr>
            <w:r>
              <w:rPr>
                <w:rFonts w:ascii="Times New Roman" w:hAnsi="Times New Roman"/>
                <w:sz w:val="24"/>
                <w:szCs w:val="24"/>
              </w:rPr>
              <w:t xml:space="preserve">The Commission thanks the </w:t>
            </w:r>
            <w:r w:rsidR="006058DF">
              <w:rPr>
                <w:rFonts w:ascii="Times New Roman" w:hAnsi="Times New Roman"/>
                <w:sz w:val="24"/>
                <w:szCs w:val="24"/>
              </w:rPr>
              <w:t xml:space="preserve">Committee </w:t>
            </w:r>
            <w:r>
              <w:rPr>
                <w:rFonts w:ascii="Times New Roman" w:hAnsi="Times New Roman"/>
                <w:sz w:val="24"/>
                <w:szCs w:val="24"/>
              </w:rPr>
              <w:t xml:space="preserve">for </w:t>
            </w:r>
            <w:r w:rsidR="006058DF">
              <w:rPr>
                <w:rFonts w:ascii="Times New Roman" w:hAnsi="Times New Roman"/>
                <w:sz w:val="24"/>
                <w:szCs w:val="24"/>
              </w:rPr>
              <w:t>its</w:t>
            </w:r>
            <w:r>
              <w:rPr>
                <w:rFonts w:ascii="Times New Roman" w:hAnsi="Times New Roman"/>
                <w:sz w:val="24"/>
                <w:szCs w:val="24"/>
              </w:rPr>
              <w:t xml:space="preserve"> opinion on defence financing in the EU.</w:t>
            </w:r>
            <w:r w:rsidR="00385BFA">
              <w:rPr>
                <w:rFonts w:ascii="Times New Roman" w:hAnsi="Times New Roman"/>
                <w:sz w:val="24"/>
                <w:szCs w:val="24"/>
              </w:rPr>
              <w:t xml:space="preserve"> </w:t>
            </w:r>
            <w:r w:rsidR="0069228D">
              <w:rPr>
                <w:rFonts w:ascii="Times New Roman" w:hAnsi="Times New Roman"/>
                <w:sz w:val="24"/>
                <w:szCs w:val="24"/>
              </w:rPr>
              <w:t xml:space="preserve">It </w:t>
            </w:r>
            <w:r w:rsidR="0069228D" w:rsidRPr="0069228D">
              <w:rPr>
                <w:rFonts w:ascii="Times New Roman" w:hAnsi="Times New Roman"/>
                <w:sz w:val="24"/>
                <w:szCs w:val="24"/>
              </w:rPr>
              <w:t>share</w:t>
            </w:r>
            <w:r w:rsidR="0069228D">
              <w:rPr>
                <w:rFonts w:ascii="Times New Roman" w:hAnsi="Times New Roman"/>
                <w:sz w:val="24"/>
                <w:szCs w:val="24"/>
              </w:rPr>
              <w:t>s</w:t>
            </w:r>
            <w:r w:rsidR="0069228D" w:rsidRPr="0069228D">
              <w:rPr>
                <w:rFonts w:ascii="Times New Roman" w:hAnsi="Times New Roman"/>
                <w:sz w:val="24"/>
                <w:szCs w:val="24"/>
              </w:rPr>
              <w:t xml:space="preserve"> the </w:t>
            </w:r>
            <w:r w:rsidR="0069228D">
              <w:rPr>
                <w:rFonts w:ascii="Times New Roman" w:hAnsi="Times New Roman"/>
                <w:sz w:val="24"/>
                <w:szCs w:val="24"/>
              </w:rPr>
              <w:t>Committee’</w:t>
            </w:r>
            <w:r w:rsidR="0069228D" w:rsidRPr="0069228D">
              <w:rPr>
                <w:rFonts w:ascii="Times New Roman" w:hAnsi="Times New Roman"/>
                <w:sz w:val="24"/>
                <w:szCs w:val="24"/>
              </w:rPr>
              <w:t>s concerns about the geopolitical challenges facing Europe, particularly in the context of the Russian aggression against Ukraine</w:t>
            </w:r>
            <w:r w:rsidR="008F7A98">
              <w:rPr>
                <w:rFonts w:ascii="Times New Roman" w:hAnsi="Times New Roman"/>
                <w:sz w:val="24"/>
                <w:szCs w:val="24"/>
              </w:rPr>
              <w:t xml:space="preserve"> and the necessity</w:t>
            </w:r>
            <w:r w:rsidR="0069228D" w:rsidRPr="0069228D">
              <w:rPr>
                <w:rFonts w:ascii="Times New Roman" w:hAnsi="Times New Roman"/>
                <w:sz w:val="24"/>
                <w:szCs w:val="24"/>
              </w:rPr>
              <w:t xml:space="preserve"> to </w:t>
            </w:r>
            <w:r w:rsidR="008F7A98" w:rsidRPr="008F7A98">
              <w:rPr>
                <w:rFonts w:ascii="Times New Roman" w:hAnsi="Times New Roman"/>
                <w:sz w:val="24"/>
                <w:szCs w:val="24"/>
              </w:rPr>
              <w:t>tak</w:t>
            </w:r>
            <w:r w:rsidR="008F7A98">
              <w:rPr>
                <w:rFonts w:ascii="Times New Roman" w:hAnsi="Times New Roman"/>
                <w:sz w:val="24"/>
                <w:szCs w:val="24"/>
              </w:rPr>
              <w:t>e</w:t>
            </w:r>
            <w:r w:rsidR="008F7A98" w:rsidRPr="008F7A98">
              <w:rPr>
                <w:rFonts w:ascii="Times New Roman" w:hAnsi="Times New Roman"/>
                <w:sz w:val="24"/>
                <w:szCs w:val="24"/>
              </w:rPr>
              <w:t xml:space="preserve"> </w:t>
            </w:r>
            <w:r w:rsidR="008F7A98">
              <w:rPr>
                <w:rFonts w:ascii="Times New Roman" w:hAnsi="Times New Roman"/>
                <w:sz w:val="24"/>
                <w:szCs w:val="24"/>
              </w:rPr>
              <w:t>more</w:t>
            </w:r>
            <w:r w:rsidR="008F7A98" w:rsidRPr="008F7A98">
              <w:rPr>
                <w:rFonts w:ascii="Times New Roman" w:hAnsi="Times New Roman"/>
                <w:sz w:val="24"/>
                <w:szCs w:val="24"/>
              </w:rPr>
              <w:t xml:space="preserve"> responsibility for the security of </w:t>
            </w:r>
            <w:r w:rsidR="004832FC">
              <w:rPr>
                <w:rFonts w:ascii="Times New Roman" w:hAnsi="Times New Roman"/>
                <w:sz w:val="24"/>
                <w:szCs w:val="24"/>
              </w:rPr>
              <w:t>the European</w:t>
            </w:r>
            <w:r w:rsidR="008F7A98" w:rsidRPr="008F7A98">
              <w:rPr>
                <w:rFonts w:ascii="Times New Roman" w:hAnsi="Times New Roman"/>
                <w:sz w:val="24"/>
                <w:szCs w:val="24"/>
              </w:rPr>
              <w:t xml:space="preserve"> continent</w:t>
            </w:r>
            <w:r w:rsidR="008F7A98">
              <w:rPr>
                <w:rFonts w:ascii="Times New Roman" w:hAnsi="Times New Roman"/>
                <w:sz w:val="24"/>
                <w:szCs w:val="24"/>
              </w:rPr>
              <w:t xml:space="preserve">. It has become </w:t>
            </w:r>
            <w:r w:rsidR="008F7A98" w:rsidRPr="008F7A98">
              <w:rPr>
                <w:rFonts w:ascii="Times New Roman" w:hAnsi="Times New Roman"/>
                <w:sz w:val="24"/>
                <w:szCs w:val="24"/>
              </w:rPr>
              <w:t xml:space="preserve">imperative to invest in defence capabilities </w:t>
            </w:r>
            <w:r w:rsidR="0069228D" w:rsidRPr="0069228D">
              <w:rPr>
                <w:rFonts w:ascii="Times New Roman" w:hAnsi="Times New Roman"/>
                <w:sz w:val="24"/>
                <w:szCs w:val="24"/>
              </w:rPr>
              <w:t>to safeguard the EU's fundamental values, peace, security, and economic interests</w:t>
            </w:r>
            <w:r w:rsidR="0069228D">
              <w:rPr>
                <w:rFonts w:ascii="Times New Roman" w:hAnsi="Times New Roman"/>
                <w:sz w:val="24"/>
                <w:szCs w:val="24"/>
              </w:rPr>
              <w:t>.</w:t>
            </w:r>
          </w:p>
          <w:p w14:paraId="245502CC" w14:textId="7A083B09" w:rsidR="006331D1" w:rsidRDefault="006331D1" w:rsidP="00A52F3E">
            <w:pPr>
              <w:widowControl w:val="0"/>
              <w:spacing w:before="120" w:after="120"/>
              <w:jc w:val="both"/>
              <w:rPr>
                <w:rFonts w:ascii="Times New Roman" w:hAnsi="Times New Roman"/>
                <w:i/>
                <w:iCs/>
                <w:sz w:val="24"/>
                <w:szCs w:val="24"/>
                <w:highlight w:val="yellow"/>
              </w:rPr>
            </w:pPr>
            <w:r w:rsidRPr="0028282D">
              <w:rPr>
                <w:rFonts w:ascii="Times New Roman" w:hAnsi="Times New Roman"/>
                <w:sz w:val="24"/>
                <w:szCs w:val="24"/>
              </w:rPr>
              <w:t>The 2024-2029 political guideline</w:t>
            </w:r>
            <w:r>
              <w:rPr>
                <w:rFonts w:ascii="Times New Roman" w:hAnsi="Times New Roman"/>
                <w:sz w:val="24"/>
                <w:szCs w:val="24"/>
              </w:rPr>
              <w:t>s</w:t>
            </w:r>
            <w:r w:rsidRPr="0028282D">
              <w:rPr>
                <w:rFonts w:ascii="Times New Roman" w:hAnsi="Times New Roman"/>
                <w:sz w:val="24"/>
                <w:szCs w:val="24"/>
              </w:rPr>
              <w:t xml:space="preserve"> define the priorities of the Commission, which entail security and defence alongside</w:t>
            </w:r>
            <w:r w:rsidRPr="43538EA9">
              <w:rPr>
                <w:rFonts w:ascii="Times New Roman" w:hAnsi="Times New Roman"/>
                <w:sz w:val="24"/>
                <w:szCs w:val="24"/>
              </w:rPr>
              <w:t xml:space="preserve"> </w:t>
            </w:r>
            <w:r w:rsidRPr="0028282D">
              <w:rPr>
                <w:rFonts w:ascii="Times New Roman" w:hAnsi="Times New Roman"/>
                <w:sz w:val="24"/>
                <w:szCs w:val="24"/>
              </w:rPr>
              <w:t>prosperity and competitiveness;</w:t>
            </w:r>
            <w:r w:rsidRPr="0028282D">
              <w:rPr>
                <w:rFonts w:ascii="Times New Roman" w:hAnsi="Times New Roman"/>
                <w:i/>
                <w:iCs/>
                <w:sz w:val="24"/>
                <w:szCs w:val="24"/>
              </w:rPr>
              <w:t xml:space="preserve"> </w:t>
            </w:r>
            <w:r w:rsidRPr="0028282D">
              <w:rPr>
                <w:rFonts w:ascii="Times New Roman" w:hAnsi="Times New Roman"/>
                <w:sz w:val="24"/>
                <w:szCs w:val="24"/>
              </w:rPr>
              <w:t>p</w:t>
            </w:r>
            <w:r w:rsidRPr="43538EA9">
              <w:rPr>
                <w:rFonts w:ascii="Times New Roman" w:eastAsia="Times New Roman" w:hAnsi="Times New Roman"/>
                <w:sz w:val="24"/>
                <w:szCs w:val="24"/>
              </w:rPr>
              <w:t xml:space="preserve">eople, society and social model; </w:t>
            </w:r>
            <w:r w:rsidR="00B769AF">
              <w:rPr>
                <w:rFonts w:ascii="Times New Roman" w:eastAsia="Times New Roman" w:hAnsi="Times New Roman"/>
                <w:sz w:val="24"/>
                <w:szCs w:val="24"/>
              </w:rPr>
              <w:t xml:space="preserve">economic, social and territorial cohesion; </w:t>
            </w:r>
            <w:r w:rsidRPr="43538EA9">
              <w:rPr>
                <w:rFonts w:ascii="Times New Roman" w:eastAsia="Times New Roman" w:hAnsi="Times New Roman"/>
                <w:sz w:val="24"/>
                <w:szCs w:val="24"/>
              </w:rPr>
              <w:t>and food security, water and nature</w:t>
            </w:r>
            <w:r>
              <w:rPr>
                <w:rFonts w:ascii="Times New Roman" w:eastAsia="Times New Roman" w:hAnsi="Times New Roman"/>
                <w:sz w:val="24"/>
                <w:szCs w:val="24"/>
              </w:rPr>
              <w:t xml:space="preserve"> </w:t>
            </w:r>
            <w:r w:rsidRPr="43538EA9">
              <w:rPr>
                <w:rFonts w:ascii="Times New Roman" w:hAnsi="Times New Roman"/>
                <w:sz w:val="24"/>
                <w:szCs w:val="24"/>
              </w:rPr>
              <w:t>– among others</w:t>
            </w:r>
            <w:r w:rsidRPr="43538EA9">
              <w:rPr>
                <w:rFonts w:ascii="Times New Roman" w:eastAsia="Times New Roman" w:hAnsi="Times New Roman"/>
                <w:sz w:val="24"/>
                <w:szCs w:val="24"/>
              </w:rPr>
              <w:t>.</w:t>
            </w:r>
            <w:r>
              <w:rPr>
                <w:rFonts w:ascii="Times New Roman" w:eastAsia="Times New Roman" w:hAnsi="Times New Roman"/>
                <w:sz w:val="24"/>
                <w:szCs w:val="24"/>
              </w:rPr>
              <w:t xml:space="preserve"> It illustrates the political willingness of promoting a </w:t>
            </w:r>
            <w:r w:rsidRPr="006058DF">
              <w:rPr>
                <w:rFonts w:ascii="Times New Roman" w:eastAsia="Times New Roman" w:hAnsi="Times New Roman"/>
                <w:sz w:val="24"/>
                <w:szCs w:val="24"/>
              </w:rPr>
              <w:t>balanced approach towards all critical EU priorities</w:t>
            </w:r>
            <w:r>
              <w:rPr>
                <w:rFonts w:ascii="Times New Roman" w:eastAsia="Times New Roman" w:hAnsi="Times New Roman"/>
                <w:sz w:val="24"/>
                <w:szCs w:val="24"/>
              </w:rPr>
              <w:t>.</w:t>
            </w:r>
          </w:p>
          <w:p w14:paraId="295946F8" w14:textId="7C644642" w:rsidR="00A1765C" w:rsidRPr="000564EA" w:rsidRDefault="00A1765C" w:rsidP="00A52F3E">
            <w:pPr>
              <w:widowControl w:val="0"/>
              <w:spacing w:before="120" w:after="120"/>
              <w:jc w:val="both"/>
              <w:rPr>
                <w:rFonts w:ascii="Times New Roman" w:hAnsi="Times New Roman"/>
                <w:b/>
                <w:bCs/>
                <w:sz w:val="24"/>
                <w:szCs w:val="24"/>
                <w:u w:val="single"/>
              </w:rPr>
            </w:pPr>
            <w:r w:rsidRPr="000564EA">
              <w:rPr>
                <w:rFonts w:ascii="Times New Roman" w:hAnsi="Times New Roman"/>
                <w:b/>
                <w:bCs/>
                <w:sz w:val="24"/>
                <w:szCs w:val="24"/>
                <w:u w:val="single"/>
              </w:rPr>
              <w:t>Support to defence investments</w:t>
            </w:r>
            <w:r w:rsidR="003E0B9F">
              <w:rPr>
                <w:rFonts w:ascii="Times New Roman" w:hAnsi="Times New Roman"/>
                <w:b/>
                <w:bCs/>
                <w:sz w:val="24"/>
                <w:szCs w:val="24"/>
                <w:u w:val="single"/>
              </w:rPr>
              <w:t>:</w:t>
            </w:r>
          </w:p>
          <w:p w14:paraId="2CC15245" w14:textId="44DB38F5" w:rsidR="0076522C" w:rsidRPr="0069228D" w:rsidRDefault="5C6FA71B" w:rsidP="00A52F3E">
            <w:pPr>
              <w:widowControl w:val="0"/>
              <w:spacing w:before="120" w:after="120"/>
              <w:jc w:val="both"/>
              <w:rPr>
                <w:rFonts w:ascii="Times New Roman" w:hAnsi="Times New Roman"/>
                <w:sz w:val="24"/>
                <w:szCs w:val="24"/>
              </w:rPr>
            </w:pPr>
            <w:r>
              <w:rPr>
                <w:rFonts w:ascii="Times New Roman" w:hAnsi="Times New Roman"/>
                <w:sz w:val="24"/>
                <w:szCs w:val="24"/>
              </w:rPr>
              <w:t>Strengthening</w:t>
            </w:r>
            <w:r w:rsidRPr="0069228D">
              <w:rPr>
                <w:rFonts w:ascii="Times New Roman" w:hAnsi="Times New Roman"/>
                <w:sz w:val="24"/>
                <w:szCs w:val="24"/>
              </w:rPr>
              <w:t xml:space="preserve"> European defence will require massive investment over a sustained period, both public and private.</w:t>
            </w:r>
            <w:r>
              <w:rPr>
                <w:rFonts w:ascii="Times New Roman" w:hAnsi="Times New Roman"/>
                <w:sz w:val="24"/>
                <w:szCs w:val="24"/>
              </w:rPr>
              <w:t xml:space="preserve"> </w:t>
            </w:r>
            <w:r w:rsidR="55FDDDB8">
              <w:rPr>
                <w:rFonts w:ascii="Times New Roman" w:hAnsi="Times New Roman"/>
                <w:sz w:val="24"/>
                <w:szCs w:val="24"/>
              </w:rPr>
              <w:t>To this end, t</w:t>
            </w:r>
            <w:r w:rsidR="732B949B">
              <w:rPr>
                <w:rFonts w:ascii="Times New Roman" w:hAnsi="Times New Roman"/>
                <w:sz w:val="24"/>
                <w:szCs w:val="24"/>
              </w:rPr>
              <w:t xml:space="preserve">he Commission </w:t>
            </w:r>
            <w:r w:rsidR="55FDDDB8" w:rsidRPr="00EA67D6">
              <w:rPr>
                <w:rFonts w:ascii="Times New Roman" w:hAnsi="Times New Roman"/>
                <w:sz w:val="24"/>
                <w:szCs w:val="24"/>
              </w:rPr>
              <w:t>and the High Representative</w:t>
            </w:r>
            <w:r w:rsidR="5FFCA22F">
              <w:rPr>
                <w:rFonts w:ascii="Times New Roman" w:hAnsi="Times New Roman"/>
                <w:sz w:val="24"/>
                <w:szCs w:val="24"/>
              </w:rPr>
              <w:t xml:space="preserve"> / Vice-President</w:t>
            </w:r>
            <w:r w:rsidR="55FDDDB8">
              <w:rPr>
                <w:rFonts w:ascii="Times New Roman" w:hAnsi="Times New Roman"/>
                <w:sz w:val="24"/>
                <w:szCs w:val="24"/>
              </w:rPr>
              <w:t xml:space="preserve"> adopted on 19</w:t>
            </w:r>
            <w:r w:rsidR="00BD7F94">
              <w:rPr>
                <w:rFonts w:ascii="Times New Roman" w:hAnsi="Times New Roman"/>
                <w:sz w:val="24"/>
                <w:szCs w:val="24"/>
              </w:rPr>
              <w:t> </w:t>
            </w:r>
            <w:r w:rsidR="55FDDDB8">
              <w:rPr>
                <w:rFonts w:ascii="Times New Roman" w:hAnsi="Times New Roman"/>
                <w:sz w:val="24"/>
                <w:szCs w:val="24"/>
              </w:rPr>
              <w:t xml:space="preserve">March </w:t>
            </w:r>
            <w:r w:rsidR="0EFC4AA2">
              <w:rPr>
                <w:rFonts w:ascii="Times New Roman" w:hAnsi="Times New Roman"/>
                <w:sz w:val="24"/>
                <w:szCs w:val="24"/>
              </w:rPr>
              <w:t>2025 the</w:t>
            </w:r>
            <w:r w:rsidR="00BD7F94">
              <w:rPr>
                <w:rFonts w:ascii="Times New Roman" w:hAnsi="Times New Roman"/>
                <w:sz w:val="24"/>
                <w:szCs w:val="24"/>
              </w:rPr>
              <w:t xml:space="preserve"> </w:t>
            </w:r>
            <w:r w:rsidR="5C1CA461" w:rsidRPr="006058DF">
              <w:rPr>
                <w:rFonts w:ascii="Times New Roman" w:hAnsi="Times New Roman"/>
                <w:sz w:val="24"/>
                <w:szCs w:val="24"/>
              </w:rPr>
              <w:t>White Paper for European Defence</w:t>
            </w:r>
            <w:r w:rsidR="25DE601F" w:rsidRPr="2893A5C5">
              <w:rPr>
                <w:rFonts w:ascii="Times New Roman" w:hAnsi="Times New Roman"/>
                <w:sz w:val="24"/>
                <w:szCs w:val="24"/>
              </w:rPr>
              <w:t xml:space="preserve"> – Readiness 2030 </w:t>
            </w:r>
            <w:r w:rsidR="5C1CA461" w:rsidRPr="006058DF">
              <w:rPr>
                <w:rFonts w:ascii="Times New Roman" w:hAnsi="Times New Roman"/>
                <w:sz w:val="24"/>
                <w:szCs w:val="24"/>
              </w:rPr>
              <w:t xml:space="preserve">and the </w:t>
            </w:r>
            <w:proofErr w:type="spellStart"/>
            <w:r w:rsidR="5C1CA461" w:rsidRPr="006058DF">
              <w:rPr>
                <w:rFonts w:ascii="Times New Roman" w:hAnsi="Times New Roman"/>
                <w:sz w:val="24"/>
                <w:szCs w:val="24"/>
              </w:rPr>
              <w:t>ReArm</w:t>
            </w:r>
            <w:proofErr w:type="spellEnd"/>
            <w:r w:rsidR="5C1CA461" w:rsidRPr="006058DF">
              <w:rPr>
                <w:rFonts w:ascii="Times New Roman" w:hAnsi="Times New Roman"/>
                <w:sz w:val="24"/>
                <w:szCs w:val="24"/>
              </w:rPr>
              <w:t xml:space="preserve"> Europe Plan</w:t>
            </w:r>
            <w:r w:rsidR="008638C0" w:rsidRPr="35B415B5">
              <w:rPr>
                <w:rStyle w:val="FootnoteReference"/>
                <w:rFonts w:ascii="Times New Roman" w:hAnsi="Times New Roman"/>
              </w:rPr>
              <w:footnoteReference w:id="2"/>
            </w:r>
            <w:r w:rsidR="0EFC4AA2">
              <w:rPr>
                <w:rFonts w:ascii="Times New Roman" w:hAnsi="Times New Roman"/>
                <w:sz w:val="24"/>
                <w:szCs w:val="24"/>
              </w:rPr>
              <w:t xml:space="preserve">. The </w:t>
            </w:r>
            <w:r w:rsidR="70A1D97D" w:rsidRPr="2893A5C5">
              <w:rPr>
                <w:rFonts w:ascii="Times New Roman" w:hAnsi="Times New Roman"/>
                <w:sz w:val="24"/>
                <w:szCs w:val="24"/>
              </w:rPr>
              <w:t>latter</w:t>
            </w:r>
            <w:r w:rsidR="0EFC4AA2" w:rsidRPr="2893A5C5">
              <w:rPr>
                <w:rFonts w:ascii="Times New Roman" w:hAnsi="Times New Roman"/>
                <w:sz w:val="24"/>
                <w:szCs w:val="24"/>
              </w:rPr>
              <w:t xml:space="preserve"> </w:t>
            </w:r>
            <w:r w:rsidR="77AB4001">
              <w:rPr>
                <w:rFonts w:ascii="Times New Roman" w:hAnsi="Times New Roman"/>
                <w:sz w:val="24"/>
                <w:szCs w:val="24"/>
              </w:rPr>
              <w:t>forms</w:t>
            </w:r>
            <w:r w:rsidR="0EFC4AA2">
              <w:rPr>
                <w:rFonts w:ascii="Times New Roman" w:hAnsi="Times New Roman"/>
                <w:sz w:val="24"/>
                <w:szCs w:val="24"/>
              </w:rPr>
              <w:t xml:space="preserve"> </w:t>
            </w:r>
            <w:r w:rsidR="55FDDDB8" w:rsidRPr="00EA67D6">
              <w:rPr>
                <w:rFonts w:ascii="Times New Roman" w:hAnsi="Times New Roman"/>
                <w:sz w:val="24"/>
                <w:szCs w:val="24"/>
              </w:rPr>
              <w:t>an</w:t>
            </w:r>
            <w:r w:rsidR="00974E99">
              <w:rPr>
                <w:rFonts w:ascii="Times New Roman" w:hAnsi="Times New Roman"/>
                <w:sz w:val="24"/>
                <w:szCs w:val="24"/>
              </w:rPr>
              <w:t> </w:t>
            </w:r>
            <w:r w:rsidR="55FDDDB8" w:rsidRPr="00EA67D6">
              <w:rPr>
                <w:rFonts w:ascii="Times New Roman" w:hAnsi="Times New Roman"/>
                <w:sz w:val="24"/>
                <w:szCs w:val="24"/>
              </w:rPr>
              <w:t xml:space="preserve">ambitious package </w:t>
            </w:r>
            <w:r w:rsidR="4CB109F9">
              <w:rPr>
                <w:rFonts w:ascii="Times New Roman" w:hAnsi="Times New Roman"/>
                <w:sz w:val="24"/>
                <w:szCs w:val="24"/>
              </w:rPr>
              <w:t xml:space="preserve">of </w:t>
            </w:r>
            <w:r w:rsidR="55FDDDB8" w:rsidRPr="00EA67D6">
              <w:rPr>
                <w:rFonts w:ascii="Times New Roman" w:hAnsi="Times New Roman"/>
                <w:sz w:val="24"/>
                <w:szCs w:val="24"/>
              </w:rPr>
              <w:t>financial levers to</w:t>
            </w:r>
            <w:r w:rsidR="3CF77FF3">
              <w:rPr>
                <w:rFonts w:ascii="Times New Roman" w:hAnsi="Times New Roman"/>
                <w:sz w:val="24"/>
                <w:szCs w:val="24"/>
              </w:rPr>
              <w:t xml:space="preserve"> boos</w:t>
            </w:r>
            <w:r w:rsidR="0041B5C7">
              <w:rPr>
                <w:rFonts w:ascii="Times New Roman" w:hAnsi="Times New Roman"/>
                <w:sz w:val="24"/>
                <w:szCs w:val="24"/>
              </w:rPr>
              <w:t xml:space="preserve">t </w:t>
            </w:r>
            <w:r w:rsidR="66797FB4">
              <w:rPr>
                <w:rFonts w:ascii="Times New Roman" w:hAnsi="Times New Roman"/>
                <w:sz w:val="24"/>
                <w:szCs w:val="24"/>
              </w:rPr>
              <w:t>defence spending</w:t>
            </w:r>
            <w:r w:rsidR="629B90A0">
              <w:rPr>
                <w:rFonts w:ascii="Times New Roman" w:hAnsi="Times New Roman"/>
                <w:sz w:val="24"/>
                <w:szCs w:val="24"/>
              </w:rPr>
              <w:t>, such as</w:t>
            </w:r>
            <w:r w:rsidR="7996C974">
              <w:rPr>
                <w:rFonts w:ascii="Times New Roman" w:hAnsi="Times New Roman"/>
                <w:sz w:val="24"/>
                <w:szCs w:val="24"/>
              </w:rPr>
              <w:t xml:space="preserve"> </w:t>
            </w:r>
            <w:r w:rsidR="7996C974" w:rsidRPr="001B2B36">
              <w:rPr>
                <w:rFonts w:ascii="Times New Roman" w:hAnsi="Times New Roman"/>
                <w:sz w:val="24"/>
                <w:szCs w:val="24"/>
              </w:rPr>
              <w:t>a EUR</w:t>
            </w:r>
            <w:r w:rsidR="00BD7F94">
              <w:rPr>
                <w:rFonts w:ascii="Times New Roman" w:hAnsi="Times New Roman"/>
                <w:sz w:val="24"/>
                <w:szCs w:val="24"/>
              </w:rPr>
              <w:t> </w:t>
            </w:r>
            <w:r w:rsidR="7996C974" w:rsidRPr="001B2B36">
              <w:rPr>
                <w:rFonts w:ascii="Times New Roman" w:hAnsi="Times New Roman"/>
                <w:sz w:val="24"/>
                <w:szCs w:val="24"/>
              </w:rPr>
              <w:t>150</w:t>
            </w:r>
            <w:r w:rsidR="00BD7F94">
              <w:rPr>
                <w:rFonts w:ascii="Times New Roman" w:hAnsi="Times New Roman"/>
                <w:sz w:val="24"/>
                <w:szCs w:val="24"/>
              </w:rPr>
              <w:t> </w:t>
            </w:r>
            <w:r w:rsidR="7996C974" w:rsidRPr="001B2B36">
              <w:rPr>
                <w:rFonts w:ascii="Times New Roman" w:hAnsi="Times New Roman"/>
                <w:sz w:val="24"/>
                <w:szCs w:val="24"/>
              </w:rPr>
              <w:t xml:space="preserve">billion </w:t>
            </w:r>
            <w:r w:rsidR="7996C974" w:rsidRPr="006058DF">
              <w:rPr>
                <w:rFonts w:ascii="Times New Roman" w:hAnsi="Times New Roman"/>
                <w:sz w:val="24"/>
                <w:szCs w:val="24"/>
              </w:rPr>
              <w:t>loan instrument</w:t>
            </w:r>
            <w:r w:rsidR="629B90A0">
              <w:rPr>
                <w:rFonts w:ascii="Times New Roman" w:hAnsi="Times New Roman"/>
                <w:sz w:val="24"/>
                <w:szCs w:val="24"/>
              </w:rPr>
              <w:t xml:space="preserve"> </w:t>
            </w:r>
            <w:r w:rsidR="00BD7F94" w:rsidRPr="2893A5C5">
              <w:rPr>
                <w:rFonts w:ascii="Times New Roman" w:hAnsi="Times New Roman"/>
                <w:sz w:val="24"/>
                <w:szCs w:val="24"/>
              </w:rPr>
              <w:t>–</w:t>
            </w:r>
            <w:r w:rsidR="7996C974">
              <w:rPr>
                <w:rFonts w:ascii="Times New Roman" w:hAnsi="Times New Roman"/>
                <w:sz w:val="24"/>
                <w:szCs w:val="24"/>
              </w:rPr>
              <w:t xml:space="preserve"> </w:t>
            </w:r>
            <w:r w:rsidR="629B90A0">
              <w:rPr>
                <w:rFonts w:ascii="Times New Roman" w:hAnsi="Times New Roman"/>
                <w:sz w:val="24"/>
                <w:szCs w:val="24"/>
              </w:rPr>
              <w:t>the Security action for Europe</w:t>
            </w:r>
            <w:r w:rsidR="00BD7F94">
              <w:rPr>
                <w:rFonts w:ascii="Times New Roman" w:hAnsi="Times New Roman"/>
                <w:sz w:val="24"/>
                <w:szCs w:val="24"/>
              </w:rPr>
              <w:t> </w:t>
            </w:r>
            <w:r w:rsidR="629B90A0">
              <w:rPr>
                <w:rFonts w:ascii="Times New Roman" w:hAnsi="Times New Roman"/>
                <w:sz w:val="24"/>
                <w:szCs w:val="24"/>
              </w:rPr>
              <w:t>(SAFE)</w:t>
            </w:r>
            <w:r w:rsidR="7996C974">
              <w:rPr>
                <w:rFonts w:ascii="Times New Roman" w:hAnsi="Times New Roman"/>
                <w:sz w:val="24"/>
                <w:szCs w:val="24"/>
              </w:rPr>
              <w:t>,</w:t>
            </w:r>
            <w:r w:rsidR="215158C4">
              <w:rPr>
                <w:rFonts w:ascii="Times New Roman" w:hAnsi="Times New Roman"/>
                <w:sz w:val="24"/>
                <w:szCs w:val="24"/>
              </w:rPr>
              <w:t xml:space="preserve"> and the possibility </w:t>
            </w:r>
            <w:r w:rsidR="1DB10996">
              <w:rPr>
                <w:rFonts w:ascii="Times New Roman" w:hAnsi="Times New Roman"/>
                <w:sz w:val="24"/>
                <w:szCs w:val="24"/>
              </w:rPr>
              <w:t xml:space="preserve">to </w:t>
            </w:r>
            <w:r w:rsidR="1DB10996" w:rsidRPr="00D21B0F">
              <w:rPr>
                <w:rFonts w:ascii="Times New Roman" w:hAnsi="Times New Roman"/>
                <w:sz w:val="24"/>
                <w:szCs w:val="24"/>
              </w:rPr>
              <w:t>activat</w:t>
            </w:r>
            <w:r w:rsidR="1DB10996">
              <w:rPr>
                <w:rFonts w:ascii="Times New Roman" w:hAnsi="Times New Roman"/>
                <w:sz w:val="24"/>
                <w:szCs w:val="24"/>
              </w:rPr>
              <w:t>e</w:t>
            </w:r>
            <w:r w:rsidR="1DB10996" w:rsidRPr="00D21B0F">
              <w:rPr>
                <w:rFonts w:ascii="Times New Roman" w:hAnsi="Times New Roman"/>
                <w:sz w:val="24"/>
                <w:szCs w:val="24"/>
              </w:rPr>
              <w:t xml:space="preserve"> the national escape clause of the Stability and Growth Pact</w:t>
            </w:r>
            <w:r w:rsidR="1DB10996">
              <w:rPr>
                <w:rFonts w:ascii="Times New Roman" w:hAnsi="Times New Roman"/>
                <w:sz w:val="24"/>
                <w:szCs w:val="24"/>
              </w:rPr>
              <w:t xml:space="preserve"> for </w:t>
            </w:r>
            <w:r w:rsidR="1DB10996" w:rsidRPr="00D21B0F">
              <w:rPr>
                <w:rFonts w:ascii="Times New Roman" w:hAnsi="Times New Roman"/>
                <w:sz w:val="24"/>
                <w:szCs w:val="24"/>
              </w:rPr>
              <w:t>increase</w:t>
            </w:r>
            <w:r w:rsidR="10063B0B">
              <w:rPr>
                <w:rFonts w:ascii="Times New Roman" w:hAnsi="Times New Roman"/>
                <w:sz w:val="24"/>
                <w:szCs w:val="24"/>
              </w:rPr>
              <w:t>d</w:t>
            </w:r>
            <w:r w:rsidR="1DB10996" w:rsidRPr="00D21B0F">
              <w:rPr>
                <w:rFonts w:ascii="Times New Roman" w:hAnsi="Times New Roman"/>
                <w:sz w:val="24"/>
                <w:szCs w:val="24"/>
              </w:rPr>
              <w:t xml:space="preserve"> defence spending</w:t>
            </w:r>
            <w:r w:rsidR="55FDDDB8">
              <w:rPr>
                <w:rFonts w:ascii="Times New Roman" w:hAnsi="Times New Roman"/>
                <w:sz w:val="24"/>
                <w:szCs w:val="24"/>
              </w:rPr>
              <w:t>.</w:t>
            </w:r>
            <w:r w:rsidR="7357651D" w:rsidRPr="2893A5C5">
              <w:rPr>
                <w:rFonts w:ascii="Times New Roman" w:hAnsi="Times New Roman"/>
                <w:sz w:val="24"/>
                <w:szCs w:val="24"/>
              </w:rPr>
              <w:t xml:space="preserve"> It also calls for incentivising defence</w:t>
            </w:r>
            <w:r w:rsidR="31DBDCA6" w:rsidRPr="2893A5C5">
              <w:rPr>
                <w:rFonts w:ascii="Times New Roman" w:hAnsi="Times New Roman"/>
                <w:sz w:val="24"/>
                <w:szCs w:val="24"/>
              </w:rPr>
              <w:t>-related</w:t>
            </w:r>
            <w:r w:rsidR="7357651D" w:rsidRPr="2893A5C5">
              <w:rPr>
                <w:rFonts w:ascii="Times New Roman" w:hAnsi="Times New Roman"/>
                <w:sz w:val="24"/>
                <w:szCs w:val="24"/>
              </w:rPr>
              <w:t xml:space="preserve"> invest</w:t>
            </w:r>
            <w:r w:rsidR="36DCA0A4" w:rsidRPr="2893A5C5">
              <w:rPr>
                <w:rFonts w:ascii="Times New Roman" w:hAnsi="Times New Roman"/>
                <w:sz w:val="24"/>
                <w:szCs w:val="24"/>
              </w:rPr>
              <w:t>ments in the EU budget.</w:t>
            </w:r>
            <w:r w:rsidR="55FDDDB8">
              <w:rPr>
                <w:rFonts w:ascii="Times New Roman" w:hAnsi="Times New Roman"/>
                <w:sz w:val="24"/>
                <w:szCs w:val="24"/>
              </w:rPr>
              <w:t xml:space="preserve"> </w:t>
            </w:r>
            <w:r w:rsidR="66B66910" w:rsidRPr="2893A5C5">
              <w:rPr>
                <w:rFonts w:ascii="Times New Roman" w:hAnsi="Times New Roman"/>
                <w:sz w:val="24"/>
                <w:szCs w:val="24"/>
              </w:rPr>
              <w:t xml:space="preserve">In this line, </w:t>
            </w:r>
            <w:r w:rsidR="0029123D">
              <w:rPr>
                <w:rFonts w:ascii="Times New Roman" w:hAnsi="Times New Roman"/>
                <w:sz w:val="24"/>
                <w:szCs w:val="24"/>
              </w:rPr>
              <w:t>complementing</w:t>
            </w:r>
            <w:r w:rsidR="66B66910" w:rsidRPr="2893A5C5">
              <w:rPr>
                <w:rFonts w:ascii="Times New Roman" w:hAnsi="Times New Roman"/>
                <w:sz w:val="24"/>
                <w:szCs w:val="24"/>
              </w:rPr>
              <w:t xml:space="preserve"> the mid-term</w:t>
            </w:r>
            <w:r w:rsidR="3C8CA559" w:rsidRPr="2893A5C5">
              <w:rPr>
                <w:rFonts w:ascii="Times New Roman" w:hAnsi="Times New Roman"/>
                <w:sz w:val="24"/>
                <w:szCs w:val="24"/>
              </w:rPr>
              <w:t xml:space="preserve"> </w:t>
            </w:r>
            <w:r w:rsidR="5DA3B39A" w:rsidRPr="2893A5C5">
              <w:rPr>
                <w:rFonts w:ascii="Times New Roman" w:hAnsi="Times New Roman"/>
                <w:sz w:val="24"/>
                <w:szCs w:val="24"/>
              </w:rPr>
              <w:t>review of cohesion policy</w:t>
            </w:r>
            <w:r w:rsidR="6C8C053A" w:rsidRPr="2893A5C5">
              <w:rPr>
                <w:rFonts w:ascii="Times New Roman" w:hAnsi="Times New Roman"/>
                <w:sz w:val="24"/>
                <w:szCs w:val="24"/>
              </w:rPr>
              <w:t xml:space="preserve"> and as part of the implementation of the </w:t>
            </w:r>
            <w:proofErr w:type="spellStart"/>
            <w:r w:rsidR="6C8C053A" w:rsidRPr="2893A5C5">
              <w:rPr>
                <w:rFonts w:ascii="Times New Roman" w:hAnsi="Times New Roman"/>
                <w:sz w:val="24"/>
                <w:szCs w:val="24"/>
              </w:rPr>
              <w:t>ReArm</w:t>
            </w:r>
            <w:proofErr w:type="spellEnd"/>
            <w:r w:rsidR="6C8C053A" w:rsidRPr="2893A5C5">
              <w:rPr>
                <w:rFonts w:ascii="Times New Roman" w:hAnsi="Times New Roman"/>
                <w:sz w:val="24"/>
                <w:szCs w:val="24"/>
              </w:rPr>
              <w:t xml:space="preserve"> Europe Plan,</w:t>
            </w:r>
            <w:r w:rsidR="5DA3B39A" w:rsidRPr="2893A5C5">
              <w:rPr>
                <w:rFonts w:ascii="Times New Roman" w:hAnsi="Times New Roman"/>
                <w:sz w:val="24"/>
                <w:szCs w:val="24"/>
              </w:rPr>
              <w:t xml:space="preserve"> </w:t>
            </w:r>
            <w:r w:rsidR="3C8CA559" w:rsidRPr="2893A5C5">
              <w:rPr>
                <w:rFonts w:ascii="Times New Roman" w:hAnsi="Times New Roman"/>
                <w:sz w:val="24"/>
                <w:szCs w:val="24"/>
              </w:rPr>
              <w:t xml:space="preserve">the Commission </w:t>
            </w:r>
            <w:r w:rsidR="5FAFB728" w:rsidRPr="2893A5C5">
              <w:rPr>
                <w:rFonts w:ascii="Times New Roman" w:hAnsi="Times New Roman"/>
                <w:sz w:val="24"/>
                <w:szCs w:val="24"/>
              </w:rPr>
              <w:t>adopted on 22</w:t>
            </w:r>
            <w:r w:rsidR="00BD7F94">
              <w:rPr>
                <w:rFonts w:ascii="Times New Roman" w:hAnsi="Times New Roman"/>
                <w:sz w:val="24"/>
                <w:szCs w:val="24"/>
              </w:rPr>
              <w:t> </w:t>
            </w:r>
            <w:r w:rsidR="5FAFB728" w:rsidRPr="2893A5C5">
              <w:rPr>
                <w:rFonts w:ascii="Times New Roman" w:hAnsi="Times New Roman"/>
                <w:sz w:val="24"/>
                <w:szCs w:val="24"/>
              </w:rPr>
              <w:t xml:space="preserve">April </w:t>
            </w:r>
            <w:r w:rsidR="0019073C">
              <w:rPr>
                <w:rFonts w:ascii="Times New Roman" w:hAnsi="Times New Roman"/>
                <w:sz w:val="24"/>
                <w:szCs w:val="24"/>
              </w:rPr>
              <w:t xml:space="preserve">2025 </w:t>
            </w:r>
            <w:r w:rsidR="5FAFB728" w:rsidRPr="2893A5C5">
              <w:rPr>
                <w:rFonts w:ascii="Times New Roman" w:hAnsi="Times New Roman"/>
                <w:sz w:val="24"/>
                <w:szCs w:val="24"/>
              </w:rPr>
              <w:t>a</w:t>
            </w:r>
            <w:r w:rsidR="00442FD7">
              <w:rPr>
                <w:rFonts w:ascii="Times New Roman" w:hAnsi="Times New Roman"/>
                <w:sz w:val="24"/>
                <w:szCs w:val="24"/>
              </w:rPr>
              <w:t> </w:t>
            </w:r>
            <w:r w:rsidR="3C8CA559" w:rsidRPr="2893A5C5">
              <w:rPr>
                <w:rFonts w:ascii="Times New Roman" w:hAnsi="Times New Roman"/>
                <w:sz w:val="24"/>
                <w:szCs w:val="24"/>
              </w:rPr>
              <w:t>proposal for a</w:t>
            </w:r>
            <w:r w:rsidR="009C2340">
              <w:rPr>
                <w:rFonts w:ascii="Times New Roman" w:hAnsi="Times New Roman"/>
                <w:sz w:val="24"/>
                <w:szCs w:val="24"/>
              </w:rPr>
              <w:t> </w:t>
            </w:r>
            <w:r w:rsidR="3C8CA559" w:rsidRPr="2893A5C5">
              <w:rPr>
                <w:rFonts w:ascii="Times New Roman" w:hAnsi="Times New Roman"/>
                <w:sz w:val="24"/>
                <w:szCs w:val="24"/>
              </w:rPr>
              <w:t xml:space="preserve">Regulation </w:t>
            </w:r>
            <w:r w:rsidR="5D9A04B3" w:rsidRPr="2893A5C5">
              <w:rPr>
                <w:rFonts w:ascii="Times New Roman" w:hAnsi="Times New Roman"/>
                <w:sz w:val="24"/>
                <w:szCs w:val="24"/>
              </w:rPr>
              <w:t>to incentivise defence-related investments in the EU budget</w:t>
            </w:r>
            <w:r w:rsidR="00BD7F94">
              <w:rPr>
                <w:rStyle w:val="FootnoteReference"/>
                <w:rFonts w:ascii="Times New Roman" w:hAnsi="Times New Roman"/>
                <w:szCs w:val="24"/>
              </w:rPr>
              <w:footnoteReference w:id="3"/>
            </w:r>
            <w:r w:rsidR="5D9A04B3" w:rsidRPr="2893A5C5">
              <w:rPr>
                <w:rFonts w:ascii="Times New Roman" w:hAnsi="Times New Roman"/>
                <w:sz w:val="24"/>
                <w:szCs w:val="24"/>
              </w:rPr>
              <w:t xml:space="preserve">. It introduces amendments to several EU programmes, including </w:t>
            </w:r>
            <w:r w:rsidR="00F61B02" w:rsidRPr="00F61B02">
              <w:rPr>
                <w:rFonts w:ascii="Times New Roman" w:hAnsi="Times New Roman"/>
                <w:sz w:val="24"/>
                <w:szCs w:val="24"/>
              </w:rPr>
              <w:t>Strategic Technologies for Europe Platform</w:t>
            </w:r>
            <w:r w:rsidR="004832FC">
              <w:rPr>
                <w:rFonts w:ascii="Times New Roman" w:hAnsi="Times New Roman"/>
                <w:sz w:val="24"/>
                <w:szCs w:val="24"/>
              </w:rPr>
              <w:t xml:space="preserve"> (STEP</w:t>
            </w:r>
            <w:r w:rsidR="5D9A04B3" w:rsidRPr="2893A5C5">
              <w:rPr>
                <w:rFonts w:ascii="Times New Roman" w:hAnsi="Times New Roman"/>
                <w:sz w:val="24"/>
                <w:szCs w:val="24"/>
              </w:rPr>
              <w:t xml:space="preserve">, the European Defence Fund (EDF), </w:t>
            </w:r>
            <w:r w:rsidR="00F61B02" w:rsidRPr="00F61B02">
              <w:rPr>
                <w:rFonts w:ascii="Times New Roman" w:hAnsi="Times New Roman"/>
                <w:sz w:val="24"/>
                <w:szCs w:val="24"/>
                <w:lang w:val="en"/>
              </w:rPr>
              <w:t>Act in Support of Ammunition Production</w:t>
            </w:r>
            <w:r w:rsidR="00BD7F94">
              <w:rPr>
                <w:rFonts w:ascii="Times New Roman" w:hAnsi="Times New Roman"/>
                <w:sz w:val="24"/>
                <w:szCs w:val="24"/>
                <w:lang w:val="en"/>
              </w:rPr>
              <w:t> </w:t>
            </w:r>
            <w:r w:rsidR="004832FC">
              <w:rPr>
                <w:rFonts w:ascii="Times New Roman" w:hAnsi="Times New Roman"/>
                <w:sz w:val="24"/>
                <w:szCs w:val="24"/>
                <w:lang w:val="en"/>
              </w:rPr>
              <w:t>(ASAP)</w:t>
            </w:r>
            <w:r w:rsidR="5D9A04B3" w:rsidRPr="2893A5C5">
              <w:rPr>
                <w:rFonts w:ascii="Times New Roman" w:hAnsi="Times New Roman"/>
                <w:sz w:val="24"/>
                <w:szCs w:val="24"/>
              </w:rPr>
              <w:t>, the Digital Europe Programme (DEP), the Connecting Europe Facility</w:t>
            </w:r>
            <w:r w:rsidR="1896474A" w:rsidRPr="2893A5C5">
              <w:rPr>
                <w:rFonts w:ascii="Times New Roman" w:hAnsi="Times New Roman"/>
                <w:sz w:val="24"/>
                <w:szCs w:val="24"/>
              </w:rPr>
              <w:t xml:space="preserve"> (CEF) and Horizon Europe</w:t>
            </w:r>
            <w:r w:rsidR="7D5D3696" w:rsidRPr="2893A5C5">
              <w:rPr>
                <w:rFonts w:ascii="Times New Roman" w:hAnsi="Times New Roman"/>
                <w:sz w:val="24"/>
                <w:szCs w:val="24"/>
              </w:rPr>
              <w:t xml:space="preserve"> (</w:t>
            </w:r>
            <w:r w:rsidR="7D5D3696" w:rsidRPr="007901B0">
              <w:rPr>
                <w:rFonts w:ascii="Times New Roman" w:hAnsi="Times New Roman"/>
                <w:sz w:val="24"/>
                <w:szCs w:val="24"/>
              </w:rPr>
              <w:t>only E</w:t>
            </w:r>
            <w:r w:rsidR="0029123D" w:rsidRPr="007901B0">
              <w:rPr>
                <w:rFonts w:ascii="Times New Roman" w:hAnsi="Times New Roman"/>
                <w:sz w:val="24"/>
                <w:szCs w:val="24"/>
              </w:rPr>
              <w:t xml:space="preserve">uropean </w:t>
            </w:r>
            <w:r w:rsidR="7D5D3696" w:rsidRPr="007901B0">
              <w:rPr>
                <w:rFonts w:ascii="Times New Roman" w:hAnsi="Times New Roman"/>
                <w:sz w:val="24"/>
                <w:szCs w:val="24"/>
              </w:rPr>
              <w:t>I</w:t>
            </w:r>
            <w:r w:rsidR="0029123D" w:rsidRPr="007901B0">
              <w:rPr>
                <w:rFonts w:ascii="Times New Roman" w:hAnsi="Times New Roman"/>
                <w:sz w:val="24"/>
                <w:szCs w:val="24"/>
              </w:rPr>
              <w:t xml:space="preserve">nnovation </w:t>
            </w:r>
            <w:r w:rsidR="7D5D3696" w:rsidRPr="007901B0">
              <w:rPr>
                <w:rFonts w:ascii="Times New Roman" w:hAnsi="Times New Roman"/>
                <w:sz w:val="24"/>
                <w:szCs w:val="24"/>
              </w:rPr>
              <w:t>C</w:t>
            </w:r>
            <w:r w:rsidR="0029123D" w:rsidRPr="007901B0">
              <w:rPr>
                <w:rFonts w:ascii="Times New Roman" w:hAnsi="Times New Roman"/>
                <w:sz w:val="24"/>
                <w:szCs w:val="24"/>
              </w:rPr>
              <w:t>ouncil</w:t>
            </w:r>
            <w:r w:rsidR="0029123D">
              <w:rPr>
                <w:rFonts w:ascii="Times New Roman" w:hAnsi="Times New Roman"/>
                <w:sz w:val="24"/>
                <w:szCs w:val="24"/>
              </w:rPr>
              <w:t xml:space="preserve"> (EIC)</w:t>
            </w:r>
            <w:r w:rsidR="7D5D3696" w:rsidRPr="2893A5C5">
              <w:rPr>
                <w:rFonts w:ascii="Times New Roman" w:hAnsi="Times New Roman"/>
                <w:sz w:val="24"/>
                <w:szCs w:val="24"/>
              </w:rPr>
              <w:t xml:space="preserve"> Accelerator). The objective of these amendments is to </w:t>
            </w:r>
            <w:r w:rsidR="1896474A" w:rsidRPr="2893A5C5">
              <w:rPr>
                <w:rFonts w:ascii="Times New Roman" w:hAnsi="Times New Roman"/>
                <w:sz w:val="24"/>
                <w:szCs w:val="24"/>
              </w:rPr>
              <w:t>maximi</w:t>
            </w:r>
            <w:r w:rsidR="6802B402" w:rsidRPr="2893A5C5">
              <w:rPr>
                <w:rFonts w:ascii="Times New Roman" w:hAnsi="Times New Roman"/>
                <w:sz w:val="24"/>
                <w:szCs w:val="24"/>
              </w:rPr>
              <w:t>se</w:t>
            </w:r>
            <w:r w:rsidR="1896474A" w:rsidRPr="2893A5C5">
              <w:rPr>
                <w:rFonts w:ascii="Times New Roman" w:hAnsi="Times New Roman"/>
                <w:sz w:val="24"/>
                <w:szCs w:val="24"/>
              </w:rPr>
              <w:t xml:space="preserve"> the use of EU budget in support of defence and dual use </w:t>
            </w:r>
            <w:r w:rsidR="7EEDCB16" w:rsidRPr="2893A5C5">
              <w:rPr>
                <w:rFonts w:ascii="Times New Roman" w:hAnsi="Times New Roman"/>
                <w:sz w:val="24"/>
                <w:szCs w:val="24"/>
              </w:rPr>
              <w:t xml:space="preserve">projects and </w:t>
            </w:r>
            <w:r w:rsidR="1896474A" w:rsidRPr="2893A5C5">
              <w:rPr>
                <w:rFonts w:ascii="Times New Roman" w:hAnsi="Times New Roman"/>
                <w:sz w:val="24"/>
                <w:szCs w:val="24"/>
              </w:rPr>
              <w:t>technologies.</w:t>
            </w:r>
          </w:p>
          <w:p w14:paraId="3D053AA9" w14:textId="1FF6CC70" w:rsidR="00153EBC" w:rsidRDefault="1697F1A1" w:rsidP="00A52F3E">
            <w:pPr>
              <w:widowControl w:val="0"/>
              <w:spacing w:before="120" w:after="120"/>
              <w:jc w:val="both"/>
              <w:rPr>
                <w:rFonts w:ascii="Times New Roman" w:hAnsi="Times New Roman"/>
                <w:sz w:val="24"/>
                <w:szCs w:val="24"/>
              </w:rPr>
            </w:pPr>
            <w:r w:rsidRPr="2893A5C5">
              <w:rPr>
                <w:rFonts w:ascii="Times New Roman" w:hAnsi="Times New Roman"/>
                <w:sz w:val="24"/>
                <w:szCs w:val="24"/>
              </w:rPr>
              <w:t xml:space="preserve">The Commission believes that </w:t>
            </w:r>
            <w:r w:rsidR="3BD022EB" w:rsidRPr="2893A5C5">
              <w:rPr>
                <w:rFonts w:ascii="Times New Roman" w:hAnsi="Times New Roman"/>
                <w:sz w:val="24"/>
                <w:szCs w:val="24"/>
              </w:rPr>
              <w:t xml:space="preserve">all EU Member States </w:t>
            </w:r>
            <w:r w:rsidR="3C5C6653" w:rsidRPr="2893A5C5">
              <w:rPr>
                <w:rFonts w:ascii="Times New Roman" w:hAnsi="Times New Roman"/>
                <w:sz w:val="24"/>
                <w:szCs w:val="24"/>
              </w:rPr>
              <w:t xml:space="preserve">should </w:t>
            </w:r>
            <w:r w:rsidR="7F696CB9" w:rsidRPr="2893A5C5">
              <w:rPr>
                <w:rFonts w:ascii="Times New Roman" w:hAnsi="Times New Roman"/>
                <w:sz w:val="24"/>
                <w:szCs w:val="24"/>
              </w:rPr>
              <w:t>contribute to the defence of Europe</w:t>
            </w:r>
            <w:r w:rsidR="137F5DDF" w:rsidRPr="2893A5C5">
              <w:rPr>
                <w:rFonts w:ascii="Times New Roman" w:hAnsi="Times New Roman"/>
                <w:sz w:val="24"/>
                <w:szCs w:val="24"/>
              </w:rPr>
              <w:t xml:space="preserve">an security interests (including beyond </w:t>
            </w:r>
            <w:r w:rsidR="65849F6F" w:rsidRPr="2893A5C5">
              <w:rPr>
                <w:rFonts w:ascii="Times New Roman" w:hAnsi="Times New Roman"/>
                <w:sz w:val="24"/>
                <w:szCs w:val="24"/>
              </w:rPr>
              <w:t>EU</w:t>
            </w:r>
            <w:r w:rsidR="137F5DDF" w:rsidRPr="2893A5C5">
              <w:rPr>
                <w:rFonts w:ascii="Times New Roman" w:hAnsi="Times New Roman"/>
                <w:sz w:val="24"/>
                <w:szCs w:val="24"/>
              </w:rPr>
              <w:t xml:space="preserve"> borders)</w:t>
            </w:r>
            <w:r w:rsidR="14A4BE23" w:rsidRPr="2893A5C5">
              <w:rPr>
                <w:rFonts w:ascii="Times New Roman" w:hAnsi="Times New Roman"/>
                <w:sz w:val="24"/>
                <w:szCs w:val="24"/>
              </w:rPr>
              <w:t>, which</w:t>
            </w:r>
            <w:r w:rsidR="68A222CB" w:rsidRPr="2893A5C5">
              <w:rPr>
                <w:rFonts w:ascii="Times New Roman" w:hAnsi="Times New Roman"/>
                <w:sz w:val="24"/>
                <w:szCs w:val="24"/>
              </w:rPr>
              <w:t xml:space="preserve"> is</w:t>
            </w:r>
            <w:r w:rsidR="6B9E6CB0" w:rsidRPr="2893A5C5">
              <w:rPr>
                <w:rFonts w:ascii="Times New Roman" w:hAnsi="Times New Roman"/>
                <w:sz w:val="24"/>
                <w:szCs w:val="24"/>
              </w:rPr>
              <w:t xml:space="preserve"> </w:t>
            </w:r>
            <w:r w:rsidR="698D6C35" w:rsidRPr="2893A5C5">
              <w:rPr>
                <w:rFonts w:ascii="Times New Roman" w:hAnsi="Times New Roman"/>
                <w:sz w:val="24"/>
                <w:szCs w:val="24"/>
              </w:rPr>
              <w:t>a</w:t>
            </w:r>
            <w:r w:rsidR="326D8A3B" w:rsidRPr="2893A5C5">
              <w:rPr>
                <w:rFonts w:ascii="Times New Roman" w:hAnsi="Times New Roman"/>
                <w:sz w:val="24"/>
                <w:szCs w:val="24"/>
              </w:rPr>
              <w:t xml:space="preserve"> collective </w:t>
            </w:r>
            <w:r w:rsidR="08DBDA7E" w:rsidRPr="2893A5C5">
              <w:rPr>
                <w:rFonts w:ascii="Times New Roman" w:hAnsi="Times New Roman"/>
                <w:sz w:val="24"/>
                <w:szCs w:val="24"/>
              </w:rPr>
              <w:t>responsibility</w:t>
            </w:r>
            <w:r w:rsidR="14A4BE23" w:rsidRPr="2893A5C5">
              <w:rPr>
                <w:rFonts w:ascii="Times New Roman" w:hAnsi="Times New Roman"/>
                <w:sz w:val="24"/>
                <w:szCs w:val="24"/>
              </w:rPr>
              <w:t xml:space="preserve">. </w:t>
            </w:r>
            <w:r w:rsidR="30393323" w:rsidRPr="2893A5C5">
              <w:rPr>
                <w:rFonts w:ascii="Times New Roman" w:hAnsi="Times New Roman"/>
                <w:sz w:val="24"/>
                <w:szCs w:val="24"/>
              </w:rPr>
              <w:t xml:space="preserve">EU defence initiatives </w:t>
            </w:r>
            <w:r w:rsidR="326D8A3B" w:rsidRPr="2893A5C5">
              <w:rPr>
                <w:rFonts w:ascii="Times New Roman" w:hAnsi="Times New Roman"/>
                <w:sz w:val="24"/>
                <w:szCs w:val="24"/>
              </w:rPr>
              <w:t xml:space="preserve">should be </w:t>
            </w:r>
            <w:r w:rsidR="30393323" w:rsidRPr="2893A5C5">
              <w:rPr>
                <w:rFonts w:ascii="Times New Roman" w:hAnsi="Times New Roman"/>
                <w:sz w:val="24"/>
                <w:szCs w:val="24"/>
              </w:rPr>
              <w:t xml:space="preserve">inclusive and </w:t>
            </w:r>
            <w:r w:rsidR="570F1DBC" w:rsidRPr="2893A5C5">
              <w:rPr>
                <w:rFonts w:ascii="Times New Roman" w:hAnsi="Times New Roman"/>
                <w:sz w:val="24"/>
                <w:szCs w:val="24"/>
              </w:rPr>
              <w:t xml:space="preserve">taken forward </w:t>
            </w:r>
            <w:r w:rsidR="22CBED77" w:rsidRPr="2893A5C5">
              <w:rPr>
                <w:rFonts w:ascii="Times New Roman" w:hAnsi="Times New Roman"/>
                <w:sz w:val="24"/>
                <w:szCs w:val="24"/>
              </w:rPr>
              <w:t>in the spirit of solidarity and indivisibility of EU security</w:t>
            </w:r>
            <w:r w:rsidR="326D8A3B" w:rsidRPr="2893A5C5">
              <w:rPr>
                <w:rFonts w:ascii="Times New Roman" w:hAnsi="Times New Roman"/>
                <w:sz w:val="24"/>
                <w:szCs w:val="24"/>
              </w:rPr>
              <w:t>.</w:t>
            </w:r>
            <w:r w:rsidR="6964E87E" w:rsidRPr="2893A5C5">
              <w:rPr>
                <w:rFonts w:ascii="Times New Roman" w:hAnsi="Times New Roman"/>
                <w:sz w:val="24"/>
                <w:szCs w:val="24"/>
              </w:rPr>
              <w:t xml:space="preserve"> </w:t>
            </w:r>
            <w:r w:rsidR="0770C4F3" w:rsidRPr="2893A5C5">
              <w:rPr>
                <w:rFonts w:ascii="Times New Roman" w:hAnsi="Times New Roman"/>
                <w:sz w:val="24"/>
                <w:szCs w:val="24"/>
              </w:rPr>
              <w:t>Meanwhile,</w:t>
            </w:r>
            <w:r w:rsidR="11E15B01" w:rsidRPr="2893A5C5">
              <w:rPr>
                <w:rFonts w:ascii="Times New Roman" w:hAnsi="Times New Roman"/>
                <w:sz w:val="24"/>
                <w:szCs w:val="24"/>
              </w:rPr>
              <w:t xml:space="preserve"> </w:t>
            </w:r>
            <w:r w:rsidR="2AEA66F7" w:rsidRPr="2893A5C5">
              <w:rPr>
                <w:rFonts w:ascii="Times New Roman" w:hAnsi="Times New Roman"/>
                <w:sz w:val="24"/>
                <w:szCs w:val="24"/>
              </w:rPr>
              <w:t xml:space="preserve">the White Paper recognises the importance </w:t>
            </w:r>
            <w:r w:rsidR="6A10513C" w:rsidRPr="2893A5C5">
              <w:rPr>
                <w:rFonts w:ascii="Times New Roman" w:hAnsi="Times New Roman"/>
                <w:sz w:val="24"/>
                <w:szCs w:val="24"/>
              </w:rPr>
              <w:t xml:space="preserve">to defend all EU land, air and maritime </w:t>
            </w:r>
            <w:r w:rsidR="2BA8CE2F" w:rsidRPr="2893A5C5">
              <w:rPr>
                <w:rFonts w:ascii="Times New Roman" w:hAnsi="Times New Roman"/>
                <w:sz w:val="24"/>
                <w:szCs w:val="24"/>
              </w:rPr>
              <w:t>domains</w:t>
            </w:r>
            <w:r w:rsidR="329C87CF" w:rsidRPr="2893A5C5">
              <w:rPr>
                <w:rFonts w:ascii="Times New Roman" w:hAnsi="Times New Roman"/>
                <w:sz w:val="24"/>
                <w:szCs w:val="24"/>
              </w:rPr>
              <w:t xml:space="preserve"> and recalls </w:t>
            </w:r>
            <w:r w:rsidR="41AF8AAB" w:rsidRPr="2893A5C5">
              <w:rPr>
                <w:rFonts w:ascii="Times New Roman" w:hAnsi="Times New Roman"/>
                <w:sz w:val="24"/>
                <w:szCs w:val="24"/>
              </w:rPr>
              <w:t xml:space="preserve">efforts undertaken to </w:t>
            </w:r>
            <w:r w:rsidR="01E3C8BC" w:rsidRPr="2893A5C5">
              <w:rPr>
                <w:rFonts w:ascii="Times New Roman" w:hAnsi="Times New Roman"/>
                <w:sz w:val="24"/>
                <w:szCs w:val="24"/>
              </w:rPr>
              <w:t>tackle</w:t>
            </w:r>
            <w:r w:rsidR="41AF8AAB" w:rsidRPr="2893A5C5">
              <w:rPr>
                <w:rFonts w:ascii="Times New Roman" w:hAnsi="Times New Roman"/>
                <w:sz w:val="24"/>
                <w:szCs w:val="24"/>
              </w:rPr>
              <w:t xml:space="preserve"> challenges</w:t>
            </w:r>
            <w:r w:rsidR="784CB18D" w:rsidRPr="2893A5C5">
              <w:rPr>
                <w:rFonts w:ascii="Times New Roman" w:hAnsi="Times New Roman"/>
                <w:sz w:val="24"/>
                <w:szCs w:val="24"/>
              </w:rPr>
              <w:t xml:space="preserve"> arising from the </w:t>
            </w:r>
            <w:r w:rsidR="5FFCA22F" w:rsidRPr="2893A5C5">
              <w:rPr>
                <w:rFonts w:ascii="Times New Roman" w:hAnsi="Times New Roman"/>
                <w:sz w:val="24"/>
                <w:szCs w:val="24"/>
              </w:rPr>
              <w:t>current</w:t>
            </w:r>
            <w:r w:rsidR="784CB18D" w:rsidRPr="2893A5C5">
              <w:rPr>
                <w:rFonts w:ascii="Times New Roman" w:hAnsi="Times New Roman"/>
                <w:sz w:val="24"/>
                <w:szCs w:val="24"/>
              </w:rPr>
              <w:t xml:space="preserve"> geopolitical context</w:t>
            </w:r>
            <w:r w:rsidR="41AF8AAB" w:rsidRPr="2893A5C5">
              <w:rPr>
                <w:rFonts w:ascii="Times New Roman" w:hAnsi="Times New Roman"/>
                <w:sz w:val="24"/>
                <w:szCs w:val="24"/>
              </w:rPr>
              <w:t xml:space="preserve">, </w:t>
            </w:r>
            <w:r w:rsidR="6DBEB458" w:rsidRPr="2893A5C5">
              <w:rPr>
                <w:rFonts w:ascii="Times New Roman" w:hAnsi="Times New Roman"/>
                <w:sz w:val="24"/>
                <w:szCs w:val="24"/>
              </w:rPr>
              <w:t>particularly</w:t>
            </w:r>
            <w:r w:rsidR="41AF8AAB" w:rsidRPr="2893A5C5">
              <w:rPr>
                <w:rFonts w:ascii="Times New Roman" w:hAnsi="Times New Roman"/>
                <w:sz w:val="24"/>
                <w:szCs w:val="24"/>
              </w:rPr>
              <w:t xml:space="preserve"> at</w:t>
            </w:r>
            <w:r w:rsidR="5FFCA22F" w:rsidRPr="2893A5C5">
              <w:rPr>
                <w:rFonts w:ascii="Times New Roman" w:hAnsi="Times New Roman"/>
                <w:sz w:val="24"/>
                <w:szCs w:val="24"/>
              </w:rPr>
              <w:t xml:space="preserve"> the EU’s</w:t>
            </w:r>
            <w:r w:rsidR="41AF8AAB" w:rsidRPr="2893A5C5">
              <w:rPr>
                <w:rFonts w:ascii="Times New Roman" w:hAnsi="Times New Roman"/>
                <w:sz w:val="24"/>
                <w:szCs w:val="24"/>
              </w:rPr>
              <w:t xml:space="preserve"> </w:t>
            </w:r>
            <w:r w:rsidR="6DBEB458" w:rsidRPr="2893A5C5">
              <w:rPr>
                <w:rFonts w:ascii="Times New Roman" w:hAnsi="Times New Roman"/>
                <w:sz w:val="24"/>
                <w:szCs w:val="24"/>
              </w:rPr>
              <w:t>Eastern Border</w:t>
            </w:r>
            <w:r w:rsidR="41AF8AAB" w:rsidRPr="2893A5C5">
              <w:rPr>
                <w:rFonts w:ascii="Times New Roman" w:hAnsi="Times New Roman"/>
                <w:sz w:val="24"/>
                <w:szCs w:val="24"/>
              </w:rPr>
              <w:t>.</w:t>
            </w:r>
          </w:p>
          <w:p w14:paraId="00363F08" w14:textId="5F398010" w:rsidR="009B2803" w:rsidRDefault="0011144A" w:rsidP="00A52F3E">
            <w:pPr>
              <w:widowControl w:val="0"/>
              <w:spacing w:before="120" w:after="120"/>
              <w:jc w:val="both"/>
              <w:rPr>
                <w:rFonts w:ascii="Times New Roman" w:hAnsi="Times New Roman"/>
                <w:sz w:val="24"/>
                <w:szCs w:val="24"/>
              </w:rPr>
            </w:pPr>
            <w:r w:rsidRPr="0052396E">
              <w:rPr>
                <w:rFonts w:ascii="Times New Roman" w:hAnsi="Times New Roman"/>
                <w:sz w:val="24"/>
                <w:szCs w:val="24"/>
              </w:rPr>
              <w:t>The Com</w:t>
            </w:r>
            <w:r w:rsidR="00C413B8" w:rsidRPr="0052396E">
              <w:rPr>
                <w:rFonts w:ascii="Times New Roman" w:hAnsi="Times New Roman"/>
                <w:sz w:val="24"/>
                <w:szCs w:val="24"/>
              </w:rPr>
              <w:t xml:space="preserve">mission is committed </w:t>
            </w:r>
            <w:r w:rsidR="00310CFC">
              <w:rPr>
                <w:rFonts w:ascii="Times New Roman" w:hAnsi="Times New Roman"/>
                <w:sz w:val="24"/>
                <w:szCs w:val="24"/>
              </w:rPr>
              <w:t xml:space="preserve">to </w:t>
            </w:r>
            <w:r w:rsidR="00310CFC" w:rsidRPr="006058DF">
              <w:rPr>
                <w:rFonts w:ascii="Times New Roman" w:hAnsi="Times New Roman"/>
                <w:sz w:val="24"/>
                <w:szCs w:val="24"/>
              </w:rPr>
              <w:t>strengthening the European Defence Technological and Industrial Base (EDTIB)</w:t>
            </w:r>
            <w:r w:rsidR="00310CFC" w:rsidRPr="00310CFC">
              <w:rPr>
                <w:rFonts w:ascii="Times New Roman" w:hAnsi="Times New Roman"/>
                <w:sz w:val="24"/>
                <w:szCs w:val="24"/>
              </w:rPr>
              <w:t xml:space="preserve"> </w:t>
            </w:r>
            <w:r w:rsidR="00310CFC">
              <w:rPr>
                <w:rFonts w:ascii="Times New Roman" w:hAnsi="Times New Roman"/>
                <w:sz w:val="24"/>
                <w:szCs w:val="24"/>
              </w:rPr>
              <w:t xml:space="preserve">and agrees on the need to </w:t>
            </w:r>
            <w:r w:rsidR="00E259FB">
              <w:rPr>
                <w:rFonts w:ascii="Times New Roman" w:hAnsi="Times New Roman"/>
                <w:sz w:val="24"/>
                <w:szCs w:val="24"/>
              </w:rPr>
              <w:t>ensure security of supply, including by</w:t>
            </w:r>
            <w:r w:rsidR="00310CFC" w:rsidRPr="00310CFC">
              <w:rPr>
                <w:rFonts w:ascii="Times New Roman" w:hAnsi="Times New Roman"/>
                <w:sz w:val="24"/>
                <w:szCs w:val="24"/>
              </w:rPr>
              <w:t xml:space="preserve"> reducing reliance on external suppliers</w:t>
            </w:r>
            <w:r w:rsidR="0029763A">
              <w:rPr>
                <w:rFonts w:ascii="Times New Roman" w:hAnsi="Times New Roman"/>
                <w:sz w:val="24"/>
                <w:szCs w:val="24"/>
              </w:rPr>
              <w:t>.</w:t>
            </w:r>
            <w:r w:rsidR="009B2803">
              <w:rPr>
                <w:rFonts w:ascii="Times New Roman" w:hAnsi="Times New Roman"/>
                <w:sz w:val="24"/>
                <w:szCs w:val="24"/>
              </w:rPr>
              <w:t xml:space="preserve"> </w:t>
            </w:r>
            <w:r w:rsidR="737D2FE1" w:rsidRPr="43538EA9">
              <w:rPr>
                <w:rFonts w:ascii="Times New Roman" w:hAnsi="Times New Roman"/>
                <w:sz w:val="24"/>
                <w:szCs w:val="24"/>
              </w:rPr>
              <w:t xml:space="preserve">EU </w:t>
            </w:r>
            <w:r w:rsidR="0187C39B" w:rsidRPr="43538EA9">
              <w:rPr>
                <w:rFonts w:ascii="Times New Roman" w:hAnsi="Times New Roman"/>
                <w:sz w:val="24"/>
                <w:szCs w:val="24"/>
              </w:rPr>
              <w:t>programmes</w:t>
            </w:r>
            <w:r w:rsidR="435E64A9" w:rsidRPr="43538EA9">
              <w:rPr>
                <w:rFonts w:ascii="Times New Roman" w:hAnsi="Times New Roman"/>
                <w:sz w:val="24"/>
                <w:szCs w:val="24"/>
              </w:rPr>
              <w:t xml:space="preserve"> </w:t>
            </w:r>
            <w:r w:rsidR="00C31213">
              <w:rPr>
                <w:rFonts w:ascii="Times New Roman" w:hAnsi="Times New Roman"/>
                <w:sz w:val="24"/>
                <w:szCs w:val="24"/>
              </w:rPr>
              <w:t>have</w:t>
            </w:r>
            <w:r w:rsidR="435E64A9" w:rsidRPr="43538EA9">
              <w:rPr>
                <w:rFonts w:ascii="Times New Roman" w:hAnsi="Times New Roman"/>
                <w:sz w:val="24"/>
                <w:szCs w:val="24"/>
              </w:rPr>
              <w:t xml:space="preserve"> already</w:t>
            </w:r>
            <w:r w:rsidR="009C4D56">
              <w:rPr>
                <w:rFonts w:ascii="Times New Roman" w:hAnsi="Times New Roman"/>
                <w:sz w:val="24"/>
                <w:szCs w:val="24"/>
              </w:rPr>
              <w:t xml:space="preserve"> </w:t>
            </w:r>
            <w:r w:rsidR="00C31213">
              <w:rPr>
                <w:rFonts w:ascii="Times New Roman" w:hAnsi="Times New Roman"/>
                <w:sz w:val="24"/>
                <w:szCs w:val="24"/>
              </w:rPr>
              <w:t xml:space="preserve">started to </w:t>
            </w:r>
            <w:r w:rsidR="009C4D56">
              <w:rPr>
                <w:rFonts w:ascii="Times New Roman" w:hAnsi="Times New Roman"/>
                <w:sz w:val="24"/>
                <w:szCs w:val="24"/>
              </w:rPr>
              <w:t>tackl</w:t>
            </w:r>
            <w:r w:rsidR="00C31213">
              <w:rPr>
                <w:rFonts w:ascii="Times New Roman" w:hAnsi="Times New Roman"/>
                <w:sz w:val="24"/>
                <w:szCs w:val="24"/>
              </w:rPr>
              <w:t>e</w:t>
            </w:r>
            <w:r w:rsidR="009C4D56">
              <w:rPr>
                <w:rFonts w:ascii="Times New Roman" w:hAnsi="Times New Roman"/>
                <w:sz w:val="24"/>
                <w:szCs w:val="24"/>
              </w:rPr>
              <w:t xml:space="preserve"> these challenges,</w:t>
            </w:r>
            <w:r w:rsidR="00C31213">
              <w:rPr>
                <w:rFonts w:ascii="Times New Roman" w:hAnsi="Times New Roman"/>
                <w:sz w:val="24"/>
                <w:szCs w:val="24"/>
              </w:rPr>
              <w:t xml:space="preserve"> while also </w:t>
            </w:r>
            <w:r w:rsidR="435E64A9" w:rsidRPr="43538EA9">
              <w:rPr>
                <w:rFonts w:ascii="Times New Roman" w:hAnsi="Times New Roman"/>
                <w:sz w:val="24"/>
                <w:szCs w:val="24"/>
              </w:rPr>
              <w:t>contributing to</w:t>
            </w:r>
            <w:r w:rsidR="00C44BAB" w:rsidRPr="43538EA9">
              <w:rPr>
                <w:rFonts w:ascii="Times New Roman" w:hAnsi="Times New Roman"/>
                <w:sz w:val="24"/>
                <w:szCs w:val="24"/>
              </w:rPr>
              <w:t xml:space="preserve"> broader EU goals, including technological advancements and social cohesion through industrial jobs creation.</w:t>
            </w:r>
          </w:p>
          <w:p w14:paraId="6ACCB655" w14:textId="5E41E5C4" w:rsidR="00AC1005" w:rsidRDefault="6C36762F" w:rsidP="00A52F3E">
            <w:pPr>
              <w:widowControl w:val="0"/>
              <w:spacing w:before="120" w:after="120"/>
              <w:jc w:val="both"/>
              <w:rPr>
                <w:rFonts w:ascii="Times New Roman" w:hAnsi="Times New Roman"/>
                <w:sz w:val="24"/>
                <w:szCs w:val="24"/>
              </w:rPr>
            </w:pPr>
            <w:r w:rsidRPr="43538EA9">
              <w:rPr>
                <w:rFonts w:ascii="Times New Roman" w:hAnsi="Times New Roman"/>
                <w:sz w:val="24"/>
                <w:szCs w:val="24"/>
              </w:rPr>
              <w:t>T</w:t>
            </w:r>
            <w:r w:rsidR="4BE50271" w:rsidRPr="43538EA9">
              <w:rPr>
                <w:rFonts w:ascii="Times New Roman" w:hAnsi="Times New Roman"/>
                <w:sz w:val="24"/>
                <w:szCs w:val="24"/>
              </w:rPr>
              <w:t xml:space="preserve">he </w:t>
            </w:r>
            <w:r w:rsidR="628F5895" w:rsidRPr="006058DF">
              <w:rPr>
                <w:rFonts w:ascii="Times New Roman" w:hAnsi="Times New Roman"/>
                <w:sz w:val="24"/>
                <w:szCs w:val="24"/>
              </w:rPr>
              <w:t>European Defence Fund</w:t>
            </w:r>
            <w:r w:rsidR="0CBEDEEC" w:rsidRPr="43538EA9">
              <w:rPr>
                <w:rFonts w:ascii="Times New Roman" w:hAnsi="Times New Roman"/>
                <w:sz w:val="24"/>
                <w:szCs w:val="24"/>
              </w:rPr>
              <w:t xml:space="preserve"> (EDF)</w:t>
            </w:r>
            <w:r w:rsidR="003848C8" w:rsidRPr="2893A5C5">
              <w:rPr>
                <w:rStyle w:val="FootnoteReference"/>
                <w:rFonts w:ascii="Times New Roman" w:hAnsi="Times New Roman"/>
              </w:rPr>
              <w:footnoteReference w:id="4"/>
            </w:r>
            <w:r w:rsidR="7917CEA3" w:rsidRPr="43538EA9">
              <w:rPr>
                <w:rFonts w:ascii="Times New Roman" w:hAnsi="Times New Roman"/>
                <w:sz w:val="24"/>
                <w:szCs w:val="24"/>
              </w:rPr>
              <w:t xml:space="preserve"> is </w:t>
            </w:r>
            <w:r w:rsidR="04D7FF76" w:rsidRPr="43538EA9">
              <w:rPr>
                <w:rFonts w:ascii="Times New Roman" w:hAnsi="Times New Roman"/>
                <w:sz w:val="24"/>
                <w:szCs w:val="24"/>
              </w:rPr>
              <w:t xml:space="preserve">supporting </w:t>
            </w:r>
            <w:r w:rsidR="7917CEA3" w:rsidRPr="006058DF">
              <w:rPr>
                <w:rFonts w:ascii="Times New Roman" w:hAnsi="Times New Roman"/>
                <w:sz w:val="24"/>
                <w:szCs w:val="24"/>
              </w:rPr>
              <w:t>defence research</w:t>
            </w:r>
            <w:r w:rsidR="6E60BA88" w:rsidRPr="006058DF">
              <w:rPr>
                <w:rFonts w:ascii="Times New Roman" w:hAnsi="Times New Roman"/>
                <w:sz w:val="24"/>
                <w:szCs w:val="24"/>
              </w:rPr>
              <w:t>,</w:t>
            </w:r>
            <w:r w:rsidR="7917CEA3" w:rsidRPr="006058DF">
              <w:rPr>
                <w:rFonts w:ascii="Times New Roman" w:hAnsi="Times New Roman"/>
                <w:sz w:val="24"/>
                <w:szCs w:val="24"/>
              </w:rPr>
              <w:t xml:space="preserve"> innovation,</w:t>
            </w:r>
            <w:r w:rsidR="7D173575" w:rsidRPr="006058DF">
              <w:rPr>
                <w:rFonts w:ascii="Times New Roman" w:hAnsi="Times New Roman"/>
                <w:sz w:val="24"/>
                <w:szCs w:val="24"/>
              </w:rPr>
              <w:t xml:space="preserve"> and technologies</w:t>
            </w:r>
            <w:r w:rsidR="7917CEA3" w:rsidRPr="006058DF">
              <w:rPr>
                <w:rFonts w:ascii="Times New Roman" w:hAnsi="Times New Roman"/>
                <w:sz w:val="24"/>
                <w:szCs w:val="24"/>
              </w:rPr>
              <w:t xml:space="preserve"> as well as the development of complex defence systems.</w:t>
            </w:r>
            <w:r w:rsidR="56B1BA21">
              <w:rPr>
                <w:rFonts w:ascii="Times New Roman" w:hAnsi="Times New Roman"/>
                <w:sz w:val="24"/>
                <w:szCs w:val="24"/>
              </w:rPr>
              <w:t xml:space="preserve"> </w:t>
            </w:r>
            <w:r w:rsidR="5437470B">
              <w:rPr>
                <w:rFonts w:ascii="Times New Roman" w:hAnsi="Times New Roman"/>
                <w:sz w:val="24"/>
                <w:szCs w:val="24"/>
              </w:rPr>
              <w:t xml:space="preserve">Through </w:t>
            </w:r>
            <w:r w:rsidR="0B0A44CE">
              <w:rPr>
                <w:rFonts w:ascii="Times New Roman" w:hAnsi="Times New Roman"/>
                <w:sz w:val="24"/>
                <w:szCs w:val="24"/>
              </w:rPr>
              <w:t>the</w:t>
            </w:r>
            <w:r w:rsidR="315A5B78" w:rsidRPr="009C600D">
              <w:rPr>
                <w:rFonts w:ascii="Times New Roman" w:hAnsi="Times New Roman"/>
                <w:sz w:val="24"/>
                <w:szCs w:val="24"/>
              </w:rPr>
              <w:t xml:space="preserve"> European </w:t>
            </w:r>
            <w:r w:rsidR="3222E023" w:rsidRPr="2893A5C5">
              <w:rPr>
                <w:rFonts w:ascii="Times New Roman" w:hAnsi="Times New Roman"/>
                <w:sz w:val="24"/>
                <w:szCs w:val="24"/>
              </w:rPr>
              <w:t xml:space="preserve">Union </w:t>
            </w:r>
            <w:r w:rsidR="315A5B78" w:rsidRPr="009C600D">
              <w:rPr>
                <w:rFonts w:ascii="Times New Roman" w:hAnsi="Times New Roman"/>
                <w:sz w:val="24"/>
                <w:szCs w:val="24"/>
              </w:rPr>
              <w:t>Defence Innovation Scheme</w:t>
            </w:r>
            <w:r w:rsidR="150A8FEE" w:rsidRPr="2893A5C5">
              <w:rPr>
                <w:rFonts w:ascii="Times New Roman" w:hAnsi="Times New Roman"/>
                <w:sz w:val="24"/>
                <w:szCs w:val="24"/>
              </w:rPr>
              <w:t xml:space="preserve"> (EUDIS)</w:t>
            </w:r>
            <w:r w:rsidR="315A5B78" w:rsidRPr="2893A5C5">
              <w:rPr>
                <w:rFonts w:ascii="Times New Roman" w:hAnsi="Times New Roman"/>
                <w:sz w:val="24"/>
                <w:szCs w:val="24"/>
              </w:rPr>
              <w:t>,</w:t>
            </w:r>
            <w:r w:rsidR="315A5B78">
              <w:rPr>
                <w:rFonts w:ascii="Times New Roman" w:hAnsi="Times New Roman"/>
                <w:sz w:val="24"/>
                <w:szCs w:val="24"/>
              </w:rPr>
              <w:t xml:space="preserve"> the EDF </w:t>
            </w:r>
            <w:r w:rsidR="488E96F8">
              <w:rPr>
                <w:rFonts w:ascii="Times New Roman" w:hAnsi="Times New Roman"/>
                <w:sz w:val="24"/>
                <w:szCs w:val="24"/>
              </w:rPr>
              <w:t xml:space="preserve">proposes specific </w:t>
            </w:r>
            <w:r w:rsidR="43F76692">
              <w:rPr>
                <w:rFonts w:ascii="Times New Roman" w:hAnsi="Times New Roman"/>
                <w:sz w:val="24"/>
                <w:szCs w:val="24"/>
              </w:rPr>
              <w:t xml:space="preserve">tailor-made instruments to </w:t>
            </w:r>
            <w:r w:rsidR="488E96F8">
              <w:rPr>
                <w:rFonts w:ascii="Times New Roman" w:hAnsi="Times New Roman"/>
                <w:sz w:val="24"/>
                <w:szCs w:val="24"/>
              </w:rPr>
              <w:t>support</w:t>
            </w:r>
            <w:r w:rsidR="161063F6">
              <w:rPr>
                <w:rFonts w:ascii="Times New Roman" w:hAnsi="Times New Roman"/>
                <w:sz w:val="24"/>
                <w:szCs w:val="24"/>
              </w:rPr>
              <w:t xml:space="preserve"> </w:t>
            </w:r>
            <w:r w:rsidR="00BD7F94">
              <w:rPr>
                <w:rFonts w:ascii="Times New Roman" w:hAnsi="Times New Roman"/>
                <w:sz w:val="24"/>
                <w:szCs w:val="24"/>
              </w:rPr>
              <w:t>s</w:t>
            </w:r>
            <w:r w:rsidR="7E8A2C8E" w:rsidRPr="2893A5C5">
              <w:rPr>
                <w:rFonts w:ascii="Times New Roman" w:hAnsi="Times New Roman"/>
                <w:sz w:val="24"/>
                <w:szCs w:val="24"/>
              </w:rPr>
              <w:t xml:space="preserve">mall and </w:t>
            </w:r>
            <w:r w:rsidR="00BD7F94">
              <w:rPr>
                <w:rFonts w:ascii="Times New Roman" w:hAnsi="Times New Roman"/>
                <w:sz w:val="24"/>
                <w:szCs w:val="24"/>
              </w:rPr>
              <w:t>m</w:t>
            </w:r>
            <w:r w:rsidR="7E8A2C8E" w:rsidRPr="2893A5C5">
              <w:rPr>
                <w:rFonts w:ascii="Times New Roman" w:hAnsi="Times New Roman"/>
                <w:sz w:val="24"/>
                <w:szCs w:val="24"/>
              </w:rPr>
              <w:t>edium</w:t>
            </w:r>
            <w:r w:rsidR="00BD7F94" w:rsidRPr="00442FD7">
              <w:rPr>
                <w:rFonts w:ascii="Times New Roman" w:hAnsi="Times New Roman"/>
                <w:sz w:val="24"/>
                <w:szCs w:val="24"/>
              </w:rPr>
              <w:t>-sized</w:t>
            </w:r>
            <w:r w:rsidR="7E8A2C8E" w:rsidRPr="2893A5C5">
              <w:rPr>
                <w:rFonts w:ascii="Times New Roman" w:hAnsi="Times New Roman"/>
                <w:sz w:val="24"/>
                <w:szCs w:val="24"/>
              </w:rPr>
              <w:t xml:space="preserve"> </w:t>
            </w:r>
            <w:r w:rsidR="00BD7F94">
              <w:rPr>
                <w:rFonts w:ascii="Times New Roman" w:hAnsi="Times New Roman"/>
                <w:sz w:val="24"/>
                <w:szCs w:val="24"/>
              </w:rPr>
              <w:t>e</w:t>
            </w:r>
            <w:r w:rsidR="7E8A2C8E" w:rsidRPr="2893A5C5">
              <w:rPr>
                <w:rFonts w:ascii="Times New Roman" w:hAnsi="Times New Roman"/>
                <w:sz w:val="24"/>
                <w:szCs w:val="24"/>
              </w:rPr>
              <w:t>nterprise</w:t>
            </w:r>
            <w:r w:rsidR="161063F6" w:rsidRPr="2893A5C5">
              <w:rPr>
                <w:rFonts w:ascii="Times New Roman" w:hAnsi="Times New Roman"/>
                <w:sz w:val="24"/>
                <w:szCs w:val="24"/>
              </w:rPr>
              <w:t>s</w:t>
            </w:r>
            <w:r w:rsidR="00BD7F94">
              <w:rPr>
                <w:rFonts w:ascii="Times New Roman" w:hAnsi="Times New Roman"/>
                <w:sz w:val="24"/>
                <w:szCs w:val="24"/>
              </w:rPr>
              <w:t> </w:t>
            </w:r>
            <w:r w:rsidR="150A8FEE" w:rsidRPr="2893A5C5">
              <w:rPr>
                <w:rFonts w:ascii="Times New Roman" w:hAnsi="Times New Roman"/>
                <w:sz w:val="24"/>
                <w:szCs w:val="24"/>
              </w:rPr>
              <w:t>(</w:t>
            </w:r>
            <w:r w:rsidR="161063F6" w:rsidRPr="2893A5C5">
              <w:rPr>
                <w:rFonts w:ascii="Times New Roman" w:hAnsi="Times New Roman"/>
                <w:sz w:val="24"/>
                <w:szCs w:val="24"/>
              </w:rPr>
              <w:t>SMEs</w:t>
            </w:r>
            <w:r w:rsidR="150A8FEE" w:rsidRPr="2893A5C5">
              <w:rPr>
                <w:rFonts w:ascii="Times New Roman" w:hAnsi="Times New Roman"/>
                <w:sz w:val="24"/>
                <w:szCs w:val="24"/>
              </w:rPr>
              <w:t>)</w:t>
            </w:r>
            <w:r w:rsidR="00E040B9">
              <w:rPr>
                <w:rFonts w:ascii="Times New Roman" w:hAnsi="Times New Roman"/>
                <w:sz w:val="24"/>
                <w:szCs w:val="24"/>
              </w:rPr>
              <w:t xml:space="preserve"> </w:t>
            </w:r>
            <w:r w:rsidR="54C39438">
              <w:rPr>
                <w:rFonts w:ascii="Times New Roman" w:hAnsi="Times New Roman"/>
                <w:sz w:val="24"/>
                <w:szCs w:val="24"/>
              </w:rPr>
              <w:t xml:space="preserve">(dedicated calls, </w:t>
            </w:r>
            <w:r w:rsidR="3D0C294D">
              <w:rPr>
                <w:rFonts w:ascii="Times New Roman" w:hAnsi="Times New Roman"/>
                <w:sz w:val="24"/>
                <w:szCs w:val="24"/>
              </w:rPr>
              <w:t xml:space="preserve">technological challenges, </w:t>
            </w:r>
            <w:r w:rsidR="5FFCA22F">
              <w:rPr>
                <w:rFonts w:ascii="Times New Roman" w:hAnsi="Times New Roman"/>
                <w:sz w:val="24"/>
                <w:szCs w:val="24"/>
              </w:rPr>
              <w:t>hackathons</w:t>
            </w:r>
            <w:r w:rsidR="3D0C294D">
              <w:rPr>
                <w:rFonts w:ascii="Times New Roman" w:hAnsi="Times New Roman"/>
                <w:sz w:val="24"/>
                <w:szCs w:val="24"/>
              </w:rPr>
              <w:t>, matchmaking events, business accelerator</w:t>
            </w:r>
            <w:r w:rsidR="5FFCA22F">
              <w:rPr>
                <w:rFonts w:ascii="Times New Roman" w:hAnsi="Times New Roman"/>
                <w:sz w:val="24"/>
                <w:szCs w:val="24"/>
              </w:rPr>
              <w:t>,</w:t>
            </w:r>
            <w:r w:rsidR="5FFCA22F" w:rsidRPr="2893A5C5">
              <w:rPr>
                <w:rFonts w:ascii="Times New Roman" w:hAnsi="Times New Roman"/>
                <w:sz w:val="24"/>
                <w:szCs w:val="24"/>
              </w:rPr>
              <w:t xml:space="preserve"> </w:t>
            </w:r>
            <w:r w:rsidR="150A8FEE" w:rsidRPr="2893A5C5">
              <w:rPr>
                <w:rFonts w:ascii="Times New Roman" w:hAnsi="Times New Roman"/>
                <w:sz w:val="24"/>
                <w:szCs w:val="24"/>
              </w:rPr>
              <w:t>cascade funding</w:t>
            </w:r>
            <w:r w:rsidR="7A35310A" w:rsidRPr="2893A5C5">
              <w:rPr>
                <w:rFonts w:ascii="Times New Roman" w:hAnsi="Times New Roman"/>
                <w:sz w:val="24"/>
                <w:szCs w:val="24"/>
              </w:rPr>
              <w:t>,</w:t>
            </w:r>
            <w:r w:rsidR="5FFCA22F" w:rsidRPr="2893A5C5">
              <w:rPr>
                <w:rFonts w:ascii="Times New Roman" w:hAnsi="Times New Roman"/>
                <w:sz w:val="24"/>
                <w:szCs w:val="24"/>
              </w:rPr>
              <w:t xml:space="preserve"> etc.</w:t>
            </w:r>
            <w:r w:rsidR="3D0C294D" w:rsidRPr="2893A5C5">
              <w:rPr>
                <w:rFonts w:ascii="Times New Roman" w:hAnsi="Times New Roman"/>
                <w:sz w:val="24"/>
                <w:szCs w:val="24"/>
              </w:rPr>
              <w:t>)</w:t>
            </w:r>
            <w:r w:rsidR="4EC8BF2D" w:rsidRPr="2893A5C5">
              <w:rPr>
                <w:rFonts w:ascii="Times New Roman" w:hAnsi="Times New Roman"/>
                <w:sz w:val="24"/>
                <w:szCs w:val="24"/>
              </w:rPr>
              <w:t xml:space="preserve"> including </w:t>
            </w:r>
            <w:r w:rsidR="3C8CA559" w:rsidRPr="2893A5C5">
              <w:rPr>
                <w:rFonts w:ascii="Times New Roman" w:hAnsi="Times New Roman"/>
                <w:sz w:val="24"/>
                <w:szCs w:val="24"/>
              </w:rPr>
              <w:t>promoting the uptake of research results from Horizon Europe for defence purposes</w:t>
            </w:r>
            <w:r w:rsidR="3D0C294D" w:rsidRPr="2893A5C5">
              <w:rPr>
                <w:rFonts w:ascii="Times New Roman" w:hAnsi="Times New Roman"/>
                <w:sz w:val="24"/>
                <w:szCs w:val="24"/>
              </w:rPr>
              <w:t xml:space="preserve">. </w:t>
            </w:r>
            <w:r w:rsidR="4EC8BF2D" w:rsidRPr="2893A5C5">
              <w:rPr>
                <w:rFonts w:ascii="Times New Roman" w:hAnsi="Times New Roman"/>
                <w:sz w:val="24"/>
                <w:szCs w:val="24"/>
              </w:rPr>
              <w:t xml:space="preserve">However, synergies between defence and civil </w:t>
            </w:r>
            <w:r w:rsidR="3C8CA559" w:rsidRPr="2893A5C5">
              <w:rPr>
                <w:rFonts w:ascii="Times New Roman" w:hAnsi="Times New Roman"/>
                <w:sz w:val="24"/>
                <w:szCs w:val="24"/>
              </w:rPr>
              <w:t xml:space="preserve">research and innovation </w:t>
            </w:r>
            <w:r w:rsidR="4EC8BF2D" w:rsidRPr="2893A5C5">
              <w:rPr>
                <w:rFonts w:ascii="Times New Roman" w:hAnsi="Times New Roman"/>
                <w:sz w:val="24"/>
                <w:szCs w:val="24"/>
              </w:rPr>
              <w:t>should be explored further.</w:t>
            </w:r>
            <w:r w:rsidR="3D0C294D" w:rsidRPr="2893A5C5">
              <w:rPr>
                <w:rFonts w:ascii="Times New Roman" w:hAnsi="Times New Roman"/>
                <w:sz w:val="24"/>
                <w:szCs w:val="24"/>
              </w:rPr>
              <w:t xml:space="preserve"> </w:t>
            </w:r>
            <w:r w:rsidR="7D646874" w:rsidRPr="2893A5C5">
              <w:rPr>
                <w:rFonts w:ascii="Times New Roman" w:hAnsi="Times New Roman"/>
                <w:sz w:val="24"/>
                <w:szCs w:val="24"/>
              </w:rPr>
              <w:t xml:space="preserve">Furthermore, </w:t>
            </w:r>
            <w:r w:rsidR="5EDEAAA6" w:rsidRPr="2893A5C5">
              <w:rPr>
                <w:rFonts w:ascii="Times New Roman" w:hAnsi="Times New Roman"/>
                <w:sz w:val="24"/>
                <w:szCs w:val="24"/>
              </w:rPr>
              <w:t xml:space="preserve">the Commission is also supporting private financing into the defence sector, including through the </w:t>
            </w:r>
            <w:r w:rsidR="000147B8" w:rsidRPr="2893A5C5">
              <w:rPr>
                <w:rFonts w:ascii="Times New Roman" w:hAnsi="Times New Roman"/>
                <w:sz w:val="24"/>
                <w:szCs w:val="24"/>
              </w:rPr>
              <w:t>acceleration</w:t>
            </w:r>
            <w:r w:rsidR="5EDEAAA6" w:rsidRPr="2893A5C5">
              <w:rPr>
                <w:rFonts w:ascii="Times New Roman" w:hAnsi="Times New Roman"/>
                <w:sz w:val="24"/>
                <w:szCs w:val="24"/>
              </w:rPr>
              <w:t xml:space="preserve"> of the Savings and Investment Union. </w:t>
            </w:r>
            <w:r w:rsidR="6E2AEF97">
              <w:rPr>
                <w:rFonts w:ascii="Times New Roman" w:hAnsi="Times New Roman"/>
                <w:sz w:val="24"/>
                <w:szCs w:val="24"/>
              </w:rPr>
              <w:t>T</w:t>
            </w:r>
            <w:r w:rsidR="26EE2356" w:rsidRPr="00303AAF">
              <w:rPr>
                <w:rFonts w:ascii="Times New Roman" w:hAnsi="Times New Roman"/>
                <w:sz w:val="24"/>
                <w:szCs w:val="24"/>
              </w:rPr>
              <w:t>he Defence Equity Facility</w:t>
            </w:r>
            <w:r w:rsidR="51D8B7EF">
              <w:rPr>
                <w:rFonts w:ascii="Times New Roman" w:hAnsi="Times New Roman"/>
                <w:sz w:val="24"/>
                <w:szCs w:val="24"/>
              </w:rPr>
              <w:t>,</w:t>
            </w:r>
            <w:r w:rsidR="2ECCF46F">
              <w:rPr>
                <w:rFonts w:ascii="Times New Roman" w:hAnsi="Times New Roman"/>
                <w:sz w:val="24"/>
                <w:szCs w:val="24"/>
              </w:rPr>
              <w:t xml:space="preserve"> </w:t>
            </w:r>
            <w:r w:rsidR="13D96DBF">
              <w:rPr>
                <w:rFonts w:ascii="Times New Roman" w:hAnsi="Times New Roman"/>
                <w:sz w:val="24"/>
                <w:szCs w:val="24"/>
              </w:rPr>
              <w:t>implemented through the European Investment Fund</w:t>
            </w:r>
            <w:r w:rsidR="00BD7F94">
              <w:rPr>
                <w:rFonts w:ascii="Times New Roman" w:hAnsi="Times New Roman"/>
                <w:sz w:val="24"/>
                <w:szCs w:val="24"/>
              </w:rPr>
              <w:t> </w:t>
            </w:r>
            <w:r w:rsidR="13D96DBF">
              <w:rPr>
                <w:rFonts w:ascii="Times New Roman" w:hAnsi="Times New Roman"/>
                <w:sz w:val="24"/>
                <w:szCs w:val="24"/>
              </w:rPr>
              <w:t xml:space="preserve">(EIF) and </w:t>
            </w:r>
            <w:r w:rsidR="2ECCF46F">
              <w:rPr>
                <w:rFonts w:ascii="Times New Roman" w:hAnsi="Times New Roman"/>
                <w:sz w:val="24"/>
                <w:szCs w:val="24"/>
              </w:rPr>
              <w:t xml:space="preserve">with a capacity of </w:t>
            </w:r>
            <w:r w:rsidR="7E8A2C8E" w:rsidRPr="2893A5C5">
              <w:rPr>
                <w:rFonts w:ascii="Times New Roman" w:hAnsi="Times New Roman"/>
                <w:sz w:val="24"/>
                <w:szCs w:val="24"/>
              </w:rPr>
              <w:t>EUR</w:t>
            </w:r>
            <w:r w:rsidR="00BD7F94">
              <w:rPr>
                <w:rFonts w:ascii="Times New Roman" w:hAnsi="Times New Roman"/>
                <w:sz w:val="24"/>
                <w:szCs w:val="24"/>
              </w:rPr>
              <w:t> </w:t>
            </w:r>
            <w:r w:rsidR="26EE2356" w:rsidRPr="2893A5C5">
              <w:rPr>
                <w:rFonts w:ascii="Times New Roman" w:hAnsi="Times New Roman"/>
                <w:sz w:val="24"/>
                <w:szCs w:val="24"/>
              </w:rPr>
              <w:t>175</w:t>
            </w:r>
            <w:r w:rsidR="00BD7F94">
              <w:rPr>
                <w:rFonts w:ascii="Times New Roman" w:hAnsi="Times New Roman"/>
                <w:sz w:val="24"/>
                <w:szCs w:val="24"/>
              </w:rPr>
              <w:t> </w:t>
            </w:r>
            <w:r w:rsidR="7E8A2C8E" w:rsidRPr="2893A5C5">
              <w:rPr>
                <w:rFonts w:ascii="Times New Roman" w:hAnsi="Times New Roman"/>
                <w:sz w:val="24"/>
                <w:szCs w:val="24"/>
              </w:rPr>
              <w:t>million</w:t>
            </w:r>
            <w:r w:rsidR="01AEC1BB" w:rsidRPr="2893A5C5">
              <w:rPr>
                <w:rFonts w:ascii="Times New Roman" w:hAnsi="Times New Roman"/>
                <w:sz w:val="24"/>
                <w:szCs w:val="24"/>
              </w:rPr>
              <w:t xml:space="preserve">, is designed to facilitate access to finance by </w:t>
            </w:r>
            <w:r w:rsidR="0B5C09F8" w:rsidRPr="2893A5C5">
              <w:rPr>
                <w:rFonts w:ascii="Times New Roman" w:hAnsi="Times New Roman"/>
                <w:sz w:val="24"/>
                <w:szCs w:val="24"/>
              </w:rPr>
              <w:t>providing funds to private investors interested in investing in dual use and defence companies.</w:t>
            </w:r>
          </w:p>
          <w:p w14:paraId="65C1E496" w14:textId="71989394" w:rsidR="003D1C92" w:rsidRDefault="65B2E759" w:rsidP="00A52F3E">
            <w:pPr>
              <w:widowControl w:val="0"/>
              <w:spacing w:before="120" w:after="120"/>
              <w:jc w:val="both"/>
              <w:rPr>
                <w:rFonts w:ascii="Times New Roman" w:hAnsi="Times New Roman"/>
                <w:sz w:val="24"/>
                <w:szCs w:val="24"/>
              </w:rPr>
            </w:pPr>
            <w:r w:rsidRPr="43538EA9">
              <w:rPr>
                <w:rFonts w:ascii="Times New Roman" w:hAnsi="Times New Roman"/>
                <w:sz w:val="24"/>
                <w:szCs w:val="24"/>
              </w:rPr>
              <w:t xml:space="preserve">The EU </w:t>
            </w:r>
            <w:r w:rsidR="0F6010D2" w:rsidRPr="43538EA9">
              <w:rPr>
                <w:rFonts w:ascii="Times New Roman" w:hAnsi="Times New Roman"/>
                <w:sz w:val="24"/>
                <w:szCs w:val="24"/>
              </w:rPr>
              <w:t>i</w:t>
            </w:r>
            <w:r w:rsidRPr="43538EA9">
              <w:rPr>
                <w:rFonts w:ascii="Times New Roman" w:hAnsi="Times New Roman"/>
                <w:sz w:val="24"/>
                <w:szCs w:val="24"/>
              </w:rPr>
              <w:t>s also</w:t>
            </w:r>
            <w:r w:rsidR="00BE71A5" w:rsidRPr="43538EA9">
              <w:rPr>
                <w:rFonts w:ascii="Times New Roman" w:hAnsi="Times New Roman"/>
                <w:sz w:val="24"/>
                <w:szCs w:val="24"/>
              </w:rPr>
              <w:t xml:space="preserve"> </w:t>
            </w:r>
            <w:r w:rsidR="004C3F8A" w:rsidRPr="43538EA9">
              <w:rPr>
                <w:rFonts w:ascii="Times New Roman" w:hAnsi="Times New Roman"/>
                <w:sz w:val="24"/>
                <w:szCs w:val="24"/>
              </w:rPr>
              <w:t>incentivis</w:t>
            </w:r>
            <w:r w:rsidR="00D15C0A" w:rsidRPr="43538EA9">
              <w:rPr>
                <w:rFonts w:ascii="Times New Roman" w:hAnsi="Times New Roman"/>
                <w:sz w:val="24"/>
                <w:szCs w:val="24"/>
              </w:rPr>
              <w:t>ing</w:t>
            </w:r>
            <w:r w:rsidR="00523FEB" w:rsidRPr="43538EA9">
              <w:rPr>
                <w:rFonts w:ascii="Times New Roman" w:hAnsi="Times New Roman"/>
                <w:sz w:val="24"/>
                <w:szCs w:val="24"/>
              </w:rPr>
              <w:t xml:space="preserve"> </w:t>
            </w:r>
            <w:r w:rsidR="00CB3E4D">
              <w:rPr>
                <w:rFonts w:ascii="Times New Roman" w:hAnsi="Times New Roman"/>
                <w:sz w:val="24"/>
                <w:szCs w:val="24"/>
              </w:rPr>
              <w:t xml:space="preserve">the </w:t>
            </w:r>
            <w:r w:rsidR="004C3F8A" w:rsidRPr="006058DF">
              <w:rPr>
                <w:rFonts w:ascii="Times New Roman" w:hAnsi="Times New Roman"/>
                <w:sz w:val="24"/>
                <w:szCs w:val="24"/>
              </w:rPr>
              <w:t>industrial</w:t>
            </w:r>
            <w:r w:rsidR="00B76655" w:rsidRPr="006058DF">
              <w:rPr>
                <w:rFonts w:ascii="Times New Roman" w:hAnsi="Times New Roman"/>
                <w:sz w:val="24"/>
                <w:szCs w:val="24"/>
              </w:rPr>
              <w:t xml:space="preserve"> ramp-up</w:t>
            </w:r>
            <w:r w:rsidR="00B76655" w:rsidRPr="43538EA9">
              <w:rPr>
                <w:rFonts w:ascii="Times New Roman" w:hAnsi="Times New Roman"/>
                <w:sz w:val="24"/>
                <w:szCs w:val="24"/>
              </w:rPr>
              <w:t xml:space="preserve"> </w:t>
            </w:r>
            <w:r w:rsidR="00CB3E4D">
              <w:rPr>
                <w:rFonts w:ascii="Times New Roman" w:hAnsi="Times New Roman"/>
                <w:sz w:val="24"/>
                <w:szCs w:val="24"/>
              </w:rPr>
              <w:t xml:space="preserve">of </w:t>
            </w:r>
            <w:r w:rsidR="51021110" w:rsidRPr="43538EA9">
              <w:rPr>
                <w:rFonts w:ascii="Times New Roman" w:hAnsi="Times New Roman"/>
                <w:sz w:val="24"/>
                <w:szCs w:val="24"/>
              </w:rPr>
              <w:t xml:space="preserve">the production of ammunition (through </w:t>
            </w:r>
            <w:r w:rsidR="00A34A46">
              <w:rPr>
                <w:rFonts w:ascii="Times New Roman" w:hAnsi="Times New Roman"/>
                <w:sz w:val="24"/>
                <w:szCs w:val="24"/>
              </w:rPr>
              <w:t xml:space="preserve">the </w:t>
            </w:r>
            <w:r w:rsidR="003848C8" w:rsidRPr="006058DF">
              <w:rPr>
                <w:rFonts w:ascii="Times New Roman" w:hAnsi="Times New Roman"/>
                <w:sz w:val="24"/>
                <w:szCs w:val="24"/>
              </w:rPr>
              <w:t>Act in Support of Ammunition Production</w:t>
            </w:r>
            <w:r w:rsidR="00A34A46">
              <w:rPr>
                <w:rFonts w:ascii="Times New Roman" w:hAnsi="Times New Roman"/>
                <w:sz w:val="24"/>
                <w:szCs w:val="24"/>
              </w:rPr>
              <w:t xml:space="preserve"> </w:t>
            </w:r>
            <w:r w:rsidR="00BD7F94" w:rsidRPr="2893A5C5">
              <w:rPr>
                <w:rFonts w:ascii="Times New Roman" w:hAnsi="Times New Roman"/>
                <w:sz w:val="24"/>
                <w:szCs w:val="24"/>
              </w:rPr>
              <w:t>–</w:t>
            </w:r>
            <w:r w:rsidR="00A34A46">
              <w:rPr>
                <w:rFonts w:ascii="Times New Roman" w:hAnsi="Times New Roman"/>
                <w:sz w:val="24"/>
                <w:szCs w:val="24"/>
              </w:rPr>
              <w:t xml:space="preserve"> </w:t>
            </w:r>
            <w:r w:rsidR="51021110" w:rsidRPr="43538EA9">
              <w:rPr>
                <w:rFonts w:ascii="Times New Roman" w:hAnsi="Times New Roman"/>
                <w:sz w:val="24"/>
                <w:szCs w:val="24"/>
              </w:rPr>
              <w:t>ASAP</w:t>
            </w:r>
            <w:r w:rsidR="003848C8">
              <w:rPr>
                <w:rStyle w:val="FootnoteReference"/>
                <w:rFonts w:ascii="Times New Roman" w:hAnsi="Times New Roman"/>
                <w:szCs w:val="24"/>
              </w:rPr>
              <w:footnoteReference w:id="5"/>
            </w:r>
            <w:r w:rsidR="51021110" w:rsidRPr="43538EA9">
              <w:rPr>
                <w:rFonts w:ascii="Times New Roman" w:hAnsi="Times New Roman"/>
                <w:sz w:val="24"/>
                <w:szCs w:val="24"/>
              </w:rPr>
              <w:t xml:space="preserve">) </w:t>
            </w:r>
            <w:r w:rsidR="00BE71A5" w:rsidRPr="43538EA9">
              <w:rPr>
                <w:rFonts w:ascii="Times New Roman" w:hAnsi="Times New Roman"/>
                <w:sz w:val="24"/>
                <w:szCs w:val="24"/>
              </w:rPr>
              <w:t xml:space="preserve">and </w:t>
            </w:r>
            <w:r w:rsidR="00CB3E4D">
              <w:rPr>
                <w:rFonts w:ascii="Times New Roman" w:hAnsi="Times New Roman"/>
                <w:sz w:val="24"/>
                <w:szCs w:val="24"/>
              </w:rPr>
              <w:t xml:space="preserve">the </w:t>
            </w:r>
            <w:r w:rsidR="00BE71A5" w:rsidRPr="006058DF">
              <w:rPr>
                <w:rFonts w:ascii="Times New Roman" w:hAnsi="Times New Roman"/>
                <w:sz w:val="24"/>
                <w:szCs w:val="24"/>
              </w:rPr>
              <w:t>common procurement</w:t>
            </w:r>
            <w:r w:rsidR="00BE71A5" w:rsidRPr="43538EA9">
              <w:rPr>
                <w:rFonts w:ascii="Times New Roman" w:hAnsi="Times New Roman"/>
                <w:sz w:val="24"/>
                <w:szCs w:val="24"/>
              </w:rPr>
              <w:t xml:space="preserve"> </w:t>
            </w:r>
            <w:r w:rsidR="00B76655" w:rsidRPr="43538EA9">
              <w:rPr>
                <w:rFonts w:ascii="Times New Roman" w:hAnsi="Times New Roman"/>
                <w:sz w:val="24"/>
                <w:szCs w:val="24"/>
              </w:rPr>
              <w:t>of</w:t>
            </w:r>
            <w:r w:rsidR="00523FEB" w:rsidRPr="43538EA9">
              <w:rPr>
                <w:rFonts w:ascii="Times New Roman" w:hAnsi="Times New Roman"/>
                <w:sz w:val="24"/>
                <w:szCs w:val="24"/>
              </w:rPr>
              <w:t xml:space="preserve"> European defence products</w:t>
            </w:r>
            <w:r w:rsidR="00A01531" w:rsidRPr="43538EA9">
              <w:rPr>
                <w:rFonts w:ascii="Times New Roman" w:hAnsi="Times New Roman"/>
                <w:sz w:val="24"/>
                <w:szCs w:val="24"/>
              </w:rPr>
              <w:t xml:space="preserve"> </w:t>
            </w:r>
            <w:r w:rsidR="57E7C487" w:rsidRPr="43538EA9">
              <w:rPr>
                <w:rFonts w:ascii="Times New Roman" w:hAnsi="Times New Roman"/>
                <w:sz w:val="24"/>
                <w:szCs w:val="24"/>
              </w:rPr>
              <w:t>(</w:t>
            </w:r>
            <w:r w:rsidR="00A01531" w:rsidRPr="43538EA9">
              <w:rPr>
                <w:rFonts w:ascii="Times New Roman" w:hAnsi="Times New Roman"/>
                <w:sz w:val="24"/>
                <w:szCs w:val="24"/>
              </w:rPr>
              <w:t xml:space="preserve">through </w:t>
            </w:r>
            <w:r w:rsidR="009B2803" w:rsidRPr="009B2803">
              <w:rPr>
                <w:rFonts w:ascii="Times New Roman" w:hAnsi="Times New Roman"/>
                <w:sz w:val="24"/>
                <w:szCs w:val="24"/>
              </w:rPr>
              <w:t xml:space="preserve">the </w:t>
            </w:r>
            <w:r w:rsidR="003848C8" w:rsidRPr="006058DF">
              <w:rPr>
                <w:rFonts w:ascii="Times New Roman" w:hAnsi="Times New Roman"/>
                <w:sz w:val="24"/>
                <w:szCs w:val="24"/>
              </w:rPr>
              <w:t xml:space="preserve">European Defence Industry Reinforcement through </w:t>
            </w:r>
            <w:r w:rsidR="00484F81">
              <w:rPr>
                <w:rFonts w:ascii="Times New Roman" w:hAnsi="Times New Roman"/>
                <w:sz w:val="24"/>
                <w:szCs w:val="24"/>
              </w:rPr>
              <w:t>c</w:t>
            </w:r>
            <w:r w:rsidR="003848C8" w:rsidRPr="006058DF">
              <w:rPr>
                <w:rFonts w:ascii="Times New Roman" w:hAnsi="Times New Roman"/>
                <w:sz w:val="24"/>
                <w:szCs w:val="24"/>
              </w:rPr>
              <w:t>ommon Procurement Act</w:t>
            </w:r>
            <w:r w:rsidR="009B2803">
              <w:rPr>
                <w:rFonts w:ascii="Times New Roman" w:hAnsi="Times New Roman"/>
                <w:sz w:val="24"/>
                <w:szCs w:val="24"/>
              </w:rPr>
              <w:t xml:space="preserve"> </w:t>
            </w:r>
            <w:r w:rsidR="00BD7F94" w:rsidRPr="2893A5C5">
              <w:rPr>
                <w:rFonts w:ascii="Times New Roman" w:hAnsi="Times New Roman"/>
                <w:sz w:val="24"/>
                <w:szCs w:val="24"/>
              </w:rPr>
              <w:t>–</w:t>
            </w:r>
            <w:r w:rsidR="009B2803">
              <w:rPr>
                <w:rFonts w:ascii="Times New Roman" w:hAnsi="Times New Roman"/>
                <w:sz w:val="24"/>
                <w:szCs w:val="24"/>
              </w:rPr>
              <w:t xml:space="preserve"> </w:t>
            </w:r>
            <w:r w:rsidR="00F86465" w:rsidRPr="43538EA9">
              <w:rPr>
                <w:rFonts w:ascii="Times New Roman" w:hAnsi="Times New Roman"/>
                <w:sz w:val="24"/>
                <w:szCs w:val="24"/>
              </w:rPr>
              <w:t>EDIRPA</w:t>
            </w:r>
            <w:r w:rsidR="003848C8">
              <w:rPr>
                <w:rStyle w:val="FootnoteReference"/>
                <w:rFonts w:ascii="Times New Roman" w:hAnsi="Times New Roman"/>
                <w:szCs w:val="24"/>
              </w:rPr>
              <w:footnoteReference w:id="6"/>
            </w:r>
            <w:r w:rsidR="6E270D2E" w:rsidRPr="43538EA9">
              <w:rPr>
                <w:rFonts w:ascii="Times New Roman" w:hAnsi="Times New Roman"/>
                <w:sz w:val="24"/>
                <w:szCs w:val="24"/>
              </w:rPr>
              <w:t>)</w:t>
            </w:r>
            <w:r w:rsidR="008E5659">
              <w:rPr>
                <w:rFonts w:ascii="Times New Roman" w:hAnsi="Times New Roman"/>
                <w:sz w:val="24"/>
                <w:szCs w:val="24"/>
              </w:rPr>
              <w:t xml:space="preserve">. </w:t>
            </w:r>
            <w:r w:rsidR="00E71BB8">
              <w:rPr>
                <w:rFonts w:ascii="Times New Roman" w:hAnsi="Times New Roman"/>
                <w:sz w:val="24"/>
                <w:szCs w:val="24"/>
              </w:rPr>
              <w:t xml:space="preserve">It will continue to do so </w:t>
            </w:r>
            <w:r w:rsidR="00E71BB8" w:rsidRPr="43538EA9">
              <w:rPr>
                <w:rFonts w:ascii="Times New Roman" w:hAnsi="Times New Roman"/>
                <w:sz w:val="24"/>
                <w:szCs w:val="24"/>
              </w:rPr>
              <w:t xml:space="preserve">through the </w:t>
            </w:r>
            <w:r w:rsidR="00E71BB8">
              <w:rPr>
                <w:rFonts w:ascii="Times New Roman" w:hAnsi="Times New Roman"/>
                <w:sz w:val="24"/>
                <w:szCs w:val="24"/>
              </w:rPr>
              <w:t>European Defence Industry Programme (EDIP)</w:t>
            </w:r>
            <w:r w:rsidR="00E71BB8">
              <w:rPr>
                <w:rStyle w:val="FootnoteReference"/>
                <w:rFonts w:ascii="Times New Roman" w:hAnsi="Times New Roman"/>
                <w:szCs w:val="24"/>
              </w:rPr>
              <w:footnoteReference w:id="7"/>
            </w:r>
            <w:r w:rsidR="00E71BB8">
              <w:rPr>
                <w:rFonts w:ascii="Times New Roman" w:hAnsi="Times New Roman"/>
                <w:sz w:val="24"/>
                <w:szCs w:val="24"/>
              </w:rPr>
              <w:t xml:space="preserve"> which</w:t>
            </w:r>
            <w:r w:rsidR="00BD410F" w:rsidRPr="43538EA9">
              <w:rPr>
                <w:rFonts w:ascii="Times New Roman" w:hAnsi="Times New Roman"/>
                <w:sz w:val="24"/>
                <w:szCs w:val="24"/>
              </w:rPr>
              <w:t xml:space="preserve"> </w:t>
            </w:r>
            <w:r w:rsidR="0015572C" w:rsidRPr="43538EA9">
              <w:rPr>
                <w:rFonts w:ascii="Times New Roman" w:hAnsi="Times New Roman"/>
                <w:sz w:val="24"/>
                <w:szCs w:val="24"/>
              </w:rPr>
              <w:t>extend</w:t>
            </w:r>
            <w:r w:rsidR="00E71BB8">
              <w:rPr>
                <w:rFonts w:ascii="Times New Roman" w:hAnsi="Times New Roman"/>
                <w:sz w:val="24"/>
                <w:szCs w:val="24"/>
              </w:rPr>
              <w:t>s</w:t>
            </w:r>
            <w:r w:rsidR="0015572C" w:rsidRPr="43538EA9">
              <w:rPr>
                <w:rFonts w:ascii="Times New Roman" w:hAnsi="Times New Roman"/>
                <w:sz w:val="24"/>
                <w:szCs w:val="24"/>
              </w:rPr>
              <w:t xml:space="preserve"> the scale</w:t>
            </w:r>
            <w:r w:rsidR="00701AE3">
              <w:rPr>
                <w:rFonts w:ascii="Times New Roman" w:hAnsi="Times New Roman"/>
                <w:sz w:val="24"/>
                <w:szCs w:val="24"/>
              </w:rPr>
              <w:t>,</w:t>
            </w:r>
            <w:r w:rsidR="0015572C" w:rsidRPr="43538EA9">
              <w:rPr>
                <w:rFonts w:ascii="Times New Roman" w:hAnsi="Times New Roman"/>
                <w:sz w:val="24"/>
                <w:szCs w:val="24"/>
              </w:rPr>
              <w:t xml:space="preserve"> scope</w:t>
            </w:r>
            <w:r w:rsidR="00701AE3">
              <w:rPr>
                <w:rFonts w:ascii="Times New Roman" w:hAnsi="Times New Roman"/>
                <w:sz w:val="24"/>
                <w:szCs w:val="24"/>
              </w:rPr>
              <w:t xml:space="preserve"> and duration</w:t>
            </w:r>
            <w:r w:rsidR="0015572C" w:rsidRPr="43538EA9">
              <w:rPr>
                <w:rFonts w:ascii="Times New Roman" w:hAnsi="Times New Roman"/>
                <w:sz w:val="24"/>
                <w:szCs w:val="24"/>
              </w:rPr>
              <w:t xml:space="preserve"> </w:t>
            </w:r>
            <w:r w:rsidR="53FCE5A9" w:rsidRPr="43538EA9">
              <w:rPr>
                <w:rFonts w:ascii="Times New Roman" w:hAnsi="Times New Roman"/>
                <w:sz w:val="24"/>
                <w:szCs w:val="24"/>
              </w:rPr>
              <w:t xml:space="preserve">of EU support in these </w:t>
            </w:r>
            <w:r w:rsidR="00003C25">
              <w:rPr>
                <w:rFonts w:ascii="Times New Roman" w:hAnsi="Times New Roman"/>
                <w:sz w:val="24"/>
                <w:szCs w:val="24"/>
              </w:rPr>
              <w:t xml:space="preserve">two </w:t>
            </w:r>
            <w:r w:rsidR="53FCE5A9" w:rsidRPr="43538EA9">
              <w:rPr>
                <w:rFonts w:ascii="Times New Roman" w:hAnsi="Times New Roman"/>
                <w:sz w:val="24"/>
                <w:szCs w:val="24"/>
              </w:rPr>
              <w:t xml:space="preserve">fields </w:t>
            </w:r>
            <w:r w:rsidR="00290E67">
              <w:rPr>
                <w:rFonts w:ascii="Times New Roman" w:hAnsi="Times New Roman"/>
                <w:sz w:val="24"/>
                <w:szCs w:val="24"/>
              </w:rPr>
              <w:t>and</w:t>
            </w:r>
            <w:r w:rsidR="00B6652C">
              <w:rPr>
                <w:rFonts w:ascii="Times New Roman" w:hAnsi="Times New Roman"/>
                <w:sz w:val="24"/>
                <w:szCs w:val="24"/>
              </w:rPr>
              <w:t xml:space="preserve"> aims at </w:t>
            </w:r>
            <w:r w:rsidR="00290E67">
              <w:rPr>
                <w:rFonts w:ascii="Times New Roman" w:hAnsi="Times New Roman"/>
                <w:sz w:val="24"/>
                <w:szCs w:val="24"/>
              </w:rPr>
              <w:t>following up on</w:t>
            </w:r>
            <w:r w:rsidR="00290E67" w:rsidRPr="003D1C92">
              <w:rPr>
                <w:rFonts w:ascii="Times New Roman" w:hAnsi="Times New Roman"/>
                <w:sz w:val="24"/>
                <w:szCs w:val="24"/>
              </w:rPr>
              <w:t xml:space="preserve"> </w:t>
            </w:r>
            <w:r w:rsidR="00B6652C" w:rsidRPr="003D1C92">
              <w:rPr>
                <w:rFonts w:ascii="Times New Roman" w:hAnsi="Times New Roman"/>
                <w:sz w:val="24"/>
                <w:szCs w:val="24"/>
              </w:rPr>
              <w:t>existing</w:t>
            </w:r>
            <w:r w:rsidR="001C1F5C">
              <w:rPr>
                <w:rFonts w:ascii="Times New Roman" w:hAnsi="Times New Roman"/>
                <w:sz w:val="24"/>
                <w:szCs w:val="24"/>
              </w:rPr>
              <w:t xml:space="preserve"> </w:t>
            </w:r>
            <w:r w:rsidR="00B6652C" w:rsidRPr="003D1C92">
              <w:rPr>
                <w:rFonts w:ascii="Times New Roman" w:hAnsi="Times New Roman"/>
                <w:sz w:val="24"/>
                <w:szCs w:val="24"/>
              </w:rPr>
              <w:t>EU funding programmes</w:t>
            </w:r>
            <w:r w:rsidR="00F02728">
              <w:rPr>
                <w:rFonts w:ascii="Times New Roman" w:hAnsi="Times New Roman"/>
                <w:sz w:val="24"/>
                <w:szCs w:val="24"/>
              </w:rPr>
              <w:t xml:space="preserve"> </w:t>
            </w:r>
            <w:r w:rsidR="00B6652C">
              <w:rPr>
                <w:rFonts w:ascii="Times New Roman" w:hAnsi="Times New Roman"/>
                <w:sz w:val="24"/>
                <w:szCs w:val="24"/>
              </w:rPr>
              <w:t>to</w:t>
            </w:r>
            <w:r w:rsidR="00B6652C" w:rsidRPr="003D1C92">
              <w:rPr>
                <w:rFonts w:ascii="Times New Roman" w:hAnsi="Times New Roman"/>
                <w:sz w:val="24"/>
                <w:szCs w:val="24"/>
              </w:rPr>
              <w:t xml:space="preserve"> support </w:t>
            </w:r>
            <w:r w:rsidR="00F02728">
              <w:rPr>
                <w:rFonts w:ascii="Times New Roman" w:hAnsi="Times New Roman"/>
                <w:sz w:val="24"/>
                <w:szCs w:val="24"/>
              </w:rPr>
              <w:t>investments</w:t>
            </w:r>
            <w:r w:rsidR="00451DC9">
              <w:rPr>
                <w:rFonts w:ascii="Times New Roman" w:hAnsi="Times New Roman"/>
                <w:sz w:val="24"/>
                <w:szCs w:val="24"/>
              </w:rPr>
              <w:t xml:space="preserve"> in the EDTIB in a </w:t>
            </w:r>
            <w:r w:rsidR="00B6652C" w:rsidRPr="003D1C92">
              <w:rPr>
                <w:rFonts w:ascii="Times New Roman" w:hAnsi="Times New Roman"/>
                <w:sz w:val="24"/>
                <w:szCs w:val="24"/>
              </w:rPr>
              <w:t xml:space="preserve">faster, more flexible and coordinated </w:t>
            </w:r>
            <w:r w:rsidR="00451DC9">
              <w:rPr>
                <w:rFonts w:ascii="Times New Roman" w:hAnsi="Times New Roman"/>
                <w:sz w:val="24"/>
                <w:szCs w:val="24"/>
              </w:rPr>
              <w:t>manner.</w:t>
            </w:r>
          </w:p>
          <w:p w14:paraId="3F509EA5" w14:textId="72185770" w:rsidR="00B07D1C" w:rsidRDefault="00431E64" w:rsidP="00A52F3E">
            <w:pPr>
              <w:widowControl w:val="0"/>
              <w:spacing w:before="120" w:after="120"/>
              <w:jc w:val="both"/>
              <w:rPr>
                <w:rFonts w:ascii="Times New Roman" w:hAnsi="Times New Roman"/>
                <w:sz w:val="24"/>
                <w:szCs w:val="24"/>
              </w:rPr>
            </w:pPr>
            <w:r>
              <w:rPr>
                <w:rFonts w:ascii="Times New Roman" w:hAnsi="Times New Roman"/>
                <w:sz w:val="24"/>
                <w:szCs w:val="24"/>
              </w:rPr>
              <w:t xml:space="preserve">In the previous and the current </w:t>
            </w:r>
            <w:r w:rsidRPr="00E040B9">
              <w:rPr>
                <w:rFonts w:ascii="Times New Roman" w:hAnsi="Times New Roman"/>
                <w:sz w:val="24"/>
                <w:szCs w:val="24"/>
              </w:rPr>
              <w:t>multiannual financial framework</w:t>
            </w:r>
            <w:r>
              <w:rPr>
                <w:rFonts w:ascii="Times New Roman" w:hAnsi="Times New Roman"/>
                <w:sz w:val="24"/>
                <w:szCs w:val="24"/>
              </w:rPr>
              <w:t>, c</w:t>
            </w:r>
            <w:r w:rsidR="008350B7">
              <w:rPr>
                <w:rFonts w:ascii="Times New Roman" w:hAnsi="Times New Roman"/>
                <w:sz w:val="24"/>
                <w:szCs w:val="24"/>
              </w:rPr>
              <w:t>ohesion policy was already supporting defence related investments</w:t>
            </w:r>
            <w:r w:rsidR="004832FC">
              <w:rPr>
                <w:rFonts w:ascii="Times New Roman" w:hAnsi="Times New Roman"/>
                <w:sz w:val="24"/>
                <w:szCs w:val="24"/>
              </w:rPr>
              <w:t xml:space="preserve"> that were of the dual-use nature</w:t>
            </w:r>
            <w:r w:rsidR="008350B7">
              <w:rPr>
                <w:rFonts w:ascii="Times New Roman" w:hAnsi="Times New Roman"/>
                <w:sz w:val="24"/>
                <w:szCs w:val="24"/>
              </w:rPr>
              <w:t>. O</w:t>
            </w:r>
            <w:r w:rsidR="00657704" w:rsidRPr="2EFEF2A0">
              <w:rPr>
                <w:rFonts w:ascii="Times New Roman" w:hAnsi="Times New Roman"/>
                <w:sz w:val="24"/>
                <w:szCs w:val="24"/>
              </w:rPr>
              <w:t>n 1</w:t>
            </w:r>
            <w:r w:rsidR="003E0B9F">
              <w:rPr>
                <w:rFonts w:ascii="Times New Roman" w:hAnsi="Times New Roman"/>
                <w:sz w:val="24"/>
                <w:szCs w:val="24"/>
              </w:rPr>
              <w:t> </w:t>
            </w:r>
            <w:r w:rsidR="00657704" w:rsidRPr="2EFEF2A0">
              <w:rPr>
                <w:rFonts w:ascii="Times New Roman" w:hAnsi="Times New Roman"/>
                <w:sz w:val="24"/>
                <w:szCs w:val="24"/>
              </w:rPr>
              <w:t xml:space="preserve">April 2025, </w:t>
            </w:r>
            <w:r w:rsidR="00B07D1C" w:rsidRPr="2EFEF2A0">
              <w:rPr>
                <w:rFonts w:ascii="Times New Roman" w:hAnsi="Times New Roman"/>
                <w:sz w:val="24"/>
                <w:szCs w:val="24"/>
              </w:rPr>
              <w:t xml:space="preserve">the Commission </w:t>
            </w:r>
            <w:r>
              <w:rPr>
                <w:rFonts w:ascii="Times New Roman" w:hAnsi="Times New Roman"/>
                <w:sz w:val="24"/>
                <w:szCs w:val="24"/>
              </w:rPr>
              <w:t>made</w:t>
            </w:r>
            <w:r w:rsidR="0074541C" w:rsidRPr="2EFEF2A0">
              <w:rPr>
                <w:rFonts w:ascii="Times New Roman" w:hAnsi="Times New Roman"/>
                <w:sz w:val="24"/>
                <w:szCs w:val="24"/>
              </w:rPr>
              <w:t xml:space="preserve"> a</w:t>
            </w:r>
            <w:r w:rsidR="00442FD7">
              <w:rPr>
                <w:rFonts w:ascii="Times New Roman" w:hAnsi="Times New Roman"/>
                <w:sz w:val="24"/>
                <w:szCs w:val="24"/>
              </w:rPr>
              <w:t> </w:t>
            </w:r>
            <w:r w:rsidR="0074541C" w:rsidRPr="2EFEF2A0">
              <w:rPr>
                <w:rFonts w:ascii="Times New Roman" w:hAnsi="Times New Roman"/>
                <w:sz w:val="24"/>
                <w:szCs w:val="24"/>
              </w:rPr>
              <w:t>legislative proposal</w:t>
            </w:r>
            <w:r w:rsidR="0097525D">
              <w:rPr>
                <w:rStyle w:val="FootnoteReference"/>
                <w:rFonts w:ascii="Times New Roman" w:hAnsi="Times New Roman"/>
                <w:szCs w:val="24"/>
              </w:rPr>
              <w:footnoteReference w:id="8"/>
            </w:r>
            <w:r w:rsidR="00657704" w:rsidRPr="2EFEF2A0">
              <w:rPr>
                <w:rFonts w:ascii="Times New Roman" w:hAnsi="Times New Roman"/>
                <w:sz w:val="24"/>
                <w:szCs w:val="24"/>
              </w:rPr>
              <w:t xml:space="preserve"> </w:t>
            </w:r>
            <w:r w:rsidR="00C22625" w:rsidRPr="2EFEF2A0">
              <w:rPr>
                <w:rFonts w:ascii="Times New Roman" w:hAnsi="Times New Roman"/>
                <w:sz w:val="24"/>
                <w:szCs w:val="24"/>
              </w:rPr>
              <w:t xml:space="preserve">that </w:t>
            </w:r>
            <w:r w:rsidR="008E1B69" w:rsidRPr="2EFEF2A0">
              <w:rPr>
                <w:rFonts w:ascii="Times New Roman" w:hAnsi="Times New Roman"/>
                <w:sz w:val="24"/>
                <w:szCs w:val="24"/>
              </w:rPr>
              <w:t>put forward</w:t>
            </w:r>
            <w:r w:rsidR="008350B7">
              <w:rPr>
                <w:rFonts w:ascii="Times New Roman" w:hAnsi="Times New Roman"/>
                <w:sz w:val="24"/>
                <w:szCs w:val="24"/>
              </w:rPr>
              <w:t xml:space="preserve"> new</w:t>
            </w:r>
            <w:r w:rsidR="00E208E3" w:rsidRPr="2EFEF2A0">
              <w:rPr>
                <w:rFonts w:ascii="Times New Roman" w:hAnsi="Times New Roman"/>
                <w:sz w:val="24"/>
                <w:szCs w:val="24"/>
              </w:rPr>
              <w:t xml:space="preserve"> incentives and </w:t>
            </w:r>
            <w:r w:rsidR="00C22625" w:rsidRPr="2EFEF2A0">
              <w:rPr>
                <w:rFonts w:ascii="Times New Roman" w:hAnsi="Times New Roman"/>
                <w:sz w:val="24"/>
                <w:szCs w:val="24"/>
              </w:rPr>
              <w:t xml:space="preserve">greater </w:t>
            </w:r>
            <w:r w:rsidR="00E208E3" w:rsidRPr="2EFEF2A0">
              <w:rPr>
                <w:rFonts w:ascii="Times New Roman" w:hAnsi="Times New Roman"/>
                <w:sz w:val="24"/>
                <w:szCs w:val="24"/>
              </w:rPr>
              <w:t>flexibilit</w:t>
            </w:r>
            <w:r w:rsidR="00C22625" w:rsidRPr="2EFEF2A0">
              <w:rPr>
                <w:rFonts w:ascii="Times New Roman" w:hAnsi="Times New Roman"/>
                <w:sz w:val="24"/>
                <w:szCs w:val="24"/>
              </w:rPr>
              <w:t>y</w:t>
            </w:r>
            <w:r w:rsidR="00E208E3" w:rsidRPr="2EFEF2A0">
              <w:rPr>
                <w:rFonts w:ascii="Times New Roman" w:hAnsi="Times New Roman"/>
                <w:sz w:val="24"/>
                <w:szCs w:val="24"/>
              </w:rPr>
              <w:t xml:space="preserve"> </w:t>
            </w:r>
            <w:r w:rsidR="00EF4CC2" w:rsidRPr="2EFEF2A0">
              <w:rPr>
                <w:rFonts w:ascii="Times New Roman" w:hAnsi="Times New Roman"/>
                <w:sz w:val="24"/>
                <w:szCs w:val="24"/>
              </w:rPr>
              <w:t xml:space="preserve">for Member States </w:t>
            </w:r>
            <w:r w:rsidR="00E208E3" w:rsidRPr="2EFEF2A0">
              <w:rPr>
                <w:rFonts w:ascii="Times New Roman" w:hAnsi="Times New Roman"/>
                <w:sz w:val="24"/>
                <w:szCs w:val="24"/>
              </w:rPr>
              <w:t xml:space="preserve">to </w:t>
            </w:r>
            <w:r w:rsidR="00537736" w:rsidRPr="2EFEF2A0">
              <w:rPr>
                <w:rFonts w:ascii="Times New Roman" w:hAnsi="Times New Roman"/>
                <w:sz w:val="24"/>
                <w:szCs w:val="24"/>
              </w:rPr>
              <w:t>allocate</w:t>
            </w:r>
            <w:r w:rsidR="00F00944" w:rsidRPr="2EFEF2A0">
              <w:rPr>
                <w:rFonts w:ascii="Times New Roman" w:hAnsi="Times New Roman"/>
                <w:sz w:val="24"/>
                <w:szCs w:val="24"/>
              </w:rPr>
              <w:t xml:space="preserve"> resources from the 2021-2027 European Regional </w:t>
            </w:r>
            <w:r w:rsidR="004A65EC" w:rsidRPr="2EFEF2A0">
              <w:rPr>
                <w:rFonts w:ascii="Times New Roman" w:hAnsi="Times New Roman"/>
                <w:sz w:val="24"/>
                <w:szCs w:val="24"/>
              </w:rPr>
              <w:t>Development</w:t>
            </w:r>
            <w:r w:rsidR="005B7206" w:rsidRPr="2EFEF2A0">
              <w:rPr>
                <w:rFonts w:ascii="Times New Roman" w:hAnsi="Times New Roman"/>
                <w:sz w:val="24"/>
                <w:szCs w:val="24"/>
              </w:rPr>
              <w:t xml:space="preserve"> Fund</w:t>
            </w:r>
            <w:r w:rsidR="004A65EC" w:rsidRPr="2EFEF2A0">
              <w:rPr>
                <w:rFonts w:ascii="Times New Roman" w:hAnsi="Times New Roman"/>
                <w:sz w:val="24"/>
                <w:szCs w:val="24"/>
              </w:rPr>
              <w:t xml:space="preserve"> and Cohesion Fund programmes to</w:t>
            </w:r>
            <w:r w:rsidR="00537736" w:rsidRPr="2EFEF2A0">
              <w:rPr>
                <w:rFonts w:ascii="Times New Roman" w:hAnsi="Times New Roman"/>
                <w:sz w:val="24"/>
                <w:szCs w:val="24"/>
              </w:rPr>
              <w:t>ward</w:t>
            </w:r>
            <w:r w:rsidR="004A65EC" w:rsidRPr="2EFEF2A0">
              <w:rPr>
                <w:rFonts w:ascii="Times New Roman" w:hAnsi="Times New Roman"/>
                <w:sz w:val="24"/>
                <w:szCs w:val="24"/>
              </w:rPr>
              <w:t xml:space="preserve"> defence</w:t>
            </w:r>
            <w:r w:rsidR="00537736" w:rsidRPr="2EFEF2A0">
              <w:rPr>
                <w:rFonts w:ascii="Times New Roman" w:hAnsi="Times New Roman"/>
                <w:sz w:val="24"/>
                <w:szCs w:val="24"/>
              </w:rPr>
              <w:t>-</w:t>
            </w:r>
            <w:r w:rsidR="004A65EC" w:rsidRPr="2EFEF2A0">
              <w:rPr>
                <w:rFonts w:ascii="Times New Roman" w:hAnsi="Times New Roman"/>
                <w:sz w:val="24"/>
                <w:szCs w:val="24"/>
              </w:rPr>
              <w:t>related investments</w:t>
            </w:r>
            <w:r w:rsidR="00537736" w:rsidRPr="2EFEF2A0">
              <w:rPr>
                <w:rFonts w:ascii="Times New Roman" w:hAnsi="Times New Roman"/>
                <w:sz w:val="24"/>
                <w:szCs w:val="24"/>
              </w:rPr>
              <w:t xml:space="preserve"> that also </w:t>
            </w:r>
            <w:r w:rsidR="00012E32" w:rsidRPr="2EFEF2A0">
              <w:rPr>
                <w:rFonts w:ascii="Times New Roman" w:hAnsi="Times New Roman"/>
                <w:sz w:val="24"/>
                <w:szCs w:val="24"/>
              </w:rPr>
              <w:t>support regional development,</w:t>
            </w:r>
            <w:r w:rsidR="004A65EC" w:rsidRPr="2EFEF2A0">
              <w:rPr>
                <w:rFonts w:ascii="Times New Roman" w:hAnsi="Times New Roman"/>
                <w:sz w:val="24"/>
                <w:szCs w:val="24"/>
              </w:rPr>
              <w:t xml:space="preserve"> </w:t>
            </w:r>
            <w:r w:rsidR="00094F30" w:rsidRPr="2EFEF2A0">
              <w:rPr>
                <w:rFonts w:ascii="Times New Roman" w:hAnsi="Times New Roman"/>
                <w:sz w:val="24"/>
                <w:szCs w:val="24"/>
              </w:rPr>
              <w:t>with specific measures</w:t>
            </w:r>
            <w:r w:rsidR="004C79CB" w:rsidRPr="2EFEF2A0">
              <w:rPr>
                <w:rFonts w:ascii="Times New Roman" w:hAnsi="Times New Roman"/>
                <w:sz w:val="24"/>
                <w:szCs w:val="24"/>
              </w:rPr>
              <w:t xml:space="preserve"> </w:t>
            </w:r>
            <w:r w:rsidR="00F83E3D" w:rsidRPr="2EFEF2A0">
              <w:rPr>
                <w:rFonts w:ascii="Times New Roman" w:hAnsi="Times New Roman"/>
                <w:sz w:val="24"/>
                <w:szCs w:val="24"/>
              </w:rPr>
              <w:t>addressing the challenges of the</w:t>
            </w:r>
            <w:r w:rsidR="004C79CB" w:rsidRPr="2EFEF2A0">
              <w:rPr>
                <w:rFonts w:ascii="Times New Roman" w:hAnsi="Times New Roman"/>
                <w:sz w:val="24"/>
                <w:szCs w:val="24"/>
              </w:rPr>
              <w:t xml:space="preserve"> Eastern border regions.</w:t>
            </w:r>
            <w:r w:rsidR="1FEE51B6" w:rsidRPr="2EFEF2A0">
              <w:rPr>
                <w:rFonts w:ascii="Times New Roman" w:hAnsi="Times New Roman"/>
                <w:sz w:val="24"/>
                <w:szCs w:val="24"/>
              </w:rPr>
              <w:t xml:space="preserve"> </w:t>
            </w:r>
            <w:r w:rsidRPr="00D25846">
              <w:rPr>
                <w:rFonts w:ascii="Times New Roman" w:hAnsi="Times New Roman"/>
                <w:sz w:val="24"/>
                <w:szCs w:val="24"/>
              </w:rPr>
              <w:t>The resulting amendments of Regulations (EU) 2021/1058 and (EU) 2021/1056 were adopted by the European Parliament and the Council and have entered into force on 20 September 2025, allowing Member States to make use of the new possibilities provided for in the framework of the mid-term review for cohesion policy programmes.</w:t>
            </w:r>
          </w:p>
          <w:p w14:paraId="4162393C" w14:textId="12D35398" w:rsidR="00C63B26" w:rsidRPr="00E3670B" w:rsidRDefault="00B36AEC" w:rsidP="00A52F3E">
            <w:pPr>
              <w:widowControl w:val="0"/>
              <w:spacing w:before="120" w:after="120"/>
              <w:jc w:val="both"/>
              <w:rPr>
                <w:rFonts w:ascii="Times New Roman" w:hAnsi="Times New Roman"/>
                <w:sz w:val="24"/>
                <w:szCs w:val="24"/>
              </w:rPr>
            </w:pPr>
            <w:r>
              <w:rPr>
                <w:rFonts w:ascii="Times New Roman" w:hAnsi="Times New Roman"/>
                <w:sz w:val="24"/>
                <w:szCs w:val="24"/>
              </w:rPr>
              <w:t>O</w:t>
            </w:r>
            <w:r w:rsidR="00E3670B">
              <w:rPr>
                <w:rFonts w:ascii="Times New Roman" w:hAnsi="Times New Roman"/>
                <w:sz w:val="24"/>
                <w:szCs w:val="24"/>
              </w:rPr>
              <w:t>n 1</w:t>
            </w:r>
            <w:r w:rsidR="00DB3A4D">
              <w:rPr>
                <w:rFonts w:ascii="Times New Roman" w:hAnsi="Times New Roman"/>
                <w:sz w:val="24"/>
                <w:szCs w:val="24"/>
              </w:rPr>
              <w:t>6</w:t>
            </w:r>
            <w:r w:rsidR="00E3670B">
              <w:rPr>
                <w:rFonts w:ascii="Times New Roman" w:hAnsi="Times New Roman"/>
                <w:sz w:val="24"/>
                <w:szCs w:val="24"/>
              </w:rPr>
              <w:t xml:space="preserve"> July</w:t>
            </w:r>
            <w:r w:rsidR="00DB3A4D">
              <w:rPr>
                <w:rFonts w:ascii="Times New Roman" w:hAnsi="Times New Roman"/>
                <w:sz w:val="24"/>
                <w:szCs w:val="24"/>
              </w:rPr>
              <w:t xml:space="preserve"> 2025</w:t>
            </w:r>
            <w:r w:rsidR="00E3670B">
              <w:rPr>
                <w:rFonts w:ascii="Times New Roman" w:hAnsi="Times New Roman"/>
                <w:sz w:val="24"/>
                <w:szCs w:val="24"/>
              </w:rPr>
              <w:t>, t</w:t>
            </w:r>
            <w:r w:rsidR="00E3670B" w:rsidRPr="00E3670B">
              <w:rPr>
                <w:rFonts w:ascii="Times New Roman" w:hAnsi="Times New Roman"/>
                <w:sz w:val="24"/>
                <w:szCs w:val="24"/>
              </w:rPr>
              <w:t xml:space="preserve">he Commission put forward comprehensive proposals for the </w:t>
            </w:r>
            <w:r w:rsidR="00DB3A4D">
              <w:rPr>
                <w:rFonts w:ascii="Times New Roman" w:hAnsi="Times New Roman"/>
                <w:sz w:val="24"/>
                <w:szCs w:val="24"/>
              </w:rPr>
              <w:t>2028-2034</w:t>
            </w:r>
            <w:r w:rsidR="00E3670B" w:rsidRPr="00E3670B">
              <w:rPr>
                <w:rFonts w:ascii="Times New Roman" w:hAnsi="Times New Roman"/>
                <w:sz w:val="24"/>
                <w:szCs w:val="24"/>
              </w:rPr>
              <w:t xml:space="preserve"> </w:t>
            </w:r>
            <w:r w:rsidR="00DB3A4D">
              <w:rPr>
                <w:rFonts w:ascii="Times New Roman" w:hAnsi="Times New Roman"/>
                <w:sz w:val="24"/>
                <w:szCs w:val="24"/>
              </w:rPr>
              <w:t>M</w:t>
            </w:r>
            <w:r w:rsidR="00E3670B" w:rsidRPr="00E3670B">
              <w:rPr>
                <w:rFonts w:ascii="Times New Roman" w:hAnsi="Times New Roman"/>
                <w:sz w:val="24"/>
                <w:szCs w:val="24"/>
              </w:rPr>
              <w:t xml:space="preserve">ulti-annual </w:t>
            </w:r>
            <w:r w:rsidR="00DB3A4D">
              <w:rPr>
                <w:rFonts w:ascii="Times New Roman" w:hAnsi="Times New Roman"/>
                <w:sz w:val="24"/>
                <w:szCs w:val="24"/>
              </w:rPr>
              <w:t>F</w:t>
            </w:r>
            <w:r w:rsidR="00E3670B" w:rsidRPr="00E3670B">
              <w:rPr>
                <w:rFonts w:ascii="Times New Roman" w:hAnsi="Times New Roman"/>
                <w:sz w:val="24"/>
                <w:szCs w:val="24"/>
              </w:rPr>
              <w:t xml:space="preserve">inancial </w:t>
            </w:r>
            <w:r w:rsidR="00DB3A4D">
              <w:rPr>
                <w:rFonts w:ascii="Times New Roman" w:hAnsi="Times New Roman"/>
                <w:sz w:val="24"/>
                <w:szCs w:val="24"/>
              </w:rPr>
              <w:t>F</w:t>
            </w:r>
            <w:r w:rsidR="00E3670B" w:rsidRPr="00E3670B">
              <w:rPr>
                <w:rFonts w:ascii="Times New Roman" w:hAnsi="Times New Roman"/>
                <w:sz w:val="24"/>
                <w:szCs w:val="24"/>
              </w:rPr>
              <w:t>ramework (MFF)</w:t>
            </w:r>
            <w:r w:rsidR="003E0B9F">
              <w:rPr>
                <w:rStyle w:val="FootnoteReference"/>
                <w:rFonts w:ascii="Times New Roman" w:hAnsi="Times New Roman"/>
                <w:szCs w:val="24"/>
              </w:rPr>
              <w:footnoteReference w:id="9"/>
            </w:r>
            <w:r w:rsidR="00E3670B" w:rsidRPr="00E3670B">
              <w:rPr>
                <w:rFonts w:ascii="Times New Roman" w:hAnsi="Times New Roman"/>
                <w:sz w:val="24"/>
                <w:szCs w:val="24"/>
              </w:rPr>
              <w:t xml:space="preserve">. </w:t>
            </w:r>
            <w:r w:rsidR="00DB3A4D">
              <w:rPr>
                <w:rFonts w:ascii="Times New Roman" w:hAnsi="Times New Roman"/>
                <w:sz w:val="24"/>
                <w:szCs w:val="24"/>
              </w:rPr>
              <w:t>With</w:t>
            </w:r>
            <w:r w:rsidR="00E3670B">
              <w:rPr>
                <w:rFonts w:ascii="Times New Roman" w:hAnsi="Times New Roman"/>
                <w:sz w:val="24"/>
                <w:szCs w:val="24"/>
              </w:rPr>
              <w:t xml:space="preserve"> th</w:t>
            </w:r>
            <w:r w:rsidR="00DB3A4D">
              <w:rPr>
                <w:rFonts w:ascii="Times New Roman" w:hAnsi="Times New Roman"/>
                <w:sz w:val="24"/>
                <w:szCs w:val="24"/>
              </w:rPr>
              <w:t>e</w:t>
            </w:r>
            <w:r w:rsidR="00E3670B">
              <w:rPr>
                <w:rFonts w:ascii="Times New Roman" w:hAnsi="Times New Roman"/>
                <w:sz w:val="24"/>
                <w:szCs w:val="24"/>
              </w:rPr>
              <w:t>s</w:t>
            </w:r>
            <w:r w:rsidR="00DB3A4D">
              <w:rPr>
                <w:rFonts w:ascii="Times New Roman" w:hAnsi="Times New Roman"/>
                <w:sz w:val="24"/>
                <w:szCs w:val="24"/>
              </w:rPr>
              <w:t>e</w:t>
            </w:r>
            <w:r w:rsidR="00E3670B">
              <w:rPr>
                <w:rFonts w:ascii="Times New Roman" w:hAnsi="Times New Roman"/>
                <w:sz w:val="24"/>
                <w:szCs w:val="24"/>
              </w:rPr>
              <w:t xml:space="preserve"> proposals</w:t>
            </w:r>
            <w:r w:rsidR="00DB3A4D">
              <w:rPr>
                <w:rFonts w:ascii="Times New Roman" w:hAnsi="Times New Roman"/>
                <w:sz w:val="24"/>
                <w:szCs w:val="24"/>
              </w:rPr>
              <w:t>,</w:t>
            </w:r>
            <w:r w:rsidR="00E3670B">
              <w:rPr>
                <w:rFonts w:ascii="Times New Roman" w:hAnsi="Times New Roman"/>
                <w:sz w:val="24"/>
                <w:szCs w:val="24"/>
              </w:rPr>
              <w:t xml:space="preserve"> the Commission is aiming at delivering</w:t>
            </w:r>
            <w:r w:rsidR="00E3670B" w:rsidRPr="00E3670B">
              <w:rPr>
                <w:rFonts w:ascii="Times New Roman" w:hAnsi="Times New Roman"/>
                <w:sz w:val="24"/>
                <w:szCs w:val="24"/>
              </w:rPr>
              <w:t xml:space="preserve"> towards a focused, simpler and more impactful EU budget that reflects the EU’s strategic priorities</w:t>
            </w:r>
            <w:r w:rsidR="00DB3A4D">
              <w:rPr>
                <w:rFonts w:ascii="Times New Roman" w:hAnsi="Times New Roman"/>
                <w:sz w:val="24"/>
                <w:szCs w:val="24"/>
              </w:rPr>
              <w:t>.</w:t>
            </w:r>
            <w:r w:rsidR="00E3670B" w:rsidRPr="00E3670B">
              <w:rPr>
                <w:rFonts w:ascii="Times New Roman" w:hAnsi="Times New Roman"/>
                <w:sz w:val="24"/>
                <w:szCs w:val="24"/>
              </w:rPr>
              <w:t xml:space="preserve"> </w:t>
            </w:r>
            <w:r w:rsidR="00DB3A4D">
              <w:rPr>
                <w:rFonts w:ascii="Times New Roman" w:hAnsi="Times New Roman"/>
                <w:sz w:val="24"/>
                <w:szCs w:val="24"/>
              </w:rPr>
              <w:t xml:space="preserve">It makes </w:t>
            </w:r>
            <w:r w:rsidR="00E3670B" w:rsidRPr="00E3670B">
              <w:rPr>
                <w:rFonts w:ascii="Times New Roman" w:hAnsi="Times New Roman"/>
                <w:sz w:val="24"/>
                <w:szCs w:val="24"/>
              </w:rPr>
              <w:t xml:space="preserve">the ambition </w:t>
            </w:r>
            <w:r w:rsidR="00DB3A4D">
              <w:rPr>
                <w:rFonts w:ascii="Times New Roman" w:hAnsi="Times New Roman"/>
                <w:sz w:val="24"/>
                <w:szCs w:val="24"/>
              </w:rPr>
              <w:t xml:space="preserve">of </w:t>
            </w:r>
            <w:r w:rsidR="00E3670B" w:rsidRPr="00E3670B">
              <w:rPr>
                <w:rFonts w:ascii="Times New Roman" w:hAnsi="Times New Roman"/>
                <w:sz w:val="24"/>
                <w:szCs w:val="24"/>
              </w:rPr>
              <w:t>an</w:t>
            </w:r>
            <w:r w:rsidR="009C2340">
              <w:rPr>
                <w:rFonts w:ascii="Times New Roman" w:hAnsi="Times New Roman"/>
                <w:sz w:val="24"/>
                <w:szCs w:val="24"/>
              </w:rPr>
              <w:t> </w:t>
            </w:r>
            <w:r w:rsidR="00DB3A4D">
              <w:rPr>
                <w:rFonts w:ascii="Times New Roman" w:hAnsi="Times New Roman"/>
                <w:sz w:val="24"/>
                <w:szCs w:val="24"/>
              </w:rPr>
              <w:t>‘</w:t>
            </w:r>
            <w:r w:rsidR="00E3670B" w:rsidRPr="00E3670B">
              <w:rPr>
                <w:rFonts w:ascii="Times New Roman" w:hAnsi="Times New Roman"/>
                <w:sz w:val="24"/>
                <w:szCs w:val="24"/>
              </w:rPr>
              <w:t>investment Commission</w:t>
            </w:r>
            <w:r w:rsidR="00DB3A4D">
              <w:rPr>
                <w:rFonts w:ascii="Times New Roman" w:hAnsi="Times New Roman"/>
                <w:sz w:val="24"/>
                <w:szCs w:val="24"/>
              </w:rPr>
              <w:t>’ concrete</w:t>
            </w:r>
            <w:r w:rsidR="00E3670B">
              <w:rPr>
                <w:rFonts w:ascii="Times New Roman" w:hAnsi="Times New Roman"/>
                <w:sz w:val="24"/>
                <w:szCs w:val="24"/>
              </w:rPr>
              <w:t>, in line with</w:t>
            </w:r>
            <w:r w:rsidR="00E3670B" w:rsidRPr="00E3670B">
              <w:rPr>
                <w:rFonts w:ascii="Times New Roman" w:hAnsi="Times New Roman"/>
                <w:sz w:val="24"/>
                <w:szCs w:val="24"/>
              </w:rPr>
              <w:t xml:space="preserve"> President von der Leyen’s political guidelines</w:t>
            </w:r>
            <w:r w:rsidR="00DB3A4D">
              <w:rPr>
                <w:rFonts w:ascii="Times New Roman" w:hAnsi="Times New Roman"/>
                <w:sz w:val="24"/>
                <w:szCs w:val="24"/>
              </w:rPr>
              <w:t>.</w:t>
            </w:r>
          </w:p>
          <w:p w14:paraId="08CF058B" w14:textId="3BBB1A59" w:rsidR="006058DF" w:rsidRDefault="04DFE99A" w:rsidP="00A52F3E">
            <w:pPr>
              <w:widowControl w:val="0"/>
              <w:spacing w:before="120" w:after="120"/>
              <w:jc w:val="both"/>
              <w:rPr>
                <w:rFonts w:ascii="Times New Roman" w:hAnsi="Times New Roman"/>
                <w:sz w:val="24"/>
                <w:szCs w:val="24"/>
              </w:rPr>
            </w:pPr>
            <w:r w:rsidRPr="2893A5C5">
              <w:rPr>
                <w:rFonts w:ascii="Times New Roman" w:hAnsi="Times New Roman"/>
                <w:sz w:val="24"/>
                <w:szCs w:val="24"/>
              </w:rPr>
              <w:t xml:space="preserve">The Commission agrees that the European </w:t>
            </w:r>
            <w:r w:rsidR="2EC50680" w:rsidRPr="2893A5C5">
              <w:rPr>
                <w:rFonts w:ascii="Times New Roman" w:hAnsi="Times New Roman"/>
                <w:sz w:val="24"/>
                <w:szCs w:val="24"/>
              </w:rPr>
              <w:t>I</w:t>
            </w:r>
            <w:r w:rsidRPr="2893A5C5">
              <w:rPr>
                <w:rFonts w:ascii="Times New Roman" w:hAnsi="Times New Roman"/>
                <w:sz w:val="24"/>
                <w:szCs w:val="24"/>
              </w:rPr>
              <w:t>nvestment Bank</w:t>
            </w:r>
            <w:r w:rsidR="003E0B9F">
              <w:rPr>
                <w:rFonts w:ascii="Times New Roman" w:hAnsi="Times New Roman"/>
                <w:sz w:val="24"/>
                <w:szCs w:val="24"/>
              </w:rPr>
              <w:t> </w:t>
            </w:r>
            <w:r w:rsidR="24F67A0A" w:rsidRPr="2893A5C5">
              <w:rPr>
                <w:rFonts w:ascii="Times New Roman" w:hAnsi="Times New Roman"/>
                <w:sz w:val="24"/>
                <w:szCs w:val="24"/>
              </w:rPr>
              <w:t xml:space="preserve">(EIB) </w:t>
            </w:r>
            <w:r w:rsidRPr="2893A5C5">
              <w:rPr>
                <w:rFonts w:ascii="Times New Roman" w:hAnsi="Times New Roman"/>
                <w:sz w:val="24"/>
                <w:szCs w:val="24"/>
              </w:rPr>
              <w:t xml:space="preserve">has a decisive role to play in the funding of European defence. The EIB Group’s </w:t>
            </w:r>
            <w:r w:rsidR="5289375E" w:rsidRPr="2893A5C5">
              <w:rPr>
                <w:rFonts w:ascii="Times New Roman" w:hAnsi="Times New Roman"/>
                <w:sz w:val="24"/>
                <w:szCs w:val="24"/>
              </w:rPr>
              <w:t xml:space="preserve">change of exclusion policy and the adoption of its </w:t>
            </w:r>
            <w:r w:rsidRPr="2893A5C5">
              <w:rPr>
                <w:rFonts w:ascii="Times New Roman" w:hAnsi="Times New Roman"/>
                <w:sz w:val="24"/>
                <w:szCs w:val="24"/>
              </w:rPr>
              <w:t xml:space="preserve">Security and Defence Action Plan was an important step </w:t>
            </w:r>
            <w:r w:rsidR="2B84B445" w:rsidRPr="2893A5C5">
              <w:rPr>
                <w:rFonts w:ascii="Times New Roman" w:hAnsi="Times New Roman"/>
                <w:sz w:val="24"/>
                <w:szCs w:val="24"/>
              </w:rPr>
              <w:t xml:space="preserve">in this direction </w:t>
            </w:r>
            <w:r w:rsidRPr="2893A5C5">
              <w:rPr>
                <w:rFonts w:ascii="Times New Roman" w:hAnsi="Times New Roman"/>
                <w:sz w:val="24"/>
                <w:szCs w:val="24"/>
              </w:rPr>
              <w:t>and</w:t>
            </w:r>
            <w:r w:rsidR="2B84B445" w:rsidRPr="2893A5C5">
              <w:rPr>
                <w:rFonts w:ascii="Times New Roman" w:hAnsi="Times New Roman"/>
                <w:sz w:val="24"/>
                <w:szCs w:val="24"/>
              </w:rPr>
              <w:t xml:space="preserve"> </w:t>
            </w:r>
            <w:r w:rsidRPr="2893A5C5">
              <w:rPr>
                <w:rFonts w:ascii="Times New Roman" w:hAnsi="Times New Roman"/>
                <w:sz w:val="24"/>
                <w:szCs w:val="24"/>
              </w:rPr>
              <w:t xml:space="preserve">its implementation should </w:t>
            </w:r>
            <w:r w:rsidR="1987DD63" w:rsidRPr="2893A5C5">
              <w:rPr>
                <w:rFonts w:ascii="Times New Roman" w:hAnsi="Times New Roman"/>
                <w:sz w:val="24"/>
                <w:szCs w:val="24"/>
              </w:rPr>
              <w:t xml:space="preserve">be </w:t>
            </w:r>
            <w:r w:rsidRPr="2893A5C5">
              <w:rPr>
                <w:rFonts w:ascii="Times New Roman" w:hAnsi="Times New Roman"/>
                <w:sz w:val="24"/>
                <w:szCs w:val="24"/>
              </w:rPr>
              <w:t>accelerate</w:t>
            </w:r>
            <w:r w:rsidR="1987DD63" w:rsidRPr="2893A5C5">
              <w:rPr>
                <w:rFonts w:ascii="Times New Roman" w:hAnsi="Times New Roman"/>
                <w:sz w:val="24"/>
                <w:szCs w:val="24"/>
              </w:rPr>
              <w:t>d</w:t>
            </w:r>
            <w:r w:rsidR="73B14825" w:rsidRPr="2893A5C5">
              <w:rPr>
                <w:rFonts w:ascii="Times New Roman" w:hAnsi="Times New Roman"/>
                <w:sz w:val="24"/>
                <w:szCs w:val="24"/>
              </w:rPr>
              <w:t>.</w:t>
            </w:r>
          </w:p>
          <w:p w14:paraId="2BDFA0C1" w14:textId="0BDDD5CD" w:rsidR="006B1474" w:rsidRPr="0091001E" w:rsidRDefault="006B1474" w:rsidP="00A52F3E">
            <w:pPr>
              <w:widowControl w:val="0"/>
              <w:spacing w:before="120" w:after="120"/>
              <w:jc w:val="both"/>
              <w:rPr>
                <w:rFonts w:ascii="Times New Roman" w:hAnsi="Times New Roman"/>
                <w:b/>
                <w:sz w:val="24"/>
                <w:szCs w:val="24"/>
                <w:u w:val="single"/>
              </w:rPr>
            </w:pPr>
            <w:r w:rsidRPr="0091001E">
              <w:rPr>
                <w:rFonts w:ascii="Times New Roman" w:hAnsi="Times New Roman"/>
                <w:b/>
                <w:sz w:val="24"/>
                <w:szCs w:val="24"/>
                <w:u w:val="single"/>
              </w:rPr>
              <w:t>Investments in space-based capabilities</w:t>
            </w:r>
            <w:r w:rsidR="003E0B9F">
              <w:rPr>
                <w:rFonts w:ascii="Times New Roman" w:hAnsi="Times New Roman"/>
                <w:b/>
                <w:sz w:val="24"/>
                <w:szCs w:val="24"/>
                <w:u w:val="single"/>
              </w:rPr>
              <w:t>:</w:t>
            </w:r>
          </w:p>
          <w:p w14:paraId="5B9C7443" w14:textId="13EE8AB9" w:rsidR="00AE066A" w:rsidRPr="00F27C8C" w:rsidRDefault="00AE066A" w:rsidP="00A52F3E">
            <w:pPr>
              <w:widowControl w:val="0"/>
              <w:spacing w:before="120" w:after="120"/>
              <w:jc w:val="both"/>
              <w:rPr>
                <w:rFonts w:ascii="Times New Roman" w:hAnsi="Times New Roman"/>
                <w:sz w:val="24"/>
                <w:szCs w:val="24"/>
              </w:rPr>
            </w:pPr>
            <w:r w:rsidRPr="4704F67B">
              <w:rPr>
                <w:rFonts w:ascii="Times New Roman" w:hAnsi="Times New Roman"/>
                <w:sz w:val="24"/>
                <w:szCs w:val="24"/>
              </w:rPr>
              <w:t xml:space="preserve">The Commission welcomes the call of the Committee to prioritise investments in </w:t>
            </w:r>
            <w:r w:rsidRPr="006058DF">
              <w:rPr>
                <w:rFonts w:ascii="Times New Roman" w:hAnsi="Times New Roman"/>
                <w:sz w:val="24"/>
                <w:szCs w:val="24"/>
              </w:rPr>
              <w:t xml:space="preserve">space-based systems such as </w:t>
            </w:r>
            <w:r w:rsidR="00E040B9" w:rsidRPr="00E040B9">
              <w:rPr>
                <w:rFonts w:ascii="Times New Roman" w:hAnsi="Times New Roman"/>
                <w:sz w:val="24"/>
                <w:szCs w:val="24"/>
              </w:rPr>
              <w:t>the Infrastructure for Resilience, Interconnectivity and Security by Satellite</w:t>
            </w:r>
            <w:r w:rsidR="00143257">
              <w:rPr>
                <w:rFonts w:ascii="Times New Roman" w:hAnsi="Times New Roman"/>
                <w:sz w:val="24"/>
                <w:szCs w:val="24"/>
              </w:rPr>
              <w:t> </w:t>
            </w:r>
            <w:r w:rsidR="00E040B9">
              <w:rPr>
                <w:rFonts w:ascii="Times New Roman" w:hAnsi="Times New Roman"/>
                <w:sz w:val="24"/>
                <w:szCs w:val="24"/>
              </w:rPr>
              <w:t>(</w:t>
            </w:r>
            <w:r w:rsidRPr="000147B8">
              <w:rPr>
                <w:rFonts w:ascii="Times New Roman" w:hAnsi="Times New Roman"/>
                <w:sz w:val="24"/>
                <w:szCs w:val="24"/>
              </w:rPr>
              <w:t>IRIS</w:t>
            </w:r>
            <w:r w:rsidRPr="000147B8">
              <w:rPr>
                <w:rFonts w:ascii="Times New Roman" w:hAnsi="Times New Roman"/>
                <w:sz w:val="24"/>
                <w:szCs w:val="24"/>
                <w:vertAlign w:val="superscript"/>
              </w:rPr>
              <w:t>2</w:t>
            </w:r>
            <w:r w:rsidR="00E040B9" w:rsidRPr="00D35E09">
              <w:rPr>
                <w:rFonts w:ascii="Times New Roman" w:hAnsi="Times New Roman"/>
                <w:sz w:val="24"/>
                <w:szCs w:val="24"/>
              </w:rPr>
              <w:t>)</w:t>
            </w:r>
            <w:r w:rsidR="001C560D" w:rsidRPr="000147B8">
              <w:rPr>
                <w:rStyle w:val="FootnoteReference"/>
                <w:rFonts w:ascii="Times New Roman" w:hAnsi="Times New Roman"/>
              </w:rPr>
              <w:footnoteReference w:id="10"/>
            </w:r>
            <w:r w:rsidR="004832FC">
              <w:rPr>
                <w:rFonts w:ascii="Times New Roman" w:hAnsi="Times New Roman"/>
                <w:sz w:val="24"/>
                <w:szCs w:val="24"/>
              </w:rPr>
              <w:t xml:space="preserve">. This is </w:t>
            </w:r>
            <w:r w:rsidR="00F83412" w:rsidRPr="78A10CB0">
              <w:rPr>
                <w:rFonts w:ascii="Times New Roman" w:hAnsi="Times New Roman"/>
                <w:sz w:val="24"/>
                <w:szCs w:val="24"/>
              </w:rPr>
              <w:t>the EU’s third flagship, offering enhanced</w:t>
            </w:r>
            <w:r w:rsidR="53D316A7" w:rsidRPr="78A10CB0">
              <w:rPr>
                <w:rFonts w:ascii="Times New Roman" w:hAnsi="Times New Roman"/>
                <w:sz w:val="24"/>
                <w:szCs w:val="24"/>
              </w:rPr>
              <w:t>, secure and resilient</w:t>
            </w:r>
            <w:r w:rsidR="00F83412" w:rsidRPr="78A10CB0">
              <w:rPr>
                <w:rFonts w:ascii="Times New Roman" w:hAnsi="Times New Roman"/>
                <w:sz w:val="24"/>
                <w:szCs w:val="24"/>
              </w:rPr>
              <w:t xml:space="preserve"> connectivity services to governmental users</w:t>
            </w:r>
            <w:r w:rsidR="004832FC">
              <w:rPr>
                <w:rFonts w:ascii="Times New Roman" w:hAnsi="Times New Roman"/>
                <w:sz w:val="24"/>
                <w:szCs w:val="24"/>
              </w:rPr>
              <w:t>, w</w:t>
            </w:r>
            <w:r>
              <w:rPr>
                <w:rFonts w:ascii="Times New Roman" w:hAnsi="Times New Roman"/>
                <w:sz w:val="24"/>
                <w:szCs w:val="24"/>
              </w:rPr>
              <w:t xml:space="preserve">hich demonstrates the ability of the EU to leverage </w:t>
            </w:r>
            <w:r w:rsidRPr="005D7ADC">
              <w:rPr>
                <w:rFonts w:ascii="Times New Roman" w:hAnsi="Times New Roman"/>
                <w:sz w:val="24"/>
                <w:szCs w:val="24"/>
              </w:rPr>
              <w:t xml:space="preserve">the potential of </w:t>
            </w:r>
            <w:r w:rsidRPr="00B36AEC">
              <w:rPr>
                <w:rFonts w:ascii="Times New Roman" w:hAnsi="Times New Roman"/>
                <w:sz w:val="24"/>
                <w:szCs w:val="24"/>
              </w:rPr>
              <w:t>public-private partnerships</w:t>
            </w:r>
            <w:r w:rsidRPr="005D7ADC">
              <w:rPr>
                <w:rFonts w:ascii="Times New Roman" w:hAnsi="Times New Roman"/>
                <w:sz w:val="24"/>
                <w:szCs w:val="24"/>
              </w:rPr>
              <w:t xml:space="preserve"> to meet defence needs in the field of space-based secure connectivity</w:t>
            </w:r>
            <w:r>
              <w:rPr>
                <w:rFonts w:ascii="Times New Roman" w:hAnsi="Times New Roman"/>
                <w:sz w:val="24"/>
                <w:szCs w:val="24"/>
              </w:rPr>
              <w:t>.</w:t>
            </w:r>
            <w:r w:rsidRPr="005D7ADC">
              <w:rPr>
                <w:rFonts w:ascii="Times New Roman" w:hAnsi="Times New Roman"/>
                <w:sz w:val="24"/>
                <w:szCs w:val="24"/>
              </w:rPr>
              <w:t xml:space="preserve"> </w:t>
            </w:r>
            <w:r w:rsidR="00524630">
              <w:rPr>
                <w:rFonts w:ascii="Times New Roman" w:hAnsi="Times New Roman"/>
                <w:sz w:val="24"/>
                <w:szCs w:val="24"/>
              </w:rPr>
              <w:t>The Commission reminds</w:t>
            </w:r>
            <w:r w:rsidR="007C2B3A">
              <w:rPr>
                <w:rFonts w:ascii="Times New Roman" w:hAnsi="Times New Roman"/>
                <w:sz w:val="24"/>
                <w:szCs w:val="24"/>
              </w:rPr>
              <w:t xml:space="preserve"> that it aims at developing more governmental services for </w:t>
            </w:r>
            <w:r w:rsidR="00C63B26">
              <w:rPr>
                <w:rFonts w:ascii="Times New Roman" w:hAnsi="Times New Roman"/>
                <w:sz w:val="24"/>
                <w:szCs w:val="24"/>
              </w:rPr>
              <w:t xml:space="preserve">security and </w:t>
            </w:r>
            <w:r w:rsidR="007C2B3A">
              <w:rPr>
                <w:rFonts w:ascii="Times New Roman" w:hAnsi="Times New Roman"/>
                <w:sz w:val="24"/>
                <w:szCs w:val="24"/>
              </w:rPr>
              <w:t>defence users through the EU space programme, including by developing dual-use space systems</w:t>
            </w:r>
            <w:r w:rsidR="0061174A">
              <w:rPr>
                <w:rFonts w:ascii="Times New Roman" w:hAnsi="Times New Roman"/>
                <w:sz w:val="24"/>
                <w:szCs w:val="24"/>
              </w:rPr>
              <w:t xml:space="preserve">, as stated in the </w:t>
            </w:r>
            <w:r w:rsidR="00C74408" w:rsidRPr="006058DF">
              <w:rPr>
                <w:rFonts w:ascii="Times New Roman" w:hAnsi="Times New Roman"/>
                <w:sz w:val="24"/>
                <w:szCs w:val="24"/>
              </w:rPr>
              <w:t>EU space strategy for security and defence</w:t>
            </w:r>
            <w:r w:rsidR="00C74408" w:rsidRPr="78A10CB0">
              <w:rPr>
                <w:rStyle w:val="FootnoteReference"/>
                <w:rFonts w:ascii="Times New Roman" w:hAnsi="Times New Roman"/>
              </w:rPr>
              <w:footnoteReference w:id="11"/>
            </w:r>
            <w:r w:rsidR="0061174A">
              <w:rPr>
                <w:rFonts w:ascii="Times New Roman" w:hAnsi="Times New Roman"/>
                <w:sz w:val="24"/>
                <w:szCs w:val="24"/>
              </w:rPr>
              <w:t>.</w:t>
            </w:r>
          </w:p>
          <w:p w14:paraId="0B1A8462" w14:textId="187C5596" w:rsidR="0091001E" w:rsidRDefault="00EA67D6" w:rsidP="00A52F3E">
            <w:pPr>
              <w:widowControl w:val="0"/>
              <w:spacing w:before="120" w:after="120"/>
              <w:jc w:val="both"/>
              <w:rPr>
                <w:rFonts w:ascii="Times New Roman" w:hAnsi="Times New Roman"/>
                <w:b/>
                <w:sz w:val="24"/>
                <w:szCs w:val="24"/>
                <w:u w:val="single"/>
              </w:rPr>
            </w:pPr>
            <w:r w:rsidRPr="006058DF">
              <w:rPr>
                <w:rFonts w:ascii="Times New Roman" w:hAnsi="Times New Roman"/>
                <w:b/>
                <w:sz w:val="24"/>
                <w:szCs w:val="24"/>
                <w:u w:val="single"/>
              </w:rPr>
              <w:t xml:space="preserve">Cooperation with </w:t>
            </w:r>
            <w:r w:rsidR="0091001E">
              <w:rPr>
                <w:rFonts w:ascii="Times New Roman" w:hAnsi="Times New Roman"/>
                <w:b/>
                <w:sz w:val="24"/>
                <w:szCs w:val="24"/>
                <w:u w:val="single"/>
              </w:rPr>
              <w:t>partners</w:t>
            </w:r>
            <w:r w:rsidR="003E0B9F">
              <w:rPr>
                <w:rFonts w:ascii="Times New Roman" w:hAnsi="Times New Roman"/>
                <w:b/>
                <w:sz w:val="24"/>
                <w:szCs w:val="24"/>
                <w:u w:val="single"/>
              </w:rPr>
              <w:t>:</w:t>
            </w:r>
          </w:p>
          <w:p w14:paraId="3B4CC322" w14:textId="5DC8C183" w:rsidR="00EA67D6" w:rsidRPr="00442FD7" w:rsidRDefault="00EA67D6" w:rsidP="00A52F3E">
            <w:pPr>
              <w:widowControl w:val="0"/>
              <w:spacing w:before="120" w:after="120"/>
              <w:jc w:val="both"/>
              <w:rPr>
                <w:rFonts w:ascii="Times New Roman" w:hAnsi="Times New Roman"/>
                <w:i/>
                <w:iCs/>
                <w:sz w:val="24"/>
                <w:szCs w:val="24"/>
                <w:u w:val="single"/>
              </w:rPr>
            </w:pPr>
            <w:r w:rsidRPr="00442FD7">
              <w:rPr>
                <w:rFonts w:ascii="Times New Roman" w:hAnsi="Times New Roman"/>
                <w:i/>
                <w:iCs/>
                <w:sz w:val="24"/>
                <w:szCs w:val="24"/>
                <w:u w:val="single"/>
              </w:rPr>
              <w:t>NATO</w:t>
            </w:r>
            <w:r w:rsidR="003E0B9F">
              <w:rPr>
                <w:rFonts w:ascii="Times New Roman" w:hAnsi="Times New Roman"/>
                <w:i/>
                <w:iCs/>
                <w:sz w:val="24"/>
                <w:szCs w:val="24"/>
                <w:u w:val="single"/>
              </w:rPr>
              <w:t>:</w:t>
            </w:r>
          </w:p>
          <w:p w14:paraId="2763CE22" w14:textId="758C10E9" w:rsidR="009F4F03" w:rsidRDefault="00281B14" w:rsidP="00A52F3E">
            <w:pPr>
              <w:widowControl w:val="0"/>
              <w:spacing w:before="120" w:after="120"/>
              <w:jc w:val="both"/>
              <w:rPr>
                <w:rFonts w:ascii="Times New Roman" w:hAnsi="Times New Roman"/>
                <w:sz w:val="24"/>
                <w:szCs w:val="24"/>
              </w:rPr>
            </w:pPr>
            <w:r w:rsidRPr="002B77A3">
              <w:rPr>
                <w:rFonts w:ascii="Times New Roman" w:hAnsi="Times New Roman"/>
                <w:sz w:val="24"/>
                <w:szCs w:val="24"/>
              </w:rPr>
              <w:t>The</w:t>
            </w:r>
            <w:r>
              <w:rPr>
                <w:rFonts w:ascii="Times New Roman" w:hAnsi="Times New Roman"/>
                <w:sz w:val="24"/>
                <w:szCs w:val="24"/>
              </w:rPr>
              <w:t xml:space="preserve"> Commission is support</w:t>
            </w:r>
            <w:r w:rsidR="004C1E19">
              <w:rPr>
                <w:rFonts w:ascii="Times New Roman" w:hAnsi="Times New Roman"/>
                <w:sz w:val="24"/>
                <w:szCs w:val="24"/>
              </w:rPr>
              <w:t>ing the</w:t>
            </w:r>
            <w:r>
              <w:rPr>
                <w:rFonts w:ascii="Times New Roman" w:hAnsi="Times New Roman"/>
                <w:sz w:val="24"/>
                <w:szCs w:val="24"/>
              </w:rPr>
              <w:t xml:space="preserve"> strengthening </w:t>
            </w:r>
            <w:r w:rsidR="004154DB">
              <w:rPr>
                <w:rFonts w:ascii="Times New Roman" w:hAnsi="Times New Roman"/>
                <w:sz w:val="24"/>
                <w:szCs w:val="24"/>
              </w:rPr>
              <w:t xml:space="preserve">of </w:t>
            </w:r>
            <w:r w:rsidR="0027588E">
              <w:rPr>
                <w:rFonts w:ascii="Times New Roman" w:hAnsi="Times New Roman"/>
                <w:sz w:val="24"/>
                <w:szCs w:val="24"/>
              </w:rPr>
              <w:t>M</w:t>
            </w:r>
            <w:r>
              <w:rPr>
                <w:rFonts w:ascii="Times New Roman" w:hAnsi="Times New Roman"/>
                <w:sz w:val="24"/>
                <w:szCs w:val="24"/>
              </w:rPr>
              <w:t>ember States</w:t>
            </w:r>
            <w:r w:rsidR="004154DB">
              <w:rPr>
                <w:rFonts w:ascii="Times New Roman" w:hAnsi="Times New Roman"/>
                <w:sz w:val="24"/>
                <w:szCs w:val="24"/>
              </w:rPr>
              <w:t>’</w:t>
            </w:r>
            <w:r>
              <w:rPr>
                <w:rFonts w:ascii="Times New Roman" w:hAnsi="Times New Roman"/>
                <w:sz w:val="24"/>
                <w:szCs w:val="24"/>
              </w:rPr>
              <w:t xml:space="preserve"> </w:t>
            </w:r>
            <w:r w:rsidR="0027588E">
              <w:rPr>
                <w:rFonts w:ascii="Times New Roman" w:hAnsi="Times New Roman"/>
                <w:sz w:val="24"/>
                <w:szCs w:val="24"/>
              </w:rPr>
              <w:t xml:space="preserve">defence </w:t>
            </w:r>
            <w:r w:rsidR="004154DB">
              <w:rPr>
                <w:rFonts w:ascii="Times New Roman" w:hAnsi="Times New Roman"/>
                <w:sz w:val="24"/>
                <w:szCs w:val="24"/>
              </w:rPr>
              <w:t xml:space="preserve">capabilities, </w:t>
            </w:r>
            <w:r w:rsidR="001A1A56">
              <w:rPr>
                <w:rFonts w:ascii="Times New Roman" w:hAnsi="Times New Roman"/>
                <w:sz w:val="24"/>
                <w:szCs w:val="24"/>
              </w:rPr>
              <w:t>seek</w:t>
            </w:r>
            <w:r w:rsidR="0027588E">
              <w:rPr>
                <w:rFonts w:ascii="Times New Roman" w:hAnsi="Times New Roman"/>
                <w:sz w:val="24"/>
                <w:szCs w:val="24"/>
              </w:rPr>
              <w:t>ing</w:t>
            </w:r>
            <w:r w:rsidR="001A1A56">
              <w:rPr>
                <w:rFonts w:ascii="Times New Roman" w:hAnsi="Times New Roman"/>
                <w:sz w:val="24"/>
                <w:szCs w:val="24"/>
              </w:rPr>
              <w:t xml:space="preserve"> coherence with efforts undertaken </w:t>
            </w:r>
            <w:r w:rsidR="008A2142">
              <w:rPr>
                <w:rFonts w:ascii="Times New Roman" w:hAnsi="Times New Roman"/>
                <w:sz w:val="24"/>
                <w:szCs w:val="24"/>
              </w:rPr>
              <w:t>within</w:t>
            </w:r>
            <w:r w:rsidR="001A1A56">
              <w:rPr>
                <w:rFonts w:ascii="Times New Roman" w:hAnsi="Times New Roman"/>
                <w:sz w:val="24"/>
                <w:szCs w:val="24"/>
              </w:rPr>
              <w:t xml:space="preserve"> NATO. </w:t>
            </w:r>
            <w:r w:rsidR="00160CB6" w:rsidRPr="009D574F">
              <w:rPr>
                <w:rFonts w:ascii="Times New Roman" w:hAnsi="Times New Roman"/>
                <w:sz w:val="24"/>
                <w:szCs w:val="24"/>
              </w:rPr>
              <w:t>EU</w:t>
            </w:r>
            <w:r w:rsidR="00160CB6">
              <w:rPr>
                <w:rFonts w:ascii="Times New Roman" w:hAnsi="Times New Roman"/>
                <w:sz w:val="24"/>
                <w:szCs w:val="24"/>
              </w:rPr>
              <w:t xml:space="preserve"> defence industry programmes</w:t>
            </w:r>
            <w:r w:rsidR="00160CB6" w:rsidRPr="009D574F">
              <w:rPr>
                <w:rFonts w:ascii="Times New Roman" w:hAnsi="Times New Roman"/>
                <w:sz w:val="24"/>
                <w:szCs w:val="24"/>
              </w:rPr>
              <w:t xml:space="preserve"> help the 23 EU Member States</w:t>
            </w:r>
            <w:r w:rsidR="00160CB6">
              <w:rPr>
                <w:rFonts w:ascii="Times New Roman" w:hAnsi="Times New Roman"/>
                <w:sz w:val="24"/>
                <w:szCs w:val="24"/>
              </w:rPr>
              <w:t xml:space="preserve"> that are also Allies</w:t>
            </w:r>
            <w:r w:rsidR="00160CB6" w:rsidRPr="009D574F">
              <w:rPr>
                <w:rFonts w:ascii="Times New Roman" w:hAnsi="Times New Roman"/>
                <w:sz w:val="24"/>
                <w:szCs w:val="24"/>
              </w:rPr>
              <w:t xml:space="preserve"> in NATO to achieve their capability targets.</w:t>
            </w:r>
            <w:r w:rsidR="00160CB6">
              <w:rPr>
                <w:rFonts w:ascii="Times New Roman" w:hAnsi="Times New Roman"/>
                <w:sz w:val="24"/>
                <w:szCs w:val="24"/>
              </w:rPr>
              <w:t xml:space="preserve"> </w:t>
            </w:r>
            <w:r w:rsidR="00917237">
              <w:rPr>
                <w:rFonts w:ascii="Times New Roman" w:hAnsi="Times New Roman"/>
                <w:sz w:val="24"/>
                <w:szCs w:val="24"/>
              </w:rPr>
              <w:t xml:space="preserve">According to the </w:t>
            </w:r>
            <w:r w:rsidR="001A1A56">
              <w:rPr>
                <w:rFonts w:ascii="Times New Roman" w:hAnsi="Times New Roman"/>
                <w:sz w:val="24"/>
                <w:szCs w:val="24"/>
              </w:rPr>
              <w:t>single set of forces</w:t>
            </w:r>
            <w:r w:rsidR="00917237">
              <w:rPr>
                <w:rFonts w:ascii="Times New Roman" w:hAnsi="Times New Roman"/>
                <w:sz w:val="24"/>
                <w:szCs w:val="24"/>
              </w:rPr>
              <w:t xml:space="preserve"> principle, such capabilities</w:t>
            </w:r>
            <w:r w:rsidR="001A1A56">
              <w:rPr>
                <w:rFonts w:ascii="Times New Roman" w:hAnsi="Times New Roman"/>
                <w:sz w:val="24"/>
                <w:szCs w:val="24"/>
              </w:rPr>
              <w:t xml:space="preserve"> </w:t>
            </w:r>
            <w:r w:rsidR="00BB1E8F">
              <w:rPr>
                <w:rFonts w:ascii="Times New Roman" w:hAnsi="Times New Roman"/>
                <w:sz w:val="24"/>
                <w:szCs w:val="24"/>
              </w:rPr>
              <w:t xml:space="preserve">can </w:t>
            </w:r>
            <w:r w:rsidR="001A1A56">
              <w:rPr>
                <w:rFonts w:ascii="Times New Roman" w:hAnsi="Times New Roman"/>
                <w:sz w:val="24"/>
                <w:szCs w:val="24"/>
              </w:rPr>
              <w:t xml:space="preserve">be </w:t>
            </w:r>
            <w:r w:rsidR="00BB1E8F">
              <w:rPr>
                <w:rFonts w:ascii="Times New Roman" w:hAnsi="Times New Roman"/>
                <w:sz w:val="24"/>
                <w:szCs w:val="24"/>
              </w:rPr>
              <w:t xml:space="preserve">made </w:t>
            </w:r>
            <w:r w:rsidR="001A1A56">
              <w:rPr>
                <w:rFonts w:ascii="Times New Roman" w:hAnsi="Times New Roman"/>
                <w:sz w:val="24"/>
                <w:szCs w:val="24"/>
              </w:rPr>
              <w:t>available upon national sovereign decisions</w:t>
            </w:r>
            <w:r w:rsidR="00BB1E8F">
              <w:rPr>
                <w:rFonts w:ascii="Times New Roman" w:hAnsi="Times New Roman"/>
                <w:sz w:val="24"/>
                <w:szCs w:val="24"/>
              </w:rPr>
              <w:t xml:space="preserve"> for both</w:t>
            </w:r>
            <w:r w:rsidR="0088659A">
              <w:rPr>
                <w:rFonts w:ascii="Times New Roman" w:hAnsi="Times New Roman"/>
                <w:sz w:val="24"/>
                <w:szCs w:val="24"/>
              </w:rPr>
              <w:t xml:space="preserve"> the EU and NATO</w:t>
            </w:r>
            <w:r w:rsidR="001A1A56">
              <w:rPr>
                <w:rFonts w:ascii="Times New Roman" w:hAnsi="Times New Roman"/>
                <w:sz w:val="24"/>
                <w:szCs w:val="24"/>
              </w:rPr>
              <w:t>.</w:t>
            </w:r>
            <w:r w:rsidR="0027588E">
              <w:rPr>
                <w:rFonts w:ascii="Times New Roman" w:hAnsi="Times New Roman"/>
                <w:sz w:val="24"/>
                <w:szCs w:val="24"/>
              </w:rPr>
              <w:t xml:space="preserve"> </w:t>
            </w:r>
            <w:r w:rsidR="00E31C01">
              <w:rPr>
                <w:rFonts w:ascii="Times New Roman" w:hAnsi="Times New Roman"/>
                <w:sz w:val="24"/>
                <w:szCs w:val="24"/>
              </w:rPr>
              <w:t>The</w:t>
            </w:r>
            <w:r w:rsidR="0027588E">
              <w:rPr>
                <w:rFonts w:ascii="Times New Roman" w:hAnsi="Times New Roman"/>
                <w:sz w:val="24"/>
                <w:szCs w:val="24"/>
              </w:rPr>
              <w:t xml:space="preserve"> White </w:t>
            </w:r>
            <w:r w:rsidR="008A30C3">
              <w:rPr>
                <w:rFonts w:ascii="Times New Roman" w:hAnsi="Times New Roman"/>
                <w:sz w:val="24"/>
                <w:szCs w:val="24"/>
              </w:rPr>
              <w:t>P</w:t>
            </w:r>
            <w:r w:rsidR="0027588E">
              <w:rPr>
                <w:rFonts w:ascii="Times New Roman" w:hAnsi="Times New Roman"/>
                <w:sz w:val="24"/>
                <w:szCs w:val="24"/>
              </w:rPr>
              <w:t xml:space="preserve">aper </w:t>
            </w:r>
            <w:r w:rsidR="008A30C3">
              <w:rPr>
                <w:rFonts w:ascii="Times New Roman" w:hAnsi="Times New Roman"/>
                <w:sz w:val="24"/>
                <w:szCs w:val="24"/>
              </w:rPr>
              <w:t xml:space="preserve">for European Defence </w:t>
            </w:r>
            <w:r w:rsidR="00442FD7" w:rsidRPr="2893A5C5">
              <w:rPr>
                <w:rFonts w:ascii="Times New Roman" w:hAnsi="Times New Roman"/>
                <w:sz w:val="24"/>
                <w:szCs w:val="24"/>
              </w:rPr>
              <w:t>–</w:t>
            </w:r>
            <w:r w:rsidR="007C6D66">
              <w:rPr>
                <w:rFonts w:ascii="Times New Roman" w:hAnsi="Times New Roman"/>
                <w:sz w:val="24"/>
                <w:szCs w:val="24"/>
              </w:rPr>
              <w:t xml:space="preserve"> </w:t>
            </w:r>
            <w:r w:rsidR="008A30C3">
              <w:rPr>
                <w:rFonts w:ascii="Times New Roman" w:hAnsi="Times New Roman"/>
                <w:sz w:val="24"/>
                <w:szCs w:val="24"/>
              </w:rPr>
              <w:t xml:space="preserve">Readiness </w:t>
            </w:r>
            <w:r w:rsidR="007C6D66">
              <w:rPr>
                <w:rFonts w:ascii="Times New Roman" w:hAnsi="Times New Roman"/>
                <w:sz w:val="24"/>
                <w:szCs w:val="24"/>
              </w:rPr>
              <w:t xml:space="preserve">2030 </w:t>
            </w:r>
            <w:r w:rsidR="009D574F">
              <w:rPr>
                <w:rFonts w:ascii="Times New Roman" w:hAnsi="Times New Roman"/>
                <w:sz w:val="24"/>
                <w:szCs w:val="24"/>
              </w:rPr>
              <w:t xml:space="preserve">clearly states that </w:t>
            </w:r>
            <w:r w:rsidR="009D574F" w:rsidRPr="009D574F">
              <w:rPr>
                <w:rFonts w:ascii="Times New Roman" w:hAnsi="Times New Roman"/>
                <w:sz w:val="24"/>
                <w:szCs w:val="24"/>
              </w:rPr>
              <w:t>NATO remains the cornerstone of collective defence</w:t>
            </w:r>
            <w:r w:rsidR="009D574F">
              <w:rPr>
                <w:rFonts w:ascii="Times New Roman" w:hAnsi="Times New Roman"/>
                <w:sz w:val="24"/>
                <w:szCs w:val="24"/>
              </w:rPr>
              <w:t xml:space="preserve"> </w:t>
            </w:r>
            <w:r w:rsidR="00CA284F" w:rsidRPr="00CA284F">
              <w:rPr>
                <w:rFonts w:ascii="Times New Roman" w:hAnsi="Times New Roman"/>
                <w:sz w:val="24"/>
                <w:szCs w:val="24"/>
              </w:rPr>
              <w:t>of its members in Europe</w:t>
            </w:r>
            <w:r w:rsidR="00413089">
              <w:rPr>
                <w:rFonts w:ascii="Times New Roman" w:hAnsi="Times New Roman"/>
                <w:sz w:val="24"/>
                <w:szCs w:val="24"/>
              </w:rPr>
              <w:t>,</w:t>
            </w:r>
            <w:r w:rsidR="00CA284F">
              <w:rPr>
                <w:rFonts w:ascii="Times New Roman" w:hAnsi="Times New Roman"/>
                <w:sz w:val="24"/>
                <w:szCs w:val="24"/>
              </w:rPr>
              <w:t xml:space="preserve"> </w:t>
            </w:r>
            <w:r w:rsidR="009D574F">
              <w:rPr>
                <w:rFonts w:ascii="Times New Roman" w:hAnsi="Times New Roman"/>
                <w:sz w:val="24"/>
                <w:szCs w:val="24"/>
              </w:rPr>
              <w:t xml:space="preserve">and </w:t>
            </w:r>
            <w:r w:rsidR="009D574F" w:rsidRPr="001C560D">
              <w:rPr>
                <w:rFonts w:ascii="Times New Roman" w:hAnsi="Times New Roman"/>
                <w:sz w:val="24"/>
                <w:szCs w:val="24"/>
              </w:rPr>
              <w:t>that EU-NATO cooperation</w:t>
            </w:r>
            <w:r w:rsidR="009D574F" w:rsidRPr="009D574F">
              <w:rPr>
                <w:rFonts w:ascii="Times New Roman" w:hAnsi="Times New Roman"/>
                <w:sz w:val="24"/>
                <w:szCs w:val="24"/>
              </w:rPr>
              <w:t xml:space="preserve"> is an indispensable pillar for the development of the EU’s security and defence dimension. </w:t>
            </w:r>
            <w:r w:rsidR="00A85A06">
              <w:rPr>
                <w:rFonts w:ascii="Times New Roman" w:hAnsi="Times New Roman"/>
                <w:sz w:val="24"/>
                <w:szCs w:val="24"/>
              </w:rPr>
              <w:t xml:space="preserve">It </w:t>
            </w:r>
            <w:r w:rsidR="00C26486">
              <w:rPr>
                <w:rFonts w:ascii="Times New Roman" w:hAnsi="Times New Roman"/>
                <w:sz w:val="24"/>
                <w:szCs w:val="24"/>
              </w:rPr>
              <w:t>also clear</w:t>
            </w:r>
            <w:r w:rsidR="00A85A06">
              <w:rPr>
                <w:rFonts w:ascii="Times New Roman" w:hAnsi="Times New Roman"/>
                <w:sz w:val="24"/>
                <w:szCs w:val="24"/>
              </w:rPr>
              <w:t>ly states</w:t>
            </w:r>
            <w:r w:rsidR="00C26486">
              <w:rPr>
                <w:rFonts w:ascii="Times New Roman" w:hAnsi="Times New Roman"/>
                <w:sz w:val="24"/>
                <w:szCs w:val="24"/>
              </w:rPr>
              <w:t xml:space="preserve"> that </w:t>
            </w:r>
            <w:r w:rsidR="008D29A4">
              <w:rPr>
                <w:rFonts w:ascii="Times New Roman" w:hAnsi="Times New Roman"/>
                <w:sz w:val="24"/>
                <w:szCs w:val="24"/>
              </w:rPr>
              <w:t xml:space="preserve">the objective of EU efforts in defence is to ensure peace through </w:t>
            </w:r>
            <w:r w:rsidR="003F5364">
              <w:rPr>
                <w:rFonts w:ascii="Times New Roman" w:hAnsi="Times New Roman"/>
                <w:sz w:val="24"/>
                <w:szCs w:val="24"/>
              </w:rPr>
              <w:t xml:space="preserve">deterring any potential aggression against the </w:t>
            </w:r>
            <w:r w:rsidR="003F5364" w:rsidRPr="00F63573">
              <w:rPr>
                <w:rFonts w:ascii="Times New Roman" w:hAnsi="Times New Roman"/>
                <w:sz w:val="24"/>
                <w:szCs w:val="24"/>
              </w:rPr>
              <w:t>Union.</w:t>
            </w:r>
          </w:p>
          <w:p w14:paraId="526354C4" w14:textId="3AE34E22" w:rsidR="0091001E" w:rsidRDefault="0091001E" w:rsidP="00A52F3E">
            <w:pPr>
              <w:widowControl w:val="0"/>
              <w:spacing w:before="120" w:after="120"/>
              <w:jc w:val="both"/>
              <w:rPr>
                <w:rFonts w:ascii="Times New Roman" w:hAnsi="Times New Roman"/>
                <w:i/>
                <w:iCs/>
                <w:sz w:val="24"/>
                <w:szCs w:val="24"/>
              </w:rPr>
            </w:pPr>
            <w:r w:rsidRPr="00442FD7">
              <w:rPr>
                <w:rFonts w:ascii="Times New Roman" w:hAnsi="Times New Roman"/>
                <w:i/>
                <w:iCs/>
                <w:sz w:val="24"/>
                <w:szCs w:val="24"/>
                <w:u w:val="single"/>
              </w:rPr>
              <w:t>Third countries</w:t>
            </w:r>
            <w:r w:rsidR="003E0B9F">
              <w:rPr>
                <w:rFonts w:ascii="Times New Roman" w:hAnsi="Times New Roman"/>
                <w:i/>
                <w:iCs/>
                <w:sz w:val="24"/>
                <w:szCs w:val="24"/>
              </w:rPr>
              <w:t>:</w:t>
            </w:r>
          </w:p>
          <w:p w14:paraId="47B7BF97" w14:textId="77777777" w:rsidR="0091001E" w:rsidRDefault="0091001E" w:rsidP="00A52F3E">
            <w:pPr>
              <w:widowControl w:val="0"/>
              <w:spacing w:before="120" w:after="120"/>
              <w:jc w:val="both"/>
              <w:rPr>
                <w:rFonts w:ascii="Times New Roman" w:hAnsi="Times New Roman"/>
                <w:sz w:val="24"/>
                <w:szCs w:val="24"/>
              </w:rPr>
            </w:pPr>
            <w:r w:rsidRPr="005D46C0">
              <w:rPr>
                <w:rFonts w:ascii="Times New Roman" w:hAnsi="Times New Roman"/>
                <w:sz w:val="24"/>
                <w:szCs w:val="24"/>
              </w:rPr>
              <w:t xml:space="preserve">The Commission agrees that cooperation with like-minded </w:t>
            </w:r>
            <w:r w:rsidRPr="010A1E2F">
              <w:rPr>
                <w:rFonts w:ascii="Times New Roman" w:hAnsi="Times New Roman"/>
                <w:sz w:val="24"/>
                <w:szCs w:val="24"/>
              </w:rPr>
              <w:t>third countries</w:t>
            </w:r>
            <w:r w:rsidRPr="005D46C0">
              <w:rPr>
                <w:rFonts w:ascii="Times New Roman" w:hAnsi="Times New Roman"/>
                <w:sz w:val="24"/>
                <w:szCs w:val="24"/>
              </w:rPr>
              <w:t>, on a reciprocal basis, is essential for tackling emerging threats, including in the space and cyber domains. Such cooperation should contribute to the protection of the security and defence interests of the European Union and of Member States. The conditions for associating third countries to relevant EU initiatives are defined in each programme/instrument.</w:t>
            </w:r>
          </w:p>
          <w:p w14:paraId="4E06FB0E" w14:textId="414C8C23" w:rsidR="006B1474" w:rsidRPr="006058DF" w:rsidRDefault="006B1474" w:rsidP="00A52F3E">
            <w:pPr>
              <w:widowControl w:val="0"/>
              <w:spacing w:before="120" w:after="120"/>
              <w:jc w:val="both"/>
              <w:rPr>
                <w:rFonts w:ascii="Times New Roman" w:hAnsi="Times New Roman"/>
                <w:b/>
                <w:bCs/>
                <w:sz w:val="24"/>
                <w:szCs w:val="24"/>
                <w:u w:val="single"/>
              </w:rPr>
            </w:pPr>
            <w:r w:rsidRPr="006058DF">
              <w:rPr>
                <w:rFonts w:ascii="Times New Roman" w:hAnsi="Times New Roman"/>
                <w:b/>
                <w:bCs/>
                <w:sz w:val="24"/>
                <w:szCs w:val="24"/>
                <w:u w:val="single"/>
              </w:rPr>
              <w:t>Public awareness</w:t>
            </w:r>
            <w:r w:rsidR="003E0B9F">
              <w:rPr>
                <w:rFonts w:ascii="Times New Roman" w:hAnsi="Times New Roman"/>
                <w:b/>
                <w:bCs/>
                <w:sz w:val="24"/>
                <w:szCs w:val="24"/>
                <w:u w:val="single"/>
              </w:rPr>
              <w:t>:</w:t>
            </w:r>
          </w:p>
          <w:p w14:paraId="30D14481" w14:textId="2FB81CE5" w:rsidR="00385BFA" w:rsidRPr="003E3C50" w:rsidRDefault="003E3C50" w:rsidP="00A52F3E">
            <w:pPr>
              <w:widowControl w:val="0"/>
              <w:spacing w:before="120" w:after="120"/>
              <w:jc w:val="both"/>
              <w:rPr>
                <w:i/>
                <w:iCs/>
              </w:rPr>
            </w:pPr>
            <w:r w:rsidRPr="003E3C50">
              <w:rPr>
                <w:rFonts w:ascii="Times New Roman" w:hAnsi="Times New Roman"/>
                <w:sz w:val="24"/>
                <w:szCs w:val="24"/>
              </w:rPr>
              <w:t>Lastly, th</w:t>
            </w:r>
            <w:r w:rsidR="00385BFA" w:rsidRPr="7CE0F515">
              <w:rPr>
                <w:rFonts w:ascii="Times New Roman" w:hAnsi="Times New Roman"/>
                <w:sz w:val="24"/>
                <w:szCs w:val="24"/>
              </w:rPr>
              <w:t>e Commission</w:t>
            </w:r>
            <w:r w:rsidR="008759EB">
              <w:rPr>
                <w:rFonts w:ascii="Times New Roman" w:hAnsi="Times New Roman"/>
                <w:sz w:val="24"/>
                <w:szCs w:val="24"/>
              </w:rPr>
              <w:t xml:space="preserve"> </w:t>
            </w:r>
            <w:r w:rsidR="00CB3E4D">
              <w:rPr>
                <w:rFonts w:ascii="Times New Roman" w:hAnsi="Times New Roman"/>
                <w:sz w:val="24"/>
                <w:szCs w:val="24"/>
              </w:rPr>
              <w:t xml:space="preserve">would like to </w:t>
            </w:r>
            <w:r w:rsidR="008759EB">
              <w:rPr>
                <w:rFonts w:ascii="Times New Roman" w:hAnsi="Times New Roman"/>
                <w:sz w:val="24"/>
                <w:szCs w:val="24"/>
              </w:rPr>
              <w:t xml:space="preserve">reassure </w:t>
            </w:r>
            <w:r w:rsidR="00385BFA" w:rsidRPr="7CE0F515">
              <w:rPr>
                <w:rFonts w:ascii="Times New Roman" w:hAnsi="Times New Roman"/>
                <w:sz w:val="24"/>
                <w:szCs w:val="24"/>
              </w:rPr>
              <w:t xml:space="preserve">the Committee </w:t>
            </w:r>
            <w:r w:rsidR="008759EB">
              <w:rPr>
                <w:rFonts w:ascii="Times New Roman" w:hAnsi="Times New Roman"/>
                <w:sz w:val="24"/>
                <w:szCs w:val="24"/>
              </w:rPr>
              <w:t xml:space="preserve">that it is </w:t>
            </w:r>
            <w:r w:rsidR="00D016D0">
              <w:rPr>
                <w:rFonts w:ascii="Times New Roman" w:hAnsi="Times New Roman"/>
                <w:sz w:val="24"/>
                <w:szCs w:val="24"/>
              </w:rPr>
              <w:t xml:space="preserve">ensuring constructive </w:t>
            </w:r>
            <w:r w:rsidR="0086075F">
              <w:rPr>
                <w:rFonts w:ascii="Times New Roman" w:hAnsi="Times New Roman"/>
                <w:sz w:val="24"/>
                <w:szCs w:val="24"/>
              </w:rPr>
              <w:t xml:space="preserve">and positive </w:t>
            </w:r>
            <w:r w:rsidR="00D016D0">
              <w:rPr>
                <w:rFonts w:ascii="Times New Roman" w:hAnsi="Times New Roman"/>
                <w:sz w:val="24"/>
                <w:szCs w:val="24"/>
              </w:rPr>
              <w:t xml:space="preserve">communication on </w:t>
            </w:r>
            <w:r w:rsidR="008C0B67">
              <w:rPr>
                <w:rFonts w:ascii="Times New Roman" w:hAnsi="Times New Roman"/>
                <w:sz w:val="24"/>
                <w:szCs w:val="24"/>
              </w:rPr>
              <w:t xml:space="preserve">the need to </w:t>
            </w:r>
            <w:r w:rsidR="005B323C">
              <w:rPr>
                <w:rFonts w:ascii="Times New Roman" w:hAnsi="Times New Roman"/>
                <w:sz w:val="24"/>
                <w:szCs w:val="24"/>
              </w:rPr>
              <w:t xml:space="preserve">support </w:t>
            </w:r>
            <w:r w:rsidR="0086075F">
              <w:rPr>
                <w:rFonts w:ascii="Times New Roman" w:hAnsi="Times New Roman"/>
                <w:sz w:val="24"/>
                <w:szCs w:val="24"/>
              </w:rPr>
              <w:t xml:space="preserve">defence funding in the current geopolitical context, including during public events. </w:t>
            </w:r>
            <w:r w:rsidR="005F40DF">
              <w:rPr>
                <w:rFonts w:ascii="Times New Roman" w:hAnsi="Times New Roman"/>
                <w:sz w:val="24"/>
                <w:szCs w:val="24"/>
              </w:rPr>
              <w:t>T</w:t>
            </w:r>
            <w:r w:rsidR="005F40DF" w:rsidRPr="005F40DF">
              <w:rPr>
                <w:rFonts w:ascii="Times New Roman" w:hAnsi="Times New Roman"/>
                <w:sz w:val="24"/>
                <w:szCs w:val="24"/>
              </w:rPr>
              <w:t>his includes responding to the call made in the context of the Conference on the Future of Europe for stronger EU action in defence, strengthening engagement with key stakeholders</w:t>
            </w:r>
            <w:r w:rsidR="005F40DF">
              <w:rPr>
                <w:rFonts w:ascii="Times New Roman" w:hAnsi="Times New Roman"/>
                <w:sz w:val="24"/>
                <w:szCs w:val="24"/>
              </w:rPr>
              <w:t xml:space="preserve"> (</w:t>
            </w:r>
            <w:r w:rsidR="005F40DF" w:rsidRPr="005F40DF">
              <w:rPr>
                <w:rFonts w:ascii="Times New Roman" w:hAnsi="Times New Roman"/>
                <w:sz w:val="24"/>
                <w:szCs w:val="24"/>
              </w:rPr>
              <w:t>such as industry, trade unions, and Member States</w:t>
            </w:r>
            <w:r w:rsidR="005F40DF">
              <w:rPr>
                <w:rFonts w:ascii="Times New Roman" w:hAnsi="Times New Roman"/>
                <w:sz w:val="24"/>
                <w:szCs w:val="24"/>
              </w:rPr>
              <w:t xml:space="preserve">) </w:t>
            </w:r>
            <w:r w:rsidR="005F40DF" w:rsidRPr="005F40DF">
              <w:rPr>
                <w:rFonts w:ascii="Times New Roman" w:hAnsi="Times New Roman"/>
                <w:sz w:val="24"/>
                <w:szCs w:val="24"/>
              </w:rPr>
              <w:t xml:space="preserve">as well as fostering dialogue </w:t>
            </w:r>
            <w:r w:rsidR="005F40DF">
              <w:rPr>
                <w:rFonts w:ascii="Times New Roman" w:hAnsi="Times New Roman"/>
                <w:sz w:val="24"/>
                <w:szCs w:val="24"/>
              </w:rPr>
              <w:t xml:space="preserve">with citizens </w:t>
            </w:r>
            <w:r w:rsidR="005F40DF" w:rsidRPr="005F40DF">
              <w:rPr>
                <w:rFonts w:ascii="Times New Roman" w:hAnsi="Times New Roman"/>
                <w:sz w:val="24"/>
                <w:szCs w:val="24"/>
              </w:rPr>
              <w:t>through youth policy dialogues and the organisation of EU Defence Days across Member States. These efforts aim to promote transparency and public understanding of the EU’s defence objectives.</w:t>
            </w:r>
          </w:p>
        </w:tc>
      </w:tr>
    </w:tbl>
    <w:p w14:paraId="6AF07B14" w14:textId="63C2EDEF" w:rsidR="004F6117" w:rsidRPr="009C2340" w:rsidRDefault="004F6117" w:rsidP="00B36AEC">
      <w:pPr>
        <w:spacing w:after="0" w:line="240" w:lineRule="auto"/>
        <w:rPr>
          <w:rFonts w:ascii="Times New Roman" w:hAnsi="Times New Roman"/>
          <w:bCs/>
          <w:sz w:val="2"/>
          <w:szCs w:val="2"/>
        </w:rPr>
      </w:pPr>
    </w:p>
    <w:sectPr w:rsidR="004F6117" w:rsidRPr="009C234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2060" w14:textId="77777777" w:rsidR="00814188" w:rsidRDefault="00814188" w:rsidP="00FF63EA">
      <w:pPr>
        <w:spacing w:after="0" w:line="240" w:lineRule="auto"/>
      </w:pPr>
      <w:r>
        <w:separator/>
      </w:r>
    </w:p>
  </w:endnote>
  <w:endnote w:type="continuationSeparator" w:id="0">
    <w:p w14:paraId="24EB85A2" w14:textId="77777777" w:rsidR="00814188" w:rsidRDefault="00814188" w:rsidP="00FF63EA">
      <w:pPr>
        <w:spacing w:after="0" w:line="240" w:lineRule="auto"/>
      </w:pPr>
      <w:r>
        <w:continuationSeparator/>
      </w:r>
    </w:p>
  </w:endnote>
  <w:endnote w:type="continuationNotice" w:id="1">
    <w:p w14:paraId="0F8C9280" w14:textId="77777777" w:rsidR="00814188" w:rsidRDefault="00814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FFC3" w14:textId="77777777" w:rsidR="00B36AEC" w:rsidRDefault="00B36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D5AF" w14:textId="77777777" w:rsidR="00D860D0" w:rsidRDefault="00D860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6B47" w14:textId="77777777" w:rsidR="00B36AEC" w:rsidRDefault="00B36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F795" w14:textId="77777777" w:rsidR="00814188" w:rsidRDefault="00814188" w:rsidP="00FF63EA">
      <w:pPr>
        <w:spacing w:after="0" w:line="240" w:lineRule="auto"/>
      </w:pPr>
      <w:r>
        <w:separator/>
      </w:r>
    </w:p>
  </w:footnote>
  <w:footnote w:type="continuationSeparator" w:id="0">
    <w:p w14:paraId="101D61C6" w14:textId="77777777" w:rsidR="00814188" w:rsidRDefault="00814188" w:rsidP="00FF63EA">
      <w:pPr>
        <w:spacing w:after="0" w:line="240" w:lineRule="auto"/>
      </w:pPr>
      <w:r>
        <w:continuationSeparator/>
      </w:r>
    </w:p>
  </w:footnote>
  <w:footnote w:type="continuationNotice" w:id="1">
    <w:p w14:paraId="79C4D966" w14:textId="77777777" w:rsidR="00814188" w:rsidRDefault="00814188">
      <w:pPr>
        <w:spacing w:after="0" w:line="240" w:lineRule="auto"/>
      </w:pPr>
    </w:p>
  </w:footnote>
  <w:footnote w:id="2">
    <w:p w14:paraId="5E9CF081" w14:textId="371B0D95" w:rsidR="0019073C" w:rsidRPr="00BD7F94" w:rsidRDefault="008638C0" w:rsidP="00442FD7">
      <w:pPr>
        <w:pStyle w:val="FootnoteText"/>
        <w:keepLines w:val="0"/>
        <w:widowControl w:val="0"/>
        <w:spacing w:after="0"/>
        <w:ind w:left="-426" w:right="-709" w:hanging="284"/>
        <w:rPr>
          <w:sz w:val="20"/>
          <w:szCs w:val="20"/>
        </w:rPr>
      </w:pPr>
      <w:r w:rsidRPr="00BD7F94">
        <w:rPr>
          <w:rStyle w:val="FootnoteReference"/>
          <w:sz w:val="20"/>
          <w:szCs w:val="20"/>
        </w:rPr>
        <w:footnoteRef/>
      </w:r>
      <w:r w:rsidRPr="00BD7F94">
        <w:rPr>
          <w:sz w:val="20"/>
          <w:szCs w:val="20"/>
        </w:rPr>
        <w:t xml:space="preserve"> </w:t>
      </w:r>
      <w:r w:rsidR="00143257" w:rsidRPr="00BD7F94">
        <w:rPr>
          <w:sz w:val="20"/>
          <w:szCs w:val="20"/>
        </w:rPr>
        <w:tab/>
      </w:r>
      <w:hyperlink r:id="rId1" w:history="1">
        <w:r w:rsidR="00143257" w:rsidRPr="00BD7F94">
          <w:rPr>
            <w:rStyle w:val="Hyperlink"/>
            <w:sz w:val="20"/>
            <w:szCs w:val="20"/>
          </w:rPr>
          <w:t>https://defence-industry-space.ec.europa.eu/eu-defence-industry/introducing-white-paper-european-defence-and-rearm-europe-plan-readiness-2030_en</w:t>
        </w:r>
      </w:hyperlink>
      <w:r w:rsidR="00BD7F94" w:rsidRPr="00442FD7">
        <w:rPr>
          <w:sz w:val="20"/>
          <w:szCs w:val="20"/>
        </w:rPr>
        <w:t>.</w:t>
      </w:r>
    </w:p>
  </w:footnote>
  <w:footnote w:id="3">
    <w:p w14:paraId="76FCC13A" w14:textId="4AE62C31" w:rsidR="00BD7F94" w:rsidRPr="00134F51" w:rsidRDefault="00BD7F94" w:rsidP="00442FD7">
      <w:pPr>
        <w:pStyle w:val="FootnoteText"/>
        <w:keepLines w:val="0"/>
        <w:widowControl w:val="0"/>
        <w:spacing w:after="0"/>
        <w:ind w:left="-426" w:right="-709" w:hanging="284"/>
        <w:rPr>
          <w:sz w:val="20"/>
          <w:szCs w:val="20"/>
        </w:rPr>
      </w:pPr>
      <w:r w:rsidRPr="00442FD7">
        <w:rPr>
          <w:rStyle w:val="FootnoteReference"/>
          <w:sz w:val="20"/>
          <w:szCs w:val="20"/>
        </w:rPr>
        <w:footnoteRef/>
      </w:r>
      <w:r w:rsidRPr="00134F51">
        <w:rPr>
          <w:sz w:val="20"/>
          <w:szCs w:val="20"/>
        </w:rPr>
        <w:t xml:space="preserve"> </w:t>
      </w:r>
      <w:r w:rsidRPr="00134F51">
        <w:rPr>
          <w:sz w:val="20"/>
          <w:szCs w:val="20"/>
        </w:rPr>
        <w:tab/>
        <w:t>COM</w:t>
      </w:r>
      <w:r w:rsidR="003E0B9F" w:rsidRPr="00134F51">
        <w:rPr>
          <w:sz w:val="20"/>
          <w:szCs w:val="20"/>
        </w:rPr>
        <w:t>(</w:t>
      </w:r>
      <w:r w:rsidRPr="00134F51">
        <w:rPr>
          <w:sz w:val="20"/>
          <w:szCs w:val="20"/>
        </w:rPr>
        <w:t>2025</w:t>
      </w:r>
      <w:r w:rsidR="003E0B9F" w:rsidRPr="00134F51">
        <w:rPr>
          <w:sz w:val="20"/>
          <w:szCs w:val="20"/>
        </w:rPr>
        <w:t xml:space="preserve">) </w:t>
      </w:r>
      <w:r w:rsidRPr="00134F51">
        <w:rPr>
          <w:sz w:val="20"/>
          <w:szCs w:val="20"/>
        </w:rPr>
        <w:t>188 final (</w:t>
      </w:r>
      <w:hyperlink r:id="rId2" w:history="1">
        <w:r w:rsidRPr="00134F51">
          <w:rPr>
            <w:rStyle w:val="Hyperlink"/>
            <w:sz w:val="20"/>
            <w:szCs w:val="20"/>
          </w:rPr>
          <w:t>EUR-Lex - 52025PC0188 - EN - EUR-Lex</w:t>
        </w:r>
      </w:hyperlink>
      <w:r w:rsidRPr="00134F51">
        <w:rPr>
          <w:sz w:val="20"/>
          <w:szCs w:val="20"/>
        </w:rPr>
        <w:t>).</w:t>
      </w:r>
    </w:p>
  </w:footnote>
  <w:footnote w:id="4">
    <w:p w14:paraId="5AF98E6A" w14:textId="4448EF3D" w:rsidR="003848C8" w:rsidRPr="00134F51" w:rsidRDefault="003848C8" w:rsidP="00442FD7">
      <w:pPr>
        <w:pStyle w:val="FootnoteText"/>
        <w:keepLines w:val="0"/>
        <w:widowControl w:val="0"/>
        <w:spacing w:after="0"/>
        <w:ind w:left="-426" w:right="-709" w:hanging="284"/>
        <w:rPr>
          <w:sz w:val="20"/>
          <w:szCs w:val="20"/>
        </w:rPr>
      </w:pPr>
      <w:r w:rsidRPr="00D35E09">
        <w:rPr>
          <w:rStyle w:val="FootnoteReference"/>
          <w:sz w:val="20"/>
          <w:szCs w:val="20"/>
        </w:rPr>
        <w:footnoteRef/>
      </w:r>
      <w:r w:rsidRPr="00134F51">
        <w:rPr>
          <w:sz w:val="20"/>
          <w:szCs w:val="20"/>
        </w:rPr>
        <w:t xml:space="preserve"> </w:t>
      </w:r>
      <w:r w:rsidR="00143257" w:rsidRPr="00134F51">
        <w:rPr>
          <w:sz w:val="20"/>
          <w:szCs w:val="20"/>
        </w:rPr>
        <w:tab/>
      </w:r>
      <w:hyperlink r:id="rId3" w:history="1">
        <w:r w:rsidRPr="00134F51">
          <w:rPr>
            <w:rStyle w:val="Hyperlink"/>
            <w:sz w:val="20"/>
            <w:szCs w:val="20"/>
          </w:rPr>
          <w:t>https://defence-industry-space.ec.europa.eu/eu-defence-industry/european-defence-fund-edf-official-webpage-european-commission_en</w:t>
        </w:r>
      </w:hyperlink>
      <w:r w:rsidR="003E0B9F" w:rsidRPr="00134F51">
        <w:t>.</w:t>
      </w:r>
    </w:p>
  </w:footnote>
  <w:footnote w:id="5">
    <w:p w14:paraId="6ABC6351" w14:textId="534A84EB" w:rsidR="003848C8" w:rsidRPr="00134F51" w:rsidRDefault="003848C8" w:rsidP="00442FD7">
      <w:pPr>
        <w:pStyle w:val="FootnoteText"/>
        <w:keepLines w:val="0"/>
        <w:widowControl w:val="0"/>
        <w:spacing w:after="0"/>
        <w:ind w:left="-426" w:right="-709" w:hanging="284"/>
        <w:rPr>
          <w:sz w:val="20"/>
          <w:szCs w:val="20"/>
        </w:rPr>
      </w:pPr>
      <w:r w:rsidRPr="00D35E09">
        <w:rPr>
          <w:rStyle w:val="FootnoteReference"/>
          <w:sz w:val="20"/>
          <w:szCs w:val="20"/>
        </w:rPr>
        <w:footnoteRef/>
      </w:r>
      <w:r w:rsidRPr="00134F51">
        <w:rPr>
          <w:sz w:val="20"/>
          <w:szCs w:val="20"/>
        </w:rPr>
        <w:t xml:space="preserve"> </w:t>
      </w:r>
      <w:r w:rsidR="00143257" w:rsidRPr="00134F51">
        <w:rPr>
          <w:sz w:val="20"/>
          <w:szCs w:val="20"/>
        </w:rPr>
        <w:tab/>
      </w:r>
      <w:hyperlink r:id="rId4" w:history="1">
        <w:r w:rsidRPr="00134F51">
          <w:rPr>
            <w:rStyle w:val="Hyperlink"/>
            <w:sz w:val="20"/>
            <w:szCs w:val="20"/>
          </w:rPr>
          <w:t>https://defence-industry-space.ec.europa.eu/eu-defence-industry/asap-boosting-defence-production_en</w:t>
        </w:r>
      </w:hyperlink>
      <w:r w:rsidR="003E0B9F" w:rsidRPr="00134F51">
        <w:t>.</w:t>
      </w:r>
    </w:p>
  </w:footnote>
  <w:footnote w:id="6">
    <w:p w14:paraId="05741A07" w14:textId="10B82FD4" w:rsidR="00143257" w:rsidRPr="00134F51" w:rsidRDefault="003848C8" w:rsidP="00442FD7">
      <w:pPr>
        <w:pStyle w:val="FootnoteText"/>
        <w:keepLines w:val="0"/>
        <w:widowControl w:val="0"/>
        <w:spacing w:after="0"/>
        <w:ind w:left="-426" w:right="-709" w:hanging="284"/>
        <w:rPr>
          <w:sz w:val="20"/>
          <w:szCs w:val="20"/>
        </w:rPr>
      </w:pPr>
      <w:r w:rsidRPr="00D35E09">
        <w:rPr>
          <w:rStyle w:val="FootnoteReference"/>
          <w:sz w:val="20"/>
          <w:szCs w:val="20"/>
        </w:rPr>
        <w:footnoteRef/>
      </w:r>
      <w:r w:rsidRPr="00134F51">
        <w:rPr>
          <w:sz w:val="20"/>
          <w:szCs w:val="20"/>
        </w:rPr>
        <w:t xml:space="preserve"> </w:t>
      </w:r>
      <w:r w:rsidR="00143257" w:rsidRPr="00134F51">
        <w:rPr>
          <w:sz w:val="20"/>
          <w:szCs w:val="20"/>
        </w:rPr>
        <w:tab/>
      </w:r>
      <w:hyperlink r:id="rId5" w:history="1">
        <w:r w:rsidR="00143257" w:rsidRPr="00134F51">
          <w:rPr>
            <w:rStyle w:val="Hyperlink"/>
            <w:sz w:val="20"/>
            <w:szCs w:val="20"/>
          </w:rPr>
          <w:t>https://defence-industry-space.ec.europa.eu/eu-defence-industry/edirpa-addressing-capability-gaps_en</w:t>
        </w:r>
      </w:hyperlink>
      <w:r w:rsidR="003E0B9F" w:rsidRPr="00134F51">
        <w:t>.</w:t>
      </w:r>
    </w:p>
  </w:footnote>
  <w:footnote w:id="7">
    <w:p w14:paraId="42D88118" w14:textId="77777777" w:rsidR="00E71BB8" w:rsidRPr="00134F51" w:rsidRDefault="00E71BB8" w:rsidP="00E71BB8">
      <w:pPr>
        <w:pStyle w:val="FootnoteText"/>
        <w:keepLines w:val="0"/>
        <w:widowControl w:val="0"/>
        <w:spacing w:after="0"/>
        <w:ind w:left="-426" w:right="-709" w:hanging="284"/>
        <w:rPr>
          <w:sz w:val="20"/>
          <w:szCs w:val="20"/>
        </w:rPr>
      </w:pPr>
      <w:r w:rsidRPr="00D35E09">
        <w:rPr>
          <w:rStyle w:val="FootnoteReference"/>
          <w:sz w:val="20"/>
          <w:szCs w:val="20"/>
        </w:rPr>
        <w:footnoteRef/>
      </w:r>
      <w:r w:rsidRPr="00134F51">
        <w:rPr>
          <w:sz w:val="20"/>
          <w:szCs w:val="20"/>
        </w:rPr>
        <w:t xml:space="preserve"> </w:t>
      </w:r>
      <w:r w:rsidRPr="00134F51">
        <w:rPr>
          <w:sz w:val="20"/>
          <w:szCs w:val="20"/>
        </w:rPr>
        <w:tab/>
      </w:r>
      <w:hyperlink r:id="rId6" w:history="1">
        <w:r w:rsidRPr="00134F51">
          <w:rPr>
            <w:rStyle w:val="Hyperlink"/>
            <w:sz w:val="20"/>
            <w:szCs w:val="20"/>
          </w:rPr>
          <w:t>https://defence-industry-space.ec.europa.eu/eu-defence-industry/edip-dedicated-programme-defence_en</w:t>
        </w:r>
      </w:hyperlink>
      <w:r w:rsidRPr="00134F51">
        <w:t>.</w:t>
      </w:r>
    </w:p>
  </w:footnote>
  <w:footnote w:id="8">
    <w:p w14:paraId="2E1E2D1B" w14:textId="48463A8E" w:rsidR="00143257" w:rsidRPr="00D35E09" w:rsidRDefault="0097525D" w:rsidP="00442FD7">
      <w:pPr>
        <w:pStyle w:val="FootnoteText"/>
        <w:keepLines w:val="0"/>
        <w:widowControl w:val="0"/>
        <w:spacing w:after="0"/>
        <w:ind w:left="-426" w:right="-709" w:hanging="284"/>
        <w:rPr>
          <w:sz w:val="20"/>
          <w:szCs w:val="20"/>
        </w:rPr>
      </w:pPr>
      <w:r w:rsidRPr="00D35E09">
        <w:rPr>
          <w:rStyle w:val="FootnoteReference"/>
          <w:sz w:val="20"/>
          <w:szCs w:val="20"/>
        </w:rPr>
        <w:footnoteRef/>
      </w:r>
      <w:r w:rsidRPr="00D35E09">
        <w:rPr>
          <w:sz w:val="20"/>
          <w:szCs w:val="20"/>
        </w:rPr>
        <w:t xml:space="preserve"> </w:t>
      </w:r>
      <w:r w:rsidR="00143257">
        <w:rPr>
          <w:sz w:val="20"/>
          <w:szCs w:val="20"/>
        </w:rPr>
        <w:tab/>
      </w:r>
      <w:r w:rsidRPr="00D35E09">
        <w:rPr>
          <w:sz w:val="20"/>
          <w:szCs w:val="20"/>
        </w:rPr>
        <w:t>COM(2025) 123 final</w:t>
      </w:r>
      <w:r w:rsidR="00452503" w:rsidRPr="00D35E09">
        <w:rPr>
          <w:sz w:val="20"/>
          <w:szCs w:val="20"/>
        </w:rPr>
        <w:t>.</w:t>
      </w:r>
      <w:r w:rsidR="00657704" w:rsidRPr="00D35E09">
        <w:rPr>
          <w:sz w:val="20"/>
          <w:szCs w:val="20"/>
        </w:rPr>
        <w:t xml:space="preserve"> Proposal for a REGULATION OF THE EUROPEAN PARLIAMENT AND OF THE COUNCIL amending Regulations (EU) 2021/1058 and (EU) 2021/1056 as regards specific measures to address strategic challenges in the context of the mid-term review</w:t>
      </w:r>
      <w:r w:rsidR="00143257">
        <w:rPr>
          <w:sz w:val="20"/>
          <w:szCs w:val="20"/>
        </w:rPr>
        <w:t xml:space="preserve"> (</w:t>
      </w:r>
      <w:hyperlink r:id="rId7" w:history="1">
        <w:r w:rsidR="00143257" w:rsidRPr="00CB12B6">
          <w:rPr>
            <w:rStyle w:val="Hyperlink"/>
            <w:sz w:val="20"/>
            <w:szCs w:val="20"/>
          </w:rPr>
          <w:t>https://eur-lex.europa.eu/legal-content/EN/TXT/?uri=celex:52025PC0123</w:t>
        </w:r>
      </w:hyperlink>
      <w:r w:rsidR="00143257">
        <w:rPr>
          <w:sz w:val="20"/>
          <w:szCs w:val="20"/>
        </w:rPr>
        <w:t>)</w:t>
      </w:r>
      <w:r w:rsidR="003E0B9F">
        <w:rPr>
          <w:sz w:val="20"/>
          <w:szCs w:val="20"/>
        </w:rPr>
        <w:t>.</w:t>
      </w:r>
    </w:p>
  </w:footnote>
  <w:footnote w:id="9">
    <w:p w14:paraId="568F0D10" w14:textId="1B2DE1A9" w:rsidR="003E0B9F" w:rsidRPr="00442FD7" w:rsidRDefault="003E0B9F" w:rsidP="00442FD7">
      <w:pPr>
        <w:pStyle w:val="FootnoteText"/>
        <w:keepLines w:val="0"/>
        <w:widowControl w:val="0"/>
        <w:spacing w:after="0"/>
        <w:ind w:left="-284" w:right="-709" w:hanging="425"/>
        <w:rPr>
          <w:sz w:val="20"/>
          <w:szCs w:val="20"/>
          <w:lang w:val="fr-BE"/>
        </w:rPr>
      </w:pPr>
      <w:r w:rsidRPr="00442FD7">
        <w:rPr>
          <w:rStyle w:val="FootnoteReference"/>
          <w:sz w:val="20"/>
          <w:szCs w:val="20"/>
        </w:rPr>
        <w:footnoteRef/>
      </w:r>
      <w:r w:rsidRPr="00442FD7">
        <w:rPr>
          <w:sz w:val="20"/>
          <w:szCs w:val="20"/>
          <w:lang w:val="fr-BE"/>
        </w:rPr>
        <w:t xml:space="preserve"> </w:t>
      </w:r>
      <w:r w:rsidR="009C2340">
        <w:rPr>
          <w:sz w:val="20"/>
          <w:szCs w:val="20"/>
          <w:lang w:val="fr-BE"/>
        </w:rPr>
        <w:t xml:space="preserve">   </w:t>
      </w:r>
      <w:hyperlink r:id="rId8" w:history="1">
        <w:r w:rsidRPr="00442FD7">
          <w:rPr>
            <w:rStyle w:val="Hyperlink"/>
            <w:sz w:val="20"/>
            <w:szCs w:val="20"/>
            <w:lang w:val="fr-BE"/>
          </w:rPr>
          <w:t>EU budget 2028-2034</w:t>
        </w:r>
      </w:hyperlink>
      <w:r w:rsidRPr="00442FD7">
        <w:rPr>
          <w:sz w:val="20"/>
          <w:szCs w:val="20"/>
          <w:lang w:val="fr-BE"/>
        </w:rPr>
        <w:t>.</w:t>
      </w:r>
    </w:p>
  </w:footnote>
  <w:footnote w:id="10">
    <w:p w14:paraId="3B0A8F31" w14:textId="7C54E9F4" w:rsidR="00E040B9" w:rsidRPr="009C2340" w:rsidRDefault="001C560D" w:rsidP="00442FD7">
      <w:pPr>
        <w:pStyle w:val="FootnoteText"/>
        <w:keepLines w:val="0"/>
        <w:widowControl w:val="0"/>
        <w:spacing w:after="0"/>
        <w:ind w:left="-284" w:right="-709" w:hanging="425"/>
        <w:rPr>
          <w:sz w:val="20"/>
          <w:szCs w:val="20"/>
          <w:lang w:val="fr-BE"/>
        </w:rPr>
      </w:pPr>
      <w:r w:rsidRPr="003E0B9F">
        <w:rPr>
          <w:rStyle w:val="FootnoteReference"/>
          <w:sz w:val="20"/>
          <w:szCs w:val="20"/>
        </w:rPr>
        <w:footnoteRef/>
      </w:r>
      <w:r w:rsidRPr="00442FD7">
        <w:rPr>
          <w:sz w:val="20"/>
          <w:szCs w:val="20"/>
          <w:lang w:val="fr-BE"/>
        </w:rPr>
        <w:t xml:space="preserve"> </w:t>
      </w:r>
      <w:r w:rsidR="00F10124" w:rsidRPr="00442FD7">
        <w:rPr>
          <w:sz w:val="20"/>
          <w:szCs w:val="20"/>
          <w:lang w:val="fr-BE"/>
        </w:rPr>
        <w:tab/>
      </w:r>
      <w:hyperlink r:id="rId9" w:history="1">
        <w:r w:rsidR="00F10124" w:rsidRPr="00442FD7">
          <w:rPr>
            <w:rStyle w:val="Hyperlink"/>
            <w:sz w:val="20"/>
            <w:szCs w:val="20"/>
            <w:lang w:val="fr-BE"/>
          </w:rPr>
          <w:t>https://defence-industry-space.ec.europa.eu/eu-space/iris2-secure-connectivity_en</w:t>
        </w:r>
      </w:hyperlink>
      <w:r w:rsidR="009C2340" w:rsidRPr="009C2340">
        <w:rPr>
          <w:lang w:val="fr-BE"/>
        </w:rPr>
        <w:t>.</w:t>
      </w:r>
    </w:p>
  </w:footnote>
  <w:footnote w:id="11">
    <w:p w14:paraId="37CDF610" w14:textId="7D529062" w:rsidR="00143257" w:rsidRPr="000C138A" w:rsidRDefault="00C74408" w:rsidP="00442FD7">
      <w:pPr>
        <w:pStyle w:val="FootnoteText"/>
        <w:keepLines w:val="0"/>
        <w:widowControl w:val="0"/>
        <w:spacing w:after="0"/>
        <w:ind w:left="-284" w:right="-709" w:hanging="425"/>
        <w:rPr>
          <w:lang w:val="fr-BE"/>
        </w:rPr>
      </w:pPr>
      <w:r w:rsidRPr="003E0B9F">
        <w:rPr>
          <w:rStyle w:val="FootnoteReference"/>
          <w:sz w:val="20"/>
          <w:szCs w:val="20"/>
        </w:rPr>
        <w:footnoteRef/>
      </w:r>
      <w:r w:rsidRPr="00442FD7">
        <w:rPr>
          <w:sz w:val="20"/>
          <w:szCs w:val="20"/>
          <w:lang w:val="fr-BE"/>
        </w:rPr>
        <w:t xml:space="preserve"> </w:t>
      </w:r>
      <w:r w:rsidR="00F10124" w:rsidRPr="00442FD7">
        <w:rPr>
          <w:sz w:val="20"/>
          <w:szCs w:val="20"/>
          <w:lang w:val="fr-BE"/>
        </w:rPr>
        <w:tab/>
      </w:r>
      <w:hyperlink r:id="rId10" w:history="1">
        <w:r w:rsidR="000C138A" w:rsidRPr="000C138A">
          <w:rPr>
            <w:rStyle w:val="Hyperlink"/>
            <w:sz w:val="20"/>
            <w:szCs w:val="20"/>
            <w:lang w:val="fr-BE"/>
          </w:rPr>
          <w:t>https://defence-industry-space.ec.europa.eu/eu-space/eu-space-strategy-security-and-defence_en</w:t>
        </w:r>
      </w:hyperlink>
      <w:r w:rsidR="009C2340">
        <w:rPr>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4DC3" w14:textId="77777777" w:rsidR="00B36AEC" w:rsidRDefault="00B36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D98A" w14:textId="77777777" w:rsidR="00D860D0" w:rsidRPr="00B36AEC" w:rsidRDefault="00D860D0">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581E" w14:textId="77777777" w:rsidR="00B36AEC" w:rsidRDefault="00B36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77C634E0"/>
    <w:multiLevelType w:val="hybridMultilevel"/>
    <w:tmpl w:val="71426552"/>
    <w:lvl w:ilvl="0" w:tplc="6BDEC5A4">
      <w:start w:val="1"/>
      <w:numFmt w:val="decimal"/>
      <w:lvlText w:val="%1."/>
      <w:lvlJc w:val="left"/>
      <w:pPr>
        <w:ind w:left="1020" w:hanging="360"/>
      </w:pPr>
    </w:lvl>
    <w:lvl w:ilvl="1" w:tplc="9F80700C">
      <w:start w:val="1"/>
      <w:numFmt w:val="decimal"/>
      <w:lvlText w:val="%2."/>
      <w:lvlJc w:val="left"/>
      <w:pPr>
        <w:ind w:left="1020" w:hanging="360"/>
      </w:pPr>
    </w:lvl>
    <w:lvl w:ilvl="2" w:tplc="E76A94C0">
      <w:start w:val="1"/>
      <w:numFmt w:val="decimal"/>
      <w:lvlText w:val="%3."/>
      <w:lvlJc w:val="left"/>
      <w:pPr>
        <w:ind w:left="1020" w:hanging="360"/>
      </w:pPr>
    </w:lvl>
    <w:lvl w:ilvl="3" w:tplc="23B4F5E0">
      <w:start w:val="1"/>
      <w:numFmt w:val="decimal"/>
      <w:lvlText w:val="%4."/>
      <w:lvlJc w:val="left"/>
      <w:pPr>
        <w:ind w:left="1020" w:hanging="360"/>
      </w:pPr>
    </w:lvl>
    <w:lvl w:ilvl="4" w:tplc="5424746C">
      <w:start w:val="1"/>
      <w:numFmt w:val="decimal"/>
      <w:lvlText w:val="%5."/>
      <w:lvlJc w:val="left"/>
      <w:pPr>
        <w:ind w:left="1020" w:hanging="360"/>
      </w:pPr>
    </w:lvl>
    <w:lvl w:ilvl="5" w:tplc="EF264034">
      <w:start w:val="1"/>
      <w:numFmt w:val="decimal"/>
      <w:lvlText w:val="%6."/>
      <w:lvlJc w:val="left"/>
      <w:pPr>
        <w:ind w:left="1020" w:hanging="360"/>
      </w:pPr>
    </w:lvl>
    <w:lvl w:ilvl="6" w:tplc="7FC4F348">
      <w:start w:val="1"/>
      <w:numFmt w:val="decimal"/>
      <w:lvlText w:val="%7."/>
      <w:lvlJc w:val="left"/>
      <w:pPr>
        <w:ind w:left="1020" w:hanging="360"/>
      </w:pPr>
    </w:lvl>
    <w:lvl w:ilvl="7" w:tplc="DA103910">
      <w:start w:val="1"/>
      <w:numFmt w:val="decimal"/>
      <w:lvlText w:val="%8."/>
      <w:lvlJc w:val="left"/>
      <w:pPr>
        <w:ind w:left="1020" w:hanging="360"/>
      </w:pPr>
    </w:lvl>
    <w:lvl w:ilvl="8" w:tplc="8C58B52C">
      <w:start w:val="1"/>
      <w:numFmt w:val="decimal"/>
      <w:lvlText w:val="%9."/>
      <w:lvlJc w:val="left"/>
      <w:pPr>
        <w:ind w:left="1020" w:hanging="360"/>
      </w:pPr>
    </w:lvl>
  </w:abstractNum>
  <w:abstractNum w:abstractNumId="2" w15:restartNumberingAfterBreak="0">
    <w:nsid w:val="7F010B7E"/>
    <w:multiLevelType w:val="hybridMultilevel"/>
    <w:tmpl w:val="0B4A7742"/>
    <w:lvl w:ilvl="0" w:tplc="B3FA2BFA">
      <w:start w:val="1"/>
      <w:numFmt w:val="decimal"/>
      <w:lvlText w:val="%1."/>
      <w:lvlJc w:val="left"/>
      <w:pPr>
        <w:ind w:left="1020" w:hanging="360"/>
      </w:pPr>
    </w:lvl>
    <w:lvl w:ilvl="1" w:tplc="853A8AEC">
      <w:start w:val="1"/>
      <w:numFmt w:val="decimal"/>
      <w:lvlText w:val="%2."/>
      <w:lvlJc w:val="left"/>
      <w:pPr>
        <w:ind w:left="1020" w:hanging="360"/>
      </w:pPr>
    </w:lvl>
    <w:lvl w:ilvl="2" w:tplc="F52C3466">
      <w:start w:val="1"/>
      <w:numFmt w:val="decimal"/>
      <w:lvlText w:val="%3."/>
      <w:lvlJc w:val="left"/>
      <w:pPr>
        <w:ind w:left="1020" w:hanging="360"/>
      </w:pPr>
    </w:lvl>
    <w:lvl w:ilvl="3" w:tplc="98103ACA">
      <w:start w:val="1"/>
      <w:numFmt w:val="decimal"/>
      <w:lvlText w:val="%4."/>
      <w:lvlJc w:val="left"/>
      <w:pPr>
        <w:ind w:left="1020" w:hanging="360"/>
      </w:pPr>
    </w:lvl>
    <w:lvl w:ilvl="4" w:tplc="A8F8C542">
      <w:start w:val="1"/>
      <w:numFmt w:val="decimal"/>
      <w:lvlText w:val="%5."/>
      <w:lvlJc w:val="left"/>
      <w:pPr>
        <w:ind w:left="1020" w:hanging="360"/>
      </w:pPr>
    </w:lvl>
    <w:lvl w:ilvl="5" w:tplc="2EDC07DC">
      <w:start w:val="1"/>
      <w:numFmt w:val="decimal"/>
      <w:lvlText w:val="%6."/>
      <w:lvlJc w:val="left"/>
      <w:pPr>
        <w:ind w:left="1020" w:hanging="360"/>
      </w:pPr>
    </w:lvl>
    <w:lvl w:ilvl="6" w:tplc="F012A740">
      <w:start w:val="1"/>
      <w:numFmt w:val="decimal"/>
      <w:lvlText w:val="%7."/>
      <w:lvlJc w:val="left"/>
      <w:pPr>
        <w:ind w:left="1020" w:hanging="360"/>
      </w:pPr>
    </w:lvl>
    <w:lvl w:ilvl="7" w:tplc="B516A70E">
      <w:start w:val="1"/>
      <w:numFmt w:val="decimal"/>
      <w:lvlText w:val="%8."/>
      <w:lvlJc w:val="left"/>
      <w:pPr>
        <w:ind w:left="1020" w:hanging="360"/>
      </w:pPr>
    </w:lvl>
    <w:lvl w:ilvl="8" w:tplc="451A74DA">
      <w:start w:val="1"/>
      <w:numFmt w:val="decimal"/>
      <w:lvlText w:val="%9."/>
      <w:lvlJc w:val="left"/>
      <w:pPr>
        <w:ind w:left="1020" w:hanging="360"/>
      </w:pPr>
    </w:lvl>
  </w:abstractNum>
  <w:num w:numId="1" w16cid:durableId="1851797975">
    <w:abstractNumId w:val="0"/>
  </w:num>
  <w:num w:numId="2" w16cid:durableId="1925676012">
    <w:abstractNumId w:val="1"/>
  </w:num>
  <w:num w:numId="3" w16cid:durableId="473832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28EE"/>
    <w:rsid w:val="00003C25"/>
    <w:rsid w:val="000104C5"/>
    <w:rsid w:val="00012A37"/>
    <w:rsid w:val="00012E32"/>
    <w:rsid w:val="000147B8"/>
    <w:rsid w:val="00024312"/>
    <w:rsid w:val="000311CB"/>
    <w:rsid w:val="00043CA6"/>
    <w:rsid w:val="00046B15"/>
    <w:rsid w:val="00050DC7"/>
    <w:rsid w:val="0005343D"/>
    <w:rsid w:val="0005656D"/>
    <w:rsid w:val="000618E6"/>
    <w:rsid w:val="00076109"/>
    <w:rsid w:val="00077C4F"/>
    <w:rsid w:val="00094F30"/>
    <w:rsid w:val="00097842"/>
    <w:rsid w:val="000B0906"/>
    <w:rsid w:val="000B6FC7"/>
    <w:rsid w:val="000C059E"/>
    <w:rsid w:val="000C138A"/>
    <w:rsid w:val="000C684C"/>
    <w:rsid w:val="000D4304"/>
    <w:rsid w:val="000D58E5"/>
    <w:rsid w:val="000E610A"/>
    <w:rsid w:val="000E6732"/>
    <w:rsid w:val="000F5FD8"/>
    <w:rsid w:val="000F7124"/>
    <w:rsid w:val="00100F05"/>
    <w:rsid w:val="0011144A"/>
    <w:rsid w:val="001167C0"/>
    <w:rsid w:val="001312FC"/>
    <w:rsid w:val="00134F51"/>
    <w:rsid w:val="00135C2A"/>
    <w:rsid w:val="001411C9"/>
    <w:rsid w:val="00143257"/>
    <w:rsid w:val="00146AC6"/>
    <w:rsid w:val="00153675"/>
    <w:rsid w:val="00153EBC"/>
    <w:rsid w:val="00154DB2"/>
    <w:rsid w:val="0015572C"/>
    <w:rsid w:val="00160CB6"/>
    <w:rsid w:val="00185369"/>
    <w:rsid w:val="001854B2"/>
    <w:rsid w:val="00186D60"/>
    <w:rsid w:val="0019027E"/>
    <w:rsid w:val="00190305"/>
    <w:rsid w:val="0019073C"/>
    <w:rsid w:val="00192526"/>
    <w:rsid w:val="001963D5"/>
    <w:rsid w:val="001A1A56"/>
    <w:rsid w:val="001A6E21"/>
    <w:rsid w:val="001B0E0B"/>
    <w:rsid w:val="001B2B36"/>
    <w:rsid w:val="001B47E0"/>
    <w:rsid w:val="001B74E3"/>
    <w:rsid w:val="001C0EFC"/>
    <w:rsid w:val="001C1D4F"/>
    <w:rsid w:val="001C1F5C"/>
    <w:rsid w:val="001C2A7F"/>
    <w:rsid w:val="001C2CB7"/>
    <w:rsid w:val="001C4138"/>
    <w:rsid w:val="001C560D"/>
    <w:rsid w:val="001C78F2"/>
    <w:rsid w:val="001D6225"/>
    <w:rsid w:val="001F2EC6"/>
    <w:rsid w:val="001F41AA"/>
    <w:rsid w:val="001F65D0"/>
    <w:rsid w:val="00216E31"/>
    <w:rsid w:val="00217E59"/>
    <w:rsid w:val="0024346A"/>
    <w:rsid w:val="00252FD7"/>
    <w:rsid w:val="002641C5"/>
    <w:rsid w:val="00265769"/>
    <w:rsid w:val="00271B47"/>
    <w:rsid w:val="00272CC3"/>
    <w:rsid w:val="0027588E"/>
    <w:rsid w:val="00275C1F"/>
    <w:rsid w:val="00281B14"/>
    <w:rsid w:val="00287A4A"/>
    <w:rsid w:val="00290E67"/>
    <w:rsid w:val="0029123D"/>
    <w:rsid w:val="002913D8"/>
    <w:rsid w:val="0029155B"/>
    <w:rsid w:val="002956F3"/>
    <w:rsid w:val="0029763A"/>
    <w:rsid w:val="002A229E"/>
    <w:rsid w:val="002B1D8D"/>
    <w:rsid w:val="002B44B6"/>
    <w:rsid w:val="002B48BD"/>
    <w:rsid w:val="002B5AA4"/>
    <w:rsid w:val="002B6F23"/>
    <w:rsid w:val="002B77A3"/>
    <w:rsid w:val="002C190E"/>
    <w:rsid w:val="002E0C4E"/>
    <w:rsid w:val="002E1021"/>
    <w:rsid w:val="002E4504"/>
    <w:rsid w:val="002E70F4"/>
    <w:rsid w:val="002F03FA"/>
    <w:rsid w:val="003004D2"/>
    <w:rsid w:val="00303AAF"/>
    <w:rsid w:val="00304435"/>
    <w:rsid w:val="00304546"/>
    <w:rsid w:val="00310CFC"/>
    <w:rsid w:val="00312A44"/>
    <w:rsid w:val="00324E8C"/>
    <w:rsid w:val="00327297"/>
    <w:rsid w:val="00330195"/>
    <w:rsid w:val="003315CA"/>
    <w:rsid w:val="0033186C"/>
    <w:rsid w:val="003349A3"/>
    <w:rsid w:val="003477D9"/>
    <w:rsid w:val="00353CCA"/>
    <w:rsid w:val="0035459A"/>
    <w:rsid w:val="00377967"/>
    <w:rsid w:val="003848C8"/>
    <w:rsid w:val="00385BFA"/>
    <w:rsid w:val="00385E2D"/>
    <w:rsid w:val="00386143"/>
    <w:rsid w:val="003A5151"/>
    <w:rsid w:val="003B1672"/>
    <w:rsid w:val="003B42B3"/>
    <w:rsid w:val="003B58DC"/>
    <w:rsid w:val="003C5533"/>
    <w:rsid w:val="003D1C92"/>
    <w:rsid w:val="003E0B9F"/>
    <w:rsid w:val="003E1FB8"/>
    <w:rsid w:val="003E3C50"/>
    <w:rsid w:val="003F4651"/>
    <w:rsid w:val="003F5364"/>
    <w:rsid w:val="003F56B5"/>
    <w:rsid w:val="003F6811"/>
    <w:rsid w:val="003F684D"/>
    <w:rsid w:val="003F686E"/>
    <w:rsid w:val="00402C2D"/>
    <w:rsid w:val="00413089"/>
    <w:rsid w:val="00413356"/>
    <w:rsid w:val="00413F0C"/>
    <w:rsid w:val="004154DB"/>
    <w:rsid w:val="0041B5C7"/>
    <w:rsid w:val="00426ADE"/>
    <w:rsid w:val="004278C1"/>
    <w:rsid w:val="00431E64"/>
    <w:rsid w:val="00442552"/>
    <w:rsid w:val="00442FD7"/>
    <w:rsid w:val="0044455D"/>
    <w:rsid w:val="0044530F"/>
    <w:rsid w:val="00451DC9"/>
    <w:rsid w:val="00452503"/>
    <w:rsid w:val="00455A1C"/>
    <w:rsid w:val="00462A04"/>
    <w:rsid w:val="00464091"/>
    <w:rsid w:val="004674D2"/>
    <w:rsid w:val="004675B5"/>
    <w:rsid w:val="00471BF0"/>
    <w:rsid w:val="00475159"/>
    <w:rsid w:val="00475740"/>
    <w:rsid w:val="004770D6"/>
    <w:rsid w:val="004777FA"/>
    <w:rsid w:val="004832FC"/>
    <w:rsid w:val="00484F81"/>
    <w:rsid w:val="00485D75"/>
    <w:rsid w:val="0049246C"/>
    <w:rsid w:val="00493E25"/>
    <w:rsid w:val="00495E9B"/>
    <w:rsid w:val="004A3879"/>
    <w:rsid w:val="004A65EC"/>
    <w:rsid w:val="004B5FCB"/>
    <w:rsid w:val="004C028E"/>
    <w:rsid w:val="004C1E19"/>
    <w:rsid w:val="004C3774"/>
    <w:rsid w:val="004C3F8A"/>
    <w:rsid w:val="004C52EF"/>
    <w:rsid w:val="004C5AC2"/>
    <w:rsid w:val="004C6678"/>
    <w:rsid w:val="004C79CB"/>
    <w:rsid w:val="004CC513"/>
    <w:rsid w:val="004D195F"/>
    <w:rsid w:val="004D6FA0"/>
    <w:rsid w:val="004E0144"/>
    <w:rsid w:val="004E5746"/>
    <w:rsid w:val="004E5DC1"/>
    <w:rsid w:val="004F168F"/>
    <w:rsid w:val="004F6117"/>
    <w:rsid w:val="004F63F1"/>
    <w:rsid w:val="004F649D"/>
    <w:rsid w:val="004F651E"/>
    <w:rsid w:val="00505BA1"/>
    <w:rsid w:val="00513B6C"/>
    <w:rsid w:val="0052396E"/>
    <w:rsid w:val="0052397F"/>
    <w:rsid w:val="00523FEB"/>
    <w:rsid w:val="00524630"/>
    <w:rsid w:val="0052596B"/>
    <w:rsid w:val="0053071A"/>
    <w:rsid w:val="00535369"/>
    <w:rsid w:val="00537736"/>
    <w:rsid w:val="005461F6"/>
    <w:rsid w:val="005479AD"/>
    <w:rsid w:val="00554D8D"/>
    <w:rsid w:val="00557368"/>
    <w:rsid w:val="00564ED1"/>
    <w:rsid w:val="00573835"/>
    <w:rsid w:val="00581306"/>
    <w:rsid w:val="00582FC2"/>
    <w:rsid w:val="005A2B74"/>
    <w:rsid w:val="005B323C"/>
    <w:rsid w:val="005B7206"/>
    <w:rsid w:val="005C3105"/>
    <w:rsid w:val="005D554C"/>
    <w:rsid w:val="005D7530"/>
    <w:rsid w:val="005E2CF8"/>
    <w:rsid w:val="005F1694"/>
    <w:rsid w:val="005F40DF"/>
    <w:rsid w:val="005F4700"/>
    <w:rsid w:val="005F4CFA"/>
    <w:rsid w:val="00604EA6"/>
    <w:rsid w:val="006058DF"/>
    <w:rsid w:val="0061174A"/>
    <w:rsid w:val="00612B0A"/>
    <w:rsid w:val="00615B1A"/>
    <w:rsid w:val="0062276C"/>
    <w:rsid w:val="00622B3E"/>
    <w:rsid w:val="00623FA1"/>
    <w:rsid w:val="00625C18"/>
    <w:rsid w:val="006331D1"/>
    <w:rsid w:val="0064195E"/>
    <w:rsid w:val="006450D1"/>
    <w:rsid w:val="00645C12"/>
    <w:rsid w:val="006475A9"/>
    <w:rsid w:val="00653B3A"/>
    <w:rsid w:val="00657704"/>
    <w:rsid w:val="006622FE"/>
    <w:rsid w:val="006761E7"/>
    <w:rsid w:val="00677CB9"/>
    <w:rsid w:val="0068061C"/>
    <w:rsid w:val="0068615A"/>
    <w:rsid w:val="0069228D"/>
    <w:rsid w:val="00692C2F"/>
    <w:rsid w:val="00695274"/>
    <w:rsid w:val="00695797"/>
    <w:rsid w:val="00696A5E"/>
    <w:rsid w:val="006A0CBD"/>
    <w:rsid w:val="006A1863"/>
    <w:rsid w:val="006A37FB"/>
    <w:rsid w:val="006A3F79"/>
    <w:rsid w:val="006A534F"/>
    <w:rsid w:val="006B1474"/>
    <w:rsid w:val="006B3254"/>
    <w:rsid w:val="006B3365"/>
    <w:rsid w:val="006B3B69"/>
    <w:rsid w:val="006B57F3"/>
    <w:rsid w:val="006B5E51"/>
    <w:rsid w:val="006D13C6"/>
    <w:rsid w:val="006D2E1C"/>
    <w:rsid w:val="006D338E"/>
    <w:rsid w:val="006E2F42"/>
    <w:rsid w:val="006E78F0"/>
    <w:rsid w:val="006F6018"/>
    <w:rsid w:val="00701AE3"/>
    <w:rsid w:val="007034EB"/>
    <w:rsid w:val="00705865"/>
    <w:rsid w:val="00713E8E"/>
    <w:rsid w:val="00727C2B"/>
    <w:rsid w:val="00731664"/>
    <w:rsid w:val="00734613"/>
    <w:rsid w:val="0073504E"/>
    <w:rsid w:val="00745007"/>
    <w:rsid w:val="0074541C"/>
    <w:rsid w:val="00750207"/>
    <w:rsid w:val="0075033E"/>
    <w:rsid w:val="00750C1C"/>
    <w:rsid w:val="00751910"/>
    <w:rsid w:val="00751E60"/>
    <w:rsid w:val="00752A49"/>
    <w:rsid w:val="007547B5"/>
    <w:rsid w:val="00761235"/>
    <w:rsid w:val="0076522C"/>
    <w:rsid w:val="00766DEC"/>
    <w:rsid w:val="00777B44"/>
    <w:rsid w:val="007901B0"/>
    <w:rsid w:val="00791C7C"/>
    <w:rsid w:val="00794D3E"/>
    <w:rsid w:val="00795A9E"/>
    <w:rsid w:val="007A255A"/>
    <w:rsid w:val="007A44D0"/>
    <w:rsid w:val="007A606D"/>
    <w:rsid w:val="007B4578"/>
    <w:rsid w:val="007B4EB5"/>
    <w:rsid w:val="007C2214"/>
    <w:rsid w:val="007C2B3A"/>
    <w:rsid w:val="007C4394"/>
    <w:rsid w:val="007C6776"/>
    <w:rsid w:val="007C6D66"/>
    <w:rsid w:val="007C7D19"/>
    <w:rsid w:val="007D0724"/>
    <w:rsid w:val="007D30CE"/>
    <w:rsid w:val="007D4AEF"/>
    <w:rsid w:val="007E603F"/>
    <w:rsid w:val="007F7403"/>
    <w:rsid w:val="00803DB0"/>
    <w:rsid w:val="00805871"/>
    <w:rsid w:val="00807B48"/>
    <w:rsid w:val="008106B0"/>
    <w:rsid w:val="00812823"/>
    <w:rsid w:val="008135CA"/>
    <w:rsid w:val="00814188"/>
    <w:rsid w:val="00815737"/>
    <w:rsid w:val="0081584F"/>
    <w:rsid w:val="00830061"/>
    <w:rsid w:val="008333D3"/>
    <w:rsid w:val="00834CB9"/>
    <w:rsid w:val="008350B7"/>
    <w:rsid w:val="00855B13"/>
    <w:rsid w:val="0086075F"/>
    <w:rsid w:val="008638C0"/>
    <w:rsid w:val="008703BF"/>
    <w:rsid w:val="00872960"/>
    <w:rsid w:val="00872AF4"/>
    <w:rsid w:val="008733FC"/>
    <w:rsid w:val="008759EB"/>
    <w:rsid w:val="008812EF"/>
    <w:rsid w:val="008855A4"/>
    <w:rsid w:val="00885AFC"/>
    <w:rsid w:val="0088659A"/>
    <w:rsid w:val="008925CE"/>
    <w:rsid w:val="008A0201"/>
    <w:rsid w:val="008A2142"/>
    <w:rsid w:val="008A30C3"/>
    <w:rsid w:val="008A32D2"/>
    <w:rsid w:val="008B0FC7"/>
    <w:rsid w:val="008B4C03"/>
    <w:rsid w:val="008B5715"/>
    <w:rsid w:val="008C09C9"/>
    <w:rsid w:val="008C0B67"/>
    <w:rsid w:val="008C416C"/>
    <w:rsid w:val="008C4D41"/>
    <w:rsid w:val="008D23B0"/>
    <w:rsid w:val="008D29A4"/>
    <w:rsid w:val="008D6ABC"/>
    <w:rsid w:val="008E0672"/>
    <w:rsid w:val="008E1B69"/>
    <w:rsid w:val="008E21EF"/>
    <w:rsid w:val="008E5659"/>
    <w:rsid w:val="008E6CA9"/>
    <w:rsid w:val="008F2CD5"/>
    <w:rsid w:val="008F4E1F"/>
    <w:rsid w:val="008F7A98"/>
    <w:rsid w:val="0091001E"/>
    <w:rsid w:val="0091528A"/>
    <w:rsid w:val="00916D44"/>
    <w:rsid w:val="00917237"/>
    <w:rsid w:val="00925337"/>
    <w:rsid w:val="009258EE"/>
    <w:rsid w:val="009505E5"/>
    <w:rsid w:val="0095497B"/>
    <w:rsid w:val="00955025"/>
    <w:rsid w:val="00961398"/>
    <w:rsid w:val="00962187"/>
    <w:rsid w:val="00966A97"/>
    <w:rsid w:val="00971739"/>
    <w:rsid w:val="009730C6"/>
    <w:rsid w:val="009742BF"/>
    <w:rsid w:val="00974E99"/>
    <w:rsid w:val="0097525D"/>
    <w:rsid w:val="00980A8F"/>
    <w:rsid w:val="00981F45"/>
    <w:rsid w:val="00983104"/>
    <w:rsid w:val="00991327"/>
    <w:rsid w:val="00994D12"/>
    <w:rsid w:val="0099612B"/>
    <w:rsid w:val="009B128B"/>
    <w:rsid w:val="009B2803"/>
    <w:rsid w:val="009B504C"/>
    <w:rsid w:val="009C0E0C"/>
    <w:rsid w:val="009C2340"/>
    <w:rsid w:val="009C4D56"/>
    <w:rsid w:val="009C51B6"/>
    <w:rsid w:val="009C600D"/>
    <w:rsid w:val="009C7728"/>
    <w:rsid w:val="009D574F"/>
    <w:rsid w:val="009E3D4E"/>
    <w:rsid w:val="009F1568"/>
    <w:rsid w:val="009F4007"/>
    <w:rsid w:val="009F4F03"/>
    <w:rsid w:val="009F5B6C"/>
    <w:rsid w:val="00A01531"/>
    <w:rsid w:val="00A01E08"/>
    <w:rsid w:val="00A03643"/>
    <w:rsid w:val="00A05221"/>
    <w:rsid w:val="00A06253"/>
    <w:rsid w:val="00A1069F"/>
    <w:rsid w:val="00A11F67"/>
    <w:rsid w:val="00A130F2"/>
    <w:rsid w:val="00A15085"/>
    <w:rsid w:val="00A15770"/>
    <w:rsid w:val="00A16F07"/>
    <w:rsid w:val="00A1765C"/>
    <w:rsid w:val="00A23A1C"/>
    <w:rsid w:val="00A2462B"/>
    <w:rsid w:val="00A24ABD"/>
    <w:rsid w:val="00A34A46"/>
    <w:rsid w:val="00A377CD"/>
    <w:rsid w:val="00A46970"/>
    <w:rsid w:val="00A52F3E"/>
    <w:rsid w:val="00A55642"/>
    <w:rsid w:val="00A62C7B"/>
    <w:rsid w:val="00A72F74"/>
    <w:rsid w:val="00A73E92"/>
    <w:rsid w:val="00A741DD"/>
    <w:rsid w:val="00A7709A"/>
    <w:rsid w:val="00A80651"/>
    <w:rsid w:val="00A822DB"/>
    <w:rsid w:val="00A859E0"/>
    <w:rsid w:val="00A85A06"/>
    <w:rsid w:val="00A91623"/>
    <w:rsid w:val="00A93852"/>
    <w:rsid w:val="00A96FDF"/>
    <w:rsid w:val="00AA1C86"/>
    <w:rsid w:val="00AA3C10"/>
    <w:rsid w:val="00AA79AF"/>
    <w:rsid w:val="00AB61A1"/>
    <w:rsid w:val="00AC1005"/>
    <w:rsid w:val="00AC7C10"/>
    <w:rsid w:val="00AD550D"/>
    <w:rsid w:val="00AE066A"/>
    <w:rsid w:val="00AE1842"/>
    <w:rsid w:val="00AE2834"/>
    <w:rsid w:val="00AE2BCC"/>
    <w:rsid w:val="00AE3C7C"/>
    <w:rsid w:val="00AE51C9"/>
    <w:rsid w:val="00AF6E52"/>
    <w:rsid w:val="00B07D1C"/>
    <w:rsid w:val="00B107D1"/>
    <w:rsid w:val="00B13E9D"/>
    <w:rsid w:val="00B15E9A"/>
    <w:rsid w:val="00B3001C"/>
    <w:rsid w:val="00B31306"/>
    <w:rsid w:val="00B31DD3"/>
    <w:rsid w:val="00B36AEC"/>
    <w:rsid w:val="00B4070F"/>
    <w:rsid w:val="00B42814"/>
    <w:rsid w:val="00B44EDC"/>
    <w:rsid w:val="00B46A55"/>
    <w:rsid w:val="00B472E5"/>
    <w:rsid w:val="00B53B84"/>
    <w:rsid w:val="00B54810"/>
    <w:rsid w:val="00B574E7"/>
    <w:rsid w:val="00B6652C"/>
    <w:rsid w:val="00B76655"/>
    <w:rsid w:val="00B769AF"/>
    <w:rsid w:val="00B8086F"/>
    <w:rsid w:val="00B832E2"/>
    <w:rsid w:val="00B83936"/>
    <w:rsid w:val="00B86A15"/>
    <w:rsid w:val="00B92428"/>
    <w:rsid w:val="00B93570"/>
    <w:rsid w:val="00B948E6"/>
    <w:rsid w:val="00BA1D21"/>
    <w:rsid w:val="00BA397B"/>
    <w:rsid w:val="00BA455B"/>
    <w:rsid w:val="00BB1253"/>
    <w:rsid w:val="00BB1E8F"/>
    <w:rsid w:val="00BB37B5"/>
    <w:rsid w:val="00BC2CA4"/>
    <w:rsid w:val="00BC68C8"/>
    <w:rsid w:val="00BD16B1"/>
    <w:rsid w:val="00BD1F9B"/>
    <w:rsid w:val="00BD410F"/>
    <w:rsid w:val="00BD42B5"/>
    <w:rsid w:val="00BD4415"/>
    <w:rsid w:val="00BD45B8"/>
    <w:rsid w:val="00BD6EB7"/>
    <w:rsid w:val="00BD7F94"/>
    <w:rsid w:val="00BE71A5"/>
    <w:rsid w:val="00BF28AE"/>
    <w:rsid w:val="00BF340E"/>
    <w:rsid w:val="00C04B23"/>
    <w:rsid w:val="00C07A77"/>
    <w:rsid w:val="00C12EF1"/>
    <w:rsid w:val="00C13610"/>
    <w:rsid w:val="00C22625"/>
    <w:rsid w:val="00C23F24"/>
    <w:rsid w:val="00C26486"/>
    <w:rsid w:val="00C31213"/>
    <w:rsid w:val="00C413B8"/>
    <w:rsid w:val="00C44BAB"/>
    <w:rsid w:val="00C44E4B"/>
    <w:rsid w:val="00C45764"/>
    <w:rsid w:val="00C537DD"/>
    <w:rsid w:val="00C53D42"/>
    <w:rsid w:val="00C54D27"/>
    <w:rsid w:val="00C611E6"/>
    <w:rsid w:val="00C63B26"/>
    <w:rsid w:val="00C65BFF"/>
    <w:rsid w:val="00C71E13"/>
    <w:rsid w:val="00C720B7"/>
    <w:rsid w:val="00C74408"/>
    <w:rsid w:val="00C768C7"/>
    <w:rsid w:val="00C76EEB"/>
    <w:rsid w:val="00C86603"/>
    <w:rsid w:val="00C92C95"/>
    <w:rsid w:val="00C93676"/>
    <w:rsid w:val="00C93AD6"/>
    <w:rsid w:val="00C96A29"/>
    <w:rsid w:val="00CA2369"/>
    <w:rsid w:val="00CA284F"/>
    <w:rsid w:val="00CA45AE"/>
    <w:rsid w:val="00CB3E4D"/>
    <w:rsid w:val="00CC7926"/>
    <w:rsid w:val="00CC79A8"/>
    <w:rsid w:val="00CE1FC3"/>
    <w:rsid w:val="00CE69E1"/>
    <w:rsid w:val="00CF3344"/>
    <w:rsid w:val="00D016D0"/>
    <w:rsid w:val="00D01F5A"/>
    <w:rsid w:val="00D03578"/>
    <w:rsid w:val="00D13A9C"/>
    <w:rsid w:val="00D14132"/>
    <w:rsid w:val="00D15C0A"/>
    <w:rsid w:val="00D16C10"/>
    <w:rsid w:val="00D16C81"/>
    <w:rsid w:val="00D1716E"/>
    <w:rsid w:val="00D21B0F"/>
    <w:rsid w:val="00D248D1"/>
    <w:rsid w:val="00D304D4"/>
    <w:rsid w:val="00D34E90"/>
    <w:rsid w:val="00D35E09"/>
    <w:rsid w:val="00D41B25"/>
    <w:rsid w:val="00D4585C"/>
    <w:rsid w:val="00D47B6C"/>
    <w:rsid w:val="00D51E67"/>
    <w:rsid w:val="00D6489B"/>
    <w:rsid w:val="00D64E05"/>
    <w:rsid w:val="00D71E1B"/>
    <w:rsid w:val="00D76FD9"/>
    <w:rsid w:val="00D775F5"/>
    <w:rsid w:val="00D80376"/>
    <w:rsid w:val="00D860D0"/>
    <w:rsid w:val="00D8788E"/>
    <w:rsid w:val="00D92FD3"/>
    <w:rsid w:val="00D94582"/>
    <w:rsid w:val="00D95681"/>
    <w:rsid w:val="00DA3B6E"/>
    <w:rsid w:val="00DA5979"/>
    <w:rsid w:val="00DA6ED2"/>
    <w:rsid w:val="00DB06E9"/>
    <w:rsid w:val="00DB1A7C"/>
    <w:rsid w:val="00DB3A4D"/>
    <w:rsid w:val="00DB4ED3"/>
    <w:rsid w:val="00DB7581"/>
    <w:rsid w:val="00DC65C9"/>
    <w:rsid w:val="00DC70C1"/>
    <w:rsid w:val="00E040B9"/>
    <w:rsid w:val="00E0544C"/>
    <w:rsid w:val="00E06911"/>
    <w:rsid w:val="00E109FF"/>
    <w:rsid w:val="00E13B7B"/>
    <w:rsid w:val="00E150FD"/>
    <w:rsid w:val="00E208E3"/>
    <w:rsid w:val="00E24F20"/>
    <w:rsid w:val="00E259FB"/>
    <w:rsid w:val="00E31C01"/>
    <w:rsid w:val="00E3670B"/>
    <w:rsid w:val="00E51A36"/>
    <w:rsid w:val="00E558BE"/>
    <w:rsid w:val="00E6129E"/>
    <w:rsid w:val="00E7055C"/>
    <w:rsid w:val="00E70623"/>
    <w:rsid w:val="00E71BB8"/>
    <w:rsid w:val="00E77221"/>
    <w:rsid w:val="00E80434"/>
    <w:rsid w:val="00E81CF8"/>
    <w:rsid w:val="00E83C12"/>
    <w:rsid w:val="00E904C8"/>
    <w:rsid w:val="00EA0625"/>
    <w:rsid w:val="00EA1BBF"/>
    <w:rsid w:val="00EA2721"/>
    <w:rsid w:val="00EA665C"/>
    <w:rsid w:val="00EA67D6"/>
    <w:rsid w:val="00EB29A9"/>
    <w:rsid w:val="00EB77D2"/>
    <w:rsid w:val="00EC0906"/>
    <w:rsid w:val="00EC3FFB"/>
    <w:rsid w:val="00EC5993"/>
    <w:rsid w:val="00ED64F7"/>
    <w:rsid w:val="00EE2DBE"/>
    <w:rsid w:val="00EE4DB7"/>
    <w:rsid w:val="00EE7353"/>
    <w:rsid w:val="00EF4CC2"/>
    <w:rsid w:val="00EF740B"/>
    <w:rsid w:val="00F00944"/>
    <w:rsid w:val="00F02387"/>
    <w:rsid w:val="00F02728"/>
    <w:rsid w:val="00F028C2"/>
    <w:rsid w:val="00F10124"/>
    <w:rsid w:val="00F1F36B"/>
    <w:rsid w:val="00F2669F"/>
    <w:rsid w:val="00F27C8C"/>
    <w:rsid w:val="00F316C8"/>
    <w:rsid w:val="00F349B3"/>
    <w:rsid w:val="00F3547B"/>
    <w:rsid w:val="00F36130"/>
    <w:rsid w:val="00F5193D"/>
    <w:rsid w:val="00F61B02"/>
    <w:rsid w:val="00F632DE"/>
    <w:rsid w:val="00F63573"/>
    <w:rsid w:val="00F63E11"/>
    <w:rsid w:val="00F735E4"/>
    <w:rsid w:val="00F83412"/>
    <w:rsid w:val="00F83E3D"/>
    <w:rsid w:val="00F86465"/>
    <w:rsid w:val="00FB68BA"/>
    <w:rsid w:val="00FB7834"/>
    <w:rsid w:val="00FD21B2"/>
    <w:rsid w:val="00FD34D0"/>
    <w:rsid w:val="00FD4B6A"/>
    <w:rsid w:val="00FF03A8"/>
    <w:rsid w:val="00FF1139"/>
    <w:rsid w:val="00FF40AF"/>
    <w:rsid w:val="00FF63EA"/>
    <w:rsid w:val="00FF6D26"/>
    <w:rsid w:val="0187C39B"/>
    <w:rsid w:val="01AEC1BB"/>
    <w:rsid w:val="01E3C8BC"/>
    <w:rsid w:val="0327F621"/>
    <w:rsid w:val="04D7FF76"/>
    <w:rsid w:val="04DFE99A"/>
    <w:rsid w:val="058E1DC7"/>
    <w:rsid w:val="064252D3"/>
    <w:rsid w:val="0770C4F3"/>
    <w:rsid w:val="07AD9A16"/>
    <w:rsid w:val="08305092"/>
    <w:rsid w:val="08DBDA7E"/>
    <w:rsid w:val="0A794DD9"/>
    <w:rsid w:val="0B0A44CE"/>
    <w:rsid w:val="0B2CFFA9"/>
    <w:rsid w:val="0B595F5D"/>
    <w:rsid w:val="0B5C09F8"/>
    <w:rsid w:val="0CBEDEEC"/>
    <w:rsid w:val="0D9FECF7"/>
    <w:rsid w:val="0E047830"/>
    <w:rsid w:val="0E317FD7"/>
    <w:rsid w:val="0E5D1C1C"/>
    <w:rsid w:val="0EFC4AA2"/>
    <w:rsid w:val="0F6010D2"/>
    <w:rsid w:val="10063B0B"/>
    <w:rsid w:val="105278B9"/>
    <w:rsid w:val="11E15B01"/>
    <w:rsid w:val="12A1B2B3"/>
    <w:rsid w:val="137F5DDF"/>
    <w:rsid w:val="13990DE4"/>
    <w:rsid w:val="13D96DBF"/>
    <w:rsid w:val="14A4BE23"/>
    <w:rsid w:val="14F57E7E"/>
    <w:rsid w:val="150A8FEE"/>
    <w:rsid w:val="161063F6"/>
    <w:rsid w:val="1697F1A1"/>
    <w:rsid w:val="17382855"/>
    <w:rsid w:val="17DBFAAE"/>
    <w:rsid w:val="1896474A"/>
    <w:rsid w:val="189B7313"/>
    <w:rsid w:val="1902367B"/>
    <w:rsid w:val="1987DD63"/>
    <w:rsid w:val="1A27C621"/>
    <w:rsid w:val="1A2DBDE2"/>
    <w:rsid w:val="1AAB9927"/>
    <w:rsid w:val="1B2D768D"/>
    <w:rsid w:val="1B801ED6"/>
    <w:rsid w:val="1DB10996"/>
    <w:rsid w:val="1EB0944C"/>
    <w:rsid w:val="1EE351AA"/>
    <w:rsid w:val="1F677CEB"/>
    <w:rsid w:val="1F8568DC"/>
    <w:rsid w:val="1FEE51B6"/>
    <w:rsid w:val="211D0F00"/>
    <w:rsid w:val="215158C4"/>
    <w:rsid w:val="21722B23"/>
    <w:rsid w:val="2266BD69"/>
    <w:rsid w:val="22CBED77"/>
    <w:rsid w:val="2378AF4A"/>
    <w:rsid w:val="237DA089"/>
    <w:rsid w:val="23863285"/>
    <w:rsid w:val="246784B3"/>
    <w:rsid w:val="24F67A0A"/>
    <w:rsid w:val="24FE36D1"/>
    <w:rsid w:val="256B9574"/>
    <w:rsid w:val="25BE5B9D"/>
    <w:rsid w:val="25DE601F"/>
    <w:rsid w:val="26EE2356"/>
    <w:rsid w:val="2787AB3F"/>
    <w:rsid w:val="2893A5C5"/>
    <w:rsid w:val="29A0EADB"/>
    <w:rsid w:val="2A473A4D"/>
    <w:rsid w:val="2AC6009C"/>
    <w:rsid w:val="2AEA66F7"/>
    <w:rsid w:val="2B84B445"/>
    <w:rsid w:val="2BA8CE2F"/>
    <w:rsid w:val="2C52A34A"/>
    <w:rsid w:val="2CB3FDFD"/>
    <w:rsid w:val="2D32CA97"/>
    <w:rsid w:val="2E3935A0"/>
    <w:rsid w:val="2E760C56"/>
    <w:rsid w:val="2EC50680"/>
    <w:rsid w:val="2ECCF46F"/>
    <w:rsid w:val="2ED00DDC"/>
    <w:rsid w:val="2EFEF2A0"/>
    <w:rsid w:val="2F2DABD2"/>
    <w:rsid w:val="2F97D4E9"/>
    <w:rsid w:val="30393323"/>
    <w:rsid w:val="315A5B78"/>
    <w:rsid w:val="31CD4818"/>
    <w:rsid w:val="31DBDCA6"/>
    <w:rsid w:val="321E40F4"/>
    <w:rsid w:val="3222E023"/>
    <w:rsid w:val="326D8A3B"/>
    <w:rsid w:val="329C87CF"/>
    <w:rsid w:val="32BDACE5"/>
    <w:rsid w:val="32C75DBD"/>
    <w:rsid w:val="32E3769D"/>
    <w:rsid w:val="33055E3D"/>
    <w:rsid w:val="3352FE6F"/>
    <w:rsid w:val="335E629A"/>
    <w:rsid w:val="3527B667"/>
    <w:rsid w:val="3590801F"/>
    <w:rsid w:val="35B415B5"/>
    <w:rsid w:val="35F4F0AE"/>
    <w:rsid w:val="36DAE7B9"/>
    <w:rsid w:val="36DCA0A4"/>
    <w:rsid w:val="383B38CE"/>
    <w:rsid w:val="390A622F"/>
    <w:rsid w:val="396D6B37"/>
    <w:rsid w:val="3B509090"/>
    <w:rsid w:val="3BB8D184"/>
    <w:rsid w:val="3BD022EB"/>
    <w:rsid w:val="3C5C6653"/>
    <w:rsid w:val="3C8B124E"/>
    <w:rsid w:val="3C8CA559"/>
    <w:rsid w:val="3C9869DF"/>
    <w:rsid w:val="3C9E4BD0"/>
    <w:rsid w:val="3CF77FF3"/>
    <w:rsid w:val="3D0C294D"/>
    <w:rsid w:val="3D0CF82C"/>
    <w:rsid w:val="3D8BF0C5"/>
    <w:rsid w:val="3EAAA988"/>
    <w:rsid w:val="3EE96A84"/>
    <w:rsid w:val="3F9D4A65"/>
    <w:rsid w:val="3FB3DAFC"/>
    <w:rsid w:val="3FB7BC00"/>
    <w:rsid w:val="4000F2E4"/>
    <w:rsid w:val="41AF8AAB"/>
    <w:rsid w:val="429145DD"/>
    <w:rsid w:val="42A58588"/>
    <w:rsid w:val="43538EA9"/>
    <w:rsid w:val="435E64A9"/>
    <w:rsid w:val="43942E46"/>
    <w:rsid w:val="43D5A4DF"/>
    <w:rsid w:val="43F76692"/>
    <w:rsid w:val="44CC8CFE"/>
    <w:rsid w:val="45C467DC"/>
    <w:rsid w:val="4704F67B"/>
    <w:rsid w:val="47C42C3E"/>
    <w:rsid w:val="47EDEF7B"/>
    <w:rsid w:val="4804B1DC"/>
    <w:rsid w:val="48110768"/>
    <w:rsid w:val="486E283F"/>
    <w:rsid w:val="488E96F8"/>
    <w:rsid w:val="497454D3"/>
    <w:rsid w:val="49BD87B1"/>
    <w:rsid w:val="4A691481"/>
    <w:rsid w:val="4AC99710"/>
    <w:rsid w:val="4BE50271"/>
    <w:rsid w:val="4CB109F9"/>
    <w:rsid w:val="4D4B7036"/>
    <w:rsid w:val="4D607627"/>
    <w:rsid w:val="4E68EFBA"/>
    <w:rsid w:val="4EC8BF2D"/>
    <w:rsid w:val="50DD3B3D"/>
    <w:rsid w:val="50F3F8E0"/>
    <w:rsid w:val="51021110"/>
    <w:rsid w:val="51C16EB6"/>
    <w:rsid w:val="51D67550"/>
    <w:rsid w:val="51D8B7EF"/>
    <w:rsid w:val="52257D6F"/>
    <w:rsid w:val="5240AE52"/>
    <w:rsid w:val="5289375E"/>
    <w:rsid w:val="532A973F"/>
    <w:rsid w:val="53D316A7"/>
    <w:rsid w:val="53FCE5A9"/>
    <w:rsid w:val="5437470B"/>
    <w:rsid w:val="54B133E1"/>
    <w:rsid w:val="54C39438"/>
    <w:rsid w:val="54D87FD7"/>
    <w:rsid w:val="55FDDDB8"/>
    <w:rsid w:val="5631BE5E"/>
    <w:rsid w:val="5643EC24"/>
    <w:rsid w:val="56B1BA21"/>
    <w:rsid w:val="570F1DBC"/>
    <w:rsid w:val="57E7C487"/>
    <w:rsid w:val="5932BE67"/>
    <w:rsid w:val="598EB46A"/>
    <w:rsid w:val="5AAC4999"/>
    <w:rsid w:val="5ACD2DB1"/>
    <w:rsid w:val="5C1CA461"/>
    <w:rsid w:val="5C6FA71B"/>
    <w:rsid w:val="5C6FBD0A"/>
    <w:rsid w:val="5CE9E015"/>
    <w:rsid w:val="5D9A04B3"/>
    <w:rsid w:val="5DA3B39A"/>
    <w:rsid w:val="5DDB9B23"/>
    <w:rsid w:val="5E44A6F1"/>
    <w:rsid w:val="5E92D565"/>
    <w:rsid w:val="5EDEAAA6"/>
    <w:rsid w:val="5FAFB728"/>
    <w:rsid w:val="5FB92D39"/>
    <w:rsid w:val="5FFCA22F"/>
    <w:rsid w:val="60EE3B91"/>
    <w:rsid w:val="61B4E225"/>
    <w:rsid w:val="628F5895"/>
    <w:rsid w:val="629B90A0"/>
    <w:rsid w:val="62CB5B45"/>
    <w:rsid w:val="64D11292"/>
    <w:rsid w:val="6538A522"/>
    <w:rsid w:val="65535C4B"/>
    <w:rsid w:val="65849F6F"/>
    <w:rsid w:val="65B2E759"/>
    <w:rsid w:val="65EE56F5"/>
    <w:rsid w:val="6656BCC6"/>
    <w:rsid w:val="66656748"/>
    <w:rsid w:val="66797FB4"/>
    <w:rsid w:val="66B66910"/>
    <w:rsid w:val="671ABADC"/>
    <w:rsid w:val="6802B402"/>
    <w:rsid w:val="680ADDA3"/>
    <w:rsid w:val="689406DB"/>
    <w:rsid w:val="68A222CB"/>
    <w:rsid w:val="6964E87E"/>
    <w:rsid w:val="697BE46D"/>
    <w:rsid w:val="698D6C35"/>
    <w:rsid w:val="69F97E78"/>
    <w:rsid w:val="6A014279"/>
    <w:rsid w:val="6A10513C"/>
    <w:rsid w:val="6ABA4903"/>
    <w:rsid w:val="6B9E6CB0"/>
    <w:rsid w:val="6C36762F"/>
    <w:rsid w:val="6C469CEC"/>
    <w:rsid w:val="6C8C053A"/>
    <w:rsid w:val="6D445EF0"/>
    <w:rsid w:val="6D4A3D47"/>
    <w:rsid w:val="6D6A92D4"/>
    <w:rsid w:val="6DBEB458"/>
    <w:rsid w:val="6E270D2E"/>
    <w:rsid w:val="6E2AEF97"/>
    <w:rsid w:val="6E3E6B44"/>
    <w:rsid w:val="6E60BA88"/>
    <w:rsid w:val="6F317789"/>
    <w:rsid w:val="6F64F1B2"/>
    <w:rsid w:val="6FDA2475"/>
    <w:rsid w:val="702736C9"/>
    <w:rsid w:val="70A1D97D"/>
    <w:rsid w:val="70AFEC11"/>
    <w:rsid w:val="70BB2E54"/>
    <w:rsid w:val="71633C6F"/>
    <w:rsid w:val="71C921B4"/>
    <w:rsid w:val="72062089"/>
    <w:rsid w:val="72E5C15C"/>
    <w:rsid w:val="73157B47"/>
    <w:rsid w:val="732B949B"/>
    <w:rsid w:val="7357651D"/>
    <w:rsid w:val="737D2FE1"/>
    <w:rsid w:val="73B14825"/>
    <w:rsid w:val="749ABF99"/>
    <w:rsid w:val="752F5439"/>
    <w:rsid w:val="7552957C"/>
    <w:rsid w:val="758B31C8"/>
    <w:rsid w:val="76A00ADC"/>
    <w:rsid w:val="772F498C"/>
    <w:rsid w:val="7783D2F5"/>
    <w:rsid w:val="77AB4001"/>
    <w:rsid w:val="784CB18D"/>
    <w:rsid w:val="78822026"/>
    <w:rsid w:val="78A10CB0"/>
    <w:rsid w:val="7917CEA3"/>
    <w:rsid w:val="7924649A"/>
    <w:rsid w:val="7996C974"/>
    <w:rsid w:val="79F34C21"/>
    <w:rsid w:val="7A35310A"/>
    <w:rsid w:val="7B3E580B"/>
    <w:rsid w:val="7B74DA40"/>
    <w:rsid w:val="7B8235D1"/>
    <w:rsid w:val="7C005F4D"/>
    <w:rsid w:val="7D173575"/>
    <w:rsid w:val="7D5D3696"/>
    <w:rsid w:val="7D646874"/>
    <w:rsid w:val="7E127276"/>
    <w:rsid w:val="7E8A2C8E"/>
    <w:rsid w:val="7EEDCB16"/>
    <w:rsid w:val="7F696CB9"/>
    <w:rsid w:val="7FA40E33"/>
    <w:rsid w:val="7FF962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D8F5545C-82E0-464C-BDBB-05EEF86C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385BFA"/>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385BFA"/>
    <w:pPr>
      <w:numPr>
        <w:ilvl w:val="1"/>
        <w:numId w:val="1"/>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385BFA"/>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385BFA"/>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385BFA"/>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385BFA"/>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385BFA"/>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385BFA"/>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385BFA"/>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5BFA"/>
    <w:rPr>
      <w:rFonts w:ascii="Times New Roman" w:eastAsia="Times New Roman" w:hAnsi="Times New Roman"/>
      <w:kern w:val="28"/>
      <w:sz w:val="22"/>
      <w:szCs w:val="22"/>
      <w:lang w:val="en-US" w:eastAsia="en-US"/>
    </w:rPr>
  </w:style>
  <w:style w:type="character" w:customStyle="1" w:styleId="Heading2Char">
    <w:name w:val="Heading 2 Char"/>
    <w:link w:val="Heading2"/>
    <w:rsid w:val="00385BFA"/>
    <w:rPr>
      <w:rFonts w:ascii="Times New Roman" w:eastAsia="Times New Roman" w:hAnsi="Times New Roman"/>
      <w:sz w:val="22"/>
      <w:szCs w:val="22"/>
      <w:lang w:val="en-US" w:eastAsia="en-US"/>
    </w:rPr>
  </w:style>
  <w:style w:type="character" w:customStyle="1" w:styleId="Heading3Char">
    <w:name w:val="Heading 3 Char"/>
    <w:link w:val="Heading3"/>
    <w:rsid w:val="00385BFA"/>
    <w:rPr>
      <w:rFonts w:ascii="Times New Roman" w:eastAsia="Times New Roman" w:hAnsi="Times New Roman"/>
      <w:sz w:val="22"/>
      <w:szCs w:val="22"/>
      <w:lang w:val="en-US" w:eastAsia="en-US"/>
    </w:rPr>
  </w:style>
  <w:style w:type="character" w:customStyle="1" w:styleId="Heading4Char">
    <w:name w:val="Heading 4 Char"/>
    <w:link w:val="Heading4"/>
    <w:rsid w:val="00385BFA"/>
    <w:rPr>
      <w:rFonts w:ascii="Times New Roman" w:eastAsia="Times New Roman" w:hAnsi="Times New Roman"/>
      <w:sz w:val="22"/>
      <w:szCs w:val="22"/>
      <w:lang w:val="en-US" w:eastAsia="en-US"/>
    </w:rPr>
  </w:style>
  <w:style w:type="character" w:customStyle="1" w:styleId="Heading5Char">
    <w:name w:val="Heading 5 Char"/>
    <w:link w:val="Heading5"/>
    <w:rsid w:val="00385BFA"/>
    <w:rPr>
      <w:rFonts w:ascii="Times New Roman" w:eastAsia="Times New Roman" w:hAnsi="Times New Roman"/>
      <w:sz w:val="22"/>
      <w:szCs w:val="22"/>
      <w:lang w:val="en-US" w:eastAsia="en-US"/>
    </w:rPr>
  </w:style>
  <w:style w:type="character" w:customStyle="1" w:styleId="Heading6Char">
    <w:name w:val="Heading 6 Char"/>
    <w:link w:val="Heading6"/>
    <w:rsid w:val="00385BFA"/>
    <w:rPr>
      <w:rFonts w:ascii="Times New Roman" w:eastAsia="Times New Roman" w:hAnsi="Times New Roman"/>
      <w:sz w:val="22"/>
      <w:szCs w:val="22"/>
      <w:lang w:val="en-US" w:eastAsia="en-US"/>
    </w:rPr>
  </w:style>
  <w:style w:type="character" w:customStyle="1" w:styleId="Heading7Char">
    <w:name w:val="Heading 7 Char"/>
    <w:link w:val="Heading7"/>
    <w:rsid w:val="00385BFA"/>
    <w:rPr>
      <w:rFonts w:ascii="Times New Roman" w:eastAsia="Times New Roman" w:hAnsi="Times New Roman"/>
      <w:sz w:val="22"/>
      <w:szCs w:val="22"/>
      <w:lang w:val="en-US" w:eastAsia="en-US"/>
    </w:rPr>
  </w:style>
  <w:style w:type="character" w:customStyle="1" w:styleId="Heading8Char">
    <w:name w:val="Heading 8 Char"/>
    <w:link w:val="Heading8"/>
    <w:rsid w:val="00385BFA"/>
    <w:rPr>
      <w:rFonts w:ascii="Times New Roman" w:eastAsia="Times New Roman" w:hAnsi="Times New Roman"/>
      <w:sz w:val="22"/>
      <w:szCs w:val="22"/>
      <w:lang w:val="en-US" w:eastAsia="en-US"/>
    </w:rPr>
  </w:style>
  <w:style w:type="character" w:customStyle="1" w:styleId="Heading9Char">
    <w:name w:val="Heading 9 Char"/>
    <w:link w:val="Heading9"/>
    <w:rsid w:val="00385BFA"/>
    <w:rPr>
      <w:rFonts w:ascii="Times New Roman" w:eastAsia="Times New Roman" w:hAnsi="Times New Roman"/>
      <w:sz w:val="22"/>
      <w:szCs w:val="22"/>
      <w:lang w:val="en-US" w:eastAsia="en-US"/>
    </w:rPr>
  </w:style>
  <w:style w:type="paragraph" w:styleId="FootnoteText">
    <w:name w:val="footnote text"/>
    <w:basedOn w:val="Normal"/>
    <w:link w:val="FootnoteTextChar"/>
    <w:qFormat/>
    <w:rsid w:val="00385BFA"/>
    <w:pPr>
      <w:keepLines/>
      <w:spacing w:after="60" w:line="240" w:lineRule="auto"/>
      <w:ind w:left="567" w:hanging="567"/>
      <w:jc w:val="both"/>
    </w:pPr>
    <w:rPr>
      <w:rFonts w:ascii="Times New Roman" w:eastAsia="Times New Roman" w:hAnsi="Times New Roman"/>
      <w:sz w:val="16"/>
      <w:lang w:val="en-US"/>
    </w:rPr>
  </w:style>
  <w:style w:type="character" w:customStyle="1" w:styleId="FootnoteTextChar">
    <w:name w:val="Footnote Text Char"/>
    <w:link w:val="FootnoteText"/>
    <w:qFormat/>
    <w:rsid w:val="00385BFA"/>
    <w:rPr>
      <w:rFonts w:ascii="Times New Roman" w:eastAsia="Times New Roman" w:hAnsi="Times New Roman"/>
      <w:sz w:val="16"/>
      <w:szCs w:val="22"/>
      <w:lang w:val="en-US" w:eastAsia="en-US"/>
    </w:rPr>
  </w:style>
  <w:style w:type="character" w:styleId="FootnoteReference">
    <w:name w:val="footnote reference"/>
    <w:aliases w:val="Footnote symbol"/>
    <w:unhideWhenUsed/>
    <w:qFormat/>
    <w:rsid w:val="00385BFA"/>
    <w:rPr>
      <w:sz w:val="24"/>
      <w:vertAlign w:val="superscript"/>
    </w:rPr>
  </w:style>
  <w:style w:type="character" w:styleId="Hyperlink">
    <w:name w:val="Hyperlink"/>
    <w:uiPriority w:val="99"/>
    <w:rsid w:val="00385BFA"/>
    <w:rPr>
      <w:color w:val="0000FF"/>
      <w:u w:val="single"/>
    </w:rPr>
  </w:style>
  <w:style w:type="character" w:styleId="CommentReference">
    <w:name w:val="annotation reference"/>
    <w:uiPriority w:val="99"/>
    <w:semiHidden/>
    <w:unhideWhenUsed/>
    <w:rsid w:val="0076522C"/>
    <w:rPr>
      <w:sz w:val="16"/>
      <w:szCs w:val="16"/>
    </w:rPr>
  </w:style>
  <w:style w:type="paragraph" w:styleId="CommentText">
    <w:name w:val="annotation text"/>
    <w:basedOn w:val="Normal"/>
    <w:link w:val="CommentTextChar"/>
    <w:uiPriority w:val="99"/>
    <w:unhideWhenUsed/>
    <w:rsid w:val="0076522C"/>
    <w:rPr>
      <w:sz w:val="20"/>
      <w:szCs w:val="20"/>
    </w:rPr>
  </w:style>
  <w:style w:type="character" w:customStyle="1" w:styleId="CommentTextChar">
    <w:name w:val="Comment Text Char"/>
    <w:link w:val="CommentText"/>
    <w:uiPriority w:val="99"/>
    <w:rsid w:val="0076522C"/>
    <w:rPr>
      <w:lang w:eastAsia="en-US"/>
    </w:rPr>
  </w:style>
  <w:style w:type="paragraph" w:styleId="CommentSubject">
    <w:name w:val="annotation subject"/>
    <w:basedOn w:val="CommentText"/>
    <w:next w:val="CommentText"/>
    <w:link w:val="CommentSubjectChar"/>
    <w:uiPriority w:val="99"/>
    <w:semiHidden/>
    <w:unhideWhenUsed/>
    <w:rsid w:val="0076522C"/>
    <w:rPr>
      <w:b/>
      <w:bCs/>
    </w:rPr>
  </w:style>
  <w:style w:type="character" w:customStyle="1" w:styleId="CommentSubjectChar">
    <w:name w:val="Comment Subject Char"/>
    <w:link w:val="CommentSubject"/>
    <w:uiPriority w:val="99"/>
    <w:semiHidden/>
    <w:rsid w:val="0076522C"/>
    <w:rPr>
      <w:b/>
      <w:bCs/>
      <w:lang w:eastAsia="en-US"/>
    </w:rPr>
  </w:style>
  <w:style w:type="paragraph" w:styleId="Header">
    <w:name w:val="header"/>
    <w:basedOn w:val="Normal"/>
    <w:link w:val="HeaderChar"/>
    <w:uiPriority w:val="99"/>
    <w:unhideWhenUsed/>
    <w:rsid w:val="009C7728"/>
    <w:pPr>
      <w:tabs>
        <w:tab w:val="center" w:pos="4513"/>
        <w:tab w:val="right" w:pos="9026"/>
      </w:tabs>
    </w:pPr>
  </w:style>
  <w:style w:type="character" w:customStyle="1" w:styleId="HeaderChar">
    <w:name w:val="Header Char"/>
    <w:link w:val="Header"/>
    <w:uiPriority w:val="99"/>
    <w:rsid w:val="009C7728"/>
    <w:rPr>
      <w:sz w:val="22"/>
      <w:szCs w:val="22"/>
      <w:lang w:eastAsia="en-US"/>
    </w:rPr>
  </w:style>
  <w:style w:type="paragraph" w:styleId="Footer">
    <w:name w:val="footer"/>
    <w:basedOn w:val="Normal"/>
    <w:link w:val="FooterChar"/>
    <w:uiPriority w:val="99"/>
    <w:unhideWhenUsed/>
    <w:rsid w:val="009C7728"/>
    <w:pPr>
      <w:tabs>
        <w:tab w:val="center" w:pos="4513"/>
        <w:tab w:val="right" w:pos="9026"/>
      </w:tabs>
    </w:pPr>
  </w:style>
  <w:style w:type="character" w:customStyle="1" w:styleId="FooterChar">
    <w:name w:val="Footer Char"/>
    <w:link w:val="Footer"/>
    <w:uiPriority w:val="99"/>
    <w:rsid w:val="009C7728"/>
    <w:rPr>
      <w:sz w:val="22"/>
      <w:szCs w:val="22"/>
      <w:lang w:eastAsia="en-US"/>
    </w:rPr>
  </w:style>
  <w:style w:type="paragraph" w:styleId="Revision">
    <w:name w:val="Revision"/>
    <w:hidden/>
    <w:uiPriority w:val="99"/>
    <w:semiHidden/>
    <w:rsid w:val="008E0672"/>
    <w:rPr>
      <w:sz w:val="22"/>
      <w:szCs w:val="22"/>
      <w:lang w:eastAsia="en-US"/>
    </w:rPr>
  </w:style>
  <w:style w:type="character" w:styleId="UnresolvedMention">
    <w:name w:val="Unresolved Mention"/>
    <w:uiPriority w:val="99"/>
    <w:semiHidden/>
    <w:unhideWhenUsed/>
    <w:rsid w:val="003D1C92"/>
    <w:rPr>
      <w:color w:val="605E5C"/>
      <w:shd w:val="clear" w:color="auto" w:fill="E1DFDD"/>
    </w:rPr>
  </w:style>
  <w:style w:type="character" w:styleId="FollowedHyperlink">
    <w:name w:val="FollowedHyperlink"/>
    <w:uiPriority w:val="99"/>
    <w:semiHidden/>
    <w:unhideWhenUsed/>
    <w:rsid w:val="00C9367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trategy-and-policy/eu-budget/long-term-eu-budget/eu-budget-2028-2034_en" TargetMode="External"/><Relationship Id="rId3" Type="http://schemas.openxmlformats.org/officeDocument/2006/relationships/hyperlink" Target="https://defence-industry-space.ec.europa.eu/eu-defence-industry/european-defence-fund-edf-official-webpage-european-commission_en" TargetMode="External"/><Relationship Id="rId7" Type="http://schemas.openxmlformats.org/officeDocument/2006/relationships/hyperlink" Target="https://eur-lex.europa.eu/legal-content/EN/TXT/?uri=celex:52025PC0123" TargetMode="External"/><Relationship Id="rId2" Type="http://schemas.openxmlformats.org/officeDocument/2006/relationships/hyperlink" Target="https://eur-lex.europa.eu/legal-content/EN/TXT/?uri=celex:52025PC0188" TargetMode="External"/><Relationship Id="rId1" Type="http://schemas.openxmlformats.org/officeDocument/2006/relationships/hyperlink" Target="https://defence-industry-space.ec.europa.eu/eu-defence-industry/introducing-white-paper-european-defence-and-rearm-europe-plan-readiness-2030_en" TargetMode="External"/><Relationship Id="rId6" Type="http://schemas.openxmlformats.org/officeDocument/2006/relationships/hyperlink" Target="https://defence-industry-space.ec.europa.eu/eu-defence-industry/edip-dedicated-programme-defence_en" TargetMode="External"/><Relationship Id="rId5" Type="http://schemas.openxmlformats.org/officeDocument/2006/relationships/hyperlink" Target="https://defence-industry-space.ec.europa.eu/eu-defence-industry/edirpa-addressing-capability-gaps_en" TargetMode="External"/><Relationship Id="rId10" Type="http://schemas.openxmlformats.org/officeDocument/2006/relationships/hyperlink" Target="https://defence-industry-space.ec.europa.eu/eu-space/eu-space-strategy-security-and-defence_en" TargetMode="External"/><Relationship Id="rId4" Type="http://schemas.openxmlformats.org/officeDocument/2006/relationships/hyperlink" Target="https://defence-industry-space.ec.europa.eu/eu-defence-industry/asap-boosting-defence-production_en" TargetMode="External"/><Relationship Id="rId9" Type="http://schemas.openxmlformats.org/officeDocument/2006/relationships/hyperlink" Target="https://defence-industry-space.ec.europa.eu/eu-space/iris2-secure-connectivit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AECF259EDCE44A92E9274A875E8C1" ma:contentTypeVersion="3" ma:contentTypeDescription="Create a new document." ma:contentTypeScope="" ma:versionID="af9d77ea6cee1e3d4675dbd1d8c72c86">
  <xsd:schema xmlns:xsd="http://www.w3.org/2001/XMLSchema" xmlns:xs="http://www.w3.org/2001/XMLSchema" xmlns:p="http://schemas.microsoft.com/office/2006/metadata/properties" xmlns:ns2="f4725e28-90af-4b6c-b8fc-97a0bcf17783" targetNamespace="http://schemas.microsoft.com/office/2006/metadata/properties" ma:root="true" ma:fieldsID="1e7325313340a0d2d1f995fe6d26de19" ns2:_="">
    <xsd:import namespace="f4725e28-90af-4b6c-b8fc-97a0bcf177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25e28-90af-4b6c-b8fc-97a0bcf1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F6A7C-F581-4A89-9D37-61E620330D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3EA1A-07B0-4B94-8B85-6D2AA96D5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25e28-90af-4b6c-b8fc-97a0bcf17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F179A-9C2E-41D1-A43A-9B05CEA52041}">
  <ds:schemaRefs>
    <ds:schemaRef ds:uri="http://schemas.openxmlformats.org/officeDocument/2006/bibliography"/>
  </ds:schemaRefs>
</ds:datastoreItem>
</file>

<file path=customXml/itemProps4.xml><?xml version="1.0" encoding="utf-8"?>
<ds:datastoreItem xmlns:ds="http://schemas.openxmlformats.org/officeDocument/2006/customXml" ds:itemID="{78C89871-CC7B-4D21-BC10-10A386FDD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1413</Words>
  <Characters>8256</Characters>
  <Application>Microsoft Office Word</Application>
  <DocSecurity>0</DocSecurity>
  <Lines>107</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PUIA Manuela Morena (SG)</dc:creator>
  <cp:lastModifiedBy>ROSSI Simona (SG-EXT)</cp:lastModifiedBy>
  <cp:revision>5</cp:revision>
  <cp:lastPrinted>2013-02-28T12:02:00Z</cp:lastPrinted>
  <dcterms:created xsi:type="dcterms:W3CDTF">2026-01-09T08:27:00Z</dcterms:created>
  <dcterms:modified xsi:type="dcterms:W3CDTF">2026-01-09T08:32:00Z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0x010100FC0AECF259EDCE44A92E9274A875E8C1</vt:lpwstr>
  </property>
  <property fmtid="{D5CDD505-2E9C-101B-9397-08002B2CF9AE}" pid="10" name="MediaServiceImageTags">
    <vt:lpwstr/>
  </property>
</Properties>
</file>