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1C4138" w:rsidRPr="00442552" w14:paraId="7E6372DC" w14:textId="77777777" w:rsidTr="004E686F">
        <w:trPr>
          <w:jc w:val="center"/>
        </w:trPr>
        <w:tc>
          <w:tcPr>
            <w:tcW w:w="9711" w:type="dxa"/>
          </w:tcPr>
          <w:p w14:paraId="3A4EDC3A" w14:textId="29068C73" w:rsidR="001C4138" w:rsidRPr="00554298" w:rsidRDefault="007A52D3" w:rsidP="001C4138">
            <w:pPr>
              <w:spacing w:before="120" w:after="120"/>
              <w:rPr>
                <w:rFonts w:ascii="Times New Roman" w:hAnsi="Times New Roman"/>
                <w:b/>
                <w:sz w:val="24"/>
                <w:szCs w:val="24"/>
              </w:rPr>
            </w:pPr>
            <w:r w:rsidRPr="00554298">
              <w:rPr>
                <w:rFonts w:ascii="Times New Roman" w:hAnsi="Times New Roman"/>
                <w:b/>
                <w:sz w:val="24"/>
                <w:szCs w:val="24"/>
                <w:lang w:val="en-IE"/>
              </w:rPr>
              <w:t>Climate change and its impact on the economy</w:t>
            </w:r>
            <w:r w:rsidR="00125B5F" w:rsidRPr="00554298">
              <w:rPr>
                <w:rFonts w:ascii="Times New Roman" w:hAnsi="Times New Roman"/>
                <w:b/>
                <w:sz w:val="24"/>
                <w:szCs w:val="24"/>
                <w:lang w:val="en-IE"/>
              </w:rPr>
              <w:br/>
              <w:t>(own-initiative opinion)</w:t>
            </w:r>
            <w:r w:rsidR="001C4138" w:rsidRPr="00554298">
              <w:rPr>
                <w:rFonts w:ascii="Times New Roman" w:hAnsi="Times New Roman"/>
                <w:b/>
                <w:sz w:val="24"/>
                <w:szCs w:val="24"/>
                <w:lang w:val="en-IE"/>
              </w:rPr>
              <w:br/>
              <w:t>EESC-202</w:t>
            </w:r>
            <w:r w:rsidR="00422668" w:rsidRPr="00554298">
              <w:rPr>
                <w:rFonts w:ascii="Times New Roman" w:hAnsi="Times New Roman"/>
                <w:b/>
                <w:sz w:val="24"/>
                <w:szCs w:val="24"/>
                <w:lang w:val="en-IE"/>
              </w:rPr>
              <w:t>4</w:t>
            </w:r>
            <w:r w:rsidR="00422668" w:rsidRPr="00554298">
              <w:rPr>
                <w:rFonts w:ascii="Times New Roman" w:hAnsi="Times New Roman"/>
                <w:b/>
                <w:bCs/>
                <w:sz w:val="24"/>
                <w:szCs w:val="24"/>
              </w:rPr>
              <w:t>-</w:t>
            </w:r>
            <w:r w:rsidR="00125B5F" w:rsidRPr="00554298">
              <w:rPr>
                <w:rFonts w:ascii="Times New Roman" w:hAnsi="Times New Roman"/>
                <w:b/>
                <w:bCs/>
                <w:sz w:val="24"/>
                <w:szCs w:val="24"/>
              </w:rPr>
              <w:t>00</w:t>
            </w:r>
            <w:r w:rsidR="00422668" w:rsidRPr="00554298">
              <w:rPr>
                <w:rFonts w:ascii="Times New Roman" w:hAnsi="Times New Roman"/>
                <w:b/>
                <w:bCs/>
                <w:sz w:val="24"/>
                <w:szCs w:val="24"/>
              </w:rPr>
              <w:t>701</w:t>
            </w:r>
            <w:r w:rsidR="00422668" w:rsidRPr="00554298">
              <w:rPr>
                <w:rFonts w:ascii="Times New Roman" w:hAnsi="Times New Roman"/>
                <w:b/>
                <w:sz w:val="24"/>
                <w:szCs w:val="24"/>
              </w:rPr>
              <w:t xml:space="preserve"> </w:t>
            </w:r>
            <w:r w:rsidR="001C4138" w:rsidRPr="00554298">
              <w:rPr>
                <w:rFonts w:ascii="Times New Roman" w:hAnsi="Times New Roman"/>
                <w:b/>
                <w:sz w:val="24"/>
                <w:szCs w:val="24"/>
              </w:rPr>
              <w:t xml:space="preserve">‒ </w:t>
            </w:r>
            <w:r w:rsidR="00422668" w:rsidRPr="00554298">
              <w:rPr>
                <w:rFonts w:ascii="Times New Roman" w:hAnsi="Times New Roman"/>
                <w:b/>
                <w:bCs/>
                <w:sz w:val="24"/>
                <w:szCs w:val="24"/>
              </w:rPr>
              <w:t>ECO/645</w:t>
            </w:r>
            <w:r w:rsidR="001C4138" w:rsidRPr="00554298">
              <w:rPr>
                <w:rFonts w:ascii="Times New Roman" w:hAnsi="Times New Roman"/>
                <w:b/>
                <w:sz w:val="24"/>
                <w:szCs w:val="24"/>
              </w:rPr>
              <w:br/>
            </w:r>
            <w:r w:rsidR="00422668" w:rsidRPr="00554298">
              <w:rPr>
                <w:rFonts w:ascii="Times New Roman" w:hAnsi="Times New Roman"/>
                <w:b/>
                <w:sz w:val="24"/>
                <w:szCs w:val="24"/>
              </w:rPr>
              <w:t>59</w:t>
            </w:r>
            <w:r w:rsidR="00125B5F" w:rsidRPr="00554298">
              <w:rPr>
                <w:rFonts w:ascii="Times New Roman" w:hAnsi="Times New Roman"/>
                <w:b/>
                <w:sz w:val="24"/>
                <w:szCs w:val="24"/>
              </w:rPr>
              <w:t>1</w:t>
            </w:r>
            <w:r w:rsidR="00125B5F" w:rsidRPr="00554298">
              <w:rPr>
                <w:rFonts w:ascii="Times New Roman" w:hAnsi="Times New Roman"/>
                <w:b/>
                <w:sz w:val="24"/>
                <w:szCs w:val="24"/>
                <w:vertAlign w:val="superscript"/>
                <w:lang w:val="en-IE"/>
              </w:rPr>
              <w:t>st</w:t>
            </w:r>
            <w:r w:rsidR="001C4138" w:rsidRPr="00554298">
              <w:rPr>
                <w:rFonts w:ascii="Times New Roman" w:hAnsi="Times New Roman"/>
                <w:b/>
                <w:sz w:val="24"/>
                <w:szCs w:val="24"/>
                <w:lang w:val="en-IE"/>
              </w:rPr>
              <w:t xml:space="preserve"> </w:t>
            </w:r>
            <w:r w:rsidR="001C4138" w:rsidRPr="00554298">
              <w:rPr>
                <w:rFonts w:ascii="Times New Roman" w:hAnsi="Times New Roman"/>
                <w:b/>
                <w:sz w:val="24"/>
                <w:szCs w:val="24"/>
              </w:rPr>
              <w:t xml:space="preserve">Plenary Session – </w:t>
            </w:r>
            <w:r w:rsidR="00422668" w:rsidRPr="00554298">
              <w:rPr>
                <w:rFonts w:ascii="Times New Roman" w:hAnsi="Times New Roman"/>
                <w:b/>
                <w:sz w:val="24"/>
                <w:szCs w:val="24"/>
              </w:rPr>
              <w:t>October 2024</w:t>
            </w:r>
            <w:r w:rsidR="001C4138" w:rsidRPr="00554298">
              <w:rPr>
                <w:rFonts w:ascii="Times New Roman" w:hAnsi="Times New Roman"/>
                <w:b/>
                <w:sz w:val="24"/>
                <w:szCs w:val="24"/>
              </w:rPr>
              <w:br/>
              <w:t xml:space="preserve">Rapporteur: </w:t>
            </w:r>
            <w:r w:rsidR="00422668" w:rsidRPr="00554298">
              <w:rPr>
                <w:rFonts w:ascii="Times New Roman" w:hAnsi="Times New Roman"/>
                <w:b/>
                <w:sz w:val="24"/>
                <w:szCs w:val="24"/>
              </w:rPr>
              <w:t>Juraj SIPKO</w:t>
            </w:r>
            <w:r w:rsidR="001C4138" w:rsidRPr="00554298">
              <w:rPr>
                <w:rFonts w:ascii="Times New Roman" w:hAnsi="Times New Roman"/>
                <w:b/>
                <w:sz w:val="24"/>
                <w:szCs w:val="24"/>
              </w:rPr>
              <w:t xml:space="preserve"> </w:t>
            </w:r>
            <w:r w:rsidR="00422668" w:rsidRPr="00554298">
              <w:rPr>
                <w:rFonts w:ascii="Times New Roman" w:hAnsi="Times New Roman"/>
                <w:b/>
                <w:sz w:val="24"/>
                <w:szCs w:val="24"/>
              </w:rPr>
              <w:t>(</w:t>
            </w:r>
            <w:r w:rsidR="00B31A34" w:rsidRPr="00554298">
              <w:rPr>
                <w:rFonts w:ascii="Times New Roman" w:hAnsi="Times New Roman"/>
                <w:b/>
                <w:sz w:val="24"/>
                <w:szCs w:val="24"/>
              </w:rPr>
              <w:t>SK-</w:t>
            </w:r>
            <w:r w:rsidR="00422668" w:rsidRPr="00554298">
              <w:rPr>
                <w:rFonts w:ascii="Times New Roman" w:hAnsi="Times New Roman"/>
                <w:b/>
                <w:sz w:val="24"/>
                <w:szCs w:val="24"/>
              </w:rPr>
              <w:t>III</w:t>
            </w:r>
            <w:r w:rsidR="001C4138" w:rsidRPr="00554298">
              <w:rPr>
                <w:rFonts w:ascii="Times New Roman" w:hAnsi="Times New Roman"/>
                <w:b/>
                <w:sz w:val="24"/>
                <w:szCs w:val="24"/>
              </w:rPr>
              <w:t>)</w:t>
            </w:r>
            <w:r w:rsidR="001C4138" w:rsidRPr="00554298">
              <w:rPr>
                <w:rFonts w:ascii="Times New Roman" w:hAnsi="Times New Roman"/>
                <w:b/>
                <w:sz w:val="24"/>
                <w:szCs w:val="24"/>
              </w:rPr>
              <w:br/>
              <w:t xml:space="preserve">DG </w:t>
            </w:r>
            <w:r w:rsidR="00422668" w:rsidRPr="00554298">
              <w:rPr>
                <w:rFonts w:ascii="Times New Roman" w:hAnsi="Times New Roman"/>
                <w:b/>
                <w:sz w:val="24"/>
                <w:szCs w:val="24"/>
              </w:rPr>
              <w:t>CLIMA</w:t>
            </w:r>
            <w:r w:rsidR="001C4138" w:rsidRPr="00554298">
              <w:rPr>
                <w:rFonts w:ascii="Times New Roman" w:hAnsi="Times New Roman"/>
                <w:b/>
                <w:sz w:val="24"/>
                <w:szCs w:val="24"/>
              </w:rPr>
              <w:t xml:space="preserve"> – Commissioner </w:t>
            </w:r>
            <w:r w:rsidR="00422668" w:rsidRPr="00554298">
              <w:rPr>
                <w:rFonts w:ascii="Times New Roman" w:hAnsi="Times New Roman"/>
                <w:b/>
                <w:sz w:val="24"/>
                <w:szCs w:val="24"/>
              </w:rPr>
              <w:t>HOEKSTRA</w:t>
            </w:r>
          </w:p>
        </w:tc>
      </w:tr>
      <w:tr w:rsidR="00734613" w:rsidRPr="00442552" w14:paraId="1937071F" w14:textId="77777777" w:rsidTr="004E686F">
        <w:trPr>
          <w:jc w:val="center"/>
        </w:trPr>
        <w:tc>
          <w:tcPr>
            <w:tcW w:w="9711" w:type="dxa"/>
          </w:tcPr>
          <w:p w14:paraId="1E50B4DB" w14:textId="4FA8C78E"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C937CA">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694A2F" w:rsidRPr="004F6117" w14:paraId="20F07D8C" w14:textId="77777777" w:rsidTr="009F15C6">
        <w:trPr>
          <w:trHeight w:val="1015"/>
          <w:jc w:val="center"/>
        </w:trPr>
        <w:tc>
          <w:tcPr>
            <w:tcW w:w="9711" w:type="dxa"/>
          </w:tcPr>
          <w:p w14:paraId="2E80DECF" w14:textId="4FB091C7" w:rsidR="00694A2F" w:rsidRPr="00125B5F" w:rsidRDefault="00694A2F" w:rsidP="00125B5F">
            <w:pPr>
              <w:widowControl w:val="0"/>
              <w:spacing w:before="120" w:after="120"/>
              <w:jc w:val="both"/>
              <w:rPr>
                <w:rFonts w:ascii="Times New Roman" w:hAnsi="Times New Roman"/>
                <w:sz w:val="24"/>
                <w:szCs w:val="24"/>
              </w:rPr>
            </w:pPr>
            <w:r w:rsidRPr="00125B5F">
              <w:rPr>
                <w:rFonts w:ascii="Times New Roman" w:hAnsi="Times New Roman"/>
                <w:sz w:val="24"/>
                <w:szCs w:val="24"/>
              </w:rPr>
              <w:t xml:space="preserve">The Commission welcomes the </w:t>
            </w:r>
            <w:r w:rsidR="00B26671" w:rsidRPr="00554298">
              <w:rPr>
                <w:rFonts w:ascii="Times New Roman" w:hAnsi="Times New Roman"/>
                <w:bCs/>
                <w:sz w:val="24"/>
                <w:szCs w:val="24"/>
              </w:rPr>
              <w:t>Committee’s</w:t>
            </w:r>
            <w:r w:rsidR="00B26671" w:rsidRPr="00B26671">
              <w:rPr>
                <w:rFonts w:ascii="Times New Roman" w:hAnsi="Times New Roman"/>
                <w:bCs/>
                <w:sz w:val="24"/>
                <w:szCs w:val="24"/>
              </w:rPr>
              <w:t xml:space="preserve"> </w:t>
            </w:r>
            <w:r w:rsidRPr="00125B5F">
              <w:rPr>
                <w:rFonts w:ascii="Times New Roman" w:hAnsi="Times New Roman"/>
                <w:sz w:val="24"/>
                <w:szCs w:val="24"/>
              </w:rPr>
              <w:t xml:space="preserve">opinion reflecting the important impacts of climate change on the economy. </w:t>
            </w:r>
          </w:p>
        </w:tc>
      </w:tr>
      <w:tr w:rsidR="00414EF0" w:rsidRPr="004F6117" w14:paraId="24E147B5" w14:textId="77777777" w:rsidTr="000F006A">
        <w:trPr>
          <w:trHeight w:val="3001"/>
          <w:jc w:val="center"/>
        </w:trPr>
        <w:tc>
          <w:tcPr>
            <w:tcW w:w="9711" w:type="dxa"/>
          </w:tcPr>
          <w:p w14:paraId="74EF30E7" w14:textId="77777777" w:rsidR="002C74F6" w:rsidRPr="00125B5F" w:rsidRDefault="002C74F6" w:rsidP="00125B5F">
            <w:pPr>
              <w:widowControl w:val="0"/>
              <w:spacing w:before="120" w:after="120"/>
              <w:jc w:val="both"/>
              <w:rPr>
                <w:rFonts w:ascii="Times New Roman" w:hAnsi="Times New Roman"/>
                <w:i/>
                <w:iCs/>
                <w:sz w:val="24"/>
                <w:szCs w:val="24"/>
              </w:rPr>
            </w:pPr>
            <w:r w:rsidRPr="00125B5F">
              <w:rPr>
                <w:rFonts w:ascii="Times New Roman" w:hAnsi="Times New Roman"/>
                <w:i/>
                <w:iCs/>
                <w:sz w:val="24"/>
                <w:szCs w:val="24"/>
              </w:rPr>
              <w:t xml:space="preserve">On </w:t>
            </w:r>
            <w:r w:rsidRPr="00554298">
              <w:rPr>
                <w:rFonts w:ascii="Times New Roman" w:hAnsi="Times New Roman"/>
                <w:i/>
                <w:iCs/>
                <w:sz w:val="24"/>
                <w:szCs w:val="24"/>
                <w:u w:val="single"/>
              </w:rPr>
              <w:t>point 1.1 of the opinion</w:t>
            </w:r>
            <w:r w:rsidRPr="00125B5F">
              <w:rPr>
                <w:rFonts w:ascii="Times New Roman" w:hAnsi="Times New Roman"/>
                <w:i/>
                <w:iCs/>
                <w:sz w:val="24"/>
                <w:szCs w:val="24"/>
              </w:rPr>
              <w:t>: The EESC would point out that climate change is primarily the result of human activity. This has resulted in rising sea levels, higher temperatures, wildfires and frequent, major storms which have caused widespread flooding. Climate change also causes unanticipated damage, including loss of human life. In addition, the EESC emphasises that, in nature, everything is interconnected. If nature is in balance, then the conditions are in place for good economic growth and a healthy population. This means that a long-term strategy must be adopted to safeguard public health in the wake of unanticipated instances of climate change.</w:t>
            </w:r>
          </w:p>
          <w:p w14:paraId="4E942877" w14:textId="330E8E93" w:rsidR="00293681" w:rsidRPr="00125B5F" w:rsidRDefault="002C74F6" w:rsidP="00125B5F">
            <w:pPr>
              <w:widowControl w:val="0"/>
              <w:spacing w:before="120" w:after="120"/>
              <w:jc w:val="both"/>
              <w:rPr>
                <w:rFonts w:ascii="Times New Roman" w:hAnsi="Times New Roman"/>
                <w:sz w:val="24"/>
                <w:szCs w:val="24"/>
              </w:rPr>
            </w:pPr>
            <w:r w:rsidRPr="00125B5F">
              <w:rPr>
                <w:rFonts w:ascii="Times New Roman" w:hAnsi="Times New Roman"/>
                <w:sz w:val="24"/>
                <w:szCs w:val="24"/>
              </w:rPr>
              <w:t xml:space="preserve">The Commission agrees with the need for preparedness and will propose a European Climate Adaptation Plan to support Member States in their preparedness for climate change impacts.  While it is important to point to the role of human activity on climate change and the need for preparedness to climate change, and the importance of nature for a sustainable economy, it is unclear what </w:t>
            </w:r>
            <w:r w:rsidR="009F6242" w:rsidRPr="00125B5F">
              <w:rPr>
                <w:rFonts w:ascii="Times New Roman" w:hAnsi="Times New Roman"/>
                <w:sz w:val="24"/>
                <w:szCs w:val="24"/>
              </w:rPr>
              <w:t>‘</w:t>
            </w:r>
            <w:r w:rsidRPr="00125B5F">
              <w:rPr>
                <w:rFonts w:ascii="Times New Roman" w:hAnsi="Times New Roman"/>
                <w:sz w:val="24"/>
                <w:szCs w:val="24"/>
              </w:rPr>
              <w:t>unanticipated damages</w:t>
            </w:r>
            <w:r w:rsidR="009F6242" w:rsidRPr="00125B5F">
              <w:rPr>
                <w:rFonts w:ascii="Times New Roman" w:hAnsi="Times New Roman"/>
                <w:sz w:val="24"/>
                <w:szCs w:val="24"/>
              </w:rPr>
              <w:t>’</w:t>
            </w:r>
            <w:r w:rsidRPr="00125B5F">
              <w:rPr>
                <w:rFonts w:ascii="Times New Roman" w:hAnsi="Times New Roman"/>
                <w:sz w:val="24"/>
                <w:szCs w:val="24"/>
              </w:rPr>
              <w:t xml:space="preserve"> refers to. Climate science is very robust, and </w:t>
            </w:r>
            <w:r w:rsidR="00CA1EEE" w:rsidRPr="00125B5F">
              <w:rPr>
                <w:rFonts w:ascii="Times New Roman" w:hAnsi="Times New Roman"/>
                <w:sz w:val="24"/>
                <w:szCs w:val="24"/>
              </w:rPr>
              <w:t xml:space="preserve">economic losses and </w:t>
            </w:r>
            <w:r w:rsidRPr="00125B5F">
              <w:rPr>
                <w:rFonts w:ascii="Times New Roman" w:hAnsi="Times New Roman"/>
                <w:sz w:val="24"/>
                <w:szCs w:val="24"/>
              </w:rPr>
              <w:t xml:space="preserve">the loss of human life generated by events related to climate change (e.g. heatwaves, storms or floodings) </w:t>
            </w:r>
            <w:r w:rsidR="00CA1EEE" w:rsidRPr="00125B5F">
              <w:rPr>
                <w:rFonts w:ascii="Times New Roman" w:hAnsi="Times New Roman"/>
                <w:sz w:val="24"/>
                <w:szCs w:val="24"/>
              </w:rPr>
              <w:t xml:space="preserve">are </w:t>
            </w:r>
            <w:r w:rsidRPr="00125B5F">
              <w:rPr>
                <w:rFonts w:ascii="Times New Roman" w:hAnsi="Times New Roman"/>
                <w:sz w:val="24"/>
                <w:szCs w:val="24"/>
              </w:rPr>
              <w:t>not at all unanticipated. Policies on adaptation and resilience are about preparing societies to confront future events, which it is known will occur with higher frequency and on a larger scale.</w:t>
            </w:r>
          </w:p>
        </w:tc>
      </w:tr>
      <w:tr w:rsidR="005A5095" w:rsidRPr="004F6117" w14:paraId="2F1AF3D3" w14:textId="77777777" w:rsidTr="000046C0">
        <w:trPr>
          <w:trHeight w:val="812"/>
          <w:jc w:val="center"/>
        </w:trPr>
        <w:tc>
          <w:tcPr>
            <w:tcW w:w="9711" w:type="dxa"/>
          </w:tcPr>
          <w:p w14:paraId="19F813D9" w14:textId="508078F7" w:rsidR="005A5095" w:rsidRPr="00125B5F" w:rsidRDefault="005A5095" w:rsidP="00125B5F">
            <w:pPr>
              <w:pStyle w:val="Heading2"/>
              <w:widowControl w:val="0"/>
              <w:numPr>
                <w:ilvl w:val="0"/>
                <w:numId w:val="0"/>
              </w:numPr>
              <w:spacing w:before="120" w:after="120" w:line="276" w:lineRule="auto"/>
              <w:rPr>
                <w:sz w:val="24"/>
                <w:szCs w:val="24"/>
              </w:rPr>
            </w:pPr>
            <w:r w:rsidRPr="00125B5F">
              <w:rPr>
                <w:i/>
                <w:iCs/>
                <w:sz w:val="24"/>
                <w:szCs w:val="24"/>
              </w:rPr>
              <w:t xml:space="preserve">On </w:t>
            </w:r>
            <w:r w:rsidRPr="00554298">
              <w:rPr>
                <w:i/>
                <w:iCs/>
                <w:sz w:val="24"/>
                <w:szCs w:val="24"/>
                <w:u w:val="single"/>
              </w:rPr>
              <w:t>point 1.2 of the opinion</w:t>
            </w:r>
            <w:r w:rsidRPr="00125B5F">
              <w:rPr>
                <w:i/>
                <w:iCs/>
                <w:sz w:val="24"/>
                <w:szCs w:val="24"/>
              </w:rPr>
              <w:t>: The EESC considers that climate change is an existential threat to economic and social development in the EU Member States and that it has a very negative effect on both macro and microeconomic development, business, financial and social stability, infrastructure and human health.</w:t>
            </w:r>
          </w:p>
          <w:p w14:paraId="79792FDA" w14:textId="0D32E8ED" w:rsidR="007603D6" w:rsidRPr="00125B5F" w:rsidRDefault="005A5095" w:rsidP="00125B5F">
            <w:pPr>
              <w:widowControl w:val="0"/>
              <w:spacing w:before="120" w:after="120"/>
              <w:jc w:val="both"/>
              <w:rPr>
                <w:rFonts w:ascii="Times New Roman" w:eastAsia="Times New Roman" w:hAnsi="Times New Roman"/>
                <w:sz w:val="24"/>
                <w:szCs w:val="24"/>
              </w:rPr>
            </w:pPr>
            <w:r w:rsidRPr="00125B5F">
              <w:rPr>
                <w:rFonts w:ascii="Times New Roman" w:eastAsia="Times New Roman" w:hAnsi="Times New Roman"/>
                <w:sz w:val="24"/>
                <w:szCs w:val="24"/>
              </w:rPr>
              <w:t xml:space="preserve">Climate change is expected to have varying impacts on labour markets, sectors and regions across Member States, including adverse ones. The Commission has been consistently committed to ensuring a just transition and </w:t>
            </w:r>
            <w:r w:rsidR="009F6242" w:rsidRPr="00125B5F">
              <w:rPr>
                <w:rFonts w:ascii="Times New Roman" w:eastAsia="Times New Roman" w:hAnsi="Times New Roman"/>
                <w:sz w:val="24"/>
                <w:szCs w:val="24"/>
              </w:rPr>
              <w:t>‘</w:t>
            </w:r>
            <w:r w:rsidRPr="00125B5F">
              <w:rPr>
                <w:rFonts w:ascii="Times New Roman" w:eastAsia="Times New Roman" w:hAnsi="Times New Roman"/>
                <w:sz w:val="24"/>
                <w:szCs w:val="24"/>
              </w:rPr>
              <w:t>to leave no one behind</w:t>
            </w:r>
            <w:r w:rsidR="009F6242" w:rsidRPr="00125B5F">
              <w:rPr>
                <w:rFonts w:ascii="Times New Roman" w:eastAsia="Times New Roman" w:hAnsi="Times New Roman"/>
                <w:sz w:val="24"/>
                <w:szCs w:val="24"/>
              </w:rPr>
              <w:t>’</w:t>
            </w:r>
            <w:r w:rsidRPr="00125B5F">
              <w:rPr>
                <w:rFonts w:ascii="Times New Roman" w:eastAsia="Times New Roman" w:hAnsi="Times New Roman"/>
                <w:sz w:val="24"/>
                <w:szCs w:val="24"/>
              </w:rPr>
              <w:t xml:space="preserve">. The current </w:t>
            </w:r>
            <w:r w:rsidR="00212030" w:rsidRPr="00125B5F">
              <w:rPr>
                <w:rFonts w:ascii="Times New Roman" w:eastAsia="Times New Roman" w:hAnsi="Times New Roman"/>
                <w:sz w:val="24"/>
                <w:szCs w:val="24"/>
              </w:rPr>
              <w:t>f</w:t>
            </w:r>
            <w:r w:rsidRPr="00125B5F">
              <w:rPr>
                <w:rFonts w:ascii="Times New Roman" w:eastAsia="Times New Roman" w:hAnsi="Times New Roman"/>
                <w:sz w:val="24"/>
                <w:szCs w:val="24"/>
              </w:rPr>
              <w:t>ramework for a social and just transition is made up of a varied set of budgetary and soft policy tools.</w:t>
            </w:r>
          </w:p>
          <w:p w14:paraId="2699D4FD" w14:textId="6BB4ABE2" w:rsidR="007603D6" w:rsidRPr="00125B5F" w:rsidRDefault="007603D6" w:rsidP="00125B5F">
            <w:pPr>
              <w:widowControl w:val="0"/>
              <w:spacing w:before="120" w:after="120"/>
              <w:jc w:val="both"/>
              <w:rPr>
                <w:rFonts w:ascii="Times New Roman" w:eastAsia="Times New Roman" w:hAnsi="Times New Roman"/>
                <w:sz w:val="24"/>
                <w:szCs w:val="24"/>
              </w:rPr>
            </w:pPr>
            <w:r w:rsidRPr="00125B5F">
              <w:rPr>
                <w:rFonts w:ascii="Times New Roman" w:eastAsia="Times New Roman" w:hAnsi="Times New Roman"/>
                <w:sz w:val="24"/>
                <w:szCs w:val="24"/>
                <w:lang w:val="en-US"/>
              </w:rPr>
              <w:lastRenderedPageBreak/>
              <w:t>In the context of the European Green Deal and Fit for 55 package, the</w:t>
            </w:r>
            <w:r w:rsidRPr="00125B5F">
              <w:rPr>
                <w:rFonts w:ascii="Times New Roman" w:eastAsia="Times New Roman" w:hAnsi="Times New Roman"/>
                <w:b/>
                <w:bCs/>
                <w:sz w:val="24"/>
                <w:szCs w:val="24"/>
                <w:lang w:val="en-US"/>
              </w:rPr>
              <w:t xml:space="preserve"> Council Recommendation on ensuring a fair transition towards climate neutrality</w:t>
            </w:r>
            <w:r w:rsidRPr="00125B5F">
              <w:rPr>
                <w:rFonts w:ascii="Times New Roman" w:eastAsia="Times New Roman" w:hAnsi="Times New Roman"/>
                <w:b/>
                <w:sz w:val="24"/>
                <w:szCs w:val="24"/>
                <w:vertAlign w:val="superscript"/>
                <w:lang w:val="en-US"/>
              </w:rPr>
              <w:footnoteReference w:id="2"/>
            </w:r>
            <w:r w:rsidRPr="00125B5F">
              <w:rPr>
                <w:rFonts w:ascii="Times New Roman" w:eastAsia="Times New Roman" w:hAnsi="Times New Roman"/>
                <w:b/>
                <w:bCs/>
                <w:sz w:val="24"/>
                <w:szCs w:val="24"/>
                <w:lang w:val="en-US"/>
              </w:rPr>
              <w:t xml:space="preserve"> </w:t>
            </w:r>
            <w:r w:rsidRPr="00125B5F">
              <w:rPr>
                <w:rFonts w:ascii="Times New Roman" w:eastAsia="Times New Roman" w:hAnsi="Times New Roman"/>
                <w:sz w:val="24"/>
                <w:szCs w:val="24"/>
                <w:lang w:val="en-US"/>
              </w:rPr>
              <w:t>from June 2022 invited Member States to adopt and implement comprehensive and coherent policy packages for a just transition, covering measures in the areas of employment, skills, social protection, tax-benefit systems, and access to essential services, to ensure that the transition is fair for all. This should be done in close cooperation with social partners and building on a genuine whole-of-society approach. In addition, it includes a commitment to strengthen the knowledge base for policymaking and public debate related to fair transition.</w:t>
            </w:r>
          </w:p>
          <w:p w14:paraId="51C7CC6C" w14:textId="7B46DEE2" w:rsidR="007603D6" w:rsidRPr="00125B5F" w:rsidRDefault="007603D6" w:rsidP="00125B5F">
            <w:pPr>
              <w:widowControl w:val="0"/>
              <w:spacing w:before="120" w:after="120"/>
              <w:jc w:val="both"/>
              <w:rPr>
                <w:rFonts w:ascii="Times New Roman" w:eastAsia="Times New Roman" w:hAnsi="Times New Roman"/>
                <w:sz w:val="24"/>
                <w:szCs w:val="24"/>
              </w:rPr>
            </w:pPr>
            <w:r w:rsidRPr="00125B5F">
              <w:rPr>
                <w:rFonts w:ascii="Times New Roman" w:eastAsia="Times New Roman" w:hAnsi="Times New Roman"/>
                <w:sz w:val="24"/>
                <w:szCs w:val="24"/>
              </w:rPr>
              <w:t xml:space="preserve">The </w:t>
            </w:r>
            <w:r w:rsidRPr="00125B5F">
              <w:rPr>
                <w:rFonts w:ascii="Times New Roman" w:eastAsia="Times New Roman" w:hAnsi="Times New Roman"/>
                <w:b/>
                <w:bCs/>
                <w:sz w:val="24"/>
                <w:szCs w:val="24"/>
              </w:rPr>
              <w:t xml:space="preserve">first progress review of the Council Recommendation </w:t>
            </w:r>
            <w:r w:rsidRPr="00125B5F">
              <w:rPr>
                <w:rFonts w:ascii="Times New Roman" w:eastAsia="Times New Roman" w:hAnsi="Times New Roman"/>
                <w:sz w:val="24"/>
                <w:szCs w:val="24"/>
              </w:rPr>
              <w:t>revealed that Member States are still in the early stages of implementation and that there is scope for a more systematic, coordinated and targeted approach, as well as for a better involvement of social partners and stakeholders. A</w:t>
            </w:r>
            <w:r w:rsidR="00232F96">
              <w:rPr>
                <w:rFonts w:ascii="Times New Roman" w:eastAsia="Times New Roman" w:hAnsi="Times New Roman"/>
                <w:sz w:val="24"/>
                <w:szCs w:val="24"/>
              </w:rPr>
              <w:t> </w:t>
            </w:r>
            <w:r w:rsidRPr="00125B5F">
              <w:rPr>
                <w:rFonts w:ascii="Times New Roman" w:eastAsia="Times New Roman" w:hAnsi="Times New Roman"/>
                <w:sz w:val="24"/>
                <w:szCs w:val="24"/>
              </w:rPr>
              <w:t>structured dialogue and dedicated hearings with social partners and civil society organisations also took place.</w:t>
            </w:r>
          </w:p>
          <w:p w14:paraId="2C90B82E" w14:textId="2DC7F953" w:rsidR="007603D6" w:rsidRPr="00125B5F" w:rsidRDefault="005A5095" w:rsidP="00125B5F">
            <w:pPr>
              <w:widowControl w:val="0"/>
              <w:spacing w:before="120" w:after="120"/>
              <w:jc w:val="both"/>
              <w:rPr>
                <w:rFonts w:ascii="Times New Roman" w:eastAsia="Times New Roman" w:hAnsi="Times New Roman"/>
                <w:sz w:val="24"/>
                <w:szCs w:val="24"/>
              </w:rPr>
            </w:pPr>
            <w:r w:rsidRPr="00125B5F">
              <w:rPr>
                <w:rFonts w:ascii="Times New Roman" w:eastAsia="Times New Roman" w:hAnsi="Times New Roman"/>
                <w:sz w:val="24"/>
                <w:szCs w:val="24"/>
              </w:rPr>
              <w:t>The commitment towards a just transition was recently reinstated and reinforced</w:t>
            </w:r>
            <w:r w:rsidRPr="00125B5F">
              <w:rPr>
                <w:rFonts w:ascii="Times New Roman" w:eastAsia="Times New Roman" w:hAnsi="Times New Roman"/>
                <w:b/>
                <w:bCs/>
                <w:i/>
                <w:iCs/>
                <w:sz w:val="24"/>
                <w:szCs w:val="24"/>
              </w:rPr>
              <w:t xml:space="preserve"> </w:t>
            </w:r>
            <w:r w:rsidRPr="00125B5F">
              <w:rPr>
                <w:rFonts w:ascii="Times New Roman" w:eastAsia="Times New Roman" w:hAnsi="Times New Roman"/>
                <w:sz w:val="24"/>
                <w:szCs w:val="24"/>
              </w:rPr>
              <w:t>in the new Political Guidelines and President’s mission letters, by referring to a significant increase in funding for a just transition across the next long-term budget.</w:t>
            </w:r>
          </w:p>
          <w:p w14:paraId="08A26808" w14:textId="68E16C66" w:rsidR="007603D6" w:rsidRPr="00125B5F" w:rsidRDefault="007603D6" w:rsidP="00125B5F">
            <w:pPr>
              <w:widowControl w:val="0"/>
              <w:spacing w:before="120" w:after="120"/>
              <w:jc w:val="both"/>
              <w:rPr>
                <w:rFonts w:ascii="Times New Roman" w:eastAsia="Times New Roman" w:hAnsi="Times New Roman"/>
                <w:sz w:val="24"/>
                <w:szCs w:val="24"/>
              </w:rPr>
            </w:pPr>
            <w:r w:rsidRPr="00125B5F">
              <w:rPr>
                <w:rFonts w:ascii="Times New Roman" w:eastAsia="Times New Roman" w:hAnsi="Times New Roman"/>
                <w:sz w:val="24"/>
                <w:szCs w:val="24"/>
              </w:rPr>
              <w:t xml:space="preserve">As a follow up of the Council Recommendation, a </w:t>
            </w:r>
            <w:r w:rsidRPr="00125B5F">
              <w:rPr>
                <w:rFonts w:ascii="Times New Roman" w:eastAsia="Times New Roman" w:hAnsi="Times New Roman"/>
                <w:b/>
                <w:bCs/>
                <w:sz w:val="24"/>
                <w:szCs w:val="24"/>
              </w:rPr>
              <w:t>European Fair Transition Observatory</w:t>
            </w:r>
            <w:r w:rsidRPr="00125B5F">
              <w:rPr>
                <w:rFonts w:ascii="Times New Roman" w:eastAsia="Times New Roman" w:hAnsi="Times New Roman"/>
                <w:sz w:val="24"/>
                <w:szCs w:val="24"/>
              </w:rPr>
              <w:t xml:space="preserve"> will be established. It will provide a shared platform for supporting and monitoring the implementation, effectiveness, and impact of fair transition strategies, policies, measures, and investments, at all levels and involving key stakeholders. In addition, the Commission continues work on supporting the transition, through various initiatives and in consultation with social partners and other stakeholders, sometimes with a focus on specific sectors. A Strategic Dialogue on the Future of the Automotive Industry was launched on 30</w:t>
            </w:r>
            <w:r w:rsidR="00B26671">
              <w:rPr>
                <w:rFonts w:ascii="Times New Roman" w:eastAsia="Times New Roman" w:hAnsi="Times New Roman"/>
                <w:sz w:val="24"/>
                <w:szCs w:val="24"/>
              </w:rPr>
              <w:t> </w:t>
            </w:r>
            <w:r w:rsidRPr="00125B5F">
              <w:rPr>
                <w:rFonts w:ascii="Times New Roman" w:eastAsia="Times New Roman" w:hAnsi="Times New Roman"/>
                <w:sz w:val="24"/>
                <w:szCs w:val="24"/>
              </w:rPr>
              <w:t>January 2025, bringing together key stakeholders from the industry to propose and implement measures needed for the sector.</w:t>
            </w:r>
          </w:p>
          <w:p w14:paraId="32E5A5EB" w14:textId="3060D3C3" w:rsidR="0011581F" w:rsidRPr="00125B5F" w:rsidRDefault="007603D6" w:rsidP="00125B5F">
            <w:pPr>
              <w:widowControl w:val="0"/>
              <w:spacing w:before="120" w:after="120"/>
              <w:jc w:val="both"/>
              <w:rPr>
                <w:rFonts w:ascii="Times New Roman" w:hAnsi="Times New Roman"/>
                <w:sz w:val="24"/>
                <w:szCs w:val="24"/>
              </w:rPr>
            </w:pPr>
            <w:r w:rsidRPr="00125B5F">
              <w:rPr>
                <w:rFonts w:ascii="Times New Roman" w:eastAsia="Times New Roman" w:hAnsi="Times New Roman"/>
                <w:sz w:val="24"/>
                <w:szCs w:val="24"/>
                <w:lang w:val="en-US"/>
              </w:rPr>
              <w:t xml:space="preserve">The EU has established several funds to support a just transition to a low-carbon economy. </w:t>
            </w:r>
            <w:r w:rsidRPr="00125B5F">
              <w:rPr>
                <w:rFonts w:ascii="Times New Roman" w:eastAsia="Times New Roman" w:hAnsi="Times New Roman"/>
                <w:sz w:val="24"/>
                <w:szCs w:val="24"/>
              </w:rPr>
              <w:t xml:space="preserve">This includes the preparation and implementation of the </w:t>
            </w:r>
            <w:r w:rsidRPr="00125B5F">
              <w:rPr>
                <w:rFonts w:ascii="Times New Roman" w:eastAsia="Times New Roman" w:hAnsi="Times New Roman"/>
                <w:b/>
                <w:bCs/>
                <w:sz w:val="24"/>
                <w:szCs w:val="24"/>
              </w:rPr>
              <w:t>Just Transition Fund</w:t>
            </w:r>
            <w:r w:rsidRPr="00125B5F">
              <w:rPr>
                <w:rFonts w:ascii="Times New Roman" w:eastAsia="Times New Roman" w:hAnsi="Times New Roman"/>
                <w:sz w:val="24"/>
                <w:szCs w:val="24"/>
              </w:rPr>
              <w:t xml:space="preserve">, a cohesion policy instrument with a unique framework based on territorial just transition plans, which allows the Commission to reflect on how EU funding can be deployed to tackle specific transition challenges and draw lessons. </w:t>
            </w:r>
            <w:r w:rsidRPr="00125B5F">
              <w:rPr>
                <w:rFonts w:ascii="Times New Roman" w:eastAsia="Times New Roman" w:hAnsi="Times New Roman"/>
                <w:sz w:val="24"/>
                <w:szCs w:val="24"/>
                <w:lang w:val="en-US"/>
              </w:rPr>
              <w:t xml:space="preserve">In addition, the new </w:t>
            </w:r>
            <w:r w:rsidRPr="00125B5F">
              <w:rPr>
                <w:rFonts w:ascii="Times New Roman" w:eastAsia="Times New Roman" w:hAnsi="Times New Roman"/>
                <w:b/>
                <w:bCs/>
                <w:sz w:val="24"/>
                <w:szCs w:val="24"/>
                <w:lang w:val="en-US"/>
              </w:rPr>
              <w:t>Social Climate Fund</w:t>
            </w:r>
            <w:r w:rsidRPr="00125B5F">
              <w:rPr>
                <w:rFonts w:ascii="Times New Roman" w:eastAsia="Times New Roman" w:hAnsi="Times New Roman"/>
                <w:sz w:val="24"/>
                <w:szCs w:val="24"/>
                <w:lang w:val="en-US"/>
              </w:rPr>
              <w:t>, which is currently being set up, will support vulnerable households, transport users and microenterprises.</w:t>
            </w:r>
          </w:p>
        </w:tc>
      </w:tr>
      <w:tr w:rsidR="002C74F6" w:rsidRPr="004F6117" w14:paraId="4225BC44" w14:textId="77777777" w:rsidTr="003D7A5B">
        <w:trPr>
          <w:trHeight w:val="812"/>
          <w:jc w:val="center"/>
        </w:trPr>
        <w:tc>
          <w:tcPr>
            <w:tcW w:w="9711" w:type="dxa"/>
          </w:tcPr>
          <w:p w14:paraId="4B30CFB5" w14:textId="2B087F44" w:rsidR="002C74F6" w:rsidRPr="00125B5F" w:rsidRDefault="002C74F6" w:rsidP="00125B5F">
            <w:pPr>
              <w:pStyle w:val="Heading2"/>
              <w:widowControl w:val="0"/>
              <w:numPr>
                <w:ilvl w:val="0"/>
                <w:numId w:val="0"/>
              </w:numPr>
              <w:spacing w:before="120" w:after="120" w:line="276" w:lineRule="auto"/>
              <w:rPr>
                <w:i/>
                <w:iCs/>
                <w:sz w:val="24"/>
                <w:szCs w:val="24"/>
              </w:rPr>
            </w:pPr>
            <w:r w:rsidRPr="00125B5F">
              <w:rPr>
                <w:i/>
                <w:iCs/>
                <w:sz w:val="24"/>
                <w:szCs w:val="24"/>
              </w:rPr>
              <w:lastRenderedPageBreak/>
              <w:t xml:space="preserve">On </w:t>
            </w:r>
            <w:r w:rsidRPr="00554298">
              <w:rPr>
                <w:i/>
                <w:iCs/>
                <w:sz w:val="24"/>
                <w:szCs w:val="24"/>
                <w:u w:val="single"/>
              </w:rPr>
              <w:t xml:space="preserve">point 1.3 of the </w:t>
            </w:r>
            <w:r w:rsidR="00125B5F">
              <w:rPr>
                <w:i/>
                <w:iCs/>
                <w:sz w:val="24"/>
                <w:szCs w:val="24"/>
                <w:u w:val="single"/>
              </w:rPr>
              <w:t>o</w:t>
            </w:r>
            <w:r w:rsidRPr="00554298">
              <w:rPr>
                <w:i/>
                <w:iCs/>
                <w:sz w:val="24"/>
                <w:szCs w:val="24"/>
                <w:u w:val="single"/>
              </w:rPr>
              <w:t>pinion</w:t>
            </w:r>
            <w:r w:rsidRPr="00125B5F">
              <w:rPr>
                <w:i/>
                <w:iCs/>
                <w:sz w:val="24"/>
                <w:szCs w:val="24"/>
              </w:rPr>
              <w:t>: The EESC stresses that no time can be lost in adopting and implementing all necessary measures to reduce emissions (mitigation) and adapt to the new conditions (adaptation), including introducing prices on emissions and a carbon tax in line with the latest recommendation of the European Commission. The social cost of carbon dioxide, which measures the monetised value of the damage to society caused by each additional metric tonne of CO</w:t>
            </w:r>
            <w:r w:rsidRPr="00125B5F">
              <w:rPr>
                <w:i/>
                <w:iCs/>
                <w:sz w:val="24"/>
                <w:szCs w:val="24"/>
                <w:vertAlign w:val="subscript"/>
              </w:rPr>
              <w:t>2</w:t>
            </w:r>
            <w:r w:rsidRPr="00125B5F">
              <w:rPr>
                <w:i/>
                <w:iCs/>
                <w:sz w:val="24"/>
                <w:szCs w:val="24"/>
              </w:rPr>
              <w:t xml:space="preserve"> emissions, should be made a key metric in forming climate policy in the European Union (EU).</w:t>
            </w:r>
          </w:p>
          <w:p w14:paraId="1A6C9281" w14:textId="2A23D071" w:rsidR="002C74F6" w:rsidRPr="00125B5F" w:rsidRDefault="002C74F6" w:rsidP="00125B5F">
            <w:pPr>
              <w:widowControl w:val="0"/>
              <w:spacing w:before="120" w:after="120"/>
              <w:jc w:val="both"/>
              <w:rPr>
                <w:rFonts w:ascii="Times New Roman" w:hAnsi="Times New Roman"/>
                <w:sz w:val="24"/>
                <w:szCs w:val="24"/>
              </w:rPr>
            </w:pPr>
            <w:r w:rsidRPr="00125B5F">
              <w:rPr>
                <w:rFonts w:ascii="Times New Roman" w:hAnsi="Times New Roman"/>
                <w:sz w:val="24"/>
                <w:szCs w:val="24"/>
              </w:rPr>
              <w:lastRenderedPageBreak/>
              <w:t>The Commission welcomes the EESC</w:t>
            </w:r>
            <w:r w:rsidR="00CA1EEE" w:rsidRPr="00125B5F">
              <w:rPr>
                <w:rFonts w:ascii="Times New Roman" w:hAnsi="Times New Roman"/>
                <w:sz w:val="24"/>
                <w:szCs w:val="24"/>
              </w:rPr>
              <w:t>’</w:t>
            </w:r>
            <w:r w:rsidRPr="00125B5F">
              <w:rPr>
                <w:rFonts w:ascii="Times New Roman" w:hAnsi="Times New Roman"/>
                <w:sz w:val="24"/>
                <w:szCs w:val="24"/>
              </w:rPr>
              <w:t xml:space="preserve">s call for accelerated mitigation action, including its emphasis on market-based approaches such as carbon pricing. </w:t>
            </w:r>
            <w:r w:rsidR="00716CA0" w:rsidRPr="00125B5F">
              <w:rPr>
                <w:rFonts w:ascii="Times New Roman" w:hAnsi="Times New Roman"/>
                <w:sz w:val="24"/>
                <w:szCs w:val="24"/>
              </w:rPr>
              <w:t xml:space="preserve">In the </w:t>
            </w:r>
            <w:r w:rsidR="00716CA0" w:rsidRPr="00125B5F">
              <w:rPr>
                <w:rFonts w:ascii="Times New Roman" w:hAnsi="Times New Roman"/>
                <w:sz w:val="24"/>
                <w:szCs w:val="24"/>
                <w:lang w:val="en-IE"/>
              </w:rPr>
              <w:t>Competitiveness Compass</w:t>
            </w:r>
            <w:r w:rsidR="00716CA0" w:rsidRPr="00125B5F">
              <w:rPr>
                <w:rFonts w:ascii="Times New Roman" w:hAnsi="Times New Roman"/>
                <w:bCs/>
                <w:iCs/>
                <w:sz w:val="24"/>
                <w:szCs w:val="24"/>
                <w:vertAlign w:val="superscript"/>
              </w:rPr>
              <w:footnoteReference w:id="3"/>
            </w:r>
            <w:r w:rsidR="00716CA0" w:rsidRPr="00125B5F">
              <w:rPr>
                <w:rFonts w:ascii="Times New Roman" w:hAnsi="Times New Roman"/>
                <w:sz w:val="24"/>
                <w:szCs w:val="24"/>
                <w:lang w:val="en-IE"/>
              </w:rPr>
              <w:t>, that the Commission adopted on 29</w:t>
            </w:r>
            <w:r w:rsidR="00B26671">
              <w:rPr>
                <w:rFonts w:ascii="Times New Roman" w:hAnsi="Times New Roman"/>
                <w:sz w:val="24"/>
                <w:szCs w:val="24"/>
                <w:lang w:val="en-IE"/>
              </w:rPr>
              <w:t> </w:t>
            </w:r>
            <w:r w:rsidR="00716CA0" w:rsidRPr="00125B5F">
              <w:rPr>
                <w:rFonts w:ascii="Times New Roman" w:hAnsi="Times New Roman"/>
                <w:sz w:val="24"/>
                <w:szCs w:val="24"/>
                <w:lang w:val="en-IE"/>
              </w:rPr>
              <w:t xml:space="preserve">January 2025, a joint plan for decarbonisation and competitiveness, that includes the Clean Industry Deal with an Industrial Decarbonisation Accelerator Act and other initiatives at its core, to reach the agreed decarbonisation goals. </w:t>
            </w:r>
            <w:r w:rsidRPr="00125B5F">
              <w:rPr>
                <w:rFonts w:ascii="Times New Roman" w:hAnsi="Times New Roman"/>
                <w:sz w:val="24"/>
                <w:szCs w:val="24"/>
              </w:rPr>
              <w:t xml:space="preserve">The Commission is currently discussing with stakeholders several policy ideas to accelerate climate </w:t>
            </w:r>
            <w:r w:rsidR="00B21208" w:rsidRPr="00125B5F">
              <w:rPr>
                <w:rFonts w:ascii="Times New Roman" w:hAnsi="Times New Roman"/>
                <w:sz w:val="24"/>
                <w:szCs w:val="24"/>
              </w:rPr>
              <w:t xml:space="preserve">change </w:t>
            </w:r>
            <w:r w:rsidRPr="00125B5F">
              <w:rPr>
                <w:rFonts w:ascii="Times New Roman" w:hAnsi="Times New Roman"/>
                <w:sz w:val="24"/>
                <w:szCs w:val="24"/>
              </w:rPr>
              <w:t>mitigation in the agriculture and forestry sectors, and to create economic opportunities for actors in these sectors. To this end, the recently adopted Carbon Removal Certification Framework will provide the basis for a new incentive framework to reward actors conducting carbon dioxide removals at scale.</w:t>
            </w:r>
          </w:p>
          <w:p w14:paraId="4314792E" w14:textId="16E367B3" w:rsidR="00B31A34" w:rsidRPr="00125B5F" w:rsidRDefault="002C74F6" w:rsidP="00125B5F">
            <w:pPr>
              <w:widowControl w:val="0"/>
              <w:spacing w:before="120" w:after="120"/>
              <w:jc w:val="both"/>
              <w:rPr>
                <w:rFonts w:ascii="Times New Roman" w:hAnsi="Times New Roman"/>
                <w:sz w:val="24"/>
                <w:szCs w:val="24"/>
                <w:lang w:val="en-IE"/>
              </w:rPr>
            </w:pPr>
            <w:r w:rsidRPr="00125B5F">
              <w:rPr>
                <w:rFonts w:ascii="Times New Roman" w:hAnsi="Times New Roman"/>
                <w:sz w:val="24"/>
                <w:szCs w:val="24"/>
              </w:rPr>
              <w:t>It is important to distinguish between EU and Member State level measures. A large proportion of EU domestic CO</w:t>
            </w:r>
            <w:r w:rsidRPr="00554298">
              <w:rPr>
                <w:rFonts w:ascii="Times New Roman" w:hAnsi="Times New Roman"/>
                <w:sz w:val="24"/>
                <w:szCs w:val="24"/>
                <w:vertAlign w:val="subscript"/>
              </w:rPr>
              <w:t>2</w:t>
            </w:r>
            <w:r w:rsidRPr="00125B5F">
              <w:rPr>
                <w:rFonts w:ascii="Times New Roman" w:hAnsi="Times New Roman"/>
                <w:sz w:val="24"/>
                <w:szCs w:val="24"/>
              </w:rPr>
              <w:t xml:space="preserve"> emissions will be subject to carbon pricing with the implementation of the </w:t>
            </w:r>
            <w:r w:rsidR="00CA1EEE" w:rsidRPr="00125B5F">
              <w:rPr>
                <w:rFonts w:ascii="Times New Roman" w:hAnsi="Times New Roman"/>
                <w:sz w:val="24"/>
                <w:szCs w:val="24"/>
              </w:rPr>
              <w:t xml:space="preserve">new </w:t>
            </w:r>
            <w:r w:rsidR="007C0514" w:rsidRPr="00125B5F">
              <w:rPr>
                <w:rFonts w:ascii="Times New Roman" w:hAnsi="Times New Roman"/>
                <w:sz w:val="24"/>
                <w:szCs w:val="24"/>
              </w:rPr>
              <w:t>European Union Emissions Trading Scheme</w:t>
            </w:r>
            <w:r w:rsidR="00B26671">
              <w:rPr>
                <w:rFonts w:ascii="Times New Roman" w:hAnsi="Times New Roman"/>
                <w:sz w:val="24"/>
                <w:szCs w:val="24"/>
              </w:rPr>
              <w:t> </w:t>
            </w:r>
            <w:r w:rsidR="007C0514" w:rsidRPr="00125B5F">
              <w:rPr>
                <w:rFonts w:ascii="Times New Roman" w:hAnsi="Times New Roman"/>
                <w:sz w:val="24"/>
                <w:szCs w:val="24"/>
              </w:rPr>
              <w:t xml:space="preserve">(ETS) </w:t>
            </w:r>
            <w:r w:rsidRPr="00125B5F">
              <w:rPr>
                <w:rFonts w:ascii="Times New Roman" w:hAnsi="Times New Roman"/>
                <w:sz w:val="24"/>
                <w:szCs w:val="24"/>
              </w:rPr>
              <w:t>for emissions from buildings and transport</w:t>
            </w:r>
            <w:r w:rsidR="00B26671">
              <w:rPr>
                <w:rFonts w:ascii="Times New Roman" w:hAnsi="Times New Roman"/>
                <w:sz w:val="24"/>
                <w:szCs w:val="24"/>
              </w:rPr>
              <w:t> </w:t>
            </w:r>
            <w:r w:rsidRPr="00125B5F">
              <w:rPr>
                <w:rFonts w:ascii="Times New Roman" w:hAnsi="Times New Roman"/>
                <w:sz w:val="24"/>
                <w:szCs w:val="24"/>
              </w:rPr>
              <w:t>(ETS2). The ETS2 legislation has already been adopted and the system will become fully operational</w:t>
            </w:r>
            <w:r w:rsidR="00830D4C" w:rsidRPr="00125B5F">
              <w:rPr>
                <w:rFonts w:ascii="Times New Roman" w:hAnsi="Times New Roman"/>
                <w:sz w:val="24"/>
                <w:szCs w:val="24"/>
              </w:rPr>
              <w:t xml:space="preserve"> </w:t>
            </w:r>
            <w:r w:rsidR="00B21208" w:rsidRPr="00125B5F">
              <w:rPr>
                <w:rFonts w:ascii="Times New Roman" w:hAnsi="Times New Roman"/>
                <w:sz w:val="24"/>
                <w:szCs w:val="24"/>
              </w:rPr>
              <w:t xml:space="preserve">(i.e. with the start of the surrendering obligation) </w:t>
            </w:r>
            <w:r w:rsidRPr="00125B5F">
              <w:rPr>
                <w:rFonts w:ascii="Times New Roman" w:hAnsi="Times New Roman"/>
                <w:sz w:val="24"/>
                <w:szCs w:val="24"/>
              </w:rPr>
              <w:t xml:space="preserve">in 2027, or one </w:t>
            </w:r>
            <w:r w:rsidRPr="00125B5F">
              <w:rPr>
                <w:rFonts w:ascii="Times New Roman" w:hAnsi="Times New Roman"/>
                <w:sz w:val="24"/>
                <w:szCs w:val="24"/>
                <w:lang w:val="en-US"/>
              </w:rPr>
              <w:t>year later in case of exceptionally high gas or oil prices.</w:t>
            </w:r>
            <w:r w:rsidR="00D62311" w:rsidRPr="00125B5F">
              <w:rPr>
                <w:rFonts w:ascii="Times New Roman" w:hAnsi="Times New Roman"/>
                <w:sz w:val="24"/>
                <w:szCs w:val="24"/>
                <w:lang w:val="en-US"/>
              </w:rPr>
              <w:t xml:space="preserve"> </w:t>
            </w:r>
            <w:r w:rsidR="00D62311" w:rsidRPr="00125B5F">
              <w:rPr>
                <w:rFonts w:ascii="Times New Roman" w:hAnsi="Times New Roman"/>
                <w:sz w:val="24"/>
                <w:szCs w:val="24"/>
                <w:lang w:val="en-IE"/>
              </w:rPr>
              <w:t>To support vulnerable households, micro-enterprises, and transport users affected by the transition, the Social Climate Fund will be operational as of 2026, providing financial assistance and mitigating measures. Member States are expected to submit their Social Climate Plans by June 2025, detailing how they intend to use this fund to address social impacts and ensure a fair transition.</w:t>
            </w:r>
          </w:p>
          <w:p w14:paraId="32ADBBD1" w14:textId="05B1A0B6" w:rsidR="002C74F6" w:rsidRPr="00125B5F" w:rsidRDefault="002C74F6" w:rsidP="00125B5F">
            <w:pPr>
              <w:widowControl w:val="0"/>
              <w:spacing w:before="120" w:after="120"/>
              <w:jc w:val="both"/>
              <w:rPr>
                <w:rFonts w:ascii="Times New Roman" w:hAnsi="Times New Roman"/>
                <w:sz w:val="24"/>
                <w:szCs w:val="24"/>
              </w:rPr>
            </w:pPr>
            <w:r w:rsidRPr="00125B5F">
              <w:rPr>
                <w:rFonts w:ascii="Times New Roman" w:hAnsi="Times New Roman"/>
                <w:sz w:val="24"/>
                <w:szCs w:val="24"/>
              </w:rPr>
              <w:t xml:space="preserve">In addition, the Commission has proposed a revision of the </w:t>
            </w:r>
            <w:r w:rsidR="00293681" w:rsidRPr="00125B5F">
              <w:rPr>
                <w:rFonts w:ascii="Times New Roman" w:hAnsi="Times New Roman"/>
                <w:sz w:val="24"/>
                <w:szCs w:val="24"/>
              </w:rPr>
              <w:t xml:space="preserve">Energy Taxation Directive. Even though it does not imply a tax on emissions, the proposal aims at </w:t>
            </w:r>
            <w:r w:rsidR="00293681" w:rsidRPr="00125B5F">
              <w:rPr>
                <w:rFonts w:ascii="Times New Roman" w:hAnsi="Times New Roman"/>
                <w:sz w:val="24"/>
                <w:szCs w:val="24"/>
                <w:lang w:val="en-IE"/>
              </w:rPr>
              <w:t>aligning taxation of energy products and electricity with other EU energy, environment and climate policies thus contributing to the EU efforts to reduce emissions. It also aims at providing a framework that preserves and improves the EU internal market by updating the scope and the structure of rates as well as by rationalising the use of tax exemptions and reductions by Member States, at the same time preserving the capacity to generate revenues from energy taxation for the budgets of the Member States.</w:t>
            </w:r>
          </w:p>
          <w:p w14:paraId="3808BC1F" w14:textId="2985A99F" w:rsidR="002C74F6" w:rsidRPr="00125B5F" w:rsidRDefault="002C74F6" w:rsidP="00125B5F">
            <w:pPr>
              <w:pStyle w:val="pf0"/>
              <w:widowControl w:val="0"/>
              <w:spacing w:before="120" w:beforeAutospacing="0" w:after="120" w:afterAutospacing="0"/>
              <w:jc w:val="both"/>
            </w:pPr>
            <w:r w:rsidRPr="00125B5F">
              <w:t>While the cost of carbon is an important metric for the analysis of climate action, there is a debate on which cost of carbon metric to use in specific circumstances. With the requirement to reach climate neutrality across the EU economy under the EU climate law, any increase in emissions in one sector has to be compensated by reductions in others. The mitigation cost of carbon (or avoidance cost), which is the cost to abate emissions in order to remain within the target, can then be seen as an appropriate metric for many policy decisions</w:t>
            </w:r>
            <w:r w:rsidR="00CA1EEE" w:rsidRPr="00125B5F">
              <w:t xml:space="preserve"> and is used by Commission services when assessing the impact of new climate and energy policy proposals</w:t>
            </w:r>
            <w:r w:rsidR="005D4F4C" w:rsidRPr="00125B5F">
              <w:rPr>
                <w:rStyle w:val="FootnoteReference"/>
              </w:rPr>
              <w:footnoteReference w:id="4"/>
            </w:r>
            <w:r w:rsidR="00B26671">
              <w:t>.</w:t>
            </w:r>
          </w:p>
        </w:tc>
      </w:tr>
      <w:tr w:rsidR="0011581F" w:rsidRPr="004F6117" w14:paraId="2EAB5AD7" w14:textId="77777777" w:rsidTr="003D7A5B">
        <w:trPr>
          <w:trHeight w:val="812"/>
          <w:jc w:val="center"/>
        </w:trPr>
        <w:tc>
          <w:tcPr>
            <w:tcW w:w="9711" w:type="dxa"/>
          </w:tcPr>
          <w:p w14:paraId="01884805" w14:textId="77777777" w:rsidR="0011581F" w:rsidRPr="00125B5F" w:rsidRDefault="0011581F" w:rsidP="00125B5F">
            <w:pPr>
              <w:pStyle w:val="Heading2"/>
              <w:widowControl w:val="0"/>
              <w:numPr>
                <w:ilvl w:val="0"/>
                <w:numId w:val="0"/>
              </w:numPr>
              <w:spacing w:before="120" w:after="120" w:line="276" w:lineRule="auto"/>
              <w:rPr>
                <w:i/>
                <w:iCs/>
                <w:sz w:val="24"/>
                <w:szCs w:val="24"/>
              </w:rPr>
            </w:pPr>
            <w:r w:rsidRPr="00125B5F">
              <w:rPr>
                <w:i/>
                <w:iCs/>
                <w:sz w:val="24"/>
                <w:szCs w:val="24"/>
              </w:rPr>
              <w:lastRenderedPageBreak/>
              <w:t xml:space="preserve">On </w:t>
            </w:r>
            <w:r w:rsidRPr="00554298">
              <w:rPr>
                <w:i/>
                <w:iCs/>
                <w:sz w:val="24"/>
                <w:szCs w:val="24"/>
                <w:u w:val="single"/>
              </w:rPr>
              <w:t>point 1.4 of the opinion</w:t>
            </w:r>
            <w:r w:rsidRPr="00125B5F">
              <w:rPr>
                <w:i/>
                <w:iCs/>
                <w:sz w:val="24"/>
                <w:szCs w:val="24"/>
              </w:rPr>
              <w:t>: The EESC calls for social dialogue and collective bargaining to be integrated into climate transition discussion at all levels.</w:t>
            </w:r>
          </w:p>
          <w:p w14:paraId="29E4194D" w14:textId="602B1D6E" w:rsidR="0011581F" w:rsidRPr="00125B5F" w:rsidRDefault="0011581F" w:rsidP="00125B5F">
            <w:pPr>
              <w:widowControl w:val="0"/>
              <w:spacing w:before="120" w:after="120"/>
              <w:jc w:val="both"/>
              <w:rPr>
                <w:rFonts w:ascii="Times New Roman" w:hAnsi="Times New Roman"/>
                <w:sz w:val="24"/>
                <w:szCs w:val="24"/>
              </w:rPr>
            </w:pPr>
            <w:r w:rsidRPr="00125B5F">
              <w:rPr>
                <w:rFonts w:ascii="Times New Roman" w:hAnsi="Times New Roman"/>
                <w:sz w:val="24"/>
                <w:szCs w:val="24"/>
              </w:rPr>
              <w:t xml:space="preserve">Given the scope and the multi-faceted nature of the topic, the Commission welcomes the </w:t>
            </w:r>
            <w:r w:rsidR="00212030" w:rsidRPr="00125B5F">
              <w:rPr>
                <w:rFonts w:ascii="Times New Roman" w:hAnsi="Times New Roman"/>
                <w:sz w:val="24"/>
                <w:szCs w:val="24"/>
              </w:rPr>
              <w:t>EESC</w:t>
            </w:r>
            <w:r w:rsidRPr="00125B5F">
              <w:rPr>
                <w:rFonts w:ascii="Times New Roman" w:hAnsi="Times New Roman"/>
                <w:sz w:val="24"/>
                <w:szCs w:val="24"/>
              </w:rPr>
              <w:t>’s recommendations on integrating social dialogue and collective bargaining into climate transition discussions at all levels, the necessity of timely adjustments in the labour market and education system and of comprehensive reforms.</w:t>
            </w:r>
          </w:p>
        </w:tc>
      </w:tr>
      <w:tr w:rsidR="00EE5203" w:rsidRPr="004F6117" w14:paraId="6C634FEF" w14:textId="77777777" w:rsidTr="00591C4B">
        <w:trPr>
          <w:trHeight w:val="812"/>
          <w:jc w:val="center"/>
        </w:trPr>
        <w:tc>
          <w:tcPr>
            <w:tcW w:w="9711" w:type="dxa"/>
          </w:tcPr>
          <w:p w14:paraId="3750CBD9" w14:textId="4953C561" w:rsidR="00EE5203" w:rsidRPr="00125B5F" w:rsidRDefault="00EE5203" w:rsidP="00125B5F">
            <w:pPr>
              <w:pStyle w:val="Heading2"/>
              <w:widowControl w:val="0"/>
              <w:numPr>
                <w:ilvl w:val="0"/>
                <w:numId w:val="0"/>
              </w:numPr>
              <w:spacing w:before="120" w:after="120" w:line="276" w:lineRule="auto"/>
              <w:rPr>
                <w:sz w:val="24"/>
                <w:szCs w:val="24"/>
              </w:rPr>
            </w:pPr>
            <w:r w:rsidRPr="00125B5F">
              <w:rPr>
                <w:bCs/>
                <w:i/>
                <w:iCs/>
                <w:sz w:val="24"/>
                <w:szCs w:val="24"/>
              </w:rPr>
              <w:t xml:space="preserve">On </w:t>
            </w:r>
            <w:r w:rsidRPr="00554298">
              <w:rPr>
                <w:bCs/>
                <w:i/>
                <w:iCs/>
                <w:sz w:val="24"/>
                <w:szCs w:val="24"/>
                <w:u w:val="single"/>
              </w:rPr>
              <w:t>point 2.2 of the opinion</w:t>
            </w:r>
            <w:r w:rsidRPr="00125B5F">
              <w:rPr>
                <w:bCs/>
                <w:i/>
                <w:iCs/>
                <w:sz w:val="24"/>
                <w:szCs w:val="24"/>
              </w:rPr>
              <w:t>: The costs of no action to tackle climate change will be very high.</w:t>
            </w:r>
            <w:r w:rsidRPr="00125B5F">
              <w:rPr>
                <w:i/>
                <w:iCs/>
                <w:sz w:val="24"/>
                <w:szCs w:val="24"/>
              </w:rPr>
              <w:t xml:space="preserve"> The preliminary data indicates annual costs of EUR 600 billion for the period 2024-2030. Lost economic output due to increased mortality, poorer health, decreased productivity and shortened lives will directly influence economic prospects, especially taking into account the exponential (not linear) type of impact from each additional tonne of CO</w:t>
            </w:r>
            <w:r w:rsidRPr="00125B5F">
              <w:rPr>
                <w:i/>
                <w:iCs/>
                <w:sz w:val="24"/>
                <w:szCs w:val="24"/>
                <w:vertAlign w:val="subscript"/>
              </w:rPr>
              <w:t>2</w:t>
            </w:r>
            <w:r w:rsidRPr="00125B5F">
              <w:rPr>
                <w:i/>
                <w:iCs/>
                <w:sz w:val="24"/>
                <w:szCs w:val="24"/>
              </w:rPr>
              <w:t xml:space="preserve"> emitted. For example, according to the 2023 Lancet report</w:t>
            </w:r>
            <w:r w:rsidRPr="00125B5F">
              <w:rPr>
                <w:rStyle w:val="FootnoteReference"/>
                <w:i/>
                <w:iCs/>
                <w:szCs w:val="24"/>
              </w:rPr>
              <w:footnoteReference w:id="5"/>
            </w:r>
            <w:r w:rsidRPr="00125B5F">
              <w:rPr>
                <w:i/>
                <w:iCs/>
                <w:sz w:val="24"/>
                <w:szCs w:val="24"/>
              </w:rPr>
              <w:t xml:space="preserve"> 490 billion productive work hours were lost at global level in 2023 due to heatwaves alone, and this number will continue rising in line with heat trends.</w:t>
            </w:r>
          </w:p>
          <w:p w14:paraId="3CB44FB9" w14:textId="1CAEED51" w:rsidR="00EE5203" w:rsidRPr="00125B5F" w:rsidRDefault="00EE5203" w:rsidP="00125B5F">
            <w:pPr>
              <w:widowControl w:val="0"/>
              <w:spacing w:before="120" w:after="120"/>
              <w:jc w:val="both"/>
              <w:rPr>
                <w:rFonts w:ascii="Times New Roman" w:hAnsi="Times New Roman"/>
                <w:sz w:val="24"/>
                <w:szCs w:val="24"/>
              </w:rPr>
            </w:pPr>
            <w:r w:rsidRPr="00125B5F">
              <w:rPr>
                <w:rFonts w:ascii="Times New Roman" w:hAnsi="Times New Roman"/>
                <w:sz w:val="24"/>
                <w:szCs w:val="24"/>
              </w:rPr>
              <w:t xml:space="preserve">The Commission very much agrees that combatting climate change should be a key priority for the EU. The Political Guidelines of this Commission clearly commit to staying the course on the goals set out in the European Green Deal. </w:t>
            </w:r>
            <w:r w:rsidR="00B21208" w:rsidRPr="00125B5F">
              <w:rPr>
                <w:rFonts w:ascii="Times New Roman" w:hAnsi="Times New Roman"/>
                <w:sz w:val="24"/>
                <w:szCs w:val="24"/>
              </w:rPr>
              <w:t>As per the Commission Work Programme 2025</w:t>
            </w:r>
            <w:r w:rsidR="00B21208" w:rsidRPr="00125B5F">
              <w:rPr>
                <w:rFonts w:ascii="Times New Roman" w:hAnsi="Times New Roman"/>
                <w:sz w:val="24"/>
                <w:szCs w:val="24"/>
                <w:vertAlign w:val="superscript"/>
              </w:rPr>
              <w:footnoteReference w:id="6"/>
            </w:r>
            <w:r w:rsidR="00B21208" w:rsidRPr="00125B5F">
              <w:rPr>
                <w:rFonts w:ascii="Times New Roman" w:hAnsi="Times New Roman"/>
                <w:sz w:val="24"/>
                <w:szCs w:val="24"/>
              </w:rPr>
              <w:t xml:space="preserve"> and the Competitiveness Compass</w:t>
            </w:r>
            <w:r w:rsidR="00B21208" w:rsidRPr="00125B5F">
              <w:rPr>
                <w:rFonts w:ascii="Times New Roman" w:hAnsi="Times New Roman"/>
                <w:sz w:val="24"/>
                <w:szCs w:val="24"/>
                <w:vertAlign w:val="superscript"/>
              </w:rPr>
              <w:footnoteReference w:id="7"/>
            </w:r>
            <w:r w:rsidR="00B21208" w:rsidRPr="00125B5F">
              <w:rPr>
                <w:rFonts w:ascii="Times New Roman" w:hAnsi="Times New Roman"/>
                <w:sz w:val="24"/>
                <w:szCs w:val="24"/>
              </w:rPr>
              <w:t xml:space="preserve">, the Commission </w:t>
            </w:r>
            <w:r w:rsidR="009F15C6">
              <w:rPr>
                <w:rFonts w:ascii="Times New Roman" w:hAnsi="Times New Roman"/>
                <w:sz w:val="24"/>
                <w:szCs w:val="24"/>
              </w:rPr>
              <w:t>has</w:t>
            </w:r>
            <w:r w:rsidR="00B21208" w:rsidRPr="00125B5F">
              <w:rPr>
                <w:rFonts w:ascii="Times New Roman" w:hAnsi="Times New Roman"/>
                <w:sz w:val="24"/>
                <w:szCs w:val="24"/>
              </w:rPr>
              <w:t xml:space="preserve"> propose</w:t>
            </w:r>
            <w:r w:rsidR="009F15C6">
              <w:rPr>
                <w:rFonts w:ascii="Times New Roman" w:hAnsi="Times New Roman"/>
                <w:sz w:val="24"/>
                <w:szCs w:val="24"/>
              </w:rPr>
              <w:t>d</w:t>
            </w:r>
            <w:r w:rsidR="00B21208" w:rsidRPr="00125B5F">
              <w:rPr>
                <w:rFonts w:ascii="Times New Roman" w:hAnsi="Times New Roman"/>
                <w:sz w:val="24"/>
                <w:szCs w:val="24"/>
              </w:rPr>
              <w:t xml:space="preserve"> an amendment to the Climate Law to include a 2040 climate target to bring the EU to climate neutrality by 2050.</w:t>
            </w:r>
          </w:p>
        </w:tc>
      </w:tr>
      <w:tr w:rsidR="002E32BD" w:rsidRPr="004F6117" w14:paraId="196F3E8D" w14:textId="77777777" w:rsidTr="0053543F">
        <w:trPr>
          <w:trHeight w:val="812"/>
          <w:jc w:val="center"/>
        </w:trPr>
        <w:tc>
          <w:tcPr>
            <w:tcW w:w="9711" w:type="dxa"/>
          </w:tcPr>
          <w:p w14:paraId="30A45F10" w14:textId="77777777" w:rsidR="002E32BD" w:rsidRPr="00125B5F" w:rsidRDefault="002E32BD" w:rsidP="00125B5F">
            <w:pPr>
              <w:widowControl w:val="0"/>
              <w:spacing w:before="120" w:after="120"/>
              <w:jc w:val="both"/>
              <w:rPr>
                <w:rFonts w:ascii="Times New Roman" w:hAnsi="Times New Roman"/>
                <w:i/>
                <w:iCs/>
                <w:sz w:val="24"/>
                <w:szCs w:val="24"/>
              </w:rPr>
            </w:pPr>
            <w:r w:rsidRPr="00125B5F">
              <w:rPr>
                <w:rFonts w:ascii="Times New Roman" w:hAnsi="Times New Roman"/>
                <w:i/>
                <w:iCs/>
                <w:sz w:val="24"/>
                <w:szCs w:val="24"/>
              </w:rPr>
              <w:t xml:space="preserve">On </w:t>
            </w:r>
            <w:r w:rsidRPr="00554298">
              <w:rPr>
                <w:rFonts w:ascii="Times New Roman" w:hAnsi="Times New Roman"/>
                <w:i/>
                <w:iCs/>
                <w:sz w:val="24"/>
                <w:szCs w:val="24"/>
                <w:u w:val="single"/>
              </w:rPr>
              <w:t>point 2.10 of the opinion</w:t>
            </w:r>
            <w:r w:rsidRPr="00125B5F">
              <w:rPr>
                <w:rFonts w:ascii="Times New Roman" w:hAnsi="Times New Roman"/>
                <w:i/>
                <w:iCs/>
                <w:sz w:val="24"/>
                <w:szCs w:val="24"/>
              </w:rPr>
              <w:t>: The investment cost of tackling climate change is very high. The additional annual average investment needs for achieving 2030 climate and energy objectives were estimated at around EUR 480 billion. Taking into account the link with the digital transformation process and ensuring open strategic autonomy (in line with REPowerEU), these costs will amount to EUR 3 200 billion. Public resources will be limited to deal with this issue, so private resources will also be needed, which could cover the funding for the priority areas of response to climate change.</w:t>
            </w:r>
          </w:p>
          <w:p w14:paraId="47FD9E80" w14:textId="1A199044" w:rsidR="002E32BD" w:rsidRPr="00125B5F" w:rsidRDefault="002E32BD" w:rsidP="00125B5F">
            <w:pPr>
              <w:widowControl w:val="0"/>
              <w:spacing w:before="120" w:after="120"/>
              <w:jc w:val="both"/>
              <w:rPr>
                <w:rFonts w:ascii="Times New Roman" w:hAnsi="Times New Roman"/>
                <w:sz w:val="24"/>
                <w:szCs w:val="24"/>
              </w:rPr>
            </w:pPr>
            <w:r w:rsidRPr="00125B5F">
              <w:rPr>
                <w:rFonts w:ascii="Times New Roman" w:hAnsi="Times New Roman"/>
                <w:sz w:val="24"/>
                <w:szCs w:val="24"/>
              </w:rPr>
              <w:t>The Commission would advise that these statements be clarified. There are several distinct issues at hand which should not be mixed: (1)</w:t>
            </w:r>
            <w:r w:rsidR="00125B5F">
              <w:rPr>
                <w:rFonts w:ascii="Times New Roman" w:hAnsi="Times New Roman"/>
                <w:sz w:val="24"/>
                <w:szCs w:val="24"/>
              </w:rPr>
              <w:t> </w:t>
            </w:r>
            <w:r w:rsidRPr="00125B5F">
              <w:rPr>
                <w:rFonts w:ascii="Times New Roman" w:hAnsi="Times New Roman"/>
                <w:sz w:val="24"/>
                <w:szCs w:val="24"/>
              </w:rPr>
              <w:t>the investment needs to reach the EU’s mitigation target; (2)</w:t>
            </w:r>
            <w:r w:rsidR="00125B5F">
              <w:rPr>
                <w:rFonts w:ascii="Times New Roman" w:hAnsi="Times New Roman"/>
                <w:sz w:val="24"/>
                <w:szCs w:val="24"/>
              </w:rPr>
              <w:t> </w:t>
            </w:r>
            <w:r w:rsidRPr="00125B5F">
              <w:rPr>
                <w:rFonts w:ascii="Times New Roman" w:hAnsi="Times New Roman"/>
                <w:sz w:val="24"/>
                <w:szCs w:val="24"/>
              </w:rPr>
              <w:t xml:space="preserve">the investment needs to adapt to a changing climate and increase </w:t>
            </w:r>
            <w:r w:rsidR="00212030" w:rsidRPr="00125B5F">
              <w:rPr>
                <w:rFonts w:ascii="Times New Roman" w:hAnsi="Times New Roman"/>
                <w:sz w:val="24"/>
                <w:szCs w:val="24"/>
              </w:rPr>
              <w:t>the EU’s</w:t>
            </w:r>
            <w:r w:rsidRPr="00125B5F">
              <w:rPr>
                <w:rFonts w:ascii="Times New Roman" w:hAnsi="Times New Roman"/>
                <w:sz w:val="24"/>
                <w:szCs w:val="24"/>
              </w:rPr>
              <w:t xml:space="preserve"> socio-economic resilience; and (3)</w:t>
            </w:r>
            <w:r w:rsidR="00125B5F">
              <w:rPr>
                <w:rFonts w:ascii="Times New Roman" w:hAnsi="Times New Roman"/>
                <w:sz w:val="24"/>
                <w:szCs w:val="24"/>
              </w:rPr>
              <w:t> </w:t>
            </w:r>
            <w:r w:rsidRPr="00125B5F">
              <w:rPr>
                <w:rFonts w:ascii="Times New Roman" w:hAnsi="Times New Roman"/>
                <w:sz w:val="24"/>
                <w:szCs w:val="24"/>
              </w:rPr>
              <w:t>the costs of rebuilding after climate-related events.</w:t>
            </w:r>
          </w:p>
          <w:p w14:paraId="2DC8A317" w14:textId="61C040D7" w:rsidR="002E32BD" w:rsidRPr="00125B5F" w:rsidRDefault="002E32BD" w:rsidP="00125B5F">
            <w:pPr>
              <w:widowControl w:val="0"/>
              <w:spacing w:before="120" w:after="120"/>
              <w:jc w:val="both"/>
              <w:rPr>
                <w:rFonts w:ascii="Times New Roman" w:hAnsi="Times New Roman"/>
                <w:sz w:val="24"/>
                <w:szCs w:val="24"/>
              </w:rPr>
            </w:pPr>
            <w:r w:rsidRPr="00125B5F">
              <w:rPr>
                <w:rFonts w:ascii="Times New Roman" w:hAnsi="Times New Roman"/>
                <w:sz w:val="24"/>
                <w:szCs w:val="24"/>
              </w:rPr>
              <w:t xml:space="preserve">The recent and robust estimates in </w:t>
            </w:r>
            <w:r w:rsidR="00212030" w:rsidRPr="00125B5F">
              <w:rPr>
                <w:rFonts w:ascii="Times New Roman" w:hAnsi="Times New Roman"/>
                <w:sz w:val="24"/>
                <w:szCs w:val="24"/>
              </w:rPr>
              <w:t>the Communication ‘Securing our future Europe's 2040 climate target and path to climate neutrality by 2050 building a sustainable, just and prosperous society’</w:t>
            </w:r>
            <w:r w:rsidR="00212030" w:rsidRPr="00125B5F">
              <w:rPr>
                <w:rStyle w:val="FootnoteReference"/>
                <w:rFonts w:ascii="Times New Roman" w:hAnsi="Times New Roman"/>
                <w:szCs w:val="24"/>
              </w:rPr>
              <w:footnoteReference w:id="8"/>
            </w:r>
            <w:r w:rsidRPr="00125B5F">
              <w:rPr>
                <w:rFonts w:ascii="Times New Roman" w:hAnsi="Times New Roman"/>
                <w:sz w:val="24"/>
                <w:szCs w:val="24"/>
              </w:rPr>
              <w:t xml:space="preserve">, </w:t>
            </w:r>
            <w:r w:rsidRPr="00125B5F">
              <w:rPr>
                <w:rFonts w:ascii="Times New Roman" w:hAnsi="Times New Roman"/>
                <w:sz w:val="24"/>
                <w:szCs w:val="24"/>
              </w:rPr>
              <w:lastRenderedPageBreak/>
              <w:t>indicate that investment needs in the energy system would amount to EUR</w:t>
            </w:r>
            <w:r w:rsidR="00125B5F">
              <w:rPr>
                <w:rFonts w:ascii="Times New Roman" w:hAnsi="Times New Roman"/>
                <w:sz w:val="24"/>
                <w:szCs w:val="24"/>
              </w:rPr>
              <w:t> </w:t>
            </w:r>
            <w:r w:rsidRPr="00125B5F">
              <w:rPr>
                <w:rFonts w:ascii="Times New Roman" w:hAnsi="Times New Roman"/>
                <w:sz w:val="24"/>
                <w:szCs w:val="24"/>
              </w:rPr>
              <w:t xml:space="preserve">660 billion (3.2% of </w:t>
            </w:r>
            <w:r w:rsidR="00FD2538" w:rsidRPr="00FD2538">
              <w:rPr>
                <w:rFonts w:ascii="Times New Roman" w:hAnsi="Times New Roman"/>
                <w:sz w:val="24"/>
                <w:szCs w:val="24"/>
              </w:rPr>
              <w:t>gross domestic product</w:t>
            </w:r>
            <w:r w:rsidR="00FD2538">
              <w:rPr>
                <w:rFonts w:ascii="Times New Roman" w:hAnsi="Times New Roman"/>
                <w:sz w:val="24"/>
                <w:szCs w:val="24"/>
              </w:rPr>
              <w:t> (</w:t>
            </w:r>
            <w:r w:rsidRPr="00125B5F">
              <w:rPr>
                <w:rFonts w:ascii="Times New Roman" w:hAnsi="Times New Roman"/>
                <w:sz w:val="24"/>
                <w:szCs w:val="24"/>
              </w:rPr>
              <w:t>GDP</w:t>
            </w:r>
            <w:r w:rsidR="00FD2538">
              <w:rPr>
                <w:rFonts w:ascii="Times New Roman" w:hAnsi="Times New Roman"/>
                <w:sz w:val="24"/>
                <w:szCs w:val="24"/>
              </w:rPr>
              <w:t>)</w:t>
            </w:r>
            <w:r w:rsidRPr="00125B5F">
              <w:rPr>
                <w:rFonts w:ascii="Times New Roman" w:hAnsi="Times New Roman"/>
                <w:sz w:val="24"/>
                <w:szCs w:val="24"/>
              </w:rPr>
              <w:t>) per annum between 2031-2050. These are the estimated investment needs to reach a 90% mitigation level by 2040 and climate neutrality by 2050.</w:t>
            </w:r>
          </w:p>
          <w:p w14:paraId="3B6E819D" w14:textId="53BF6815" w:rsidR="0011581F" w:rsidRPr="00125B5F" w:rsidRDefault="0011581F" w:rsidP="00125B5F">
            <w:pPr>
              <w:widowControl w:val="0"/>
              <w:spacing w:before="120" w:after="120"/>
              <w:jc w:val="both"/>
              <w:rPr>
                <w:rFonts w:ascii="Times New Roman" w:hAnsi="Times New Roman"/>
                <w:sz w:val="24"/>
                <w:szCs w:val="24"/>
              </w:rPr>
            </w:pPr>
            <w:r w:rsidRPr="00125B5F">
              <w:rPr>
                <w:rFonts w:ascii="Times New Roman" w:hAnsi="Times New Roman"/>
                <w:bCs/>
                <w:sz w:val="24"/>
                <w:szCs w:val="24"/>
              </w:rPr>
              <w:t>The Annual Single Market and Competitiveness Report 2025</w:t>
            </w:r>
            <w:r w:rsidRPr="00125B5F">
              <w:rPr>
                <w:rFonts w:ascii="Times New Roman" w:hAnsi="Times New Roman"/>
                <w:bCs/>
                <w:sz w:val="24"/>
                <w:szCs w:val="24"/>
                <w:vertAlign w:val="superscript"/>
              </w:rPr>
              <w:footnoteReference w:id="9"/>
            </w:r>
            <w:r w:rsidRPr="00125B5F">
              <w:rPr>
                <w:rFonts w:ascii="Times New Roman" w:hAnsi="Times New Roman"/>
                <w:bCs/>
                <w:sz w:val="24"/>
                <w:szCs w:val="24"/>
              </w:rPr>
              <w:t xml:space="preserve"> shows that public investment has slowly trended up over the past years reaching 3.5% of GDP in 2024. </w:t>
            </w:r>
            <w:r w:rsidRPr="00125B5F">
              <w:rPr>
                <w:rFonts w:ascii="Times New Roman" w:hAnsi="Times New Roman"/>
                <w:sz w:val="24"/>
                <w:szCs w:val="24"/>
              </w:rPr>
              <w:t xml:space="preserve">Private investment has, at around 19% of GDP, been broadly stable in recent years. </w:t>
            </w:r>
            <w:r w:rsidRPr="00125B5F">
              <w:rPr>
                <w:rFonts w:ascii="Times New Roman" w:hAnsi="Times New Roman"/>
                <w:bCs/>
                <w:iCs/>
                <w:sz w:val="24"/>
                <w:szCs w:val="24"/>
              </w:rPr>
              <w:t>The Clean Industrial Deal, announced in the Commission’s Competitiveness Compass on 29</w:t>
            </w:r>
            <w:r w:rsidR="00125B5F">
              <w:rPr>
                <w:rFonts w:ascii="Times New Roman" w:hAnsi="Times New Roman"/>
                <w:bCs/>
                <w:iCs/>
                <w:sz w:val="24"/>
                <w:szCs w:val="24"/>
              </w:rPr>
              <w:t> </w:t>
            </w:r>
            <w:r w:rsidRPr="00125B5F">
              <w:rPr>
                <w:rFonts w:ascii="Times New Roman" w:hAnsi="Times New Roman"/>
                <w:bCs/>
                <w:iCs/>
                <w:sz w:val="24"/>
                <w:szCs w:val="24"/>
              </w:rPr>
              <w:t xml:space="preserve">January 2015, will </w:t>
            </w:r>
            <w:r w:rsidRPr="00125B5F">
              <w:rPr>
                <w:rFonts w:ascii="Times New Roman" w:hAnsi="Times New Roman"/>
                <w:iCs/>
                <w:sz w:val="24"/>
                <w:szCs w:val="24"/>
              </w:rPr>
              <w:t>reinforce incentives to investment</w:t>
            </w:r>
            <w:r w:rsidRPr="00125B5F">
              <w:rPr>
                <w:rFonts w:ascii="Times New Roman" w:hAnsi="Times New Roman"/>
                <w:bCs/>
                <w:iCs/>
                <w:sz w:val="24"/>
                <w:szCs w:val="24"/>
              </w:rPr>
              <w:t xml:space="preserve"> and </w:t>
            </w:r>
            <w:r w:rsidRPr="00125B5F">
              <w:rPr>
                <w:rFonts w:ascii="Times New Roman" w:hAnsi="Times New Roman"/>
                <w:iCs/>
                <w:sz w:val="24"/>
                <w:szCs w:val="24"/>
              </w:rPr>
              <w:t>strengthen the business case for investing in decarbonisation</w:t>
            </w:r>
            <w:r w:rsidRPr="00125B5F">
              <w:rPr>
                <w:rFonts w:ascii="Times New Roman" w:hAnsi="Times New Roman"/>
                <w:bCs/>
                <w:iCs/>
                <w:sz w:val="24"/>
                <w:szCs w:val="24"/>
              </w:rPr>
              <w:t xml:space="preserve"> through several initiatives that aim </w:t>
            </w:r>
            <w:r w:rsidRPr="00125B5F">
              <w:rPr>
                <w:rFonts w:ascii="Times New Roman" w:hAnsi="Times New Roman"/>
                <w:bCs/>
                <w:i/>
                <w:sz w:val="24"/>
                <w:szCs w:val="24"/>
              </w:rPr>
              <w:t>inter alia</w:t>
            </w:r>
            <w:r w:rsidRPr="00125B5F">
              <w:rPr>
                <w:rFonts w:ascii="Times New Roman" w:hAnsi="Times New Roman"/>
                <w:bCs/>
                <w:iCs/>
                <w:sz w:val="24"/>
                <w:szCs w:val="24"/>
              </w:rPr>
              <w:t xml:space="preserve"> at improving access to public and private funding and to permits. Central to this endeavour will be t</w:t>
            </w:r>
            <w:r w:rsidRPr="00125B5F">
              <w:rPr>
                <w:rFonts w:ascii="Times New Roman" w:hAnsi="Times New Roman"/>
                <w:sz w:val="24"/>
                <w:szCs w:val="24"/>
                <w:lang w:val="en-IE"/>
              </w:rPr>
              <w:t>he proposal of an Industrial Decarbonisation Accelerator Act that would channel investment in infrastructure and industry, notably for energy-intensive sectors. T</w:t>
            </w:r>
            <w:r w:rsidRPr="00125B5F">
              <w:rPr>
                <w:rFonts w:ascii="Times New Roman" w:hAnsi="Times New Roman"/>
                <w:bCs/>
                <w:iCs/>
                <w:sz w:val="24"/>
                <w:szCs w:val="24"/>
              </w:rPr>
              <w:t xml:space="preserve">he </w:t>
            </w:r>
            <w:r w:rsidRPr="00125B5F">
              <w:rPr>
                <w:rFonts w:ascii="Times New Roman" w:hAnsi="Times New Roman"/>
                <w:sz w:val="24"/>
                <w:szCs w:val="24"/>
                <w:lang w:val="en-IE"/>
              </w:rPr>
              <w:t xml:space="preserve">Industrial Decarbonisation Accelerator Act </w:t>
            </w:r>
            <w:r w:rsidRPr="00125B5F">
              <w:rPr>
                <w:rFonts w:ascii="Times New Roman" w:hAnsi="Times New Roman"/>
                <w:bCs/>
                <w:iCs/>
                <w:sz w:val="24"/>
                <w:szCs w:val="24"/>
              </w:rPr>
              <w:t>would facilitate permitting, building on the model of the Net-Zero Industry Act, that allows strategic projects to benefit from streamlined permitting and a ‘priority status’ at national level without weakening environmental, social and governance standards. To further enhance the financial incentives to invest, t</w:t>
            </w:r>
            <w:r w:rsidRPr="00125B5F">
              <w:rPr>
                <w:rFonts w:ascii="Times New Roman" w:hAnsi="Times New Roman"/>
                <w:sz w:val="24"/>
                <w:szCs w:val="24"/>
              </w:rPr>
              <w:t xml:space="preserve">he Commission </w:t>
            </w:r>
            <w:r w:rsidR="009F15C6">
              <w:rPr>
                <w:rFonts w:ascii="Times New Roman" w:hAnsi="Times New Roman"/>
                <w:sz w:val="24"/>
                <w:szCs w:val="24"/>
              </w:rPr>
              <w:t>has</w:t>
            </w:r>
            <w:r w:rsidRPr="00125B5F">
              <w:rPr>
                <w:rFonts w:ascii="Times New Roman" w:hAnsi="Times New Roman"/>
                <w:sz w:val="24"/>
                <w:szCs w:val="24"/>
              </w:rPr>
              <w:t xml:space="preserve"> also </w:t>
            </w:r>
            <w:r w:rsidR="009F15C6">
              <w:rPr>
                <w:rFonts w:ascii="Times New Roman" w:hAnsi="Times New Roman"/>
                <w:sz w:val="24"/>
                <w:szCs w:val="24"/>
              </w:rPr>
              <w:t>put forward</w:t>
            </w:r>
            <w:r w:rsidRPr="00125B5F">
              <w:rPr>
                <w:rFonts w:ascii="Times New Roman" w:hAnsi="Times New Roman"/>
                <w:sz w:val="24"/>
                <w:szCs w:val="24"/>
              </w:rPr>
              <w:t xml:space="preserve"> a new State-aid framework </w:t>
            </w:r>
            <w:r w:rsidRPr="00125B5F">
              <w:rPr>
                <w:rFonts w:ascii="Times New Roman" w:hAnsi="Times New Roman"/>
                <w:bCs/>
                <w:iCs/>
                <w:sz w:val="24"/>
                <w:szCs w:val="24"/>
              </w:rPr>
              <w:t xml:space="preserve">and </w:t>
            </w:r>
            <w:r w:rsidR="009F15C6">
              <w:rPr>
                <w:rFonts w:ascii="Times New Roman" w:hAnsi="Times New Roman"/>
                <w:bCs/>
                <w:iCs/>
                <w:sz w:val="24"/>
                <w:szCs w:val="24"/>
              </w:rPr>
              <w:t xml:space="preserve">is proposing under the next MFF </w:t>
            </w:r>
            <w:r w:rsidRPr="00125B5F">
              <w:rPr>
                <w:rFonts w:ascii="Times New Roman" w:hAnsi="Times New Roman"/>
                <w:bCs/>
                <w:iCs/>
                <w:sz w:val="24"/>
                <w:szCs w:val="24"/>
              </w:rPr>
              <w:t>a C</w:t>
            </w:r>
            <w:r w:rsidRPr="00125B5F">
              <w:rPr>
                <w:rFonts w:ascii="Times New Roman" w:hAnsi="Times New Roman"/>
                <w:sz w:val="24"/>
                <w:szCs w:val="24"/>
                <w:lang w:val="en-IE"/>
              </w:rPr>
              <w:t xml:space="preserve">ompetitiveness Fund </w:t>
            </w:r>
            <w:r w:rsidRPr="00125B5F">
              <w:rPr>
                <w:rFonts w:ascii="Times New Roman" w:hAnsi="Times New Roman"/>
                <w:sz w:val="24"/>
                <w:szCs w:val="24"/>
              </w:rPr>
              <w:t>to deploy industrial decarbonisation, accelerate the roll-out of renewable energy and to ensure sufficient manufacturing capacity for clean technologies.</w:t>
            </w:r>
          </w:p>
        </w:tc>
      </w:tr>
      <w:tr w:rsidR="00071AE8" w:rsidRPr="004F6117" w14:paraId="6F6532BC" w14:textId="77777777" w:rsidTr="00D84797">
        <w:trPr>
          <w:trHeight w:val="812"/>
          <w:jc w:val="center"/>
        </w:trPr>
        <w:tc>
          <w:tcPr>
            <w:tcW w:w="9711" w:type="dxa"/>
          </w:tcPr>
          <w:p w14:paraId="35CB1A08" w14:textId="3EFD22C4" w:rsidR="00071AE8" w:rsidRPr="00125B5F" w:rsidRDefault="00071AE8" w:rsidP="00125B5F">
            <w:pPr>
              <w:pStyle w:val="Heading2"/>
              <w:widowControl w:val="0"/>
              <w:numPr>
                <w:ilvl w:val="0"/>
                <w:numId w:val="0"/>
              </w:numPr>
              <w:spacing w:before="120" w:after="120" w:line="276" w:lineRule="auto"/>
              <w:rPr>
                <w:i/>
                <w:iCs/>
                <w:sz w:val="24"/>
                <w:szCs w:val="24"/>
              </w:rPr>
            </w:pPr>
            <w:r w:rsidRPr="00125B5F">
              <w:rPr>
                <w:i/>
                <w:iCs/>
                <w:sz w:val="24"/>
                <w:szCs w:val="24"/>
              </w:rPr>
              <w:lastRenderedPageBreak/>
              <w:t xml:space="preserve">On </w:t>
            </w:r>
            <w:r w:rsidRPr="00554298">
              <w:rPr>
                <w:i/>
                <w:iCs/>
                <w:sz w:val="24"/>
                <w:szCs w:val="24"/>
                <w:u w:val="single"/>
              </w:rPr>
              <w:t>point 3.4 of the opinion</w:t>
            </w:r>
            <w:r w:rsidRPr="00125B5F">
              <w:rPr>
                <w:i/>
                <w:iCs/>
                <w:sz w:val="24"/>
                <w:szCs w:val="24"/>
              </w:rPr>
              <w:t>: The EESC believes that the coordinate</w:t>
            </w:r>
            <w:r w:rsidRPr="00125B5F">
              <w:rPr>
                <w:i/>
                <w:iCs/>
                <w:color w:val="7030A0"/>
                <w:sz w:val="24"/>
                <w:szCs w:val="24"/>
              </w:rPr>
              <w:t xml:space="preserve">d </w:t>
            </w:r>
            <w:r w:rsidRPr="00125B5F">
              <w:rPr>
                <w:i/>
                <w:iCs/>
                <w:sz w:val="24"/>
                <w:szCs w:val="24"/>
              </w:rPr>
              <w:t>response to climate change can provide a significant stimulus for the overall growth of the EU economy in the areas set out in the Fit for</w:t>
            </w:r>
            <w:r w:rsidR="00125B5F">
              <w:rPr>
                <w:i/>
                <w:iCs/>
                <w:sz w:val="24"/>
                <w:szCs w:val="24"/>
              </w:rPr>
              <w:t> </w:t>
            </w:r>
            <w:r w:rsidRPr="00125B5F">
              <w:rPr>
                <w:i/>
                <w:iCs/>
                <w:sz w:val="24"/>
                <w:szCs w:val="24"/>
              </w:rPr>
              <w:t>55 package, provided that an ex ante evaluation of investment intensity and return on investment is carried out in line with an impact assessment.</w:t>
            </w:r>
          </w:p>
          <w:p w14:paraId="3BB648FD" w14:textId="102B979E" w:rsidR="0011581F" w:rsidRPr="00125B5F" w:rsidRDefault="0011581F" w:rsidP="00125B5F">
            <w:pPr>
              <w:widowControl w:val="0"/>
              <w:spacing w:before="120" w:after="120"/>
              <w:jc w:val="both"/>
              <w:rPr>
                <w:rFonts w:ascii="Times New Roman" w:hAnsi="Times New Roman"/>
                <w:sz w:val="24"/>
                <w:szCs w:val="24"/>
              </w:rPr>
            </w:pPr>
            <w:r w:rsidRPr="00125B5F">
              <w:rPr>
                <w:rFonts w:ascii="Times New Roman" w:hAnsi="Times New Roman"/>
                <w:sz w:val="24"/>
                <w:szCs w:val="24"/>
              </w:rPr>
              <w:t>The Commission shares the Committee’s point of view that decarbonisation policies are a</w:t>
            </w:r>
            <w:r w:rsidR="00232F96">
              <w:rPr>
                <w:rFonts w:ascii="Times New Roman" w:hAnsi="Times New Roman"/>
                <w:sz w:val="24"/>
                <w:szCs w:val="24"/>
              </w:rPr>
              <w:t> </w:t>
            </w:r>
            <w:r w:rsidRPr="00125B5F">
              <w:rPr>
                <w:rFonts w:ascii="Times New Roman" w:hAnsi="Times New Roman"/>
                <w:sz w:val="24"/>
                <w:szCs w:val="24"/>
              </w:rPr>
              <w:t>powerful driver of growth, if they are well integrated with industrial, competition, economic and trade policies, as the Draghi Report expressed it, too. To make this happen, the Clean Industrial Deal</w:t>
            </w:r>
            <w:r w:rsidRPr="00125B5F">
              <w:rPr>
                <w:rFonts w:ascii="Times New Roman" w:hAnsi="Times New Roman"/>
                <w:b/>
                <w:bCs/>
                <w:sz w:val="24"/>
                <w:szCs w:val="24"/>
              </w:rPr>
              <w:t xml:space="preserve"> </w:t>
            </w:r>
            <w:r w:rsidRPr="00125B5F">
              <w:rPr>
                <w:rFonts w:ascii="Times New Roman" w:hAnsi="Times New Roman"/>
                <w:sz w:val="24"/>
                <w:szCs w:val="24"/>
              </w:rPr>
              <w:t>aims at ensuring the EU to be an attractive business location for clean manufacturing, including in energy-intensive industries, and at promoting clean technologies and circular business models.</w:t>
            </w:r>
          </w:p>
          <w:p w14:paraId="0F8B55BF" w14:textId="139E6174" w:rsidR="00071AE8" w:rsidRPr="00125B5F" w:rsidRDefault="00071AE8" w:rsidP="00125B5F">
            <w:pPr>
              <w:widowControl w:val="0"/>
              <w:spacing w:before="120" w:after="120"/>
              <w:jc w:val="both"/>
              <w:rPr>
                <w:rFonts w:ascii="Times New Roman" w:hAnsi="Times New Roman"/>
                <w:sz w:val="24"/>
                <w:szCs w:val="24"/>
              </w:rPr>
            </w:pPr>
            <w:r w:rsidRPr="00125B5F">
              <w:rPr>
                <w:rFonts w:ascii="Times New Roman" w:hAnsi="Times New Roman"/>
                <w:sz w:val="24"/>
                <w:szCs w:val="24"/>
              </w:rPr>
              <w:t>The Commission impact assessments on climate and energy policy proposals do provide an ex-ante evaluation of investment needs. In line with the Better Regulation Guidelines, they also consider the proposed options in terms of effectiveness and efficiency, among other considerations. The benefits (returns) of the investments are therefore reviewed in the impact assessments (e.g. in terms of fossil fuel savings, economic resilience or health benefits in the 2040 impact assessment).</w:t>
            </w:r>
          </w:p>
        </w:tc>
      </w:tr>
      <w:tr w:rsidR="00443386" w:rsidRPr="004F6117" w14:paraId="36E58230" w14:textId="77777777" w:rsidTr="0039556D">
        <w:trPr>
          <w:trHeight w:val="812"/>
          <w:jc w:val="center"/>
        </w:trPr>
        <w:tc>
          <w:tcPr>
            <w:tcW w:w="9711" w:type="dxa"/>
          </w:tcPr>
          <w:p w14:paraId="52BA4F35" w14:textId="173EB9DF" w:rsidR="00443386" w:rsidRPr="00125B5F" w:rsidRDefault="00443386" w:rsidP="00125B5F">
            <w:pPr>
              <w:pStyle w:val="Heading2"/>
              <w:widowControl w:val="0"/>
              <w:numPr>
                <w:ilvl w:val="0"/>
                <w:numId w:val="0"/>
              </w:numPr>
              <w:spacing w:before="120" w:after="120" w:line="276" w:lineRule="auto"/>
              <w:rPr>
                <w:i/>
                <w:iCs/>
                <w:sz w:val="24"/>
                <w:szCs w:val="24"/>
              </w:rPr>
            </w:pPr>
            <w:r w:rsidRPr="00125B5F">
              <w:rPr>
                <w:i/>
                <w:iCs/>
                <w:sz w:val="24"/>
                <w:szCs w:val="24"/>
              </w:rPr>
              <w:t xml:space="preserve">On </w:t>
            </w:r>
            <w:r w:rsidRPr="00554298">
              <w:rPr>
                <w:i/>
                <w:iCs/>
                <w:sz w:val="24"/>
                <w:szCs w:val="24"/>
                <w:u w:val="single"/>
              </w:rPr>
              <w:t>point 3.14 of the opinion</w:t>
            </w:r>
            <w:r w:rsidRPr="00125B5F">
              <w:rPr>
                <w:i/>
                <w:iCs/>
                <w:sz w:val="24"/>
                <w:szCs w:val="24"/>
              </w:rPr>
              <w:t xml:space="preserve">: The EESC points out that the overall external economic balance, which is significantly affected by the EU’s competitiveness, should be strengthened (surplus in the current account of the balance of payments) as a result of climate change and not weakened </w:t>
            </w:r>
            <w:r w:rsidRPr="00125B5F">
              <w:rPr>
                <w:i/>
                <w:iCs/>
                <w:sz w:val="24"/>
                <w:szCs w:val="24"/>
              </w:rPr>
              <w:lastRenderedPageBreak/>
              <w:t>(current account deficit). At the same time, it must be borne in mind that global economic processes will continue to change and will not take place at the same time and using the same instruments.</w:t>
            </w:r>
          </w:p>
          <w:p w14:paraId="0200A94D" w14:textId="77777777" w:rsidR="00443386" w:rsidRPr="00125B5F" w:rsidRDefault="00443386" w:rsidP="00125B5F">
            <w:pPr>
              <w:widowControl w:val="0"/>
              <w:spacing w:before="120" w:after="120"/>
              <w:jc w:val="both"/>
              <w:rPr>
                <w:rFonts w:ascii="Times New Roman" w:hAnsi="Times New Roman"/>
                <w:i/>
                <w:iCs/>
                <w:sz w:val="24"/>
                <w:szCs w:val="24"/>
              </w:rPr>
            </w:pPr>
            <w:r w:rsidRPr="00125B5F">
              <w:rPr>
                <w:rFonts w:ascii="Times New Roman" w:eastAsia="Times New Roman" w:hAnsi="Times New Roman"/>
                <w:i/>
                <w:iCs/>
                <w:sz w:val="24"/>
                <w:szCs w:val="24"/>
              </w:rPr>
              <w:t xml:space="preserve">And on </w:t>
            </w:r>
            <w:r w:rsidRPr="00554298">
              <w:rPr>
                <w:rFonts w:ascii="Times New Roman" w:eastAsia="Times New Roman" w:hAnsi="Times New Roman"/>
                <w:i/>
                <w:iCs/>
                <w:sz w:val="24"/>
                <w:szCs w:val="24"/>
                <w:u w:val="single"/>
              </w:rPr>
              <w:t>point 3.15 of the opinion</w:t>
            </w:r>
            <w:r w:rsidRPr="00125B5F">
              <w:rPr>
                <w:rFonts w:ascii="Times New Roman" w:eastAsia="Times New Roman" w:hAnsi="Times New Roman"/>
                <w:i/>
                <w:iCs/>
                <w:sz w:val="24"/>
                <w:szCs w:val="24"/>
              </w:rPr>
              <w:t>: In order to strengthen the competitiveness of the EU economy and to continue to maintain surplus external economic balances, the EESC stresses the need to monitor developments in the centres of economic power, particularly the USA and China, as well as in other highly dynamic emerging economies, especially the countries of Southeast Asia.</w:t>
            </w:r>
          </w:p>
          <w:p w14:paraId="40613630" w14:textId="7108D1F5" w:rsidR="005700C7" w:rsidRPr="00125B5F" w:rsidRDefault="00443386" w:rsidP="00125B5F">
            <w:pPr>
              <w:widowControl w:val="0"/>
              <w:spacing w:before="120" w:after="120"/>
              <w:jc w:val="both"/>
              <w:rPr>
                <w:rFonts w:ascii="Times New Roman" w:hAnsi="Times New Roman"/>
                <w:sz w:val="24"/>
                <w:szCs w:val="24"/>
              </w:rPr>
            </w:pPr>
            <w:r w:rsidRPr="00125B5F">
              <w:rPr>
                <w:rFonts w:ascii="Times New Roman" w:hAnsi="Times New Roman"/>
                <w:sz w:val="24"/>
                <w:szCs w:val="24"/>
              </w:rPr>
              <w:t>A current account surplus indicates that domestic output is larger than the sum of consumption and investment and that external financial assets are being accumulated.</w:t>
            </w:r>
            <w:r w:rsidR="005700C7" w:rsidRPr="00125B5F">
              <w:rPr>
                <w:rFonts w:ascii="Times New Roman" w:hAnsi="Times New Roman"/>
                <w:sz w:val="24"/>
                <w:szCs w:val="24"/>
              </w:rPr>
              <w:t xml:space="preserve"> </w:t>
            </w:r>
          </w:p>
          <w:p w14:paraId="524C551E" w14:textId="27BB18BB" w:rsidR="0011581F" w:rsidRPr="00125B5F" w:rsidRDefault="0011581F" w:rsidP="00125B5F">
            <w:pPr>
              <w:widowControl w:val="0"/>
              <w:spacing w:before="120" w:after="120"/>
              <w:jc w:val="both"/>
              <w:rPr>
                <w:rFonts w:ascii="Times New Roman" w:hAnsi="Times New Roman"/>
                <w:sz w:val="24"/>
                <w:szCs w:val="24"/>
              </w:rPr>
            </w:pPr>
            <w:r w:rsidRPr="00125B5F">
              <w:rPr>
                <w:rFonts w:ascii="Times New Roman" w:hAnsi="Times New Roman"/>
                <w:sz w:val="24"/>
                <w:szCs w:val="24"/>
              </w:rPr>
              <w:t>To strengthen the external economic balance</w:t>
            </w:r>
            <w:r w:rsidR="00CB500E" w:rsidRPr="00125B5F">
              <w:rPr>
                <w:rFonts w:ascii="Times New Roman" w:hAnsi="Times New Roman"/>
                <w:sz w:val="24"/>
                <w:szCs w:val="24"/>
              </w:rPr>
              <w:t xml:space="preserve"> in a changing </w:t>
            </w:r>
            <w:r w:rsidR="003B461E" w:rsidRPr="00125B5F">
              <w:rPr>
                <w:rFonts w:ascii="Times New Roman" w:hAnsi="Times New Roman"/>
                <w:sz w:val="24"/>
                <w:szCs w:val="24"/>
              </w:rPr>
              <w:t>global</w:t>
            </w:r>
            <w:r w:rsidR="00CB500E" w:rsidRPr="00125B5F">
              <w:rPr>
                <w:rFonts w:ascii="Times New Roman" w:hAnsi="Times New Roman"/>
                <w:sz w:val="24"/>
                <w:szCs w:val="24"/>
              </w:rPr>
              <w:t xml:space="preserve"> environment</w:t>
            </w:r>
            <w:r w:rsidRPr="00125B5F">
              <w:rPr>
                <w:rFonts w:ascii="Times New Roman" w:hAnsi="Times New Roman"/>
                <w:sz w:val="24"/>
                <w:szCs w:val="24"/>
              </w:rPr>
              <w:t xml:space="preserve">, the EU economy needs to shift rapidly towards clean production and circularity to develop lead markets and its business case for early movers to earn their rewards. The Horizontal Single Market Strategy </w:t>
            </w:r>
            <w:r w:rsidR="009F15C6">
              <w:rPr>
                <w:rFonts w:ascii="Times New Roman" w:hAnsi="Times New Roman"/>
                <w:sz w:val="24"/>
                <w:szCs w:val="24"/>
              </w:rPr>
              <w:t xml:space="preserve">presented on 21 May 2025 seeks </w:t>
            </w:r>
            <w:r w:rsidRPr="00125B5F">
              <w:rPr>
                <w:rFonts w:ascii="Times New Roman" w:hAnsi="Times New Roman"/>
                <w:sz w:val="24"/>
                <w:szCs w:val="24"/>
              </w:rPr>
              <w:t>to improve the functioning of the Single Market across all industries, building on the insights of the Letta Report. The Single Market is critical to build continental scale advantages over other global economic powers. The benefits obtained would translate into export strengths. To complement the sector-tailored application and further refinement of the protective instruments at the disposal of the EU, the Compass announces the creation of a platform for the joint purchase of critical raw materials and the introduction of a</w:t>
            </w:r>
            <w:r w:rsidR="00232F96">
              <w:rPr>
                <w:rFonts w:ascii="Times New Roman" w:hAnsi="Times New Roman"/>
                <w:sz w:val="24"/>
                <w:szCs w:val="24"/>
              </w:rPr>
              <w:t> </w:t>
            </w:r>
            <w:r w:rsidRPr="00125B5F">
              <w:rPr>
                <w:rFonts w:ascii="Times New Roman" w:hAnsi="Times New Roman"/>
                <w:sz w:val="24"/>
                <w:szCs w:val="24"/>
              </w:rPr>
              <w:t>European preference in public procurement for strategic sectors and technologies.</w:t>
            </w:r>
          </w:p>
          <w:p w14:paraId="2B4CA869" w14:textId="5F49D8ED" w:rsidR="00BB59B7" w:rsidRPr="00125B5F" w:rsidRDefault="0011581F" w:rsidP="00125B5F">
            <w:pPr>
              <w:widowControl w:val="0"/>
              <w:spacing w:before="120" w:after="120"/>
              <w:jc w:val="both"/>
              <w:rPr>
                <w:rFonts w:ascii="Times New Roman" w:hAnsi="Times New Roman"/>
                <w:sz w:val="24"/>
                <w:szCs w:val="24"/>
              </w:rPr>
            </w:pPr>
            <w:r w:rsidRPr="00125B5F">
              <w:rPr>
                <w:rFonts w:ascii="Times New Roman" w:hAnsi="Times New Roman"/>
                <w:sz w:val="24"/>
                <w:szCs w:val="24"/>
              </w:rPr>
              <w:t>The A</w:t>
            </w:r>
            <w:r w:rsidRPr="00125B5F">
              <w:rPr>
                <w:rFonts w:ascii="Times New Roman" w:hAnsi="Times New Roman"/>
                <w:bCs/>
                <w:sz w:val="24"/>
                <w:szCs w:val="24"/>
              </w:rPr>
              <w:t>nnual Single Market and Competitiveness Report takes stock of the Single Market and the EU’s competitiveness relative to global economic powers of available comparable data,</w:t>
            </w:r>
            <w:r w:rsidRPr="00125B5F">
              <w:rPr>
                <w:rFonts w:ascii="Times New Roman" w:hAnsi="Times New Roman"/>
                <w:sz w:val="24"/>
                <w:szCs w:val="24"/>
              </w:rPr>
              <w:t xml:space="preserve"> including</w:t>
            </w:r>
            <w:r w:rsidRPr="00125B5F">
              <w:rPr>
                <w:rFonts w:ascii="Times New Roman" w:hAnsi="Times New Roman"/>
                <w:sz w:val="24"/>
                <w:szCs w:val="24"/>
                <w:u w:val="single"/>
              </w:rPr>
              <w:t xml:space="preserve"> </w:t>
            </w:r>
            <w:r w:rsidRPr="00125B5F">
              <w:rPr>
                <w:rFonts w:ascii="Times New Roman" w:hAnsi="Times New Roman"/>
                <w:sz w:val="24"/>
                <w:szCs w:val="24"/>
              </w:rPr>
              <w:t>progress in strengthening economic security and reducing dependencies.</w:t>
            </w:r>
          </w:p>
        </w:tc>
      </w:tr>
      <w:tr w:rsidR="00BB59B7" w:rsidRPr="004F6117" w14:paraId="463D5EB0" w14:textId="77777777" w:rsidTr="0039556D">
        <w:trPr>
          <w:trHeight w:val="812"/>
          <w:jc w:val="center"/>
        </w:trPr>
        <w:tc>
          <w:tcPr>
            <w:tcW w:w="9711" w:type="dxa"/>
          </w:tcPr>
          <w:p w14:paraId="60B8DA4C" w14:textId="52D1F5E4" w:rsidR="00293681" w:rsidRPr="00125B5F" w:rsidRDefault="00293681" w:rsidP="00125B5F">
            <w:pPr>
              <w:pStyle w:val="Heading2"/>
              <w:widowControl w:val="0"/>
              <w:numPr>
                <w:ilvl w:val="0"/>
                <w:numId w:val="0"/>
              </w:numPr>
              <w:spacing w:before="120" w:after="120" w:line="276" w:lineRule="auto"/>
              <w:rPr>
                <w:i/>
                <w:iCs/>
                <w:sz w:val="24"/>
                <w:szCs w:val="24"/>
              </w:rPr>
            </w:pPr>
            <w:r w:rsidRPr="00125B5F">
              <w:rPr>
                <w:i/>
                <w:iCs/>
                <w:sz w:val="24"/>
                <w:szCs w:val="24"/>
              </w:rPr>
              <w:lastRenderedPageBreak/>
              <w:t xml:space="preserve">On </w:t>
            </w:r>
            <w:r w:rsidRPr="00554298">
              <w:rPr>
                <w:i/>
                <w:iCs/>
                <w:sz w:val="24"/>
                <w:szCs w:val="24"/>
                <w:u w:val="single"/>
              </w:rPr>
              <w:t>point 4.10 of the opinion</w:t>
            </w:r>
            <w:r w:rsidRPr="00125B5F">
              <w:rPr>
                <w:i/>
                <w:iCs/>
                <w:sz w:val="24"/>
                <w:szCs w:val="24"/>
              </w:rPr>
              <w:t>:</w:t>
            </w:r>
            <w:r w:rsidRPr="00125B5F">
              <w:rPr>
                <w:sz w:val="24"/>
                <w:szCs w:val="24"/>
              </w:rPr>
              <w:t xml:space="preserve"> </w:t>
            </w:r>
            <w:r w:rsidRPr="00125B5F">
              <w:rPr>
                <w:i/>
                <w:iCs/>
                <w:sz w:val="24"/>
                <w:szCs w:val="24"/>
              </w:rPr>
              <w:t>In 2026, the EESC expects to see more concrete analyses of the impact assessment of measures linked to the introduction of the Carbon Border Adjustment Mechanism (CBAM). It therefore recommends that the European Commission carry out an in-depth evaluation, which could make a valuable contribution to greater compatibility between the green transition and other areas of the global economy.</w:t>
            </w:r>
          </w:p>
          <w:p w14:paraId="4FF6B2FC" w14:textId="75A6C1EC" w:rsidR="00B1676A" w:rsidRPr="00125B5F" w:rsidRDefault="00293681" w:rsidP="00125B5F">
            <w:pPr>
              <w:pStyle w:val="Heading2"/>
              <w:widowControl w:val="0"/>
              <w:numPr>
                <w:ilvl w:val="0"/>
                <w:numId w:val="0"/>
              </w:numPr>
              <w:spacing w:before="120" w:after="120" w:line="276" w:lineRule="auto"/>
              <w:rPr>
                <w:sz w:val="24"/>
                <w:szCs w:val="24"/>
              </w:rPr>
            </w:pPr>
            <w:r w:rsidRPr="00125B5F">
              <w:rPr>
                <w:sz w:val="24"/>
                <w:szCs w:val="24"/>
              </w:rPr>
              <w:t>Under Article</w:t>
            </w:r>
            <w:r w:rsidR="00125B5F">
              <w:rPr>
                <w:sz w:val="24"/>
                <w:szCs w:val="24"/>
              </w:rPr>
              <w:t> </w:t>
            </w:r>
            <w:r w:rsidRPr="00125B5F">
              <w:rPr>
                <w:sz w:val="24"/>
                <w:szCs w:val="24"/>
              </w:rPr>
              <w:t xml:space="preserve">30(2) of the </w:t>
            </w:r>
            <w:r w:rsidR="00D0178B">
              <w:t>C</w:t>
            </w:r>
            <w:r w:rsidR="00D0178B" w:rsidRPr="00554298">
              <w:t xml:space="preserve">arbon </w:t>
            </w:r>
            <w:r w:rsidR="00D0178B">
              <w:t>B</w:t>
            </w:r>
            <w:r w:rsidR="00D0178B" w:rsidRPr="00554298">
              <w:t xml:space="preserve">order </w:t>
            </w:r>
            <w:r w:rsidR="00D0178B">
              <w:t>A</w:t>
            </w:r>
            <w:r w:rsidR="00D0178B" w:rsidRPr="00554298">
              <w:t xml:space="preserve">djustment </w:t>
            </w:r>
            <w:r w:rsidR="00D0178B">
              <w:t>M</w:t>
            </w:r>
            <w:r w:rsidR="00D0178B" w:rsidRPr="00554298">
              <w:t>echanism</w:t>
            </w:r>
            <w:r w:rsidR="00D0178B">
              <w:rPr>
                <w:lang w:val="en-IE"/>
              </w:rPr>
              <w:t> </w:t>
            </w:r>
            <w:r w:rsidR="00D0178B">
              <w:rPr>
                <w:sz w:val="24"/>
                <w:szCs w:val="24"/>
                <w:lang w:val="en-IE"/>
              </w:rPr>
              <w:t>(</w:t>
            </w:r>
            <w:r w:rsidRPr="00125B5F">
              <w:rPr>
                <w:sz w:val="24"/>
                <w:szCs w:val="24"/>
              </w:rPr>
              <w:t>CBAM</w:t>
            </w:r>
            <w:r w:rsidR="00D0178B">
              <w:rPr>
                <w:sz w:val="24"/>
                <w:szCs w:val="24"/>
              </w:rPr>
              <w:t>)</w:t>
            </w:r>
            <w:r w:rsidRPr="00125B5F">
              <w:rPr>
                <w:sz w:val="24"/>
                <w:szCs w:val="24"/>
              </w:rPr>
              <w:t xml:space="preserve"> Regulation</w:t>
            </w:r>
            <w:r w:rsidR="00212030" w:rsidRPr="00125B5F">
              <w:rPr>
                <w:rStyle w:val="FootnoteReference"/>
                <w:szCs w:val="24"/>
              </w:rPr>
              <w:footnoteReference w:id="10"/>
            </w:r>
            <w:r w:rsidRPr="00125B5F">
              <w:rPr>
                <w:sz w:val="24"/>
                <w:szCs w:val="24"/>
              </w:rPr>
              <w:t>, the Commission is required to present a report to the European Parliament and the Council on the application of the CBAM before the end of the transitional period (i.e. before the end of 2025). The report shall contain assessments on many different aspects linked to the introduction of CBAM, including but not limited to the governance system (including the administrative costs), the possibility to extend the scope of CBAM to additional product categories, and the technical requirements for calculating embedded emissions for other goods to be included in the list of Annex I.</w:t>
            </w:r>
          </w:p>
        </w:tc>
      </w:tr>
      <w:tr w:rsidR="00443386" w:rsidRPr="004F6117" w14:paraId="2BA41AA5" w14:textId="77777777" w:rsidTr="00554298">
        <w:trPr>
          <w:trHeight w:val="411"/>
          <w:jc w:val="center"/>
        </w:trPr>
        <w:tc>
          <w:tcPr>
            <w:tcW w:w="9711" w:type="dxa"/>
          </w:tcPr>
          <w:p w14:paraId="149DF4C1" w14:textId="57D535C8" w:rsidR="00443386" w:rsidRPr="00125B5F" w:rsidRDefault="00443386" w:rsidP="00125B5F">
            <w:pPr>
              <w:pStyle w:val="Heading2"/>
              <w:widowControl w:val="0"/>
              <w:numPr>
                <w:ilvl w:val="0"/>
                <w:numId w:val="0"/>
              </w:numPr>
              <w:spacing w:before="120" w:after="120" w:line="276" w:lineRule="auto"/>
              <w:rPr>
                <w:rStyle w:val="Heading2Char"/>
                <w:i/>
                <w:iCs/>
                <w:sz w:val="24"/>
                <w:szCs w:val="24"/>
              </w:rPr>
            </w:pPr>
            <w:r w:rsidRPr="00125B5F">
              <w:rPr>
                <w:i/>
                <w:iCs/>
                <w:sz w:val="24"/>
                <w:szCs w:val="24"/>
              </w:rPr>
              <w:t xml:space="preserve">On </w:t>
            </w:r>
            <w:r w:rsidRPr="00554298">
              <w:rPr>
                <w:i/>
                <w:iCs/>
                <w:sz w:val="24"/>
                <w:szCs w:val="24"/>
                <w:u w:val="single"/>
              </w:rPr>
              <w:t>point 4.12 of the opinion</w:t>
            </w:r>
            <w:r w:rsidRPr="00125B5F">
              <w:rPr>
                <w:i/>
                <w:iCs/>
                <w:sz w:val="24"/>
                <w:szCs w:val="24"/>
              </w:rPr>
              <w:t xml:space="preserve">: The social cost of carbon dioxide, which measures the monetised </w:t>
            </w:r>
            <w:r w:rsidRPr="00125B5F">
              <w:rPr>
                <w:i/>
                <w:iCs/>
                <w:sz w:val="24"/>
                <w:szCs w:val="24"/>
              </w:rPr>
              <w:lastRenderedPageBreak/>
              <w:t>value of the damage to society caused by each additional metric tonne of CO</w:t>
            </w:r>
            <w:r w:rsidRPr="00125B5F">
              <w:rPr>
                <w:i/>
                <w:iCs/>
                <w:sz w:val="24"/>
                <w:szCs w:val="24"/>
                <w:vertAlign w:val="subscript"/>
              </w:rPr>
              <w:t>2</w:t>
            </w:r>
            <w:r w:rsidRPr="00125B5F">
              <w:rPr>
                <w:i/>
                <w:iCs/>
                <w:sz w:val="24"/>
                <w:szCs w:val="24"/>
              </w:rPr>
              <w:t xml:space="preserve"> emissions, should be made a key metric in forming climate policy in the EU. The mean estimate of each additional tonne of CO</w:t>
            </w:r>
            <w:r w:rsidRPr="00125B5F">
              <w:rPr>
                <w:i/>
                <w:iCs/>
                <w:sz w:val="24"/>
                <w:szCs w:val="24"/>
                <w:vertAlign w:val="subscript"/>
              </w:rPr>
              <w:t>2</w:t>
            </w:r>
            <w:r w:rsidRPr="00125B5F">
              <w:rPr>
                <w:i/>
                <w:iCs/>
                <w:sz w:val="24"/>
                <w:szCs w:val="24"/>
              </w:rPr>
              <w:t xml:space="preserve"> now stands at USD</w:t>
            </w:r>
            <w:r w:rsidR="00FD2538">
              <w:rPr>
                <w:i/>
                <w:iCs/>
                <w:sz w:val="24"/>
                <w:szCs w:val="24"/>
              </w:rPr>
              <w:t> </w:t>
            </w:r>
            <w:r w:rsidRPr="00125B5F">
              <w:rPr>
                <w:i/>
                <w:iCs/>
                <w:sz w:val="24"/>
                <w:szCs w:val="24"/>
              </w:rPr>
              <w:t>185 (this is 3.6 times higher than</w:t>
            </w:r>
            <w:r w:rsidRPr="00125B5F">
              <w:rPr>
                <w:sz w:val="24"/>
                <w:szCs w:val="24"/>
              </w:rPr>
              <w:t xml:space="preserve"> </w:t>
            </w:r>
            <w:r w:rsidRPr="00125B5F">
              <w:rPr>
                <w:i/>
                <w:iCs/>
                <w:sz w:val="24"/>
                <w:szCs w:val="24"/>
              </w:rPr>
              <w:t>the US government’s current assessment of USD</w:t>
            </w:r>
            <w:r w:rsidR="00D0178B">
              <w:rPr>
                <w:i/>
                <w:iCs/>
                <w:sz w:val="24"/>
                <w:szCs w:val="24"/>
              </w:rPr>
              <w:t> </w:t>
            </w:r>
            <w:r w:rsidRPr="00125B5F">
              <w:rPr>
                <w:i/>
                <w:iCs/>
                <w:sz w:val="24"/>
                <w:szCs w:val="24"/>
              </w:rPr>
              <w:t>51 per tCO</w:t>
            </w:r>
            <w:r w:rsidRPr="00125B5F">
              <w:rPr>
                <w:i/>
                <w:iCs/>
                <w:sz w:val="24"/>
                <w:szCs w:val="24"/>
                <w:vertAlign w:val="subscript"/>
              </w:rPr>
              <w:t>2</w:t>
            </w:r>
            <w:r w:rsidRPr="00125B5F">
              <w:rPr>
                <w:i/>
                <w:iCs/>
                <w:sz w:val="24"/>
                <w:szCs w:val="24"/>
              </w:rPr>
              <w:t>)</w:t>
            </w:r>
            <w:r w:rsidRPr="00125B5F">
              <w:rPr>
                <w:rStyle w:val="FootnoteReference"/>
                <w:i/>
                <w:iCs/>
                <w:szCs w:val="24"/>
              </w:rPr>
              <w:footnoteReference w:id="11"/>
            </w:r>
            <w:r w:rsidRPr="00125B5F">
              <w:rPr>
                <w:i/>
                <w:iCs/>
                <w:sz w:val="24"/>
                <w:szCs w:val="24"/>
              </w:rPr>
              <w:t>. This means we are currently undervaluing the social cost of carbon by a factor of three. In Europe, the carbon price measured by the EU ETS allowance prices (between EUR</w:t>
            </w:r>
            <w:r w:rsidR="00D0178B">
              <w:rPr>
                <w:i/>
                <w:iCs/>
                <w:sz w:val="24"/>
                <w:szCs w:val="24"/>
              </w:rPr>
              <w:t> </w:t>
            </w:r>
            <w:r w:rsidR="00A8798A" w:rsidRPr="00A8798A">
              <w:rPr>
                <w:i/>
                <w:iCs/>
                <w:sz w:val="24"/>
                <w:szCs w:val="24"/>
              </w:rPr>
              <w:t xml:space="preserve">Climate Law (2040 target) </w:t>
            </w:r>
            <w:r w:rsidRPr="00125B5F">
              <w:rPr>
                <w:i/>
                <w:iCs/>
                <w:sz w:val="24"/>
                <w:szCs w:val="24"/>
              </w:rPr>
              <w:t>53 and 79 per tonne in 2024) also understates the social costs by a large margin.</w:t>
            </w:r>
          </w:p>
          <w:p w14:paraId="08BC6645" w14:textId="49ABA0E4" w:rsidR="00443386" w:rsidRPr="00125B5F" w:rsidRDefault="00382B6E" w:rsidP="00125B5F">
            <w:pPr>
              <w:widowControl w:val="0"/>
              <w:spacing w:before="120" w:after="120"/>
              <w:jc w:val="both"/>
              <w:rPr>
                <w:rFonts w:ascii="Times New Roman" w:eastAsia="Segoe UI" w:hAnsi="Times New Roman"/>
                <w:sz w:val="24"/>
                <w:szCs w:val="24"/>
                <w:lang w:val="en-IE"/>
              </w:rPr>
            </w:pPr>
            <w:r w:rsidRPr="00125B5F">
              <w:rPr>
                <w:rFonts w:ascii="Times New Roman" w:eastAsia="Segoe UI" w:hAnsi="Times New Roman"/>
                <w:sz w:val="24"/>
                <w:szCs w:val="24"/>
              </w:rPr>
              <w:t xml:space="preserve">Several studies, including the </w:t>
            </w:r>
            <w:r w:rsidR="00FD2538" w:rsidRPr="00554298">
              <w:rPr>
                <w:rFonts w:ascii="Times New Roman" w:eastAsia="Segoe UI" w:hAnsi="Times New Roman"/>
                <w:sz w:val="24"/>
                <w:szCs w:val="24"/>
              </w:rPr>
              <w:t>United States Environmental Protection Agency</w:t>
            </w:r>
            <w:r w:rsidR="00FD2538">
              <w:rPr>
                <w:rFonts w:ascii="Times New Roman" w:eastAsia="Segoe UI" w:hAnsi="Times New Roman"/>
                <w:sz w:val="24"/>
                <w:szCs w:val="24"/>
              </w:rPr>
              <w:t> (</w:t>
            </w:r>
            <w:hyperlink r:id="rId11" w:history="1">
              <w:r w:rsidRPr="00125B5F">
                <w:rPr>
                  <w:rStyle w:val="Hyperlink"/>
                  <w:rFonts w:ascii="Times New Roman" w:eastAsia="Segoe UI" w:hAnsi="Times New Roman"/>
                  <w:color w:val="auto"/>
                  <w:sz w:val="24"/>
                  <w:szCs w:val="24"/>
                  <w:u w:val="none"/>
                </w:rPr>
                <w:t>EPA</w:t>
              </w:r>
              <w:r w:rsidR="00FD2538">
                <w:rPr>
                  <w:rStyle w:val="Hyperlink"/>
                  <w:rFonts w:ascii="Times New Roman" w:eastAsia="Segoe UI" w:hAnsi="Times New Roman"/>
                  <w:color w:val="auto"/>
                  <w:sz w:val="24"/>
                  <w:szCs w:val="24"/>
                  <w:u w:val="none"/>
                </w:rPr>
                <w:t>)</w:t>
              </w:r>
              <w:r w:rsidRPr="00125B5F">
                <w:rPr>
                  <w:rStyle w:val="Hyperlink"/>
                  <w:rFonts w:ascii="Times New Roman" w:eastAsia="Segoe UI" w:hAnsi="Times New Roman"/>
                  <w:color w:val="auto"/>
                  <w:sz w:val="24"/>
                  <w:szCs w:val="24"/>
                  <w:u w:val="none"/>
                </w:rPr>
                <w:t xml:space="preserve"> Report on the Social Cost of Greenhouse Gases: Estimates Incorporating Recent Scientific Advances</w:t>
              </w:r>
            </w:hyperlink>
            <w:r w:rsidRPr="00125B5F">
              <w:rPr>
                <w:rStyle w:val="FootnoteReference"/>
                <w:rFonts w:ascii="Times New Roman" w:hAnsi="Times New Roman"/>
                <w:szCs w:val="24"/>
              </w:rPr>
              <w:footnoteReference w:id="12"/>
            </w:r>
            <w:r w:rsidRPr="00125B5F">
              <w:rPr>
                <w:rStyle w:val="cf01"/>
                <w:rFonts w:ascii="Times New Roman" w:hAnsi="Times New Roman" w:cs="Times New Roman"/>
                <w:sz w:val="24"/>
                <w:szCs w:val="24"/>
              </w:rPr>
              <w:t xml:space="preserve"> </w:t>
            </w:r>
            <w:r w:rsidRPr="00125B5F">
              <w:rPr>
                <w:rStyle w:val="cf01"/>
                <w:rFonts w:ascii="Times New Roman" w:eastAsia="Segoe UI" w:hAnsi="Times New Roman" w:cs="Times New Roman"/>
                <w:sz w:val="24"/>
                <w:szCs w:val="24"/>
                <w:lang w:val="en-IE"/>
              </w:rPr>
              <w:t>show th</w:t>
            </w:r>
            <w:r w:rsidR="00443386" w:rsidRPr="00125B5F">
              <w:rPr>
                <w:rStyle w:val="cf01"/>
                <w:rFonts w:ascii="Times New Roman" w:eastAsia="Segoe UI" w:hAnsi="Times New Roman" w:cs="Times New Roman"/>
                <w:sz w:val="24"/>
                <w:szCs w:val="24"/>
                <w:lang w:val="en-IE"/>
              </w:rPr>
              <w:t xml:space="preserve">ere is a lot of debate on the value of the </w:t>
            </w:r>
            <w:r w:rsidRPr="00125B5F">
              <w:rPr>
                <w:rStyle w:val="cf01"/>
                <w:rFonts w:ascii="Times New Roman" w:eastAsia="Segoe UI" w:hAnsi="Times New Roman" w:cs="Times New Roman"/>
                <w:sz w:val="24"/>
                <w:szCs w:val="24"/>
                <w:lang w:val="en-IE"/>
              </w:rPr>
              <w:t>social cost of carbon</w:t>
            </w:r>
            <w:r w:rsidR="00443386" w:rsidRPr="00125B5F">
              <w:rPr>
                <w:rStyle w:val="cf01"/>
                <w:rFonts w:ascii="Times New Roman" w:eastAsia="Segoe UI" w:hAnsi="Times New Roman" w:cs="Times New Roman"/>
                <w:sz w:val="24"/>
                <w:szCs w:val="24"/>
                <w:lang w:val="en-IE"/>
              </w:rPr>
              <w:t>.</w:t>
            </w:r>
            <w:r w:rsidRPr="00125B5F">
              <w:rPr>
                <w:rStyle w:val="cf01"/>
                <w:rFonts w:ascii="Times New Roman" w:eastAsia="Segoe UI" w:hAnsi="Times New Roman" w:cs="Times New Roman"/>
                <w:sz w:val="24"/>
                <w:szCs w:val="24"/>
                <w:lang w:val="en-IE"/>
              </w:rPr>
              <w:t xml:space="preserve"> The </w:t>
            </w:r>
            <w:r w:rsidR="0050683E" w:rsidRPr="00125B5F">
              <w:rPr>
                <w:rStyle w:val="cf01"/>
                <w:rFonts w:ascii="Times New Roman" w:eastAsia="Segoe UI" w:hAnsi="Times New Roman" w:cs="Times New Roman"/>
                <w:sz w:val="24"/>
                <w:szCs w:val="24"/>
                <w:lang w:val="en-IE"/>
              </w:rPr>
              <w:t xml:space="preserve">US </w:t>
            </w:r>
            <w:r w:rsidR="00443386" w:rsidRPr="00125B5F">
              <w:rPr>
                <w:rStyle w:val="cf01"/>
                <w:rFonts w:ascii="Times New Roman" w:eastAsia="Segoe UI" w:hAnsi="Times New Roman" w:cs="Times New Roman"/>
                <w:sz w:val="24"/>
                <w:szCs w:val="24"/>
                <w:lang w:val="en-IE"/>
              </w:rPr>
              <w:t xml:space="preserve">EPA </w:t>
            </w:r>
            <w:r w:rsidRPr="00125B5F">
              <w:rPr>
                <w:rStyle w:val="cf01"/>
                <w:rFonts w:ascii="Times New Roman" w:eastAsia="Segoe UI" w:hAnsi="Times New Roman" w:cs="Times New Roman"/>
                <w:sz w:val="24"/>
                <w:szCs w:val="24"/>
                <w:lang w:val="en-IE"/>
              </w:rPr>
              <w:t xml:space="preserve">estimates it to be </w:t>
            </w:r>
            <w:r w:rsidR="0050683E" w:rsidRPr="00125B5F">
              <w:rPr>
                <w:rStyle w:val="cf01"/>
                <w:rFonts w:ascii="Times New Roman" w:eastAsia="Segoe UI" w:hAnsi="Times New Roman" w:cs="Times New Roman"/>
                <w:sz w:val="24"/>
                <w:szCs w:val="24"/>
                <w:lang w:val="en-IE"/>
              </w:rPr>
              <w:t>in the range of</w:t>
            </w:r>
            <w:r w:rsidRPr="00125B5F">
              <w:rPr>
                <w:rStyle w:val="cf01"/>
                <w:rFonts w:ascii="Times New Roman" w:eastAsia="Segoe UI" w:hAnsi="Times New Roman" w:cs="Times New Roman"/>
                <w:sz w:val="24"/>
                <w:szCs w:val="24"/>
                <w:lang w:val="en-IE"/>
              </w:rPr>
              <w:t xml:space="preserve"> </w:t>
            </w:r>
            <w:r w:rsidR="00232F96">
              <w:rPr>
                <w:rStyle w:val="cf01"/>
                <w:rFonts w:ascii="Times New Roman" w:eastAsia="Segoe UI" w:hAnsi="Times New Roman" w:cs="Times New Roman"/>
                <w:sz w:val="24"/>
                <w:szCs w:val="24"/>
                <w:lang w:val="en-IE"/>
              </w:rPr>
              <w:t>USD </w:t>
            </w:r>
            <w:r w:rsidR="0050683E" w:rsidRPr="00125B5F">
              <w:rPr>
                <w:rStyle w:val="cf21"/>
                <w:rFonts w:ascii="Times New Roman" w:eastAsia="Segoe UI" w:hAnsi="Times New Roman" w:cs="Times New Roman"/>
                <w:sz w:val="24"/>
                <w:szCs w:val="24"/>
                <w:lang w:val="en-IE"/>
              </w:rPr>
              <w:t>120-340</w:t>
            </w:r>
            <w:r w:rsidRPr="00125B5F">
              <w:rPr>
                <w:rStyle w:val="cf21"/>
                <w:rFonts w:ascii="Times New Roman" w:eastAsia="Segoe UI" w:hAnsi="Times New Roman" w:cs="Times New Roman"/>
                <w:sz w:val="24"/>
                <w:szCs w:val="24"/>
                <w:lang w:val="en-IE"/>
              </w:rPr>
              <w:t xml:space="preserve"> </w:t>
            </w:r>
            <w:r w:rsidR="0050683E" w:rsidRPr="00125B5F">
              <w:rPr>
                <w:rStyle w:val="cf21"/>
                <w:rFonts w:ascii="Times New Roman" w:eastAsia="Segoe UI" w:hAnsi="Times New Roman" w:cs="Times New Roman"/>
                <w:sz w:val="24"/>
                <w:szCs w:val="24"/>
                <w:lang w:val="en-IE"/>
              </w:rPr>
              <w:t xml:space="preserve">in 2020 – </w:t>
            </w:r>
            <w:r w:rsidR="00232F96">
              <w:rPr>
                <w:rStyle w:val="cf21"/>
                <w:rFonts w:ascii="Times New Roman" w:eastAsia="Segoe UI" w:hAnsi="Times New Roman" w:cs="Times New Roman"/>
                <w:sz w:val="24"/>
                <w:szCs w:val="24"/>
                <w:lang w:val="en-IE"/>
              </w:rPr>
              <w:t>USD </w:t>
            </w:r>
            <w:r w:rsidR="0050683E" w:rsidRPr="00125B5F">
              <w:rPr>
                <w:rStyle w:val="cf21"/>
                <w:rFonts w:ascii="Times New Roman" w:eastAsia="Segoe UI" w:hAnsi="Times New Roman" w:cs="Times New Roman"/>
                <w:sz w:val="24"/>
                <w:szCs w:val="24"/>
                <w:lang w:val="en-IE"/>
              </w:rPr>
              <w:t>200-480</w:t>
            </w:r>
            <w:r w:rsidRPr="00125B5F">
              <w:rPr>
                <w:rStyle w:val="cf21"/>
                <w:rFonts w:ascii="Times New Roman" w:eastAsia="Segoe UI" w:hAnsi="Times New Roman" w:cs="Times New Roman"/>
                <w:sz w:val="24"/>
                <w:szCs w:val="24"/>
                <w:lang w:val="en-IE"/>
              </w:rPr>
              <w:t xml:space="preserve"> </w:t>
            </w:r>
            <w:r w:rsidR="0050683E" w:rsidRPr="00125B5F">
              <w:rPr>
                <w:rStyle w:val="cf21"/>
                <w:rFonts w:ascii="Times New Roman" w:eastAsia="Segoe UI" w:hAnsi="Times New Roman" w:cs="Times New Roman"/>
                <w:sz w:val="24"/>
                <w:szCs w:val="24"/>
                <w:lang w:val="en-IE"/>
              </w:rPr>
              <w:t>in 2050</w:t>
            </w:r>
            <w:r w:rsidR="002D550E" w:rsidRPr="00125B5F">
              <w:rPr>
                <w:rStyle w:val="cf21"/>
                <w:rFonts w:ascii="Times New Roman" w:eastAsia="Segoe UI" w:hAnsi="Times New Roman" w:cs="Times New Roman"/>
                <w:sz w:val="24"/>
                <w:szCs w:val="24"/>
                <w:lang w:val="en-IE"/>
              </w:rPr>
              <w:t xml:space="preserve"> (</w:t>
            </w:r>
            <w:r w:rsidRPr="00125B5F">
              <w:rPr>
                <w:rStyle w:val="cf21"/>
                <w:rFonts w:ascii="Times New Roman" w:eastAsia="Segoe UI" w:hAnsi="Times New Roman" w:cs="Times New Roman"/>
                <w:sz w:val="24"/>
                <w:szCs w:val="24"/>
                <w:lang w:val="en-IE"/>
              </w:rPr>
              <w:t xml:space="preserve">in 2020 prices </w:t>
            </w:r>
            <w:r w:rsidR="006B0BA0" w:rsidRPr="00125B5F">
              <w:rPr>
                <w:rStyle w:val="cf01"/>
                <w:rFonts w:ascii="Times New Roman" w:eastAsia="Segoe UI" w:hAnsi="Times New Roman" w:cs="Times New Roman"/>
                <w:sz w:val="24"/>
                <w:szCs w:val="24"/>
                <w:lang w:val="en-IE"/>
              </w:rPr>
              <w:t xml:space="preserve">under the former </w:t>
            </w:r>
            <w:r w:rsidR="002D550E" w:rsidRPr="00125B5F">
              <w:rPr>
                <w:rStyle w:val="cf01"/>
                <w:rFonts w:ascii="Times New Roman" w:eastAsia="Segoe UI" w:hAnsi="Times New Roman" w:cs="Times New Roman"/>
                <w:sz w:val="24"/>
                <w:szCs w:val="24"/>
                <w:lang w:val="en-IE"/>
              </w:rPr>
              <w:t>U</w:t>
            </w:r>
            <w:r w:rsidR="00232F96">
              <w:rPr>
                <w:rStyle w:val="cf01"/>
                <w:rFonts w:ascii="Times New Roman" w:eastAsia="Segoe UI" w:hAnsi="Times New Roman" w:cs="Times New Roman"/>
                <w:sz w:val="24"/>
                <w:szCs w:val="24"/>
                <w:lang w:val="en-IE"/>
              </w:rPr>
              <w:t xml:space="preserve">nited </w:t>
            </w:r>
            <w:r w:rsidR="002D550E" w:rsidRPr="00125B5F">
              <w:rPr>
                <w:rStyle w:val="cf01"/>
                <w:rFonts w:ascii="Times New Roman" w:eastAsia="Segoe UI" w:hAnsi="Times New Roman" w:cs="Times New Roman"/>
                <w:sz w:val="24"/>
                <w:szCs w:val="24"/>
                <w:lang w:val="en-IE"/>
              </w:rPr>
              <w:t>S</w:t>
            </w:r>
            <w:r w:rsidR="00232F96">
              <w:rPr>
                <w:rStyle w:val="cf01"/>
                <w:rFonts w:ascii="Times New Roman" w:eastAsia="Segoe UI" w:hAnsi="Times New Roman" w:cs="Times New Roman"/>
                <w:sz w:val="24"/>
                <w:szCs w:val="24"/>
                <w:lang w:val="en-IE"/>
              </w:rPr>
              <w:t>tates</w:t>
            </w:r>
            <w:r w:rsidR="002D550E" w:rsidRPr="00125B5F">
              <w:rPr>
                <w:rStyle w:val="cf01"/>
                <w:rFonts w:ascii="Times New Roman" w:eastAsia="Segoe UI" w:hAnsi="Times New Roman" w:cs="Times New Roman"/>
                <w:sz w:val="24"/>
                <w:szCs w:val="24"/>
                <w:lang w:val="en-IE"/>
              </w:rPr>
              <w:t xml:space="preserve"> </w:t>
            </w:r>
            <w:r w:rsidR="006B0BA0" w:rsidRPr="00125B5F">
              <w:rPr>
                <w:rStyle w:val="cf01"/>
                <w:rFonts w:ascii="Times New Roman" w:eastAsia="Segoe UI" w:hAnsi="Times New Roman" w:cs="Times New Roman"/>
                <w:sz w:val="24"/>
                <w:szCs w:val="24"/>
                <w:lang w:val="en-IE"/>
              </w:rPr>
              <w:t>administration</w:t>
            </w:r>
            <w:r w:rsidR="002D550E" w:rsidRPr="00125B5F">
              <w:rPr>
                <w:rStyle w:val="cf01"/>
                <w:rFonts w:ascii="Times New Roman" w:eastAsia="Segoe UI" w:hAnsi="Times New Roman" w:cs="Times New Roman"/>
                <w:sz w:val="24"/>
                <w:szCs w:val="24"/>
                <w:lang w:val="en-IE"/>
              </w:rPr>
              <w:t>)</w:t>
            </w:r>
            <w:r w:rsidR="00B26671">
              <w:rPr>
                <w:rStyle w:val="cf01"/>
                <w:rFonts w:ascii="Times New Roman" w:eastAsia="Segoe UI" w:hAnsi="Times New Roman" w:cs="Times New Roman"/>
                <w:sz w:val="24"/>
                <w:szCs w:val="24"/>
                <w:lang w:val="en-IE"/>
              </w:rPr>
              <w:t>.</w:t>
            </w:r>
          </w:p>
          <w:p w14:paraId="2196E6EE" w14:textId="2BBBE46A" w:rsidR="00443386" w:rsidRPr="00125B5F" w:rsidRDefault="00443386" w:rsidP="00125B5F">
            <w:pPr>
              <w:widowControl w:val="0"/>
              <w:spacing w:before="120" w:after="120"/>
              <w:jc w:val="both"/>
              <w:rPr>
                <w:rStyle w:val="cf01"/>
                <w:rFonts w:ascii="Times New Roman" w:eastAsia="Segoe UI" w:hAnsi="Times New Roman" w:cs="Times New Roman"/>
                <w:sz w:val="24"/>
                <w:szCs w:val="24"/>
                <w:lang w:val="en-IE"/>
              </w:rPr>
            </w:pPr>
            <w:r w:rsidRPr="00125B5F">
              <w:rPr>
                <w:rStyle w:val="cf01"/>
                <w:rFonts w:ascii="Times New Roman" w:eastAsia="Segoe UI" w:hAnsi="Times New Roman" w:cs="Times New Roman"/>
                <w:sz w:val="24"/>
                <w:szCs w:val="24"/>
                <w:lang w:val="en-IE"/>
              </w:rPr>
              <w:t xml:space="preserve">The EU ETS allowance price does not reflect the shadow carbon price of all climate policies in place. The ETS is one </w:t>
            </w:r>
            <w:r w:rsidR="00382B6E" w:rsidRPr="00125B5F">
              <w:rPr>
                <w:rStyle w:val="cf01"/>
                <w:rFonts w:ascii="Times New Roman" w:eastAsia="Segoe UI" w:hAnsi="Times New Roman" w:cs="Times New Roman"/>
                <w:sz w:val="24"/>
                <w:szCs w:val="24"/>
                <w:lang w:val="en-IE"/>
              </w:rPr>
              <w:t>instrument,</w:t>
            </w:r>
            <w:r w:rsidRPr="00125B5F">
              <w:rPr>
                <w:rStyle w:val="cf01"/>
                <w:rFonts w:ascii="Times New Roman" w:eastAsia="Segoe UI" w:hAnsi="Times New Roman" w:cs="Times New Roman"/>
                <w:sz w:val="24"/>
                <w:szCs w:val="24"/>
                <w:lang w:val="en-IE"/>
              </w:rPr>
              <w:t xml:space="preserve"> but it is complemented by renewable energy policies, energy efficiency policies, </w:t>
            </w:r>
            <w:r w:rsidR="008E7171" w:rsidRPr="00125B5F">
              <w:rPr>
                <w:rStyle w:val="cf01"/>
                <w:rFonts w:ascii="Times New Roman" w:eastAsia="Segoe UI" w:hAnsi="Times New Roman" w:cs="Times New Roman"/>
                <w:sz w:val="24"/>
                <w:szCs w:val="24"/>
                <w:lang w:val="en-IE"/>
              </w:rPr>
              <w:t xml:space="preserve">emission standards, </w:t>
            </w:r>
            <w:r w:rsidRPr="00125B5F">
              <w:rPr>
                <w:rStyle w:val="cf01"/>
                <w:rFonts w:ascii="Times New Roman" w:eastAsia="Segoe UI" w:hAnsi="Times New Roman" w:cs="Times New Roman"/>
                <w:sz w:val="24"/>
                <w:szCs w:val="24"/>
                <w:lang w:val="en-IE"/>
              </w:rPr>
              <w:t>etc. What would make sense is to compare the shadow price of all these policies taken together with the social cost of carbon.</w:t>
            </w:r>
          </w:p>
          <w:p w14:paraId="7961D836" w14:textId="0509FA5E" w:rsidR="00443386" w:rsidRPr="00125B5F" w:rsidRDefault="00443386" w:rsidP="00125B5F">
            <w:pPr>
              <w:widowControl w:val="0"/>
              <w:spacing w:before="120" w:after="120"/>
              <w:jc w:val="both"/>
              <w:rPr>
                <w:rStyle w:val="cf01"/>
                <w:rFonts w:ascii="Times New Roman" w:eastAsia="Segoe UI" w:hAnsi="Times New Roman" w:cs="Times New Roman"/>
                <w:sz w:val="24"/>
                <w:szCs w:val="24"/>
                <w:lang w:val="en-IE"/>
              </w:rPr>
            </w:pPr>
            <w:r w:rsidRPr="00125B5F">
              <w:rPr>
                <w:rStyle w:val="cf01"/>
                <w:rFonts w:ascii="Times New Roman" w:eastAsia="Segoe UI" w:hAnsi="Times New Roman" w:cs="Times New Roman"/>
                <w:sz w:val="24"/>
                <w:szCs w:val="24"/>
                <w:lang w:val="en-IE"/>
              </w:rPr>
              <w:t xml:space="preserve">Furthermore, </w:t>
            </w:r>
            <w:r w:rsidRPr="00125B5F">
              <w:rPr>
                <w:rFonts w:ascii="Times New Roman" w:eastAsia="Segoe UI" w:hAnsi="Times New Roman"/>
                <w:sz w:val="24"/>
                <w:szCs w:val="24"/>
              </w:rPr>
              <w:t>the EU ETS is a market-based instrument aimed at allowing emitters to reduce greenhouse gas emissions in a cost-effective manner. T</w:t>
            </w:r>
            <w:r w:rsidRPr="00125B5F">
              <w:rPr>
                <w:rStyle w:val="cf01"/>
                <w:rFonts w:ascii="Times New Roman" w:eastAsia="Segoe UI" w:hAnsi="Times New Roman" w:cs="Times New Roman"/>
                <w:sz w:val="24"/>
                <w:szCs w:val="24"/>
                <w:lang w:val="en-IE"/>
              </w:rPr>
              <w:t xml:space="preserve">he price of EU ETS allowances is formed freely on the EU carbon market, at the intersection of supply and demand. </w:t>
            </w:r>
            <w:r w:rsidRPr="00125B5F">
              <w:rPr>
                <w:rFonts w:ascii="Times New Roman" w:eastAsia="Segoe UI" w:hAnsi="Times New Roman"/>
                <w:sz w:val="24"/>
                <w:szCs w:val="24"/>
              </w:rPr>
              <w:t>The evolution of the carbon price depends on the design elements of the ETS as well as market expectations and behaviour about the future scarcity of allowances. This includes the willingness of emitters or investors to accumulate or sell allowances.</w:t>
            </w:r>
          </w:p>
          <w:p w14:paraId="24BE17CF" w14:textId="06CB224E" w:rsidR="00443386" w:rsidRPr="00125B5F" w:rsidRDefault="00443386" w:rsidP="00125B5F">
            <w:pPr>
              <w:widowControl w:val="0"/>
              <w:spacing w:before="120" w:after="120"/>
              <w:jc w:val="both"/>
              <w:rPr>
                <w:rFonts w:ascii="Times New Roman" w:hAnsi="Times New Roman"/>
                <w:sz w:val="24"/>
                <w:szCs w:val="24"/>
              </w:rPr>
            </w:pPr>
            <w:r w:rsidRPr="00125B5F">
              <w:rPr>
                <w:rStyle w:val="cf01"/>
                <w:rFonts w:ascii="Times New Roman" w:eastAsia="Segoe UI" w:hAnsi="Times New Roman" w:cs="Times New Roman"/>
                <w:sz w:val="24"/>
                <w:szCs w:val="24"/>
                <w:lang w:val="en-IE"/>
              </w:rPr>
              <w:t>Fixing the price of an EU ETS allowance at a certain level linked to the social cost of carbon would change the current instrument which is designed as a cap-and-trade system into a different legal instrument, i.e. a carbon tax.</w:t>
            </w:r>
          </w:p>
        </w:tc>
      </w:tr>
      <w:tr w:rsidR="00071AE8" w:rsidRPr="004F6117" w14:paraId="69489FDC" w14:textId="77777777" w:rsidTr="006B5A2B">
        <w:trPr>
          <w:trHeight w:val="812"/>
          <w:jc w:val="center"/>
        </w:trPr>
        <w:tc>
          <w:tcPr>
            <w:tcW w:w="9711" w:type="dxa"/>
          </w:tcPr>
          <w:p w14:paraId="2371B87B" w14:textId="23FA609B" w:rsidR="00071AE8" w:rsidRPr="00125B5F" w:rsidRDefault="00071AE8" w:rsidP="00125B5F">
            <w:pPr>
              <w:pStyle w:val="Heading2"/>
              <w:widowControl w:val="0"/>
              <w:numPr>
                <w:ilvl w:val="0"/>
                <w:numId w:val="0"/>
              </w:numPr>
              <w:spacing w:before="120" w:after="120" w:line="276" w:lineRule="auto"/>
              <w:rPr>
                <w:i/>
                <w:iCs/>
                <w:sz w:val="24"/>
                <w:szCs w:val="24"/>
              </w:rPr>
            </w:pPr>
            <w:r w:rsidRPr="00125B5F">
              <w:rPr>
                <w:i/>
                <w:iCs/>
                <w:sz w:val="24"/>
                <w:szCs w:val="24"/>
              </w:rPr>
              <w:lastRenderedPageBreak/>
              <w:t xml:space="preserve">On </w:t>
            </w:r>
            <w:r w:rsidRPr="00554298">
              <w:rPr>
                <w:i/>
                <w:iCs/>
                <w:sz w:val="24"/>
                <w:szCs w:val="24"/>
                <w:u w:val="single"/>
              </w:rPr>
              <w:t>point 4.16 of the opinion</w:t>
            </w:r>
            <w:r w:rsidRPr="00125B5F">
              <w:rPr>
                <w:i/>
                <w:iCs/>
                <w:sz w:val="24"/>
                <w:szCs w:val="24"/>
              </w:rPr>
              <w:t>: The EESC stresses the need to proceed with the progressive reduction of fossil fuel subsidies, which are hugely detrimental in terms of environmental pollution and public health. Furthermore, introducing a tax on carbon and carbon prices would be needed. In 2022, the total subsidies amounted to USD</w:t>
            </w:r>
            <w:r w:rsidR="00B26671">
              <w:rPr>
                <w:i/>
                <w:iCs/>
                <w:sz w:val="24"/>
                <w:szCs w:val="24"/>
              </w:rPr>
              <w:t> </w:t>
            </w:r>
            <w:r w:rsidRPr="00125B5F">
              <w:rPr>
                <w:i/>
                <w:iCs/>
                <w:sz w:val="24"/>
                <w:szCs w:val="24"/>
              </w:rPr>
              <w:t>7 trillion, representing 7.1% of global GDP</w:t>
            </w:r>
            <w:r w:rsidRPr="00125B5F">
              <w:rPr>
                <w:rStyle w:val="FootnoteReference"/>
                <w:i/>
                <w:iCs/>
                <w:szCs w:val="24"/>
              </w:rPr>
              <w:footnoteReference w:id="13"/>
            </w:r>
            <w:r w:rsidRPr="00125B5F">
              <w:rPr>
                <w:i/>
                <w:iCs/>
                <w:sz w:val="24"/>
                <w:szCs w:val="24"/>
              </w:rPr>
              <w:t xml:space="preserve">. In the two years from 2020 to 2022, fossil fuel subsidies rose by USD 2 trillion. </w:t>
            </w:r>
            <w:r w:rsidRPr="00125B5F">
              <w:rPr>
                <w:i/>
                <w:iCs/>
                <w:color w:val="000000"/>
                <w:sz w:val="24"/>
                <w:szCs w:val="24"/>
              </w:rPr>
              <w:t>Fossil fuel subsidies were relatively stable at about EUR</w:t>
            </w:r>
            <w:r w:rsidR="00B26671">
              <w:rPr>
                <w:i/>
                <w:iCs/>
                <w:color w:val="000000"/>
                <w:sz w:val="24"/>
                <w:szCs w:val="24"/>
              </w:rPr>
              <w:t> </w:t>
            </w:r>
            <w:r w:rsidRPr="00125B5F">
              <w:rPr>
                <w:i/>
                <w:iCs/>
                <w:color w:val="000000"/>
                <w:sz w:val="24"/>
                <w:szCs w:val="24"/>
              </w:rPr>
              <w:t>56 billion over the period 2015-2021,</w:t>
            </w:r>
            <w:r w:rsidR="005D4F4C" w:rsidRPr="00125B5F">
              <w:rPr>
                <w:i/>
                <w:iCs/>
                <w:color w:val="000000"/>
                <w:sz w:val="24"/>
                <w:szCs w:val="24"/>
              </w:rPr>
              <w:t xml:space="preserve"> </w:t>
            </w:r>
            <w:r w:rsidRPr="00125B5F">
              <w:rPr>
                <w:i/>
                <w:iCs/>
                <w:color w:val="000000"/>
                <w:sz w:val="24"/>
                <w:szCs w:val="24"/>
              </w:rPr>
              <w:t>but increased to EUR</w:t>
            </w:r>
            <w:r w:rsidR="00B26671">
              <w:rPr>
                <w:i/>
                <w:iCs/>
                <w:color w:val="000000"/>
                <w:sz w:val="24"/>
                <w:szCs w:val="24"/>
              </w:rPr>
              <w:t> </w:t>
            </w:r>
            <w:r w:rsidRPr="00125B5F">
              <w:rPr>
                <w:i/>
                <w:iCs/>
                <w:color w:val="000000"/>
                <w:sz w:val="24"/>
                <w:szCs w:val="24"/>
              </w:rPr>
              <w:t>123 billion in 2022</w:t>
            </w:r>
            <w:r w:rsidRPr="00125B5F">
              <w:rPr>
                <w:rStyle w:val="FootnoteReference"/>
                <w:i/>
                <w:iCs/>
                <w:szCs w:val="24"/>
              </w:rPr>
              <w:footnoteReference w:id="14"/>
            </w:r>
            <w:r w:rsidRPr="00125B5F">
              <w:rPr>
                <w:i/>
                <w:iCs/>
                <w:sz w:val="24"/>
                <w:szCs w:val="24"/>
              </w:rPr>
              <w:t>.</w:t>
            </w:r>
          </w:p>
          <w:p w14:paraId="7CD686AF" w14:textId="5758EDC7" w:rsidR="00071AE8" w:rsidRPr="00125B5F" w:rsidRDefault="00071AE8" w:rsidP="00125B5F">
            <w:pPr>
              <w:widowControl w:val="0"/>
              <w:spacing w:before="120" w:after="120"/>
              <w:jc w:val="both"/>
              <w:rPr>
                <w:rFonts w:ascii="Times New Roman" w:hAnsi="Times New Roman"/>
                <w:sz w:val="24"/>
                <w:szCs w:val="24"/>
              </w:rPr>
            </w:pPr>
            <w:r w:rsidRPr="00125B5F">
              <w:rPr>
                <w:rFonts w:ascii="Times New Roman" w:hAnsi="Times New Roman"/>
                <w:sz w:val="24"/>
                <w:szCs w:val="24"/>
              </w:rPr>
              <w:t>The Commission reiterates its long-standing commitment to phasing out environmentally harmful subsidies. The 8</w:t>
            </w:r>
            <w:r w:rsidRPr="00125B5F">
              <w:rPr>
                <w:rFonts w:ascii="Times New Roman" w:hAnsi="Times New Roman"/>
                <w:sz w:val="24"/>
                <w:szCs w:val="24"/>
                <w:vertAlign w:val="superscript"/>
              </w:rPr>
              <w:t>th</w:t>
            </w:r>
            <w:r w:rsidR="00B26671">
              <w:rPr>
                <w:rFonts w:ascii="Times New Roman" w:hAnsi="Times New Roman"/>
                <w:sz w:val="24"/>
                <w:szCs w:val="24"/>
              </w:rPr>
              <w:t> </w:t>
            </w:r>
            <w:r w:rsidRPr="00125B5F">
              <w:rPr>
                <w:rFonts w:ascii="Times New Roman" w:hAnsi="Times New Roman"/>
                <w:sz w:val="24"/>
                <w:szCs w:val="24"/>
              </w:rPr>
              <w:t xml:space="preserve">Environment Action Programme, the EU’s agreed common agenda for </w:t>
            </w:r>
            <w:r w:rsidRPr="00125B5F">
              <w:rPr>
                <w:rFonts w:ascii="Times New Roman" w:hAnsi="Times New Roman"/>
                <w:sz w:val="24"/>
                <w:szCs w:val="24"/>
              </w:rPr>
              <w:lastRenderedPageBreak/>
              <w:t>environment policy until 2030, calls for an immediate phase out of fossil fuel subsidies.</w:t>
            </w:r>
          </w:p>
          <w:p w14:paraId="45585884" w14:textId="48E42E06" w:rsidR="00071AE8" w:rsidRPr="00125B5F" w:rsidRDefault="00071AE8" w:rsidP="00125B5F">
            <w:pPr>
              <w:widowControl w:val="0"/>
              <w:spacing w:before="120" w:after="120"/>
              <w:jc w:val="both"/>
              <w:rPr>
                <w:rFonts w:ascii="Times New Roman" w:hAnsi="Times New Roman"/>
                <w:sz w:val="24"/>
                <w:szCs w:val="24"/>
              </w:rPr>
            </w:pPr>
            <w:r w:rsidRPr="00125B5F">
              <w:rPr>
                <w:rFonts w:ascii="Times New Roman" w:hAnsi="Times New Roman"/>
                <w:sz w:val="24"/>
                <w:szCs w:val="24"/>
              </w:rPr>
              <w:t xml:space="preserve">The Commission also notes that the EU ETS has priced carbon emissions </w:t>
            </w:r>
            <w:r w:rsidR="008E7171" w:rsidRPr="00125B5F">
              <w:rPr>
                <w:rFonts w:ascii="Times New Roman" w:hAnsi="Times New Roman"/>
                <w:sz w:val="24"/>
                <w:szCs w:val="24"/>
              </w:rPr>
              <w:t xml:space="preserve">in the power and energy intensive industry sectors </w:t>
            </w:r>
            <w:r w:rsidRPr="00125B5F">
              <w:rPr>
                <w:rFonts w:ascii="Times New Roman" w:hAnsi="Times New Roman"/>
                <w:sz w:val="24"/>
                <w:szCs w:val="24"/>
              </w:rPr>
              <w:t xml:space="preserve">since 2005. Therefore, a tax on carbon is not something which needs to be </w:t>
            </w:r>
            <w:r w:rsidR="009F6242" w:rsidRPr="00125B5F">
              <w:rPr>
                <w:rFonts w:ascii="Times New Roman" w:hAnsi="Times New Roman"/>
                <w:sz w:val="24"/>
                <w:szCs w:val="24"/>
              </w:rPr>
              <w:t>‘</w:t>
            </w:r>
            <w:r w:rsidRPr="00125B5F">
              <w:rPr>
                <w:rFonts w:ascii="Times New Roman" w:hAnsi="Times New Roman"/>
                <w:sz w:val="24"/>
                <w:szCs w:val="24"/>
              </w:rPr>
              <w:t>introduced</w:t>
            </w:r>
            <w:r w:rsidR="009F6242" w:rsidRPr="00125B5F">
              <w:rPr>
                <w:rFonts w:ascii="Times New Roman" w:hAnsi="Times New Roman"/>
                <w:sz w:val="24"/>
                <w:szCs w:val="24"/>
              </w:rPr>
              <w:t>’</w:t>
            </w:r>
            <w:r w:rsidRPr="00125B5F">
              <w:rPr>
                <w:rFonts w:ascii="Times New Roman" w:hAnsi="Times New Roman"/>
                <w:sz w:val="24"/>
                <w:szCs w:val="24"/>
              </w:rPr>
              <w:t>. Furthermore, the EU has adopted legislation to extend carbon pricing to CO</w:t>
            </w:r>
            <w:r w:rsidRPr="00554298">
              <w:rPr>
                <w:rFonts w:ascii="Times New Roman" w:hAnsi="Times New Roman"/>
                <w:sz w:val="24"/>
                <w:szCs w:val="24"/>
                <w:vertAlign w:val="subscript"/>
              </w:rPr>
              <w:t>2</w:t>
            </w:r>
            <w:r w:rsidRPr="00125B5F">
              <w:rPr>
                <w:rFonts w:ascii="Times New Roman" w:hAnsi="Times New Roman"/>
                <w:sz w:val="24"/>
                <w:szCs w:val="24"/>
              </w:rPr>
              <w:t xml:space="preserve"> emissions from road transport and buildings under ETS2. This means that effectively a very large share of domestic CO</w:t>
            </w:r>
            <w:r w:rsidRPr="00554298">
              <w:rPr>
                <w:rFonts w:ascii="Times New Roman" w:hAnsi="Times New Roman"/>
                <w:sz w:val="24"/>
                <w:szCs w:val="24"/>
                <w:vertAlign w:val="subscript"/>
              </w:rPr>
              <w:t xml:space="preserve">2 </w:t>
            </w:r>
            <w:r w:rsidRPr="00125B5F">
              <w:rPr>
                <w:rFonts w:ascii="Times New Roman" w:hAnsi="Times New Roman"/>
                <w:sz w:val="24"/>
                <w:szCs w:val="24"/>
              </w:rPr>
              <w:t xml:space="preserve">emissions </w:t>
            </w:r>
            <w:r w:rsidR="008E7171" w:rsidRPr="00125B5F">
              <w:rPr>
                <w:rFonts w:ascii="Times New Roman" w:hAnsi="Times New Roman"/>
                <w:sz w:val="24"/>
                <w:szCs w:val="24"/>
              </w:rPr>
              <w:t xml:space="preserve">(75%) </w:t>
            </w:r>
            <w:r w:rsidRPr="00125B5F">
              <w:rPr>
                <w:rFonts w:ascii="Times New Roman" w:hAnsi="Times New Roman"/>
                <w:sz w:val="24"/>
                <w:szCs w:val="24"/>
              </w:rPr>
              <w:t>will be covered by carbon pricing.</w:t>
            </w:r>
          </w:p>
        </w:tc>
      </w:tr>
    </w:tbl>
    <w:p w14:paraId="7C4D2C73" w14:textId="77777777" w:rsidR="005D4F4C" w:rsidRPr="00125B5F" w:rsidRDefault="005D4F4C" w:rsidP="00554298">
      <w:pPr>
        <w:spacing w:after="0" w:line="240" w:lineRule="auto"/>
        <w:ind w:left="-426"/>
        <w:rPr>
          <w:rFonts w:ascii="Times New Roman" w:hAnsi="Times New Roman"/>
          <w:bCs/>
          <w:sz w:val="16"/>
          <w:szCs w:val="16"/>
        </w:rPr>
      </w:pPr>
    </w:p>
    <w:sectPr w:rsidR="005D4F4C" w:rsidRPr="00125B5F">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29397" w14:textId="77777777" w:rsidR="00235463" w:rsidRDefault="00235463" w:rsidP="00FF63EA">
      <w:pPr>
        <w:spacing w:after="0" w:line="240" w:lineRule="auto"/>
      </w:pPr>
      <w:r>
        <w:separator/>
      </w:r>
    </w:p>
  </w:endnote>
  <w:endnote w:type="continuationSeparator" w:id="0">
    <w:p w14:paraId="273E5525" w14:textId="77777777" w:rsidR="00235463" w:rsidRDefault="00235463" w:rsidP="00FF63EA">
      <w:pPr>
        <w:spacing w:after="0" w:line="240" w:lineRule="auto"/>
      </w:pPr>
      <w:r>
        <w:continuationSeparator/>
      </w:r>
    </w:p>
  </w:endnote>
  <w:endnote w:type="continuationNotice" w:id="1">
    <w:p w14:paraId="6B81894F" w14:textId="77777777" w:rsidR="00235463" w:rsidRDefault="002354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BE82" w14:textId="77777777" w:rsidR="00212030" w:rsidRDefault="00212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B3A3" w14:textId="3E55F0FE" w:rsidR="00212030" w:rsidRDefault="00212030">
    <w:pPr>
      <w:pStyle w:val="Footer"/>
    </w:pPr>
    <w:r>
      <w:t>[Type here]</w:t>
    </w:r>
  </w:p>
  <w:p w14:paraId="579EF49B" w14:textId="77777777" w:rsidR="00212030" w:rsidRDefault="00212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115B" w14:textId="77777777" w:rsidR="00212030" w:rsidRDefault="00212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39A2A" w14:textId="77777777" w:rsidR="00235463" w:rsidRDefault="00235463" w:rsidP="00FF63EA">
      <w:pPr>
        <w:spacing w:after="0" w:line="240" w:lineRule="auto"/>
      </w:pPr>
      <w:r>
        <w:separator/>
      </w:r>
    </w:p>
  </w:footnote>
  <w:footnote w:type="continuationSeparator" w:id="0">
    <w:p w14:paraId="055EA119" w14:textId="77777777" w:rsidR="00235463" w:rsidRDefault="00235463" w:rsidP="00FF63EA">
      <w:pPr>
        <w:spacing w:after="0" w:line="240" w:lineRule="auto"/>
      </w:pPr>
      <w:r>
        <w:continuationSeparator/>
      </w:r>
    </w:p>
  </w:footnote>
  <w:footnote w:type="continuationNotice" w:id="1">
    <w:p w14:paraId="128A85A3" w14:textId="77777777" w:rsidR="00235463" w:rsidRDefault="00235463">
      <w:pPr>
        <w:spacing w:after="0" w:line="240" w:lineRule="auto"/>
      </w:pPr>
    </w:p>
  </w:footnote>
  <w:footnote w:id="2">
    <w:p w14:paraId="117626D2" w14:textId="0AB9D39A" w:rsidR="007603D6" w:rsidRPr="003C45FE" w:rsidRDefault="007603D6" w:rsidP="00EB7168">
      <w:pPr>
        <w:pStyle w:val="FootnoteText"/>
        <w:widowControl w:val="0"/>
        <w:spacing w:after="0" w:line="240" w:lineRule="auto"/>
        <w:ind w:left="142" w:right="-284" w:hanging="284"/>
        <w:jc w:val="both"/>
        <w:rPr>
          <w:rFonts w:ascii="Times New Roman" w:eastAsia="Times New Roman" w:hAnsi="Times New Roman"/>
          <w:lang w:val="fr-BE"/>
        </w:rPr>
      </w:pPr>
      <w:r w:rsidRPr="003C45FE">
        <w:rPr>
          <w:rStyle w:val="FootnoteReference"/>
          <w:rFonts w:ascii="Times New Roman" w:hAnsi="Times New Roman"/>
          <w:sz w:val="20"/>
        </w:rPr>
        <w:footnoteRef/>
      </w:r>
      <w:r w:rsidRPr="003C45FE">
        <w:rPr>
          <w:rFonts w:ascii="Times New Roman" w:hAnsi="Times New Roman"/>
          <w:lang w:val="fr-BE"/>
        </w:rPr>
        <w:t xml:space="preserve"> </w:t>
      </w:r>
      <w:r w:rsidR="009F6242" w:rsidRPr="003C45FE">
        <w:rPr>
          <w:rFonts w:ascii="Times New Roman" w:hAnsi="Times New Roman"/>
          <w:lang w:val="fr-BE"/>
        </w:rPr>
        <w:tab/>
      </w:r>
      <w:hyperlink w:history="1">
        <w:hyperlink r:id="rId1" w:history="1">
          <w:r w:rsidR="00EB7168" w:rsidRPr="009F2230">
            <w:rPr>
              <w:lang w:val="fr-BE"/>
            </w:rPr>
            <w:t xml:space="preserve"> </w:t>
          </w:r>
          <w:r w:rsidR="00EB7168" w:rsidRPr="009F2230">
            <w:rPr>
              <w:rFonts w:ascii="Times New Roman" w:hAnsi="Times New Roman"/>
              <w:lang w:val="fr-BE"/>
            </w:rPr>
            <w:t>Council Recommendation on ensuring a fair transition towards climate neutrality</w:t>
          </w:r>
          <w:r w:rsidR="003C45FE" w:rsidRPr="00142A1D">
            <w:rPr>
              <w:rStyle w:val="Hyperlink"/>
              <w:rFonts w:ascii="Times New Roman" w:eastAsia="Times New Roman" w:hAnsi="Times New Roman"/>
              <w:lang w:val="fr-BE"/>
            </w:rPr>
            <w:t xml:space="preserve"> (</w:t>
          </w:r>
          <w:hyperlink r:id="rId2" w:history="1">
            <w:r w:rsidR="003C45FE" w:rsidRPr="00EB7168">
              <w:rPr>
                <w:rStyle w:val="Hyperlink"/>
                <w:rFonts w:ascii="Times New Roman" w:eastAsia="Times New Roman" w:hAnsi="Times New Roman"/>
                <w:lang w:val="fr-BE"/>
              </w:rPr>
              <w:t>EUR-Lex - 32022H0627(04) - EN - EUR-Lex</w:t>
            </w:r>
          </w:hyperlink>
          <w:r w:rsidR="003C45FE" w:rsidRPr="003C45FE">
            <w:rPr>
              <w:rFonts w:ascii="Times New Roman" w:eastAsia="Times New Roman" w:hAnsi="Times New Roman"/>
              <w:color w:val="0000FF"/>
              <w:u w:val="single"/>
              <w:lang w:val="fr-BE"/>
            </w:rPr>
            <w:t>).</w:t>
          </w:r>
        </w:hyperlink>
      </w:hyperlink>
    </w:p>
  </w:footnote>
  <w:footnote w:id="3">
    <w:p w14:paraId="3AD1E3E2" w14:textId="5FE52400" w:rsidR="00716CA0" w:rsidRPr="003C45FE" w:rsidRDefault="00716CA0" w:rsidP="00EB7168">
      <w:pPr>
        <w:pStyle w:val="FootnoteText"/>
        <w:widowControl w:val="0"/>
        <w:spacing w:after="0" w:line="240" w:lineRule="auto"/>
        <w:ind w:left="142" w:right="-142" w:hanging="284"/>
        <w:jc w:val="both"/>
        <w:rPr>
          <w:rFonts w:ascii="Times New Roman" w:hAnsi="Times New Roman"/>
          <w:lang w:val="fr-BE"/>
        </w:rPr>
      </w:pPr>
      <w:r w:rsidRPr="003C45FE">
        <w:rPr>
          <w:rStyle w:val="FootnoteReference"/>
          <w:rFonts w:ascii="Times New Roman" w:hAnsi="Times New Roman"/>
          <w:sz w:val="20"/>
        </w:rPr>
        <w:footnoteRef/>
      </w:r>
      <w:r w:rsidRPr="003C45FE">
        <w:rPr>
          <w:rFonts w:ascii="Times New Roman" w:hAnsi="Times New Roman"/>
          <w:lang w:val="fr-BE"/>
        </w:rPr>
        <w:t xml:space="preserve"> </w:t>
      </w:r>
      <w:r w:rsidR="00B31A34" w:rsidRPr="003C45FE">
        <w:rPr>
          <w:rFonts w:ascii="Times New Roman" w:hAnsi="Times New Roman"/>
          <w:lang w:val="fr-BE"/>
        </w:rPr>
        <w:tab/>
      </w:r>
      <w:r w:rsidR="00B26671" w:rsidRPr="003C45FE">
        <w:rPr>
          <w:rFonts w:ascii="Times New Roman" w:hAnsi="Times New Roman"/>
          <w:lang w:val="fr-BE"/>
        </w:rPr>
        <w:t>COM(2025) 30 final (</w:t>
      </w:r>
      <w:hyperlink r:id="rId3" w:history="1">
        <w:r w:rsidR="00B26671" w:rsidRPr="003C45FE">
          <w:rPr>
            <w:rStyle w:val="Hyperlink"/>
            <w:rFonts w:ascii="Times New Roman" w:hAnsi="Times New Roman"/>
            <w:lang w:val="fr-BE"/>
          </w:rPr>
          <w:t>EUR-Lex - 52025DC0030 - EN - EUR-Lex</w:t>
        </w:r>
      </w:hyperlink>
      <w:r w:rsidR="00B26671" w:rsidRPr="003C45FE">
        <w:rPr>
          <w:rFonts w:ascii="Times New Roman" w:hAnsi="Times New Roman"/>
          <w:lang w:val="fr-BE"/>
        </w:rPr>
        <w:t>)</w:t>
      </w:r>
      <w:r w:rsidRPr="003C45FE">
        <w:rPr>
          <w:rFonts w:ascii="Times New Roman" w:hAnsi="Times New Roman"/>
          <w:lang w:val="fr-BE"/>
        </w:rPr>
        <w:t>.</w:t>
      </w:r>
    </w:p>
  </w:footnote>
  <w:footnote w:id="4">
    <w:p w14:paraId="3A68E40E" w14:textId="0E23CF75" w:rsidR="005D4F4C" w:rsidRPr="003C45FE" w:rsidRDefault="005D4F4C" w:rsidP="00EB7168">
      <w:pPr>
        <w:pStyle w:val="pf0"/>
        <w:widowControl w:val="0"/>
        <w:spacing w:beforeAutospacing="0" w:after="0" w:afterAutospacing="0" w:line="240" w:lineRule="auto"/>
        <w:ind w:left="142" w:right="-142" w:hanging="284"/>
        <w:jc w:val="both"/>
        <w:rPr>
          <w:rFonts w:eastAsia="Calibri"/>
          <w:color w:val="0000FF"/>
          <w:sz w:val="20"/>
          <w:szCs w:val="20"/>
          <w:u w:val="single"/>
          <w:lang w:val="en-US"/>
        </w:rPr>
      </w:pPr>
      <w:r w:rsidRPr="003C45FE">
        <w:rPr>
          <w:rStyle w:val="FootnoteReference"/>
          <w:sz w:val="20"/>
          <w:szCs w:val="20"/>
        </w:rPr>
        <w:footnoteRef/>
      </w:r>
      <w:r w:rsidRPr="003C45FE">
        <w:rPr>
          <w:sz w:val="20"/>
          <w:szCs w:val="20"/>
        </w:rPr>
        <w:t xml:space="preserve"> </w:t>
      </w:r>
      <w:r w:rsidRPr="003C45FE">
        <w:rPr>
          <w:sz w:val="20"/>
          <w:szCs w:val="20"/>
        </w:rPr>
        <w:tab/>
        <w:t xml:space="preserve">See, for example: </w:t>
      </w:r>
      <w:r w:rsidR="003C45FE" w:rsidRPr="00EB7168">
        <w:rPr>
          <w:i/>
          <w:iCs/>
          <w:sz w:val="20"/>
          <w:szCs w:val="20"/>
          <w:lang w:val="en-GB"/>
        </w:rPr>
        <w:t>Handbook on the external costs of transport – Version 2019 – 1.1</w:t>
      </w:r>
      <w:r w:rsidR="003C45FE" w:rsidRPr="00EB7168">
        <w:rPr>
          <w:sz w:val="20"/>
          <w:szCs w:val="20"/>
          <w:lang w:val="en-GB"/>
        </w:rPr>
        <w:t>, Publications Office, 2020,</w:t>
      </w:r>
      <w:r w:rsidR="003C45FE">
        <w:rPr>
          <w:sz w:val="20"/>
          <w:szCs w:val="20"/>
          <w:lang w:val="en-GB"/>
        </w:rPr>
        <w:t xml:space="preserve"> (</w:t>
      </w:r>
      <w:hyperlink r:id="rId4" w:history="1">
        <w:r w:rsidR="003C45FE" w:rsidRPr="00EB7168">
          <w:rPr>
            <w:rStyle w:val="Hyperlink"/>
            <w:b/>
            <w:bCs/>
            <w:sz w:val="20"/>
            <w:szCs w:val="20"/>
            <w:lang w:val="en-GB"/>
          </w:rPr>
          <w:t>https://data.europa.eu/doi/10.2832/51388</w:t>
        </w:r>
      </w:hyperlink>
      <w:r w:rsidR="003C45FE">
        <w:rPr>
          <w:sz w:val="20"/>
          <w:szCs w:val="20"/>
        </w:rPr>
        <w:t xml:space="preserve">), </w:t>
      </w:r>
      <w:r w:rsidR="00EB7168" w:rsidRPr="00EB7168">
        <w:rPr>
          <w:sz w:val="20"/>
          <w:szCs w:val="20"/>
        </w:rPr>
        <w:t xml:space="preserve">EIB Group 2021 Climate Bank Roadmap Progress Report </w:t>
      </w:r>
      <w:r w:rsidR="00EB7168">
        <w:rPr>
          <w:sz w:val="20"/>
          <w:szCs w:val="20"/>
        </w:rPr>
        <w:t>(</w:t>
      </w:r>
      <w:hyperlink r:id="rId5" w:history="1">
        <w:r w:rsidR="00EB7168" w:rsidRPr="00EE40FA">
          <w:rPr>
            <w:rStyle w:val="Hyperlink"/>
            <w:sz w:val="20"/>
            <w:szCs w:val="20"/>
          </w:rPr>
          <w:t>https://www.eib.org/attachments/publications/climate_bank_roadmap_progress_report_2021_en.pdf</w:t>
        </w:r>
      </w:hyperlink>
      <w:r w:rsidR="00EB7168">
        <w:rPr>
          <w:sz w:val="20"/>
          <w:szCs w:val="20"/>
        </w:rPr>
        <w:t>)</w:t>
      </w:r>
      <w:r w:rsidR="003C45FE" w:rsidRPr="003C45FE">
        <w:rPr>
          <w:sz w:val="20"/>
          <w:szCs w:val="20"/>
        </w:rPr>
        <w:t>.</w:t>
      </w:r>
    </w:p>
  </w:footnote>
  <w:footnote w:id="5">
    <w:p w14:paraId="7BFC8235" w14:textId="0529E7E5" w:rsidR="00EE5203" w:rsidRPr="003C45FE" w:rsidRDefault="00EE5203" w:rsidP="003C45FE">
      <w:pPr>
        <w:pStyle w:val="FootnoteText"/>
        <w:widowControl w:val="0"/>
        <w:spacing w:after="0" w:line="240" w:lineRule="auto"/>
        <w:ind w:left="142" w:hanging="284"/>
        <w:jc w:val="both"/>
        <w:rPr>
          <w:rFonts w:ascii="Times New Roman" w:hAnsi="Times New Roman"/>
          <w:lang w:val="en-IE"/>
        </w:rPr>
      </w:pPr>
      <w:r w:rsidRPr="003C45FE">
        <w:rPr>
          <w:rStyle w:val="FootnoteReference"/>
          <w:rFonts w:ascii="Times New Roman" w:hAnsi="Times New Roman"/>
          <w:sz w:val="20"/>
        </w:rPr>
        <w:footnoteRef/>
      </w:r>
      <w:r w:rsidRPr="003C45FE">
        <w:rPr>
          <w:rFonts w:ascii="Times New Roman" w:hAnsi="Times New Roman"/>
          <w:lang w:val="en-IE"/>
        </w:rPr>
        <w:tab/>
        <w:t>The 2023 report of the Lancet Countdown on health and climate change</w:t>
      </w:r>
      <w:r w:rsidR="00FD2538" w:rsidRPr="003C45FE">
        <w:rPr>
          <w:rFonts w:ascii="Times New Roman" w:hAnsi="Times New Roman"/>
          <w:lang w:val="en-IE"/>
        </w:rPr>
        <w:t xml:space="preserve"> (</w:t>
      </w:r>
      <w:hyperlink r:id="rId6" w:history="1">
        <w:r w:rsidR="00FD2538" w:rsidRPr="003C45FE">
          <w:rPr>
            <w:rStyle w:val="Hyperlink"/>
            <w:rFonts w:ascii="Times New Roman" w:hAnsi="Times New Roman"/>
          </w:rPr>
          <w:t>The 2023 report of the Lancet Countdown on health and climate change: the imperative for a health-centred response in a world facing irreversible harms - The Lancet</w:t>
        </w:r>
      </w:hyperlink>
      <w:r w:rsidR="00FD2538" w:rsidRPr="003C45FE">
        <w:rPr>
          <w:rFonts w:ascii="Times New Roman" w:hAnsi="Times New Roman"/>
          <w:lang w:val="en-IE"/>
        </w:rPr>
        <w:t>).</w:t>
      </w:r>
    </w:p>
  </w:footnote>
  <w:footnote w:id="6">
    <w:p w14:paraId="6035806C" w14:textId="19813095" w:rsidR="005E7F2A" w:rsidRPr="003C45FE" w:rsidRDefault="00B21208" w:rsidP="00EB7168">
      <w:pPr>
        <w:pStyle w:val="FootnoteText"/>
        <w:widowControl w:val="0"/>
        <w:spacing w:after="0" w:line="240" w:lineRule="auto"/>
        <w:ind w:left="142" w:hanging="284"/>
        <w:jc w:val="both"/>
        <w:rPr>
          <w:rFonts w:ascii="Times New Roman" w:hAnsi="Times New Roman"/>
          <w:lang w:val="pt-PT"/>
        </w:rPr>
      </w:pPr>
      <w:r w:rsidRPr="003C45FE">
        <w:rPr>
          <w:rStyle w:val="FootnoteReference"/>
          <w:rFonts w:ascii="Times New Roman" w:hAnsi="Times New Roman"/>
          <w:sz w:val="20"/>
        </w:rPr>
        <w:footnoteRef/>
      </w:r>
      <w:r w:rsidRPr="003C45FE">
        <w:rPr>
          <w:rFonts w:ascii="Times New Roman" w:hAnsi="Times New Roman"/>
          <w:lang w:val="pt-PT"/>
        </w:rPr>
        <w:t xml:space="preserve"> </w:t>
      </w:r>
      <w:r w:rsidR="005E7F2A" w:rsidRPr="003C45FE">
        <w:rPr>
          <w:rFonts w:ascii="Times New Roman" w:hAnsi="Times New Roman"/>
          <w:lang w:val="pt-PT"/>
        </w:rPr>
        <w:tab/>
      </w:r>
      <w:r w:rsidRPr="003C45FE">
        <w:rPr>
          <w:rFonts w:ascii="Times New Roman" w:hAnsi="Times New Roman"/>
          <w:lang w:val="pt-PT"/>
        </w:rPr>
        <w:t xml:space="preserve">COM(2025) 45 final, </w:t>
      </w:r>
      <w:r w:rsidR="005E7F2A" w:rsidRPr="003C45FE">
        <w:rPr>
          <w:rFonts w:ascii="Times New Roman" w:hAnsi="Times New Roman"/>
          <w:lang w:val="pt-PT"/>
        </w:rPr>
        <w:t>(</w:t>
      </w:r>
      <w:hyperlink r:id="rId7" w:history="1">
        <w:r w:rsidR="005E7F2A" w:rsidRPr="003C45FE">
          <w:rPr>
            <w:rStyle w:val="Hyperlink"/>
            <w:rFonts w:ascii="Times New Roman" w:hAnsi="Times New Roman"/>
            <w:lang w:val="pt-PT"/>
          </w:rPr>
          <w:t>https://eur-lex.europa.eu/legal-content/EN/TXT/?uri=CELEX%3A52025DC0045&amp;qid=1751468770071</w:t>
        </w:r>
      </w:hyperlink>
      <w:r w:rsidR="005E7F2A" w:rsidRPr="003C45FE">
        <w:rPr>
          <w:rFonts w:ascii="Times New Roman" w:hAnsi="Times New Roman"/>
          <w:lang w:val="pt-PT"/>
        </w:rPr>
        <w:t>)</w:t>
      </w:r>
      <w:r w:rsidR="00D0178B" w:rsidRPr="003C45FE">
        <w:rPr>
          <w:rFonts w:ascii="Times New Roman" w:hAnsi="Times New Roman"/>
          <w:lang w:val="pt-PT"/>
        </w:rPr>
        <w:t>.</w:t>
      </w:r>
    </w:p>
  </w:footnote>
  <w:footnote w:id="7">
    <w:p w14:paraId="45DCAC20" w14:textId="37ADC417" w:rsidR="005D4F4C" w:rsidRPr="003C45FE" w:rsidRDefault="00B21208" w:rsidP="00EB7168">
      <w:pPr>
        <w:pStyle w:val="FootnoteText"/>
        <w:widowControl w:val="0"/>
        <w:spacing w:after="0" w:line="240" w:lineRule="auto"/>
        <w:ind w:left="142" w:hanging="284"/>
        <w:jc w:val="both"/>
        <w:rPr>
          <w:rFonts w:ascii="Times New Roman" w:hAnsi="Times New Roman"/>
          <w:lang w:val="pt-PT"/>
        </w:rPr>
      </w:pPr>
      <w:r w:rsidRPr="003C45FE">
        <w:rPr>
          <w:rStyle w:val="FootnoteReference"/>
          <w:rFonts w:ascii="Times New Roman" w:hAnsi="Times New Roman"/>
          <w:sz w:val="20"/>
        </w:rPr>
        <w:footnoteRef/>
      </w:r>
      <w:r w:rsidRPr="003C45FE">
        <w:rPr>
          <w:rFonts w:ascii="Times New Roman" w:hAnsi="Times New Roman"/>
          <w:lang w:val="pt-PT"/>
        </w:rPr>
        <w:t xml:space="preserve"> </w:t>
      </w:r>
      <w:r w:rsidR="005E7F2A" w:rsidRPr="003C45FE">
        <w:rPr>
          <w:rFonts w:ascii="Times New Roman" w:hAnsi="Times New Roman"/>
          <w:lang w:val="pt-PT"/>
        </w:rPr>
        <w:tab/>
      </w:r>
      <w:r w:rsidRPr="003C45FE">
        <w:rPr>
          <w:rFonts w:ascii="Times New Roman" w:hAnsi="Times New Roman"/>
          <w:lang w:val="pt-PT"/>
        </w:rPr>
        <w:t>COM(2025) 30 final</w:t>
      </w:r>
      <w:r w:rsidR="005D4F4C" w:rsidRPr="003C45FE">
        <w:rPr>
          <w:rFonts w:ascii="Times New Roman" w:hAnsi="Times New Roman"/>
          <w:lang w:val="pt-PT"/>
        </w:rPr>
        <w:t xml:space="preserve"> (</w:t>
      </w:r>
      <w:hyperlink r:id="rId8" w:history="1">
        <w:r w:rsidR="005D4F4C" w:rsidRPr="003C45FE">
          <w:rPr>
            <w:rStyle w:val="Hyperlink"/>
            <w:rFonts w:ascii="Times New Roman" w:hAnsi="Times New Roman"/>
            <w:lang w:val="pt-PT"/>
          </w:rPr>
          <w:t>https://eur-lex.europa.eu/legal-content/EN/TXT/?uri=CELEX%3A52025DC0030&amp;qid=1751468994215</w:t>
        </w:r>
      </w:hyperlink>
      <w:r w:rsidR="005D4F4C" w:rsidRPr="003C45FE">
        <w:rPr>
          <w:rFonts w:ascii="Times New Roman" w:hAnsi="Times New Roman"/>
          <w:lang w:val="pt-PT"/>
        </w:rPr>
        <w:t>)</w:t>
      </w:r>
      <w:r w:rsidR="00D0178B" w:rsidRPr="003C45FE">
        <w:rPr>
          <w:rFonts w:ascii="Times New Roman" w:hAnsi="Times New Roman"/>
          <w:lang w:val="pt-PT"/>
        </w:rPr>
        <w:t>.</w:t>
      </w:r>
    </w:p>
  </w:footnote>
  <w:footnote w:id="8">
    <w:p w14:paraId="1C1FD342" w14:textId="30F98668" w:rsidR="00212030" w:rsidRPr="00D0178B" w:rsidRDefault="00212030" w:rsidP="00EB7168">
      <w:pPr>
        <w:pStyle w:val="FootnoteText"/>
        <w:widowControl w:val="0"/>
        <w:spacing w:after="0" w:line="240" w:lineRule="auto"/>
        <w:ind w:left="142" w:hanging="284"/>
        <w:jc w:val="both"/>
        <w:rPr>
          <w:rFonts w:ascii="Times New Roman" w:hAnsi="Times New Roman"/>
          <w:lang w:val="pt-PT"/>
        </w:rPr>
      </w:pPr>
      <w:r w:rsidRPr="003C45FE">
        <w:rPr>
          <w:rStyle w:val="FootnoteReference"/>
          <w:rFonts w:ascii="Times New Roman" w:hAnsi="Times New Roman"/>
          <w:sz w:val="20"/>
        </w:rPr>
        <w:footnoteRef/>
      </w:r>
      <w:r w:rsidRPr="003C45FE">
        <w:rPr>
          <w:rFonts w:ascii="Times New Roman" w:hAnsi="Times New Roman"/>
          <w:lang w:val="pt-PT"/>
        </w:rPr>
        <w:t xml:space="preserve"> </w:t>
      </w:r>
      <w:r w:rsidR="00D0178B" w:rsidRPr="003C45FE">
        <w:rPr>
          <w:rFonts w:ascii="Times New Roman" w:hAnsi="Times New Roman"/>
          <w:lang w:val="pt-PT"/>
        </w:rPr>
        <w:tab/>
        <w:t>COM(2024) 63 final (</w:t>
      </w:r>
      <w:hyperlink r:id="rId9" w:history="1">
        <w:r w:rsidR="00D0178B" w:rsidRPr="003C45FE">
          <w:rPr>
            <w:rStyle w:val="Hyperlink"/>
            <w:rFonts w:ascii="Times New Roman" w:hAnsi="Times New Roman"/>
            <w:lang w:val="pt-PT"/>
          </w:rPr>
          <w:t>https://eur-lex.europa.eu/legal-content/EN/TXT/?uri=celex:52024DC0063</w:t>
        </w:r>
      </w:hyperlink>
      <w:r w:rsidR="00D0178B" w:rsidRPr="003C45FE">
        <w:rPr>
          <w:rFonts w:ascii="Times New Roman" w:hAnsi="Times New Roman"/>
          <w:lang w:val="pt-PT"/>
        </w:rPr>
        <w:t>).</w:t>
      </w:r>
    </w:p>
  </w:footnote>
  <w:footnote w:id="9">
    <w:p w14:paraId="0304074A" w14:textId="7DEB584B" w:rsidR="0011581F" w:rsidRPr="00554298" w:rsidRDefault="0011581F" w:rsidP="00D0178B">
      <w:pPr>
        <w:pStyle w:val="FootnoteText"/>
        <w:widowControl w:val="0"/>
        <w:spacing w:after="0" w:line="240" w:lineRule="auto"/>
        <w:ind w:left="142" w:hanging="284"/>
        <w:rPr>
          <w:rFonts w:ascii="Times New Roman" w:hAnsi="Times New Roman"/>
          <w:lang w:val="fr-BE"/>
        </w:rPr>
      </w:pPr>
      <w:r w:rsidRPr="00963102">
        <w:rPr>
          <w:rStyle w:val="FootnoteReference"/>
          <w:rFonts w:ascii="Times New Roman" w:hAnsi="Times New Roman"/>
          <w:sz w:val="20"/>
        </w:rPr>
        <w:footnoteRef/>
      </w:r>
      <w:r w:rsidRPr="00554298">
        <w:rPr>
          <w:rFonts w:ascii="Times New Roman" w:hAnsi="Times New Roman"/>
          <w:lang w:val="fr-BE"/>
        </w:rPr>
        <w:t xml:space="preserve"> </w:t>
      </w:r>
      <w:r w:rsidR="005E7F2A" w:rsidRPr="00554298">
        <w:rPr>
          <w:rFonts w:ascii="Times New Roman" w:hAnsi="Times New Roman"/>
          <w:lang w:val="fr-BE"/>
        </w:rPr>
        <w:tab/>
      </w:r>
      <w:r w:rsidR="00FD2538" w:rsidRPr="00554298">
        <w:rPr>
          <w:rFonts w:ascii="Times New Roman" w:hAnsi="Times New Roman"/>
          <w:lang w:val="fr-BE"/>
        </w:rPr>
        <w:t>COM(2025) 26 final (</w:t>
      </w:r>
      <w:hyperlink r:id="rId10" w:history="1">
        <w:r w:rsidR="00FD2538" w:rsidRPr="00554298">
          <w:rPr>
            <w:rStyle w:val="Hyperlink"/>
            <w:rFonts w:ascii="Times New Roman" w:hAnsi="Times New Roman"/>
            <w:lang w:val="fr-BE"/>
          </w:rPr>
          <w:t>EUR-Lex - 52025DC0026 - EN - EUR-Lex</w:t>
        </w:r>
      </w:hyperlink>
      <w:r w:rsidR="00FD2538" w:rsidRPr="00554298">
        <w:rPr>
          <w:rFonts w:ascii="Times New Roman" w:hAnsi="Times New Roman"/>
          <w:lang w:val="fr-BE"/>
        </w:rPr>
        <w:t>)</w:t>
      </w:r>
      <w:r w:rsidRPr="00554298">
        <w:rPr>
          <w:rFonts w:ascii="Times New Roman" w:hAnsi="Times New Roman"/>
          <w:lang w:val="fr-BE"/>
        </w:rPr>
        <w:t>.</w:t>
      </w:r>
    </w:p>
  </w:footnote>
  <w:footnote w:id="10">
    <w:p w14:paraId="196B5741" w14:textId="22EA9EF8" w:rsidR="00212030" w:rsidRPr="003C45FE" w:rsidRDefault="00212030" w:rsidP="003B4D08">
      <w:pPr>
        <w:pStyle w:val="FootnoteText"/>
        <w:widowControl w:val="0"/>
        <w:spacing w:after="0" w:line="240" w:lineRule="auto"/>
        <w:ind w:left="142" w:right="-284" w:hanging="284"/>
        <w:jc w:val="both"/>
        <w:rPr>
          <w:rFonts w:ascii="Times New Roman" w:hAnsi="Times New Roman"/>
          <w:lang w:val="en-IE"/>
        </w:rPr>
      </w:pPr>
      <w:r w:rsidRPr="003C45FE">
        <w:rPr>
          <w:rStyle w:val="FootnoteReference"/>
          <w:rFonts w:ascii="Times New Roman" w:hAnsi="Times New Roman"/>
          <w:sz w:val="20"/>
        </w:rPr>
        <w:footnoteRef/>
      </w:r>
      <w:r w:rsidRPr="003C45FE">
        <w:rPr>
          <w:rFonts w:ascii="Times New Roman" w:hAnsi="Times New Roman"/>
          <w:lang w:val="en-IE"/>
        </w:rPr>
        <w:t xml:space="preserve"> </w:t>
      </w:r>
      <w:r w:rsidR="004C26E6" w:rsidRPr="003C45FE">
        <w:rPr>
          <w:rFonts w:ascii="Times New Roman" w:hAnsi="Times New Roman"/>
          <w:lang w:val="en-IE"/>
        </w:rPr>
        <w:tab/>
      </w:r>
      <w:r w:rsidR="004C26E6" w:rsidRPr="003C45FE">
        <w:rPr>
          <w:rFonts w:ascii="Times New Roman" w:hAnsi="Times New Roman"/>
        </w:rPr>
        <w:t>Regulation (EU) 2023/956 of the European Parliament and of the Council of 10 May 2023 establishing a carbon border adjustment mechanism</w:t>
      </w:r>
      <w:r w:rsidR="004C26E6" w:rsidRPr="003C45FE">
        <w:rPr>
          <w:rFonts w:ascii="Times New Roman" w:hAnsi="Times New Roman"/>
          <w:lang w:val="en-IE"/>
        </w:rPr>
        <w:t xml:space="preserve"> (</w:t>
      </w:r>
      <w:hyperlink r:id="rId11" w:tooltip="Gives access to this document through its ELI URI." w:history="1">
        <w:r w:rsidR="003C45FE" w:rsidRPr="00EB7168">
          <w:rPr>
            <w:rStyle w:val="Hyperlink"/>
            <w:rFonts w:ascii="Times New Roman" w:hAnsi="Times New Roman"/>
          </w:rPr>
          <w:t>http://data.europa.eu/eli/reg/2023/956/oj</w:t>
        </w:r>
      </w:hyperlink>
      <w:r w:rsidR="004C26E6" w:rsidRPr="003C45FE">
        <w:rPr>
          <w:rFonts w:ascii="Times New Roman" w:hAnsi="Times New Roman"/>
          <w:lang w:val="en-IE"/>
        </w:rPr>
        <w:t>)</w:t>
      </w:r>
      <w:r w:rsidR="00FD2538" w:rsidRPr="003C45FE">
        <w:rPr>
          <w:rFonts w:ascii="Times New Roman" w:hAnsi="Times New Roman"/>
          <w:lang w:val="en-IE"/>
        </w:rPr>
        <w:t>.</w:t>
      </w:r>
    </w:p>
  </w:footnote>
  <w:footnote w:id="11">
    <w:p w14:paraId="46364858" w14:textId="2E3B43EA" w:rsidR="00443386" w:rsidRPr="003B4D08" w:rsidRDefault="00443386" w:rsidP="00554298">
      <w:pPr>
        <w:pStyle w:val="FootnoteText"/>
        <w:widowControl w:val="0"/>
        <w:spacing w:after="0" w:line="240" w:lineRule="auto"/>
        <w:ind w:left="142" w:right="-284" w:hanging="284"/>
        <w:jc w:val="both"/>
        <w:rPr>
          <w:rFonts w:ascii="Times New Roman" w:hAnsi="Times New Roman"/>
          <w:lang w:val="en-IE"/>
        </w:rPr>
      </w:pPr>
      <w:r w:rsidRPr="003B4D08">
        <w:rPr>
          <w:rStyle w:val="FootnoteReference"/>
          <w:rFonts w:ascii="Times New Roman" w:hAnsi="Times New Roman"/>
          <w:sz w:val="20"/>
        </w:rPr>
        <w:footnoteRef/>
      </w:r>
      <w:r w:rsidRPr="003B4D08">
        <w:rPr>
          <w:rFonts w:ascii="Times New Roman" w:hAnsi="Times New Roman"/>
          <w:lang w:val="fr-BE"/>
        </w:rPr>
        <w:t xml:space="preserve"> </w:t>
      </w:r>
      <w:r w:rsidRPr="003B4D08">
        <w:rPr>
          <w:rFonts w:ascii="Times New Roman" w:hAnsi="Times New Roman"/>
          <w:lang w:val="fr-BE"/>
        </w:rPr>
        <w:tab/>
        <w:t xml:space="preserve">Rennert, K., Errickson, F., Prest, B.C. et al. </w:t>
      </w:r>
      <w:hyperlink r:id="rId12" w:history="1">
        <w:r w:rsidRPr="003B4D08">
          <w:rPr>
            <w:rStyle w:val="Hyperlink"/>
            <w:rFonts w:ascii="Times New Roman" w:hAnsi="Times New Roman"/>
            <w:i/>
            <w:iCs/>
            <w:lang w:val="en-IE"/>
          </w:rPr>
          <w:t>Comprehensive evidence implies a higher social cost of CO</w:t>
        </w:r>
        <w:r w:rsidRPr="003B4D08">
          <w:rPr>
            <w:rStyle w:val="Hyperlink"/>
            <w:rFonts w:ascii="Times New Roman" w:hAnsi="Times New Roman"/>
            <w:i/>
            <w:iCs/>
            <w:vertAlign w:val="subscript"/>
            <w:lang w:val="en-IE"/>
          </w:rPr>
          <w:t>2</w:t>
        </w:r>
      </w:hyperlink>
      <w:r w:rsidRPr="003B4D08">
        <w:rPr>
          <w:rFonts w:ascii="Times New Roman" w:hAnsi="Times New Roman"/>
          <w:lang w:val="en-IE"/>
        </w:rPr>
        <w:t>. Nature 610, 687–692 (2022).</w:t>
      </w:r>
    </w:p>
  </w:footnote>
  <w:footnote w:id="12">
    <w:p w14:paraId="0C3ABAFE" w14:textId="5918F9FD" w:rsidR="00382B6E" w:rsidRPr="003B4D08" w:rsidRDefault="00382B6E" w:rsidP="00554298">
      <w:pPr>
        <w:pStyle w:val="FootnoteText"/>
        <w:widowControl w:val="0"/>
        <w:spacing w:after="0" w:line="240" w:lineRule="auto"/>
        <w:ind w:left="142" w:right="-284" w:hanging="284"/>
        <w:jc w:val="both"/>
        <w:rPr>
          <w:rFonts w:ascii="Times New Roman" w:hAnsi="Times New Roman"/>
        </w:rPr>
      </w:pPr>
      <w:r w:rsidRPr="003B4D08">
        <w:rPr>
          <w:rStyle w:val="FootnoteReference"/>
          <w:rFonts w:ascii="Times New Roman" w:hAnsi="Times New Roman"/>
          <w:sz w:val="20"/>
        </w:rPr>
        <w:footnoteRef/>
      </w:r>
      <w:r w:rsidRPr="003B4D08">
        <w:rPr>
          <w:rFonts w:ascii="Times New Roman" w:hAnsi="Times New Roman"/>
        </w:rPr>
        <w:t xml:space="preserve"> </w:t>
      </w:r>
      <w:r w:rsidRPr="003B4D08">
        <w:rPr>
          <w:rFonts w:ascii="Times New Roman" w:hAnsi="Times New Roman"/>
        </w:rPr>
        <w:tab/>
      </w:r>
      <w:r w:rsidRPr="003B4D08">
        <w:rPr>
          <w:rFonts w:ascii="Times New Roman" w:hAnsi="Times New Roman"/>
          <w:i/>
          <w:iCs/>
        </w:rPr>
        <w:t>’</w:t>
      </w:r>
      <w:r w:rsidRPr="003B4D08">
        <w:rPr>
          <w:rFonts w:ascii="Times New Roman" w:hAnsi="Times New Roman"/>
        </w:rPr>
        <w:t xml:space="preserve">NBER working paper 32544, </w:t>
      </w:r>
      <w:hyperlink r:id="rId13" w:history="1">
        <w:r w:rsidRPr="003B4D08">
          <w:rPr>
            <w:rStyle w:val="Hyperlink"/>
            <w:rFonts w:ascii="Times New Roman" w:hAnsi="Times New Roman"/>
          </w:rPr>
          <w:t>www.nber.org/papers/w32544</w:t>
        </w:r>
      </w:hyperlink>
      <w:r w:rsidRPr="003B4D08">
        <w:rPr>
          <w:rFonts w:ascii="Times New Roman" w:hAnsi="Times New Roman"/>
        </w:rPr>
        <w:t xml:space="preserve"> </w:t>
      </w:r>
      <w:r w:rsidRPr="003B4D08">
        <w:rPr>
          <w:rFonts w:ascii="Times New Roman" w:hAnsi="Times New Roman"/>
          <w:u w:val="single"/>
        </w:rPr>
        <w:t xml:space="preserve">and </w:t>
      </w:r>
      <w:r w:rsidRPr="003B4D08">
        <w:rPr>
          <w:rFonts w:ascii="Times New Roman" w:hAnsi="Times New Roman"/>
          <w:i/>
          <w:iCs/>
        </w:rPr>
        <w:t>The Macroeconomic Impact of Climate Change: Global vs. Local Temperature Adrien Bilal and Diego R. Känzig NBER Working Paper No. 32450</w:t>
      </w:r>
      <w:r w:rsidR="00FD2538" w:rsidRPr="003B4D08">
        <w:rPr>
          <w:rFonts w:ascii="Times New Roman" w:hAnsi="Times New Roman"/>
          <w:i/>
          <w:iCs/>
        </w:rPr>
        <w:t>.</w:t>
      </w:r>
    </w:p>
  </w:footnote>
  <w:footnote w:id="13">
    <w:p w14:paraId="261F26A7" w14:textId="4D709704" w:rsidR="00071AE8" w:rsidRPr="003B4D08" w:rsidRDefault="00071AE8" w:rsidP="00554298">
      <w:pPr>
        <w:pStyle w:val="FootnoteText"/>
        <w:widowControl w:val="0"/>
        <w:spacing w:after="0" w:line="240" w:lineRule="auto"/>
        <w:ind w:left="142" w:right="-284" w:hanging="284"/>
        <w:jc w:val="both"/>
        <w:rPr>
          <w:rFonts w:ascii="Times New Roman" w:hAnsi="Times New Roman"/>
        </w:rPr>
      </w:pPr>
      <w:r w:rsidRPr="003B4D08">
        <w:rPr>
          <w:rStyle w:val="FootnoteReference"/>
          <w:rFonts w:ascii="Times New Roman" w:hAnsi="Times New Roman"/>
          <w:sz w:val="20"/>
        </w:rPr>
        <w:footnoteRef/>
      </w:r>
      <w:r w:rsidRPr="003B4D08">
        <w:rPr>
          <w:rFonts w:ascii="Times New Roman" w:hAnsi="Times New Roman"/>
        </w:rPr>
        <w:tab/>
      </w:r>
      <w:hyperlink r:id="rId14" w:history="1">
        <w:r w:rsidRPr="003B4D08">
          <w:rPr>
            <w:rStyle w:val="Hyperlink"/>
            <w:rFonts w:ascii="Times New Roman" w:hAnsi="Times New Roman"/>
            <w:i/>
          </w:rPr>
          <w:t>Fossil Fuel Subsidies Surged to Record $7 Trillion</w:t>
        </w:r>
      </w:hyperlink>
      <w:r w:rsidRPr="003B4D08">
        <w:rPr>
          <w:rFonts w:ascii="Times New Roman" w:hAnsi="Times New Roman"/>
        </w:rPr>
        <w:t>, Simon Black, Ian Parry, Nate Vernon, August 2023.</w:t>
      </w:r>
    </w:p>
  </w:footnote>
  <w:footnote w:id="14">
    <w:p w14:paraId="141AA3CC" w14:textId="2379B3AF" w:rsidR="00071AE8" w:rsidRPr="00554298" w:rsidRDefault="00071AE8" w:rsidP="00554298">
      <w:pPr>
        <w:pStyle w:val="FootnoteText"/>
        <w:widowControl w:val="0"/>
        <w:spacing w:after="0" w:line="240" w:lineRule="auto"/>
        <w:ind w:left="142" w:right="-284" w:hanging="284"/>
        <w:jc w:val="both"/>
        <w:rPr>
          <w:rFonts w:ascii="Times New Roman" w:hAnsi="Times New Roman"/>
        </w:rPr>
      </w:pPr>
      <w:r w:rsidRPr="003B4D08">
        <w:rPr>
          <w:rStyle w:val="FootnoteReference"/>
          <w:rFonts w:ascii="Times New Roman" w:hAnsi="Times New Roman"/>
          <w:sz w:val="20"/>
        </w:rPr>
        <w:footnoteRef/>
      </w:r>
      <w:r w:rsidRPr="003B4D08">
        <w:rPr>
          <w:rFonts w:ascii="Times New Roman" w:hAnsi="Times New Roman"/>
        </w:rPr>
        <w:tab/>
      </w:r>
      <w:hyperlink r:id="rId15" w:history="1">
        <w:r w:rsidRPr="003B4D08">
          <w:rPr>
            <w:rStyle w:val="Hyperlink"/>
            <w:rFonts w:ascii="Times New Roman" w:hAnsi="Times New Roman"/>
            <w:i/>
          </w:rPr>
          <w:t>Fossil fuel subsidies</w:t>
        </w:r>
      </w:hyperlink>
      <w:r w:rsidRPr="003B4D08">
        <w:rPr>
          <w:rFonts w:ascii="Times New Roman" w:hAnsi="Times New Roman"/>
        </w:rPr>
        <w:t>, EEA, November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E4C73" w14:textId="77777777" w:rsidR="00212030" w:rsidRDefault="00212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D5D9" w14:textId="77777777" w:rsidR="005D4F4C" w:rsidRDefault="005D4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7EC5" w14:textId="77777777" w:rsidR="00212030" w:rsidRDefault="00212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FD4C888"/>
    <w:lvl w:ilvl="0">
      <w:start w:val="1"/>
      <w:numFmt w:val="decimal"/>
      <w:pStyle w:val="Heading1"/>
      <w:lvlText w:val="%1."/>
      <w:lvlJc w:val="left"/>
      <w:pPr>
        <w:ind w:left="0" w:firstLine="0"/>
      </w:pPr>
      <w:rPr>
        <w:rFonts w:hint="default"/>
        <w:b w:val="0"/>
      </w:rPr>
    </w:lvl>
    <w:lvl w:ilvl="1">
      <w:start w:val="3"/>
      <w:numFmt w:val="decimal"/>
      <w:pStyle w:val="Heading2"/>
      <w:lvlText w:val="%1.%2"/>
      <w:lvlJc w:val="left"/>
      <w:pPr>
        <w:ind w:left="0" w:firstLine="0"/>
      </w:pPr>
      <w:rPr>
        <w:rFonts w:hint="default"/>
        <w:b w:val="0"/>
        <w:bCs/>
      </w:rPr>
    </w:lvl>
    <w:lvl w:ilvl="2">
      <w:start w:val="1"/>
      <w:numFmt w:val="decimal"/>
      <w:pStyle w:val="Heading3"/>
      <w:lvlText w:val="%1.%2.%3"/>
      <w:lvlJc w:val="left"/>
      <w:pPr>
        <w:ind w:left="85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num w:numId="1" w16cid:durableId="2079859295">
    <w:abstractNumId w:val="0"/>
  </w:num>
  <w:num w:numId="2" w16cid:durableId="1024551948">
    <w:abstractNumId w:val="0"/>
    <w:lvlOverride w:ilvl="0">
      <w:startOverride w:val="2"/>
    </w:lvlOverride>
    <w:lvlOverride w:ilvl="1">
      <w:startOverride w:val="3"/>
    </w:lvlOverride>
  </w:num>
  <w:num w:numId="3" w16cid:durableId="696665777">
    <w:abstractNumId w:val="0"/>
    <w:lvlOverride w:ilvl="0">
      <w:startOverride w:val="3"/>
    </w:lvlOverride>
    <w:lvlOverride w:ilvl="1">
      <w:startOverride w:val="14"/>
    </w:lvlOverride>
  </w:num>
  <w:num w:numId="4" w16cid:durableId="1881630698">
    <w:abstractNumId w:val="0"/>
    <w:lvlOverride w:ilvl="0">
      <w:startOverride w:val="4"/>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6903089">
    <w:abstractNumId w:val="0"/>
    <w:lvlOverride w:ilvl="0">
      <w:startOverride w:val="4"/>
    </w:lvlOverride>
    <w:lvlOverride w:ilvl="1">
      <w:startOverride w:val="11"/>
    </w:lvlOverride>
  </w:num>
  <w:num w:numId="6" w16cid:durableId="1529180384">
    <w:abstractNumId w:val="0"/>
    <w:lvlOverride w:ilvl="0">
      <w:startOverride w:val="4"/>
    </w:lvlOverride>
    <w:lvlOverride w:ilvl="1">
      <w:startOverride w:val="1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2A37"/>
    <w:rsid w:val="00021378"/>
    <w:rsid w:val="0002146C"/>
    <w:rsid w:val="00031FCC"/>
    <w:rsid w:val="000360D1"/>
    <w:rsid w:val="000370DF"/>
    <w:rsid w:val="00041C8A"/>
    <w:rsid w:val="000462BE"/>
    <w:rsid w:val="00046B15"/>
    <w:rsid w:val="00046C4D"/>
    <w:rsid w:val="00050DC7"/>
    <w:rsid w:val="00071AE8"/>
    <w:rsid w:val="00076109"/>
    <w:rsid w:val="00077C4F"/>
    <w:rsid w:val="000864B8"/>
    <w:rsid w:val="0008777F"/>
    <w:rsid w:val="000C3BCF"/>
    <w:rsid w:val="000D0E81"/>
    <w:rsid w:val="000E4635"/>
    <w:rsid w:val="000F5FD8"/>
    <w:rsid w:val="00115355"/>
    <w:rsid w:val="0011581F"/>
    <w:rsid w:val="001167C0"/>
    <w:rsid w:val="00125B5F"/>
    <w:rsid w:val="00126992"/>
    <w:rsid w:val="00135C2A"/>
    <w:rsid w:val="00140EC4"/>
    <w:rsid w:val="00144C82"/>
    <w:rsid w:val="00180F2B"/>
    <w:rsid w:val="0018590C"/>
    <w:rsid w:val="00186E4A"/>
    <w:rsid w:val="001A7184"/>
    <w:rsid w:val="001B0E0B"/>
    <w:rsid w:val="001C4138"/>
    <w:rsid w:val="001D1A6D"/>
    <w:rsid w:val="001F2EC6"/>
    <w:rsid w:val="001F65D0"/>
    <w:rsid w:val="00212030"/>
    <w:rsid w:val="00215025"/>
    <w:rsid w:val="00217E59"/>
    <w:rsid w:val="0023077C"/>
    <w:rsid w:val="00232F96"/>
    <w:rsid w:val="00235463"/>
    <w:rsid w:val="00256469"/>
    <w:rsid w:val="00266F18"/>
    <w:rsid w:val="002815CC"/>
    <w:rsid w:val="00293681"/>
    <w:rsid w:val="002C19EA"/>
    <w:rsid w:val="002C514C"/>
    <w:rsid w:val="002C74F6"/>
    <w:rsid w:val="002D550E"/>
    <w:rsid w:val="002E32BD"/>
    <w:rsid w:val="002E7ADE"/>
    <w:rsid w:val="002F03FA"/>
    <w:rsid w:val="003004D2"/>
    <w:rsid w:val="00304E5E"/>
    <w:rsid w:val="003059AA"/>
    <w:rsid w:val="0030712F"/>
    <w:rsid w:val="003349A3"/>
    <w:rsid w:val="0034489B"/>
    <w:rsid w:val="00370E76"/>
    <w:rsid w:val="00377967"/>
    <w:rsid w:val="00382B6E"/>
    <w:rsid w:val="00386143"/>
    <w:rsid w:val="00397F95"/>
    <w:rsid w:val="003B461E"/>
    <w:rsid w:val="003B4D08"/>
    <w:rsid w:val="003B58DC"/>
    <w:rsid w:val="003C45FE"/>
    <w:rsid w:val="003F3194"/>
    <w:rsid w:val="003F686E"/>
    <w:rsid w:val="004006AC"/>
    <w:rsid w:val="004040E4"/>
    <w:rsid w:val="00414EF0"/>
    <w:rsid w:val="00421438"/>
    <w:rsid w:val="00422668"/>
    <w:rsid w:val="00424565"/>
    <w:rsid w:val="00442552"/>
    <w:rsid w:val="00443386"/>
    <w:rsid w:val="00445EE4"/>
    <w:rsid w:val="00455A1C"/>
    <w:rsid w:val="004675B5"/>
    <w:rsid w:val="004750E8"/>
    <w:rsid w:val="004770D6"/>
    <w:rsid w:val="0048268D"/>
    <w:rsid w:val="00483886"/>
    <w:rsid w:val="0049246C"/>
    <w:rsid w:val="0049588B"/>
    <w:rsid w:val="004A73C3"/>
    <w:rsid w:val="004C26E6"/>
    <w:rsid w:val="004D34DD"/>
    <w:rsid w:val="004E0AD2"/>
    <w:rsid w:val="004E686F"/>
    <w:rsid w:val="004F6117"/>
    <w:rsid w:val="004F63F1"/>
    <w:rsid w:val="004F63F9"/>
    <w:rsid w:val="004F651E"/>
    <w:rsid w:val="0050683E"/>
    <w:rsid w:val="0052596B"/>
    <w:rsid w:val="0053232C"/>
    <w:rsid w:val="00533F8D"/>
    <w:rsid w:val="00554298"/>
    <w:rsid w:val="005545FB"/>
    <w:rsid w:val="00554D8D"/>
    <w:rsid w:val="00560AC0"/>
    <w:rsid w:val="00565FD2"/>
    <w:rsid w:val="005700C7"/>
    <w:rsid w:val="00573835"/>
    <w:rsid w:val="0057517E"/>
    <w:rsid w:val="00581306"/>
    <w:rsid w:val="005A5095"/>
    <w:rsid w:val="005B4BA3"/>
    <w:rsid w:val="005C3105"/>
    <w:rsid w:val="005D4F4C"/>
    <w:rsid w:val="005D5462"/>
    <w:rsid w:val="005E7F2A"/>
    <w:rsid w:val="00616653"/>
    <w:rsid w:val="006176B5"/>
    <w:rsid w:val="0062231F"/>
    <w:rsid w:val="00631946"/>
    <w:rsid w:val="00651A76"/>
    <w:rsid w:val="00670A75"/>
    <w:rsid w:val="00673356"/>
    <w:rsid w:val="00675628"/>
    <w:rsid w:val="00685E88"/>
    <w:rsid w:val="00692C2F"/>
    <w:rsid w:val="00694A2F"/>
    <w:rsid w:val="00695698"/>
    <w:rsid w:val="00695797"/>
    <w:rsid w:val="00696A5E"/>
    <w:rsid w:val="00697956"/>
    <w:rsid w:val="006A2BBF"/>
    <w:rsid w:val="006A398D"/>
    <w:rsid w:val="006B0BA0"/>
    <w:rsid w:val="006B1E26"/>
    <w:rsid w:val="006B3B69"/>
    <w:rsid w:val="006C0D6D"/>
    <w:rsid w:val="006E0B37"/>
    <w:rsid w:val="00716CA0"/>
    <w:rsid w:val="00726392"/>
    <w:rsid w:val="00734613"/>
    <w:rsid w:val="007351B9"/>
    <w:rsid w:val="00751910"/>
    <w:rsid w:val="00751E60"/>
    <w:rsid w:val="007547B5"/>
    <w:rsid w:val="00760395"/>
    <w:rsid w:val="007603D6"/>
    <w:rsid w:val="007620F7"/>
    <w:rsid w:val="007679DF"/>
    <w:rsid w:val="0077358B"/>
    <w:rsid w:val="0077738A"/>
    <w:rsid w:val="00792AFA"/>
    <w:rsid w:val="00793B6C"/>
    <w:rsid w:val="00795A9E"/>
    <w:rsid w:val="007A3F53"/>
    <w:rsid w:val="007A52D3"/>
    <w:rsid w:val="007A606D"/>
    <w:rsid w:val="007C0514"/>
    <w:rsid w:val="007C2214"/>
    <w:rsid w:val="007C5FF3"/>
    <w:rsid w:val="007C7843"/>
    <w:rsid w:val="007D0857"/>
    <w:rsid w:val="007E3071"/>
    <w:rsid w:val="007F0826"/>
    <w:rsid w:val="00807B48"/>
    <w:rsid w:val="008135CA"/>
    <w:rsid w:val="00815625"/>
    <w:rsid w:val="0081584F"/>
    <w:rsid w:val="00816F57"/>
    <w:rsid w:val="00826108"/>
    <w:rsid w:val="00830D4C"/>
    <w:rsid w:val="008417FE"/>
    <w:rsid w:val="00850D06"/>
    <w:rsid w:val="008703BF"/>
    <w:rsid w:val="008813E3"/>
    <w:rsid w:val="008925CE"/>
    <w:rsid w:val="008A1913"/>
    <w:rsid w:val="008B0CD7"/>
    <w:rsid w:val="008C2383"/>
    <w:rsid w:val="008C4D41"/>
    <w:rsid w:val="008D1B8E"/>
    <w:rsid w:val="008E7171"/>
    <w:rsid w:val="009016D7"/>
    <w:rsid w:val="00907E2D"/>
    <w:rsid w:val="009369C8"/>
    <w:rsid w:val="009700DF"/>
    <w:rsid w:val="00981F45"/>
    <w:rsid w:val="00992F7E"/>
    <w:rsid w:val="00994D12"/>
    <w:rsid w:val="009B128B"/>
    <w:rsid w:val="009C0CED"/>
    <w:rsid w:val="009D141C"/>
    <w:rsid w:val="009D2CA1"/>
    <w:rsid w:val="009D77BF"/>
    <w:rsid w:val="009E3FF6"/>
    <w:rsid w:val="009E697E"/>
    <w:rsid w:val="009F15C6"/>
    <w:rsid w:val="009F2230"/>
    <w:rsid w:val="009F3A78"/>
    <w:rsid w:val="009F6242"/>
    <w:rsid w:val="00A0240A"/>
    <w:rsid w:val="00A16F07"/>
    <w:rsid w:val="00A465B7"/>
    <w:rsid w:val="00A62C7B"/>
    <w:rsid w:val="00A639DD"/>
    <w:rsid w:val="00A7709A"/>
    <w:rsid w:val="00A80471"/>
    <w:rsid w:val="00A80BDC"/>
    <w:rsid w:val="00A8798A"/>
    <w:rsid w:val="00A92CB8"/>
    <w:rsid w:val="00A95E56"/>
    <w:rsid w:val="00AB14AD"/>
    <w:rsid w:val="00AD4A41"/>
    <w:rsid w:val="00AE1842"/>
    <w:rsid w:val="00AE3C7C"/>
    <w:rsid w:val="00B1676A"/>
    <w:rsid w:val="00B21208"/>
    <w:rsid w:val="00B26671"/>
    <w:rsid w:val="00B30DED"/>
    <w:rsid w:val="00B31306"/>
    <w:rsid w:val="00B31596"/>
    <w:rsid w:val="00B31A34"/>
    <w:rsid w:val="00B3220A"/>
    <w:rsid w:val="00B42814"/>
    <w:rsid w:val="00B429C0"/>
    <w:rsid w:val="00B4552B"/>
    <w:rsid w:val="00B51C37"/>
    <w:rsid w:val="00B71895"/>
    <w:rsid w:val="00B80782"/>
    <w:rsid w:val="00B83936"/>
    <w:rsid w:val="00B90E30"/>
    <w:rsid w:val="00B93439"/>
    <w:rsid w:val="00B9438D"/>
    <w:rsid w:val="00B954EB"/>
    <w:rsid w:val="00BA2F03"/>
    <w:rsid w:val="00BA5E99"/>
    <w:rsid w:val="00BA7FA7"/>
    <w:rsid w:val="00BB59B7"/>
    <w:rsid w:val="00BD6EB7"/>
    <w:rsid w:val="00BE7D41"/>
    <w:rsid w:val="00C0507B"/>
    <w:rsid w:val="00C07A77"/>
    <w:rsid w:val="00C11467"/>
    <w:rsid w:val="00C151D6"/>
    <w:rsid w:val="00C3097A"/>
    <w:rsid w:val="00C511FF"/>
    <w:rsid w:val="00C54D27"/>
    <w:rsid w:val="00C56D21"/>
    <w:rsid w:val="00C7265E"/>
    <w:rsid w:val="00C76EEB"/>
    <w:rsid w:val="00C809A5"/>
    <w:rsid w:val="00C937CA"/>
    <w:rsid w:val="00CA1EEE"/>
    <w:rsid w:val="00CB440D"/>
    <w:rsid w:val="00CB500E"/>
    <w:rsid w:val="00CC6517"/>
    <w:rsid w:val="00CD7540"/>
    <w:rsid w:val="00CE5007"/>
    <w:rsid w:val="00D00939"/>
    <w:rsid w:val="00D0178B"/>
    <w:rsid w:val="00D01F5A"/>
    <w:rsid w:val="00D07274"/>
    <w:rsid w:val="00D1716E"/>
    <w:rsid w:val="00D314B7"/>
    <w:rsid w:val="00D465D8"/>
    <w:rsid w:val="00D5419D"/>
    <w:rsid w:val="00D54C7A"/>
    <w:rsid w:val="00D62311"/>
    <w:rsid w:val="00D64E05"/>
    <w:rsid w:val="00D84F75"/>
    <w:rsid w:val="00D92FD3"/>
    <w:rsid w:val="00D930BA"/>
    <w:rsid w:val="00D9546D"/>
    <w:rsid w:val="00DA0FB3"/>
    <w:rsid w:val="00DA3B6E"/>
    <w:rsid w:val="00DB4E2E"/>
    <w:rsid w:val="00DB7581"/>
    <w:rsid w:val="00DC70C1"/>
    <w:rsid w:val="00DD5CCC"/>
    <w:rsid w:val="00DD70FF"/>
    <w:rsid w:val="00DE089B"/>
    <w:rsid w:val="00DF6722"/>
    <w:rsid w:val="00E17155"/>
    <w:rsid w:val="00E272D3"/>
    <w:rsid w:val="00E80A4E"/>
    <w:rsid w:val="00E83C12"/>
    <w:rsid w:val="00E904C8"/>
    <w:rsid w:val="00EA1BBF"/>
    <w:rsid w:val="00EB29A9"/>
    <w:rsid w:val="00EB5F7B"/>
    <w:rsid w:val="00EB7168"/>
    <w:rsid w:val="00EB77D2"/>
    <w:rsid w:val="00EE5203"/>
    <w:rsid w:val="00EE5FD7"/>
    <w:rsid w:val="00F316C8"/>
    <w:rsid w:val="00F33D57"/>
    <w:rsid w:val="00F35164"/>
    <w:rsid w:val="00F43023"/>
    <w:rsid w:val="00F632DE"/>
    <w:rsid w:val="00F632F8"/>
    <w:rsid w:val="00F735E4"/>
    <w:rsid w:val="00F759D7"/>
    <w:rsid w:val="00F84D45"/>
    <w:rsid w:val="00FA0311"/>
    <w:rsid w:val="00FA6844"/>
    <w:rsid w:val="00FB7834"/>
    <w:rsid w:val="00FD2538"/>
    <w:rsid w:val="00FD4B6A"/>
    <w:rsid w:val="00FF03A8"/>
    <w:rsid w:val="00FF63EA"/>
    <w:rsid w:val="00FF79F8"/>
    <w:rsid w:val="0ED1AEEC"/>
    <w:rsid w:val="0F15AAAE"/>
    <w:rsid w:val="2A4C469C"/>
    <w:rsid w:val="3109FE9C"/>
    <w:rsid w:val="3DBEF786"/>
    <w:rsid w:val="5B4C9858"/>
    <w:rsid w:val="5EBAFB61"/>
    <w:rsid w:val="6206B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23802132-6CD0-43C2-AE90-70273702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qFormat/>
    <w:rsid w:val="009E697E"/>
    <w:pPr>
      <w:numPr>
        <w:numId w:val="1"/>
      </w:numPr>
      <w:spacing w:after="0" w:line="288" w:lineRule="auto"/>
      <w:jc w:val="both"/>
      <w:outlineLvl w:val="0"/>
    </w:pPr>
    <w:rPr>
      <w:rFonts w:ascii="Times New Roman" w:eastAsia="Times New Roman" w:hAnsi="Times New Roman"/>
      <w:kern w:val="28"/>
    </w:rPr>
  </w:style>
  <w:style w:type="paragraph" w:styleId="Heading2">
    <w:name w:val="heading 2"/>
    <w:basedOn w:val="Normal"/>
    <w:next w:val="Normal"/>
    <w:link w:val="Heading2Char"/>
    <w:qFormat/>
    <w:rsid w:val="009E697E"/>
    <w:pPr>
      <w:numPr>
        <w:ilvl w:val="1"/>
        <w:numId w:val="1"/>
      </w:numPr>
      <w:spacing w:after="0" w:line="288" w:lineRule="auto"/>
      <w:jc w:val="both"/>
      <w:outlineLvl w:val="1"/>
    </w:pPr>
    <w:rPr>
      <w:rFonts w:ascii="Times New Roman" w:eastAsia="Times New Roman" w:hAnsi="Times New Roman"/>
    </w:rPr>
  </w:style>
  <w:style w:type="paragraph" w:styleId="Heading3">
    <w:name w:val="heading 3"/>
    <w:basedOn w:val="Normal"/>
    <w:next w:val="Normal"/>
    <w:link w:val="Heading3Char"/>
    <w:qFormat/>
    <w:rsid w:val="009E697E"/>
    <w:pPr>
      <w:numPr>
        <w:ilvl w:val="2"/>
        <w:numId w:val="1"/>
      </w:numPr>
      <w:spacing w:after="0" w:line="288" w:lineRule="auto"/>
      <w:jc w:val="both"/>
      <w:outlineLvl w:val="2"/>
    </w:pPr>
    <w:rPr>
      <w:rFonts w:ascii="Times New Roman" w:eastAsia="Times New Roman" w:hAnsi="Times New Roman"/>
    </w:rPr>
  </w:style>
  <w:style w:type="paragraph" w:styleId="Heading4">
    <w:name w:val="heading 4"/>
    <w:basedOn w:val="Normal"/>
    <w:next w:val="Normal"/>
    <w:link w:val="Heading4Char"/>
    <w:qFormat/>
    <w:rsid w:val="009E697E"/>
    <w:pPr>
      <w:numPr>
        <w:ilvl w:val="3"/>
        <w:numId w:val="1"/>
      </w:numPr>
      <w:spacing w:after="0" w:line="288" w:lineRule="auto"/>
      <w:jc w:val="both"/>
      <w:outlineLvl w:val="3"/>
    </w:pPr>
    <w:rPr>
      <w:rFonts w:ascii="Times New Roman" w:eastAsia="Times New Roman" w:hAnsi="Times New Roman"/>
    </w:rPr>
  </w:style>
  <w:style w:type="paragraph" w:styleId="Heading5">
    <w:name w:val="heading 5"/>
    <w:basedOn w:val="Normal"/>
    <w:next w:val="Normal"/>
    <w:link w:val="Heading5Char"/>
    <w:qFormat/>
    <w:rsid w:val="009E697E"/>
    <w:pPr>
      <w:numPr>
        <w:ilvl w:val="4"/>
        <w:numId w:val="1"/>
      </w:numPr>
      <w:spacing w:after="0" w:line="288" w:lineRule="auto"/>
      <w:jc w:val="both"/>
      <w:outlineLvl w:val="4"/>
    </w:pPr>
    <w:rPr>
      <w:rFonts w:ascii="Times New Roman" w:eastAsia="Times New Roman" w:hAnsi="Times New Roman"/>
    </w:rPr>
  </w:style>
  <w:style w:type="paragraph" w:styleId="Heading6">
    <w:name w:val="heading 6"/>
    <w:basedOn w:val="Normal"/>
    <w:next w:val="Normal"/>
    <w:link w:val="Heading6Char"/>
    <w:qFormat/>
    <w:rsid w:val="009E697E"/>
    <w:pPr>
      <w:numPr>
        <w:ilvl w:val="5"/>
        <w:numId w:val="1"/>
      </w:numPr>
      <w:spacing w:after="0" w:line="288" w:lineRule="auto"/>
      <w:jc w:val="both"/>
      <w:outlineLvl w:val="5"/>
    </w:pPr>
    <w:rPr>
      <w:rFonts w:ascii="Times New Roman" w:eastAsia="Times New Roman" w:hAnsi="Times New Roman"/>
    </w:rPr>
  </w:style>
  <w:style w:type="paragraph" w:styleId="Heading7">
    <w:name w:val="heading 7"/>
    <w:basedOn w:val="Normal"/>
    <w:next w:val="Normal"/>
    <w:link w:val="Heading7Char"/>
    <w:qFormat/>
    <w:rsid w:val="009E697E"/>
    <w:pPr>
      <w:numPr>
        <w:ilvl w:val="6"/>
        <w:numId w:val="1"/>
      </w:numPr>
      <w:spacing w:after="0" w:line="288" w:lineRule="auto"/>
      <w:jc w:val="both"/>
      <w:outlineLvl w:val="6"/>
    </w:pPr>
    <w:rPr>
      <w:rFonts w:ascii="Times New Roman" w:eastAsia="Times New Roman" w:hAnsi="Times New Roman"/>
    </w:rPr>
  </w:style>
  <w:style w:type="paragraph" w:styleId="Heading8">
    <w:name w:val="heading 8"/>
    <w:basedOn w:val="Normal"/>
    <w:next w:val="Normal"/>
    <w:link w:val="Heading8Char"/>
    <w:qFormat/>
    <w:rsid w:val="009E697E"/>
    <w:pPr>
      <w:numPr>
        <w:ilvl w:val="7"/>
        <w:numId w:val="1"/>
      </w:numPr>
      <w:spacing w:after="0" w:line="288" w:lineRule="auto"/>
      <w:jc w:val="both"/>
      <w:outlineLvl w:val="7"/>
    </w:pPr>
    <w:rPr>
      <w:rFonts w:ascii="Times New Roman" w:eastAsia="Times New Roman" w:hAnsi="Times New Roman"/>
    </w:rPr>
  </w:style>
  <w:style w:type="paragraph" w:styleId="Heading9">
    <w:name w:val="heading 9"/>
    <w:basedOn w:val="Normal"/>
    <w:next w:val="Normal"/>
    <w:link w:val="Heading9Char"/>
    <w:qFormat/>
    <w:rsid w:val="009E697E"/>
    <w:pPr>
      <w:numPr>
        <w:ilvl w:val="8"/>
        <w:numId w:val="1"/>
      </w:numPr>
      <w:spacing w:after="0" w:line="288" w:lineRule="auto"/>
      <w:jc w:val="both"/>
      <w:outlineLvl w:val="8"/>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864B8"/>
    <w:rPr>
      <w:sz w:val="22"/>
      <w:szCs w:val="22"/>
      <w:lang w:val="en-GB" w:eastAsia="en-US"/>
    </w:rPr>
  </w:style>
  <w:style w:type="paragraph" w:styleId="Header">
    <w:name w:val="header"/>
    <w:basedOn w:val="Normal"/>
    <w:link w:val="HeaderChar"/>
    <w:uiPriority w:val="99"/>
    <w:unhideWhenUsed/>
    <w:rsid w:val="008D1B8E"/>
    <w:pPr>
      <w:tabs>
        <w:tab w:val="center" w:pos="4513"/>
        <w:tab w:val="right" w:pos="9026"/>
      </w:tabs>
    </w:pPr>
  </w:style>
  <w:style w:type="character" w:customStyle="1" w:styleId="HeaderChar">
    <w:name w:val="Header Char"/>
    <w:link w:val="Header"/>
    <w:uiPriority w:val="99"/>
    <w:rsid w:val="008D1B8E"/>
    <w:rPr>
      <w:sz w:val="22"/>
      <w:szCs w:val="22"/>
      <w:lang w:val="en-GB" w:eastAsia="en-US"/>
    </w:rPr>
  </w:style>
  <w:style w:type="paragraph" w:styleId="Footer">
    <w:name w:val="footer"/>
    <w:basedOn w:val="Normal"/>
    <w:link w:val="FooterChar"/>
    <w:uiPriority w:val="99"/>
    <w:unhideWhenUsed/>
    <w:rsid w:val="008D1B8E"/>
    <w:pPr>
      <w:tabs>
        <w:tab w:val="center" w:pos="4513"/>
        <w:tab w:val="right" w:pos="9026"/>
      </w:tabs>
    </w:pPr>
  </w:style>
  <w:style w:type="character" w:customStyle="1" w:styleId="FooterChar">
    <w:name w:val="Footer Char"/>
    <w:link w:val="Footer"/>
    <w:uiPriority w:val="99"/>
    <w:rsid w:val="008D1B8E"/>
    <w:rPr>
      <w:sz w:val="22"/>
      <w:szCs w:val="22"/>
      <w:lang w:val="en-GB" w:eastAsia="en-US"/>
    </w:rPr>
  </w:style>
  <w:style w:type="character" w:customStyle="1" w:styleId="Heading1Char">
    <w:name w:val="Heading 1 Char"/>
    <w:link w:val="Heading1"/>
    <w:rsid w:val="009E697E"/>
    <w:rPr>
      <w:rFonts w:ascii="Times New Roman" w:eastAsia="Times New Roman" w:hAnsi="Times New Roman"/>
      <w:kern w:val="28"/>
      <w:sz w:val="22"/>
      <w:szCs w:val="22"/>
      <w:lang w:val="en-GB" w:eastAsia="en-US"/>
    </w:rPr>
  </w:style>
  <w:style w:type="character" w:customStyle="1" w:styleId="Heading2Char">
    <w:name w:val="Heading 2 Char"/>
    <w:link w:val="Heading2"/>
    <w:rsid w:val="009E697E"/>
    <w:rPr>
      <w:rFonts w:ascii="Times New Roman" w:eastAsia="Times New Roman" w:hAnsi="Times New Roman"/>
      <w:sz w:val="22"/>
      <w:szCs w:val="22"/>
      <w:lang w:val="en-GB" w:eastAsia="en-US"/>
    </w:rPr>
  </w:style>
  <w:style w:type="character" w:customStyle="1" w:styleId="Heading3Char">
    <w:name w:val="Heading 3 Char"/>
    <w:link w:val="Heading3"/>
    <w:rsid w:val="009E697E"/>
    <w:rPr>
      <w:rFonts w:ascii="Times New Roman" w:eastAsia="Times New Roman" w:hAnsi="Times New Roman"/>
      <w:sz w:val="22"/>
      <w:szCs w:val="22"/>
      <w:lang w:val="en-GB" w:eastAsia="en-US"/>
    </w:rPr>
  </w:style>
  <w:style w:type="character" w:customStyle="1" w:styleId="Heading4Char">
    <w:name w:val="Heading 4 Char"/>
    <w:link w:val="Heading4"/>
    <w:rsid w:val="009E697E"/>
    <w:rPr>
      <w:rFonts w:ascii="Times New Roman" w:eastAsia="Times New Roman" w:hAnsi="Times New Roman"/>
      <w:sz w:val="22"/>
      <w:szCs w:val="22"/>
      <w:lang w:val="en-GB" w:eastAsia="en-US"/>
    </w:rPr>
  </w:style>
  <w:style w:type="character" w:customStyle="1" w:styleId="Heading5Char">
    <w:name w:val="Heading 5 Char"/>
    <w:link w:val="Heading5"/>
    <w:rsid w:val="009E697E"/>
    <w:rPr>
      <w:rFonts w:ascii="Times New Roman" w:eastAsia="Times New Roman" w:hAnsi="Times New Roman"/>
      <w:sz w:val="22"/>
      <w:szCs w:val="22"/>
      <w:lang w:val="en-GB" w:eastAsia="en-US"/>
    </w:rPr>
  </w:style>
  <w:style w:type="character" w:customStyle="1" w:styleId="Heading6Char">
    <w:name w:val="Heading 6 Char"/>
    <w:link w:val="Heading6"/>
    <w:rsid w:val="009E697E"/>
    <w:rPr>
      <w:rFonts w:ascii="Times New Roman" w:eastAsia="Times New Roman" w:hAnsi="Times New Roman"/>
      <w:sz w:val="22"/>
      <w:szCs w:val="22"/>
      <w:lang w:val="en-GB" w:eastAsia="en-US"/>
    </w:rPr>
  </w:style>
  <w:style w:type="character" w:customStyle="1" w:styleId="Heading7Char">
    <w:name w:val="Heading 7 Char"/>
    <w:link w:val="Heading7"/>
    <w:rsid w:val="009E697E"/>
    <w:rPr>
      <w:rFonts w:ascii="Times New Roman" w:eastAsia="Times New Roman" w:hAnsi="Times New Roman"/>
      <w:sz w:val="22"/>
      <w:szCs w:val="22"/>
      <w:lang w:val="en-GB" w:eastAsia="en-US"/>
    </w:rPr>
  </w:style>
  <w:style w:type="character" w:customStyle="1" w:styleId="Heading8Char">
    <w:name w:val="Heading 8 Char"/>
    <w:link w:val="Heading8"/>
    <w:rsid w:val="009E697E"/>
    <w:rPr>
      <w:rFonts w:ascii="Times New Roman" w:eastAsia="Times New Roman" w:hAnsi="Times New Roman"/>
      <w:sz w:val="22"/>
      <w:szCs w:val="22"/>
      <w:lang w:val="en-GB" w:eastAsia="en-US"/>
    </w:rPr>
  </w:style>
  <w:style w:type="character" w:customStyle="1" w:styleId="Heading9Char">
    <w:name w:val="Heading 9 Char"/>
    <w:link w:val="Heading9"/>
    <w:rsid w:val="009E697E"/>
    <w:rPr>
      <w:rFonts w:ascii="Times New Roman" w:eastAsia="Times New Roman" w:hAnsi="Times New Roman"/>
      <w:sz w:val="22"/>
      <w:szCs w:val="22"/>
      <w:lang w:val="en-GB" w:eastAsia="en-US"/>
    </w:rPr>
  </w:style>
  <w:style w:type="character" w:styleId="Hyperlink">
    <w:name w:val="Hyperlink"/>
    <w:uiPriority w:val="99"/>
    <w:rsid w:val="009E697E"/>
    <w:rPr>
      <w:color w:val="0000FF"/>
      <w:u w:val="single"/>
    </w:rPr>
  </w:style>
  <w:style w:type="paragraph" w:customStyle="1" w:styleId="pf0">
    <w:name w:val="pf0"/>
    <w:basedOn w:val="Normal"/>
    <w:uiPriority w:val="1"/>
    <w:rsid w:val="009E697E"/>
    <w:pPr>
      <w:spacing w:beforeAutospacing="1" w:afterAutospacing="1"/>
    </w:pPr>
    <w:rPr>
      <w:rFonts w:ascii="Times New Roman" w:eastAsia="Times New Roman" w:hAnsi="Times New Roman"/>
      <w:sz w:val="24"/>
      <w:szCs w:val="24"/>
      <w:lang w:val="en-IE" w:eastAsia="en-IE"/>
    </w:rPr>
  </w:style>
  <w:style w:type="character" w:customStyle="1" w:styleId="cf01">
    <w:name w:val="cf01"/>
    <w:uiPriority w:val="1"/>
    <w:rsid w:val="009E697E"/>
    <w:rPr>
      <w:rFonts w:ascii="Segoe UI" w:eastAsia="Calibri" w:hAnsi="Segoe UI" w:cs="Segoe UI"/>
      <w:sz w:val="18"/>
      <w:szCs w:val="18"/>
    </w:rPr>
  </w:style>
  <w:style w:type="paragraph" w:styleId="FootnoteText">
    <w:name w:val="footnote text"/>
    <w:basedOn w:val="Normal"/>
    <w:link w:val="FootnoteTextChar"/>
    <w:unhideWhenUsed/>
    <w:qFormat/>
    <w:rsid w:val="009E697E"/>
    <w:rPr>
      <w:sz w:val="20"/>
      <w:szCs w:val="20"/>
    </w:rPr>
  </w:style>
  <w:style w:type="character" w:customStyle="1" w:styleId="FootnoteTextChar">
    <w:name w:val="Footnote Text Char"/>
    <w:link w:val="FootnoteText"/>
    <w:rsid w:val="009E697E"/>
    <w:rPr>
      <w:lang w:val="en-GB" w:eastAsia="en-US"/>
    </w:rPr>
  </w:style>
  <w:style w:type="character" w:styleId="FootnoteReference">
    <w:name w:val="footnote reference"/>
    <w:unhideWhenUsed/>
    <w:qFormat/>
    <w:rsid w:val="009E697E"/>
    <w:rPr>
      <w:sz w:val="24"/>
      <w:vertAlign w:val="superscript"/>
    </w:rPr>
  </w:style>
  <w:style w:type="paragraph" w:styleId="ListParagraph">
    <w:name w:val="List Paragraph"/>
    <w:basedOn w:val="Normal"/>
    <w:uiPriority w:val="34"/>
    <w:qFormat/>
    <w:rsid w:val="009E697E"/>
    <w:pPr>
      <w:ind w:left="720"/>
    </w:pPr>
  </w:style>
  <w:style w:type="character" w:styleId="CommentReference">
    <w:name w:val="annotation reference"/>
    <w:semiHidden/>
    <w:unhideWhenUsed/>
    <w:rsid w:val="009E697E"/>
    <w:rPr>
      <w:sz w:val="16"/>
      <w:szCs w:val="16"/>
    </w:rPr>
  </w:style>
  <w:style w:type="paragraph" w:styleId="CommentText">
    <w:name w:val="annotation text"/>
    <w:basedOn w:val="Normal"/>
    <w:link w:val="CommentTextChar"/>
    <w:unhideWhenUsed/>
    <w:rsid w:val="009E697E"/>
    <w:pPr>
      <w:spacing w:after="0" w:line="240" w:lineRule="auto"/>
      <w:jc w:val="both"/>
    </w:pPr>
    <w:rPr>
      <w:rFonts w:ascii="Times New Roman" w:eastAsia="Times New Roman" w:hAnsi="Times New Roman"/>
      <w:sz w:val="20"/>
      <w:szCs w:val="20"/>
    </w:rPr>
  </w:style>
  <w:style w:type="character" w:customStyle="1" w:styleId="CommentTextChar">
    <w:name w:val="Comment Text Char"/>
    <w:link w:val="CommentText"/>
    <w:rsid w:val="009E697E"/>
    <w:rPr>
      <w:rFonts w:ascii="Times New Roman" w:eastAsia="Times New Roman" w:hAnsi="Times New Roman"/>
      <w:lang w:val="en-GB" w:eastAsia="en-US"/>
    </w:rPr>
  </w:style>
  <w:style w:type="character" w:customStyle="1" w:styleId="cf21">
    <w:name w:val="cf21"/>
    <w:uiPriority w:val="1"/>
    <w:rsid w:val="009E697E"/>
    <w:rPr>
      <w:rFonts w:ascii="Segoe UI" w:eastAsia="Calibri" w:hAnsi="Segoe UI" w:cs="Segoe UI"/>
      <w:sz w:val="18"/>
      <w:szCs w:val="18"/>
    </w:rPr>
  </w:style>
  <w:style w:type="character" w:customStyle="1" w:styleId="cf31">
    <w:name w:val="cf31"/>
    <w:uiPriority w:val="1"/>
    <w:rsid w:val="009E697E"/>
    <w:rPr>
      <w:rFonts w:ascii="Segoe UI" w:eastAsia="Calibri" w:hAnsi="Segoe UI" w:cs="Segoe UI"/>
      <w:sz w:val="18"/>
      <w:szCs w:val="18"/>
      <w:vertAlign w:val="subscript"/>
    </w:rPr>
  </w:style>
  <w:style w:type="paragraph" w:styleId="CommentSubject">
    <w:name w:val="annotation subject"/>
    <w:basedOn w:val="CommentText"/>
    <w:next w:val="CommentText"/>
    <w:link w:val="CommentSubjectChar"/>
    <w:uiPriority w:val="99"/>
    <w:semiHidden/>
    <w:unhideWhenUsed/>
    <w:rsid w:val="00FA6844"/>
    <w:pPr>
      <w:spacing w:after="200" w:line="276" w:lineRule="auto"/>
      <w:jc w:val="left"/>
    </w:pPr>
    <w:rPr>
      <w:rFonts w:ascii="Calibri" w:eastAsia="Calibri" w:hAnsi="Calibri"/>
      <w:b/>
      <w:bCs/>
    </w:rPr>
  </w:style>
  <w:style w:type="character" w:customStyle="1" w:styleId="CommentSubjectChar">
    <w:name w:val="Comment Subject Char"/>
    <w:link w:val="CommentSubject"/>
    <w:uiPriority w:val="99"/>
    <w:semiHidden/>
    <w:rsid w:val="00FA6844"/>
    <w:rPr>
      <w:rFonts w:ascii="Times New Roman" w:eastAsia="Times New Roman" w:hAnsi="Times New Roman"/>
      <w:b/>
      <w:bCs/>
      <w:lang w:val="en-GB" w:eastAsia="en-US"/>
    </w:rPr>
  </w:style>
  <w:style w:type="paragraph" w:styleId="NormalWeb">
    <w:name w:val="Normal (Web)"/>
    <w:basedOn w:val="Normal"/>
    <w:uiPriority w:val="99"/>
    <w:unhideWhenUsed/>
    <w:rsid w:val="00F759D7"/>
    <w:pPr>
      <w:spacing w:before="100" w:beforeAutospacing="1" w:after="100" w:afterAutospacing="1" w:line="240" w:lineRule="auto"/>
    </w:pPr>
    <w:rPr>
      <w:rFonts w:ascii="Times New Roman" w:eastAsia="Times New Roman" w:hAnsi="Times New Roman"/>
      <w:sz w:val="24"/>
      <w:szCs w:val="24"/>
      <w:lang w:val="en-IE" w:eastAsia="en-IE"/>
    </w:rPr>
  </w:style>
  <w:style w:type="character" w:styleId="UnresolvedMention">
    <w:name w:val="Unresolved Mention"/>
    <w:uiPriority w:val="99"/>
    <w:semiHidden/>
    <w:unhideWhenUsed/>
    <w:rsid w:val="005E7F2A"/>
    <w:rPr>
      <w:color w:val="605E5C"/>
      <w:shd w:val="clear" w:color="auto" w:fill="E1DFDD"/>
    </w:rPr>
  </w:style>
  <w:style w:type="character" w:styleId="FollowedHyperlink">
    <w:name w:val="FollowedHyperlink"/>
    <w:basedOn w:val="DefaultParagraphFont"/>
    <w:uiPriority w:val="99"/>
    <w:semiHidden/>
    <w:unhideWhenUsed/>
    <w:rsid w:val="00FD25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0852">
      <w:bodyDiv w:val="1"/>
      <w:marLeft w:val="0"/>
      <w:marRight w:val="0"/>
      <w:marTop w:val="0"/>
      <w:marBottom w:val="0"/>
      <w:divBdr>
        <w:top w:val="none" w:sz="0" w:space="0" w:color="auto"/>
        <w:left w:val="none" w:sz="0" w:space="0" w:color="auto"/>
        <w:bottom w:val="none" w:sz="0" w:space="0" w:color="auto"/>
        <w:right w:val="none" w:sz="0" w:space="0" w:color="auto"/>
      </w:divBdr>
    </w:div>
    <w:div w:id="631331178">
      <w:bodyDiv w:val="1"/>
      <w:marLeft w:val="0"/>
      <w:marRight w:val="0"/>
      <w:marTop w:val="0"/>
      <w:marBottom w:val="0"/>
      <w:divBdr>
        <w:top w:val="none" w:sz="0" w:space="0" w:color="auto"/>
        <w:left w:val="none" w:sz="0" w:space="0" w:color="auto"/>
        <w:bottom w:val="none" w:sz="0" w:space="0" w:color="auto"/>
        <w:right w:val="none" w:sz="0" w:space="0" w:color="auto"/>
      </w:divBdr>
    </w:div>
    <w:div w:id="824666885">
      <w:bodyDiv w:val="1"/>
      <w:marLeft w:val="0"/>
      <w:marRight w:val="0"/>
      <w:marTop w:val="0"/>
      <w:marBottom w:val="0"/>
      <w:divBdr>
        <w:top w:val="none" w:sz="0" w:space="0" w:color="auto"/>
        <w:left w:val="none" w:sz="0" w:space="0" w:color="auto"/>
        <w:bottom w:val="none" w:sz="0" w:space="0" w:color="auto"/>
        <w:right w:val="none" w:sz="0" w:space="0" w:color="auto"/>
      </w:divBdr>
    </w:div>
    <w:div w:id="867452152">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1602252011">
      <w:bodyDiv w:val="1"/>
      <w:marLeft w:val="0"/>
      <w:marRight w:val="0"/>
      <w:marTop w:val="0"/>
      <w:marBottom w:val="0"/>
      <w:divBdr>
        <w:top w:val="none" w:sz="0" w:space="0" w:color="auto"/>
        <w:left w:val="none" w:sz="0" w:space="0" w:color="auto"/>
        <w:bottom w:val="none" w:sz="0" w:space="0" w:color="auto"/>
        <w:right w:val="none" w:sz="0" w:space="0" w:color="auto"/>
      </w:divBdr>
    </w:div>
    <w:div w:id="1618872352">
      <w:bodyDiv w:val="1"/>
      <w:marLeft w:val="0"/>
      <w:marRight w:val="0"/>
      <w:marTop w:val="0"/>
      <w:marBottom w:val="0"/>
      <w:divBdr>
        <w:top w:val="none" w:sz="0" w:space="0" w:color="auto"/>
        <w:left w:val="none" w:sz="0" w:space="0" w:color="auto"/>
        <w:bottom w:val="none" w:sz="0" w:space="0" w:color="auto"/>
        <w:right w:val="none" w:sz="0" w:space="0" w:color="auto"/>
      </w:divBdr>
    </w:div>
    <w:div w:id="1737584005">
      <w:bodyDiv w:val="1"/>
      <w:marLeft w:val="0"/>
      <w:marRight w:val="0"/>
      <w:marTop w:val="0"/>
      <w:marBottom w:val="0"/>
      <w:divBdr>
        <w:top w:val="none" w:sz="0" w:space="0" w:color="auto"/>
        <w:left w:val="none" w:sz="0" w:space="0" w:color="auto"/>
        <w:bottom w:val="none" w:sz="0" w:space="0" w:color="auto"/>
        <w:right w:val="none" w:sz="0" w:space="0" w:color="auto"/>
      </w:divBdr>
    </w:div>
    <w:div w:id="1745566857">
      <w:bodyDiv w:val="1"/>
      <w:marLeft w:val="0"/>
      <w:marRight w:val="0"/>
      <w:marTop w:val="0"/>
      <w:marBottom w:val="0"/>
      <w:divBdr>
        <w:top w:val="none" w:sz="0" w:space="0" w:color="auto"/>
        <w:left w:val="none" w:sz="0" w:space="0" w:color="auto"/>
        <w:bottom w:val="none" w:sz="0" w:space="0" w:color="auto"/>
        <w:right w:val="none" w:sz="0" w:space="0" w:color="auto"/>
      </w:divBdr>
    </w:div>
    <w:div w:id="1962304096">
      <w:bodyDiv w:val="1"/>
      <w:marLeft w:val="0"/>
      <w:marRight w:val="0"/>
      <w:marTop w:val="0"/>
      <w:marBottom w:val="0"/>
      <w:divBdr>
        <w:top w:val="none" w:sz="0" w:space="0" w:color="auto"/>
        <w:left w:val="none" w:sz="0" w:space="0" w:color="auto"/>
        <w:bottom w:val="none" w:sz="0" w:space="0" w:color="auto"/>
        <w:right w:val="none" w:sz="0" w:space="0" w:color="auto"/>
      </w:divBdr>
    </w:div>
    <w:div w:id="202304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system/files/documents/2023-12/epa_scghg_2023_report_final.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A52025DC0030&amp;qid=1751468994215" TargetMode="External"/><Relationship Id="rId13" Type="http://schemas.openxmlformats.org/officeDocument/2006/relationships/hyperlink" Target="http://www.nber.org/papers/w32544" TargetMode="External"/><Relationship Id="rId3" Type="http://schemas.openxmlformats.org/officeDocument/2006/relationships/hyperlink" Target="https://eur-lex.europa.eu/legal-content/EN/TXT/?uri=CELEX%3A52025DC0030" TargetMode="External"/><Relationship Id="rId7" Type="http://schemas.openxmlformats.org/officeDocument/2006/relationships/hyperlink" Target="https://eur-lex.europa.eu/legal-content/EN/TXT/?uri=CELEX%3A52025DC0045&amp;qid=1751468770071" TargetMode="External"/><Relationship Id="rId12" Type="http://schemas.openxmlformats.org/officeDocument/2006/relationships/hyperlink" Target="https://www.nature.com/articles/s41586-022-05224-9" TargetMode="External"/><Relationship Id="rId2" Type="http://schemas.openxmlformats.org/officeDocument/2006/relationships/hyperlink" Target="https://eur-lex.europa.eu/legal-content/EN/TXT/?uri=CELEX:32022H0627%2804%29" TargetMode="External"/><Relationship Id="rId1" Type="http://schemas.openxmlformats.org/officeDocument/2006/relationships/hyperlink" Target="https://eur-lex.europa.eu/legal-content/EN/TXT/?uri=CELEX:32022H0627%2804%29" TargetMode="External"/><Relationship Id="rId6" Type="http://schemas.openxmlformats.org/officeDocument/2006/relationships/hyperlink" Target="https://www.thelancet.com/journals/lancet/article/PIIS0140-6736(23)01859-7/fulltext" TargetMode="External"/><Relationship Id="rId11" Type="http://schemas.openxmlformats.org/officeDocument/2006/relationships/hyperlink" Target="http://data.europa.eu/eli/reg/2023/956/oj" TargetMode="External"/><Relationship Id="rId5" Type="http://schemas.openxmlformats.org/officeDocument/2006/relationships/hyperlink" Target="https://www.eib.org/attachments/publications/climate_bank_roadmap_progress_report_2021_en.pdf" TargetMode="External"/><Relationship Id="rId15" Type="http://schemas.openxmlformats.org/officeDocument/2006/relationships/hyperlink" Target="https://www.eea.europa.eu/en/analysis/indicators/fossil-fuel-subsidies" TargetMode="External"/><Relationship Id="rId10" Type="http://schemas.openxmlformats.org/officeDocument/2006/relationships/hyperlink" Target="https://eur-lex.europa.eu/legal-content/EN/TXT/?uri=celex:52025DC0026" TargetMode="External"/><Relationship Id="rId4" Type="http://schemas.openxmlformats.org/officeDocument/2006/relationships/hyperlink" Target="https://data.europa.eu/doi/10.2832/51388" TargetMode="External"/><Relationship Id="rId9" Type="http://schemas.openxmlformats.org/officeDocument/2006/relationships/hyperlink" Target="https://eur-lex.europa.eu/legal-content/EN/TXT/?uri=celex:52024DC0063" TargetMode="External"/><Relationship Id="rId14" Type="http://schemas.openxmlformats.org/officeDocument/2006/relationships/hyperlink" Target="https://www.imf.org/en/Blogs/Articles/2023/08/24/fossil-fuel-subsidies-surged-to-record-7-trill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0195177B60C64096702F86A45F3814" ma:contentTypeVersion="14" ma:contentTypeDescription="Create a new document." ma:contentTypeScope="" ma:versionID="ecdc9d9e2685e686e6903c257f3eed98">
  <xsd:schema xmlns:xsd="http://www.w3.org/2001/XMLSchema" xmlns:xs="http://www.w3.org/2001/XMLSchema" xmlns:p="http://schemas.microsoft.com/office/2006/metadata/properties" xmlns:ns2="a8522064-1c52-4531-b908-dbb417679439" xmlns:ns3="94c34300-9c81-4544-a5e6-51f954ed307d" targetNamespace="http://schemas.microsoft.com/office/2006/metadata/properties" ma:root="true" ma:fieldsID="7b2e403f86bb08b2e55008ba3bbc816f" ns2:_="" ns3:_="">
    <xsd:import namespace="a8522064-1c52-4531-b908-dbb417679439"/>
    <xsd:import namespace="94c34300-9c81-4544-a5e6-51f954ed30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22064-1c52-4531-b908-dbb417679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34300-9c81-4544-a5e6-51f954ed30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c661fc-423d-4aab-ad09-648d49989341}" ma:internalName="TaxCatchAll" ma:showField="CatchAllData" ma:web="94c34300-9c81-4544-a5e6-51f954ed30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522064-1c52-4531-b908-dbb41767943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94c34300-9c81-4544-a5e6-51f954ed307d" xsi:nil="true"/>
  </documentManagement>
</p:properties>
</file>

<file path=customXml/itemProps1.xml><?xml version="1.0" encoding="utf-8"?>
<ds:datastoreItem xmlns:ds="http://schemas.openxmlformats.org/officeDocument/2006/customXml" ds:itemID="{161B989E-C63C-48E7-B549-5971CEAFD1E6}">
  <ds:schemaRefs>
    <ds:schemaRef ds:uri="http://schemas.microsoft.com/sharepoint/v3/contenttype/forms"/>
  </ds:schemaRefs>
</ds:datastoreItem>
</file>

<file path=customXml/itemProps2.xml><?xml version="1.0" encoding="utf-8"?>
<ds:datastoreItem xmlns:ds="http://schemas.openxmlformats.org/officeDocument/2006/customXml" ds:itemID="{59F10B95-3255-45C1-B8EA-94704289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22064-1c52-4531-b908-dbb417679439"/>
    <ds:schemaRef ds:uri="94c34300-9c81-4544-a5e6-51f954ed3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815D1-758A-4A96-9AEA-CB2B1716B440}">
  <ds:schemaRefs>
    <ds:schemaRef ds:uri="http://schemas.openxmlformats.org/officeDocument/2006/bibliography"/>
  </ds:schemaRefs>
</ds:datastoreItem>
</file>

<file path=customXml/itemProps4.xml><?xml version="1.0" encoding="utf-8"?>
<ds:datastoreItem xmlns:ds="http://schemas.openxmlformats.org/officeDocument/2006/customXml" ds:itemID="{E46FC54C-6D3D-481D-A462-C7884E4BA188}">
  <ds:schemaRefs>
    <ds:schemaRef ds:uri="http://schemas.microsoft.com/office/2006/metadata/properties"/>
    <ds:schemaRef ds:uri="http://schemas.microsoft.com/office/infopath/2007/PartnerControls"/>
    <ds:schemaRef ds:uri="a8522064-1c52-4531-b908-dbb417679439"/>
    <ds:schemaRef ds:uri="94c34300-9c81-4544-a5e6-51f954ed307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3362</Words>
  <Characters>18122</Characters>
  <Application>Microsoft Office Word</Application>
  <DocSecurity>0</DocSecurity>
  <Lines>251</Lines>
  <Paragraphs>51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21433</CharactersWithSpaces>
  <SharedDoc>false</SharedDoc>
  <HLinks>
    <vt:vector size="48" baseType="variant">
      <vt:variant>
        <vt:i4>196624</vt:i4>
      </vt:variant>
      <vt:variant>
        <vt:i4>12</vt:i4>
      </vt:variant>
      <vt:variant>
        <vt:i4>0</vt:i4>
      </vt:variant>
      <vt:variant>
        <vt:i4>5</vt:i4>
      </vt:variant>
      <vt:variant>
        <vt:lpwstr>https://www.epa.gov/system/files/documents/2023-12/epa_scghg_2023_report_final.pdf</vt:lpwstr>
      </vt:variant>
      <vt:variant>
        <vt:lpwstr/>
      </vt:variant>
      <vt:variant>
        <vt:i4>5570579</vt:i4>
      </vt:variant>
      <vt:variant>
        <vt:i4>8</vt:i4>
      </vt:variant>
      <vt:variant>
        <vt:i4>0</vt:i4>
      </vt:variant>
      <vt:variant>
        <vt:i4>5</vt:i4>
      </vt:variant>
      <vt:variant>
        <vt:lpwstr>http://www.nber.org/papers/w32544</vt:lpwstr>
      </vt:variant>
      <vt:variant>
        <vt:lpwstr/>
      </vt:variant>
      <vt:variant>
        <vt:i4>4128830</vt:i4>
      </vt:variant>
      <vt:variant>
        <vt:i4>6</vt:i4>
      </vt:variant>
      <vt:variant>
        <vt:i4>0</vt:i4>
      </vt:variant>
      <vt:variant>
        <vt:i4>5</vt:i4>
      </vt:variant>
      <vt:variant>
        <vt:lpwstr>https://www.nber.org/papers/w32544</vt:lpwstr>
      </vt:variant>
      <vt:variant>
        <vt:lpwstr/>
      </vt:variant>
      <vt:variant>
        <vt:i4>6881323</vt:i4>
      </vt:variant>
      <vt:variant>
        <vt:i4>3</vt:i4>
      </vt:variant>
      <vt:variant>
        <vt:i4>0</vt:i4>
      </vt:variant>
      <vt:variant>
        <vt:i4>5</vt:i4>
      </vt:variant>
      <vt:variant>
        <vt:lpwstr>https://www.eib.org/attachments/publications/climate_bank_roadmap_progress_report_2021_en.pdf</vt:lpwstr>
      </vt:variant>
      <vt:variant>
        <vt:lpwstr/>
      </vt:variant>
      <vt:variant>
        <vt:i4>524317</vt:i4>
      </vt:variant>
      <vt:variant>
        <vt:i4>0</vt:i4>
      </vt:variant>
      <vt:variant>
        <vt:i4>0</vt:i4>
      </vt:variant>
      <vt:variant>
        <vt:i4>5</vt:i4>
      </vt:variant>
      <vt:variant>
        <vt:lpwstr>https://op.europa.eu/en/publication-detail/-/publication/9781f65f-8448-11ea-bf12-01aa75ed71a1</vt:lpwstr>
      </vt:variant>
      <vt:variant>
        <vt:lpwstr/>
      </vt:variant>
      <vt:variant>
        <vt:i4>3342382</vt:i4>
      </vt:variant>
      <vt:variant>
        <vt:i4>6</vt:i4>
      </vt:variant>
      <vt:variant>
        <vt:i4>0</vt:i4>
      </vt:variant>
      <vt:variant>
        <vt:i4>5</vt:i4>
      </vt:variant>
      <vt:variant>
        <vt:lpwstr>https://www.eea.europa.eu/en/analysis/indicators/fossil-fuel-subsidies</vt:lpwstr>
      </vt:variant>
      <vt:variant>
        <vt:lpwstr/>
      </vt:variant>
      <vt:variant>
        <vt:i4>2359355</vt:i4>
      </vt:variant>
      <vt:variant>
        <vt:i4>3</vt:i4>
      </vt:variant>
      <vt:variant>
        <vt:i4>0</vt:i4>
      </vt:variant>
      <vt:variant>
        <vt:i4>5</vt:i4>
      </vt:variant>
      <vt:variant>
        <vt:lpwstr>https://www.imf.org/en/Blogs/Articles/2023/08/24/fossil-fuel-subsidies-surged-to-record-7-trillion</vt:lpwstr>
      </vt:variant>
      <vt:variant>
        <vt:lpwstr/>
      </vt:variant>
      <vt:variant>
        <vt:i4>3211296</vt:i4>
      </vt:variant>
      <vt:variant>
        <vt:i4>0</vt:i4>
      </vt:variant>
      <vt:variant>
        <vt:i4>0</vt:i4>
      </vt:variant>
      <vt:variant>
        <vt:i4>5</vt:i4>
      </vt:variant>
      <vt:variant>
        <vt:lpwstr>https://www.nature.com/articles/s41586-022-05224-9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2013-02-28T12:02:00Z</cp:lastPrinted>
  <dcterms:created xsi:type="dcterms:W3CDTF">2026-01-09T10:31:00Z</dcterms:created>
  <dcterms:modified xsi:type="dcterms:W3CDTF">2026-01-09T10:31:00Z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0x010100860195177B60C64096702F86A45F3814</vt:lpwstr>
  </property>
  <property fmtid="{D5CDD505-2E9C-101B-9397-08002B2CF9AE}" pid="10" name="MediaServiceImageTags">
    <vt:lpwstr/>
  </property>
</Properties>
</file>