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A0" w14:textId="77777777" w:rsidR="00077C4F" w:rsidRPr="00267223" w:rsidRDefault="00077C4F" w:rsidP="00267223">
      <w:pPr>
        <w:spacing w:after="0" w:line="240" w:lineRule="auto"/>
        <w:ind w:left="-567"/>
        <w:rPr>
          <w:rFonts w:ascii="Times New Roman" w:hAnsi="Times New Roman"/>
          <w:bCs/>
          <w:sz w:val="16"/>
          <w:szCs w:val="16"/>
        </w:rPr>
      </w:pPr>
    </w:p>
    <w:tbl>
      <w:tblPr>
        <w:tblW w:w="1010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1"/>
      </w:tblGrid>
      <w:tr w:rsidR="000D12D4" w:rsidRPr="00442552" w14:paraId="2963D679" w14:textId="77777777" w:rsidTr="00267223">
        <w:trPr>
          <w:jc w:val="center"/>
        </w:trPr>
        <w:tc>
          <w:tcPr>
            <w:tcW w:w="10101" w:type="dxa"/>
          </w:tcPr>
          <w:p w14:paraId="46E063DC" w14:textId="6E7D9213" w:rsidR="000D12D4" w:rsidRDefault="000D12D4" w:rsidP="000D12D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219CF">
              <w:rPr>
                <w:rFonts w:ascii="Times New Roman" w:hAnsi="Times New Roman"/>
                <w:b/>
                <w:sz w:val="24"/>
                <w:szCs w:val="24"/>
              </w:rPr>
              <w:t>New rules on cross-border enforcement against unfair trading practices</w:t>
            </w:r>
            <w:r w:rsidRPr="009E508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proofErr w:type="gramStart"/>
            <w:r w:rsidRPr="009E508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COM(</w:t>
            </w:r>
            <w:proofErr w:type="gramEnd"/>
            <w:r w:rsidRPr="009E508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4</w:t>
            </w:r>
            <w:r w:rsidRPr="009E508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) </w:t>
            </w:r>
            <w:r w:rsidRPr="004219CF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576 final</w:t>
            </w:r>
            <w:r w:rsidRPr="009E508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Pr="000D12D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EESC-2024-04652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Pr="000D12D4">
              <w:rPr>
                <w:rFonts w:ascii="Times New Roman" w:hAnsi="Times New Roman"/>
                <w:b/>
                <w:sz w:val="24"/>
                <w:szCs w:val="24"/>
              </w:rPr>
              <w:t>‒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NAT/945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  <w:t>595</w:t>
            </w:r>
            <w:r w:rsidRPr="000D12D4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IE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Pr="000D12D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Plenary Session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March</w:t>
            </w:r>
            <w:r w:rsidRPr="000D12D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Pr="000D12D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Rapporteur: Emilie PROUZET (FR-I)</w:t>
            </w:r>
            <w:r w:rsidR="00267223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  <w:t xml:space="preserve">DG AGRI </w:t>
            </w:r>
            <w:r w:rsidR="00267223" w:rsidRPr="000D12D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–</w:t>
            </w:r>
            <w:r w:rsidR="00267223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Commissioner HANSEN</w:t>
            </w:r>
          </w:p>
        </w:tc>
      </w:tr>
      <w:tr w:rsidR="00734613" w:rsidRPr="00442552" w14:paraId="1937071F" w14:textId="77777777" w:rsidTr="00267223">
        <w:trPr>
          <w:jc w:val="center"/>
        </w:trPr>
        <w:tc>
          <w:tcPr>
            <w:tcW w:w="10101" w:type="dxa"/>
          </w:tcPr>
          <w:p w14:paraId="1E50B4DB" w14:textId="14AEC65F" w:rsidR="00734613" w:rsidRPr="00695797" w:rsidRDefault="00734613" w:rsidP="00C72E9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European </w:t>
            </w:r>
            <w:r w:rsidRPr="00442552">
              <w:rPr>
                <w:rFonts w:ascii="Times New Roman" w:hAnsi="Times New Roman"/>
                <w:b/>
                <w:sz w:val="24"/>
                <w:szCs w:val="24"/>
              </w:rPr>
              <w:t>Commission position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on points</w:t>
            </w:r>
            <w:r w:rsidR="0026722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73835">
              <w:rPr>
                <w:rFonts w:ascii="Times New Roman" w:hAnsi="Times New Roman"/>
                <w:b/>
                <w:sz w:val="24"/>
                <w:szCs w:val="24"/>
              </w:rPr>
              <w:t xml:space="preserve">of the </w:t>
            </w:r>
            <w:r w:rsidR="00AE3C7C" w:rsidRPr="00AE3C7C">
              <w:rPr>
                <w:rFonts w:ascii="Times New Roman" w:hAnsi="Times New Roman"/>
                <w:b/>
                <w:sz w:val="24"/>
                <w:szCs w:val="24"/>
              </w:rPr>
              <w:t xml:space="preserve">European </w:t>
            </w:r>
            <w:r w:rsidR="001D2EAC">
              <w:rPr>
                <w:rFonts w:ascii="Times New Roman" w:hAnsi="Times New Roman"/>
                <w:b/>
                <w:sz w:val="24"/>
                <w:szCs w:val="24"/>
              </w:rPr>
              <w:t>Economic and Social Committee</w:t>
            </w:r>
            <w:r w:rsidR="00AE3C7C" w:rsidRPr="005738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7223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573835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2568A6">
              <w:rPr>
                <w:rFonts w:ascii="Times New Roman" w:hAnsi="Times New Roman"/>
                <w:b/>
                <w:sz w:val="24"/>
                <w:szCs w:val="24"/>
              </w:rPr>
              <w:t xml:space="preserve"> considered as essential</w:t>
            </w:r>
          </w:p>
        </w:tc>
      </w:tr>
      <w:tr w:rsidR="00734613" w:rsidRPr="00442552" w14:paraId="673DDC1B" w14:textId="77777777" w:rsidTr="00267223">
        <w:trPr>
          <w:jc w:val="center"/>
        </w:trPr>
        <w:tc>
          <w:tcPr>
            <w:tcW w:w="10101" w:type="dxa"/>
          </w:tcPr>
          <w:p w14:paraId="4585CB18" w14:textId="4431701F" w:rsidR="00C905D1" w:rsidRDefault="00C905D1" w:rsidP="0026722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Commission </w:t>
            </w:r>
            <w:r w:rsidR="00EE7A0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thanks the </w:t>
            </w:r>
            <w:r w:rsidR="00F00C35" w:rsidRPr="00F00C3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Committee </w:t>
            </w:r>
            <w:r w:rsidR="00EE7A0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for its </w:t>
            </w:r>
            <w:r w:rsidR="00EE7A02" w:rsidRPr="00EE7A0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support </w:t>
            </w:r>
            <w:r w:rsidR="00EE7A0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regarding </w:t>
            </w:r>
            <w:r w:rsidR="00A6720A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EE7A02">
              <w:rPr>
                <w:rFonts w:ascii="Times New Roman" w:hAnsi="Times New Roman"/>
                <w:sz w:val="24"/>
                <w:szCs w:val="24"/>
                <w:lang w:val="en-IE"/>
              </w:rPr>
              <w:t>proposal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A02">
              <w:rPr>
                <w:rFonts w:ascii="Times New Roman" w:hAnsi="Times New Roman"/>
                <w:sz w:val="24"/>
                <w:szCs w:val="24"/>
              </w:rPr>
              <w:t xml:space="preserve">that aims to respond 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to</w:t>
            </w:r>
            <w:r w:rsidR="00EE7A0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calls for better </w:t>
            </w:r>
            <w:r w:rsidR="00316560" w:rsidRPr="00316560">
              <w:rPr>
                <w:rFonts w:ascii="Times New Roman" w:hAnsi="Times New Roman"/>
                <w:sz w:val="24"/>
                <w:szCs w:val="24"/>
              </w:rPr>
              <w:t>coordination, cooperation and communication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among national enforcement</w:t>
            </w:r>
            <w:r w:rsidR="00790DCF" w:rsidRPr="00790DC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authorities responsible for the enforcement of rules against unfair trading practices taking place in a cross-border dimension</w:t>
            </w:r>
            <w:r w:rsidR="00316560" w:rsidRPr="003165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2DCC7D" w14:textId="4D96A552" w:rsidR="00C905D1" w:rsidRPr="00D73F7C" w:rsidRDefault="00C905D1" w:rsidP="0026722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D73F7C">
              <w:rPr>
                <w:rFonts w:ascii="Times New Roman" w:hAnsi="Times New Roman"/>
                <w:sz w:val="24"/>
                <w:szCs w:val="24"/>
              </w:rPr>
              <w:t>proposed Regulation</w:t>
            </w:r>
            <w:r w:rsidR="00472782" w:rsidRPr="00D73F7C">
              <w:rPr>
                <w:rFonts w:ascii="Times New Roman" w:hAnsi="Times New Roman"/>
                <w:sz w:val="24"/>
                <w:szCs w:val="24"/>
              </w:rPr>
              <w:t>’s</w:t>
            </w:r>
            <w:r w:rsidRPr="00D73F7C">
              <w:rPr>
                <w:rFonts w:ascii="Times New Roman" w:hAnsi="Times New Roman"/>
                <w:sz w:val="24"/>
                <w:szCs w:val="24"/>
              </w:rPr>
              <w:t xml:space="preserve"> objective </w:t>
            </w:r>
            <w:r w:rsidR="00472782" w:rsidRPr="00D73F7C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Pr="00D73F7C">
              <w:rPr>
                <w:rFonts w:ascii="Times New Roman" w:hAnsi="Times New Roman"/>
                <w:sz w:val="24"/>
                <w:szCs w:val="24"/>
              </w:rPr>
              <w:t>to introduce administrative and procedural rules necessary to improve cooperation among national enforcement</w:t>
            </w:r>
            <w:r w:rsidR="00790DCF" w:rsidRPr="00D73F7C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Pr="00D73F7C">
              <w:rPr>
                <w:rFonts w:ascii="Times New Roman" w:hAnsi="Times New Roman"/>
                <w:sz w:val="24"/>
                <w:szCs w:val="24"/>
              </w:rPr>
              <w:t xml:space="preserve">authorities responsible for the enforcement of rules </w:t>
            </w:r>
            <w:r w:rsidR="00472782" w:rsidRPr="00D73F7C">
              <w:rPr>
                <w:rFonts w:ascii="Times New Roman" w:hAnsi="Times New Roman"/>
                <w:sz w:val="24"/>
                <w:szCs w:val="24"/>
              </w:rPr>
              <w:t xml:space="preserve">provided </w:t>
            </w:r>
            <w:r w:rsidRPr="00D73F7C"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 w:rsidR="00A6720A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D73F7C">
              <w:rPr>
                <w:rFonts w:ascii="Times New Roman" w:hAnsi="Times New Roman"/>
                <w:sz w:val="24"/>
                <w:szCs w:val="24"/>
              </w:rPr>
              <w:t xml:space="preserve">Directive </w:t>
            </w:r>
            <w:r w:rsidR="00D73F7C" w:rsidRPr="00C94E13">
              <w:rPr>
                <w:rFonts w:ascii="Times New Roman" w:hAnsi="Times New Roman"/>
                <w:sz w:val="24"/>
                <w:szCs w:val="24"/>
              </w:rPr>
              <w:t>on unfair trading practices in business-to-business relationships in the agricultural and food supply chain</w:t>
            </w:r>
            <w:r w:rsidR="00D73F7C" w:rsidRPr="00D73F7C">
              <w:rPr>
                <w:rFonts w:ascii="Times New Roman" w:hAnsi="Times New Roman"/>
                <w:sz w:val="24"/>
                <w:szCs w:val="24"/>
              </w:rPr>
              <w:t xml:space="preserve"> (‘UTP Directive’)</w:t>
            </w:r>
            <w:r w:rsidRPr="00D73F7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Pr="00D73F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53CACF" w14:textId="2EB44C51" w:rsidR="00C905D1" w:rsidRDefault="00C905D1" w:rsidP="0026722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Taking into </w:t>
            </w:r>
            <w:r w:rsidR="0075154E">
              <w:rPr>
                <w:rFonts w:ascii="Times New Roman" w:hAnsi="Times New Roman"/>
                <w:sz w:val="24"/>
                <w:szCs w:val="24"/>
              </w:rPr>
              <w:t>account</w:t>
            </w:r>
            <w:proofErr w:type="gramEnd"/>
            <w:r w:rsidR="0075154E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="00EE7A02">
              <w:rPr>
                <w:rFonts w:ascii="Times New Roman" w:hAnsi="Times New Roman"/>
                <w:sz w:val="24"/>
                <w:szCs w:val="24"/>
              </w:rPr>
              <w:t xml:space="preserve"> lack </w:t>
            </w:r>
            <w:r w:rsidR="00E54FA9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EE7A02">
              <w:rPr>
                <w:rFonts w:ascii="Times New Roman" w:hAnsi="Times New Roman"/>
                <w:sz w:val="24"/>
                <w:szCs w:val="24"/>
              </w:rPr>
              <w:t>harmonis</w:t>
            </w:r>
            <w:r w:rsidR="00E54FA9">
              <w:rPr>
                <w:rFonts w:ascii="Times New Roman" w:hAnsi="Times New Roman"/>
                <w:sz w:val="24"/>
                <w:szCs w:val="24"/>
              </w:rPr>
              <w:t>ed national laws in the area of the UTP Directive, as highlighted by the EESC</w:t>
            </w:r>
            <w:r>
              <w:rPr>
                <w:rFonts w:ascii="Times New Roman" w:hAnsi="Times New Roman"/>
                <w:sz w:val="24"/>
                <w:szCs w:val="24"/>
              </w:rPr>
              <w:t>, t</w:t>
            </w:r>
            <w:r w:rsidR="00FB39B4">
              <w:rPr>
                <w:rFonts w:ascii="Times New Roman" w:hAnsi="Times New Roman"/>
                <w:sz w:val="24"/>
                <w:szCs w:val="24"/>
              </w:rPr>
              <w:t>he proposed Regulation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9B4">
              <w:rPr>
                <w:rFonts w:ascii="Times New Roman" w:hAnsi="Times New Roman"/>
                <w:sz w:val="24"/>
                <w:szCs w:val="24"/>
              </w:rPr>
              <w:t xml:space="preserve">seeks to </w:t>
            </w:r>
            <w:r w:rsidR="00FB39B4" w:rsidRPr="00FB39B4">
              <w:rPr>
                <w:rFonts w:ascii="Times New Roman" w:hAnsi="Times New Roman"/>
                <w:sz w:val="24"/>
                <w:szCs w:val="24"/>
              </w:rPr>
              <w:t xml:space="preserve">apply only to cooperation between </w:t>
            </w:r>
            <w:r w:rsidR="00FB39B4">
              <w:rPr>
                <w:rFonts w:ascii="Times New Roman" w:hAnsi="Times New Roman"/>
                <w:sz w:val="24"/>
                <w:szCs w:val="24"/>
              </w:rPr>
              <w:t xml:space="preserve">national enforcement </w:t>
            </w:r>
            <w:r w:rsidR="00FB39B4" w:rsidRPr="00FB39B4">
              <w:rPr>
                <w:rFonts w:ascii="Times New Roman" w:hAnsi="Times New Roman"/>
                <w:sz w:val="24"/>
                <w:szCs w:val="24"/>
              </w:rPr>
              <w:t>authorities responsible for enforcing legislation on unfair trading practices and thresholds harmonised at EU level under the UTP Directive</w:t>
            </w:r>
            <w:r w:rsidR="00FB39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29FDB4" w14:textId="348FA904" w:rsidR="00B42C9C" w:rsidRPr="00B42C9C" w:rsidRDefault="00B42C9C" w:rsidP="0026722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Based on this, the current proposal allows for cooperation based on:</w:t>
            </w:r>
          </w:p>
          <w:p w14:paraId="10F6A827" w14:textId="4B78FEC9" w:rsidR="00B42C9C" w:rsidRPr="00B42C9C" w:rsidRDefault="00B42C9C" w:rsidP="00D73F7C">
            <w:pPr>
              <w:widowControl w:val="0"/>
              <w:spacing w:before="120" w:after="120"/>
              <w:ind w:lef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C9C">
              <w:rPr>
                <w:rFonts w:ascii="Times New Roman" w:hAnsi="Times New Roman"/>
                <w:sz w:val="24"/>
                <w:szCs w:val="24"/>
              </w:rPr>
              <w:t>a)</w:t>
            </w:r>
            <w:r w:rsidRPr="00B42C9C">
              <w:rPr>
                <w:rFonts w:ascii="Times New Roman" w:hAnsi="Times New Roman"/>
                <w:sz w:val="24"/>
                <w:szCs w:val="24"/>
              </w:rPr>
              <w:tab/>
              <w:t>UTPs listed in Article 3(1) and (2) of the UTP Directive; and</w:t>
            </w:r>
          </w:p>
          <w:p w14:paraId="5A0A770C" w14:textId="7BD33A82" w:rsidR="00FB39B4" w:rsidRPr="00316560" w:rsidRDefault="00B42C9C" w:rsidP="00D73F7C">
            <w:pPr>
              <w:widowControl w:val="0"/>
              <w:spacing w:before="120" w:after="120"/>
              <w:ind w:lef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C9C">
              <w:rPr>
                <w:rFonts w:ascii="Times New Roman" w:hAnsi="Times New Roman"/>
                <w:sz w:val="24"/>
                <w:szCs w:val="24"/>
              </w:rPr>
              <w:t>b)</w:t>
            </w:r>
            <w:r w:rsidRPr="00B42C9C">
              <w:rPr>
                <w:rFonts w:ascii="Times New Roman" w:hAnsi="Times New Roman"/>
                <w:sz w:val="24"/>
                <w:szCs w:val="24"/>
              </w:rPr>
              <w:tab/>
              <w:t xml:space="preserve">turnover thresholds laid down in Article 1 of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UTP </w:t>
            </w:r>
            <w:r w:rsidRPr="00B42C9C">
              <w:rPr>
                <w:rFonts w:ascii="Times New Roman" w:hAnsi="Times New Roman"/>
                <w:sz w:val="24"/>
                <w:szCs w:val="24"/>
              </w:rPr>
              <w:t>Directive.</w:t>
            </w:r>
          </w:p>
          <w:p w14:paraId="097080B3" w14:textId="55E08F30" w:rsidR="00316560" w:rsidRPr="00316560" w:rsidRDefault="00472782" w:rsidP="0026722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316560" w:rsidRPr="00316560">
              <w:rPr>
                <w:rFonts w:ascii="Times New Roman" w:hAnsi="Times New Roman"/>
                <w:sz w:val="24"/>
                <w:szCs w:val="24"/>
              </w:rPr>
              <w:t>tricter national rules</w:t>
            </w:r>
            <w:r w:rsidR="00FB3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7D41">
              <w:rPr>
                <w:rFonts w:ascii="Times New Roman" w:hAnsi="Times New Roman"/>
                <w:sz w:val="24"/>
                <w:szCs w:val="24"/>
              </w:rPr>
              <w:t>going beyond the minimum harmonisation objective of the UTP Directive</w:t>
            </w:r>
            <w:r w:rsidR="00316560" w:rsidRPr="00316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4FA9">
              <w:rPr>
                <w:rFonts w:ascii="Times New Roman" w:hAnsi="Times New Roman"/>
                <w:sz w:val="24"/>
                <w:szCs w:val="24"/>
              </w:rPr>
              <w:t xml:space="preserve">are not </w:t>
            </w:r>
            <w:r w:rsidR="00316560" w:rsidRPr="00316560">
              <w:rPr>
                <w:rFonts w:ascii="Times New Roman" w:hAnsi="Times New Roman"/>
                <w:sz w:val="24"/>
                <w:szCs w:val="24"/>
              </w:rPr>
              <w:t xml:space="preserve">subject to </w:t>
            </w:r>
            <w:r w:rsidR="006A7763">
              <w:rPr>
                <w:rFonts w:ascii="Times New Roman" w:hAnsi="Times New Roman"/>
                <w:sz w:val="24"/>
                <w:szCs w:val="24"/>
              </w:rPr>
              <w:t xml:space="preserve">the possibility of </w:t>
            </w:r>
            <w:r w:rsidR="00E54FA9">
              <w:rPr>
                <w:rFonts w:ascii="Times New Roman" w:hAnsi="Times New Roman"/>
                <w:sz w:val="24"/>
                <w:szCs w:val="24"/>
              </w:rPr>
              <w:t>requesting</w:t>
            </w:r>
            <w:r w:rsidR="00316560" w:rsidRPr="00316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560">
              <w:rPr>
                <w:rFonts w:ascii="Times New Roman" w:hAnsi="Times New Roman"/>
                <w:sz w:val="24"/>
                <w:szCs w:val="24"/>
              </w:rPr>
              <w:t xml:space="preserve">mutual assistance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="00E54FA9">
              <w:rPr>
                <w:rFonts w:ascii="Times New Roman" w:hAnsi="Times New Roman"/>
                <w:sz w:val="24"/>
                <w:szCs w:val="24"/>
              </w:rPr>
              <w:t>enforc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="00E54FA9">
              <w:rPr>
                <w:rFonts w:ascii="Times New Roman" w:hAnsi="Times New Roman"/>
                <w:sz w:val="24"/>
                <w:szCs w:val="24"/>
              </w:rPr>
              <w:t xml:space="preserve"> the prohibition of UTP </w:t>
            </w:r>
            <w:r w:rsidR="00316560">
              <w:rPr>
                <w:rFonts w:ascii="Times New Roman" w:hAnsi="Times New Roman"/>
                <w:sz w:val="24"/>
                <w:szCs w:val="24"/>
              </w:rPr>
              <w:t>under the proposed Regulation</w:t>
            </w:r>
            <w:r w:rsidR="00577D41">
              <w:rPr>
                <w:rFonts w:ascii="Times New Roman" w:hAnsi="Times New Roman"/>
                <w:sz w:val="24"/>
                <w:szCs w:val="24"/>
              </w:rPr>
              <w:t xml:space="preserve">. The proposed Regulation </w:t>
            </w:r>
            <w:r w:rsidR="00F47BF0">
              <w:rPr>
                <w:rFonts w:ascii="Times New Roman" w:hAnsi="Times New Roman"/>
                <w:sz w:val="24"/>
                <w:szCs w:val="24"/>
              </w:rPr>
              <w:t xml:space="preserve">only </w:t>
            </w:r>
            <w:r w:rsidR="00577D41">
              <w:rPr>
                <w:rFonts w:ascii="Times New Roman" w:hAnsi="Times New Roman"/>
                <w:sz w:val="24"/>
                <w:szCs w:val="24"/>
              </w:rPr>
              <w:t>la</w:t>
            </w:r>
            <w:r w:rsidR="00E54FA9">
              <w:rPr>
                <w:rFonts w:ascii="Times New Roman" w:hAnsi="Times New Roman"/>
                <w:sz w:val="24"/>
                <w:szCs w:val="24"/>
              </w:rPr>
              <w:t>ys</w:t>
            </w:r>
            <w:r w:rsidR="00577D41">
              <w:rPr>
                <w:rFonts w:ascii="Times New Roman" w:hAnsi="Times New Roman"/>
                <w:sz w:val="24"/>
                <w:szCs w:val="24"/>
              </w:rPr>
              <w:t xml:space="preserve"> down the </w:t>
            </w:r>
            <w:r w:rsidR="00316560">
              <w:rPr>
                <w:rFonts w:ascii="Times New Roman" w:hAnsi="Times New Roman"/>
                <w:sz w:val="24"/>
                <w:szCs w:val="24"/>
              </w:rPr>
              <w:t xml:space="preserve">possibility for Member States to allow for </w:t>
            </w:r>
            <w:r w:rsidR="0075154E">
              <w:rPr>
                <w:rFonts w:ascii="Times New Roman" w:hAnsi="Times New Roman"/>
                <w:sz w:val="24"/>
                <w:szCs w:val="24"/>
              </w:rPr>
              <w:t>requests for</w:t>
            </w:r>
            <w:r w:rsidR="00F47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763">
              <w:rPr>
                <w:rFonts w:ascii="Times New Roman" w:hAnsi="Times New Roman"/>
                <w:sz w:val="24"/>
                <w:szCs w:val="24"/>
              </w:rPr>
              <w:t xml:space="preserve">exchanges of information followed by </w:t>
            </w:r>
            <w:r w:rsidR="00316560">
              <w:rPr>
                <w:rFonts w:ascii="Times New Roman" w:hAnsi="Times New Roman"/>
                <w:sz w:val="24"/>
                <w:szCs w:val="24"/>
              </w:rPr>
              <w:t xml:space="preserve">an explicit </w:t>
            </w:r>
            <w:r w:rsidR="006A7763">
              <w:rPr>
                <w:rFonts w:ascii="Times New Roman" w:hAnsi="Times New Roman"/>
                <w:sz w:val="24"/>
                <w:szCs w:val="24"/>
              </w:rPr>
              <w:t>right enshrined in the proposal,</w:t>
            </w:r>
            <w:r w:rsidR="00316560">
              <w:rPr>
                <w:rFonts w:ascii="Times New Roman" w:hAnsi="Times New Roman"/>
                <w:sz w:val="24"/>
                <w:szCs w:val="24"/>
              </w:rPr>
              <w:t xml:space="preserve"> for enforcement authorities to refuse to </w:t>
            </w:r>
            <w:r w:rsidR="00F47BF0">
              <w:rPr>
                <w:rFonts w:ascii="Times New Roman" w:hAnsi="Times New Roman"/>
                <w:sz w:val="24"/>
                <w:szCs w:val="24"/>
              </w:rPr>
              <w:t>reply</w:t>
            </w:r>
            <w:r w:rsidR="003165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233D0B" w14:textId="5AC19672" w:rsidR="00734613" w:rsidRDefault="00316560" w:rsidP="00267223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provisions of the proposed Regulation a</w:t>
            </w:r>
            <w:r w:rsidR="00577D4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 to ensure cooperation </w:t>
            </w:r>
            <w:r w:rsidR="00472782">
              <w:rPr>
                <w:rFonts w:ascii="Times New Roman" w:hAnsi="Times New Roman"/>
                <w:sz w:val="24"/>
                <w:szCs w:val="24"/>
              </w:rPr>
              <w:t xml:space="preserve">between </w:t>
            </w:r>
            <w:r>
              <w:rPr>
                <w:rFonts w:ascii="Times New Roman" w:hAnsi="Times New Roman"/>
                <w:sz w:val="24"/>
                <w:szCs w:val="24"/>
              </w:rPr>
              <w:t>national enforcement authorities in the</w:t>
            </w:r>
            <w:r w:rsidR="00F47BF0">
              <w:rPr>
                <w:rFonts w:ascii="Times New Roman" w:hAnsi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administrative</w:t>
            </w:r>
            <w:r w:rsidR="00F176F6">
              <w:rPr>
                <w:rFonts w:ascii="Times New Roman" w:hAnsi="Times New Roman"/>
                <w:sz w:val="24"/>
                <w:szCs w:val="24"/>
              </w:rPr>
              <w:t xml:space="preserve"> and procedural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32F">
              <w:rPr>
                <w:rFonts w:ascii="Times New Roman" w:hAnsi="Times New Roman"/>
                <w:sz w:val="24"/>
                <w:szCs w:val="24"/>
              </w:rPr>
              <w:t>setting</w:t>
            </w:r>
            <w:r w:rsidR="00F47BF0">
              <w:rPr>
                <w:rFonts w:ascii="Times New Roman" w:hAnsi="Times New Roman"/>
                <w:sz w:val="24"/>
                <w:szCs w:val="24"/>
              </w:rPr>
              <w:t>s</w:t>
            </w:r>
            <w:r w:rsidR="00A16D7D">
              <w:rPr>
                <w:rFonts w:ascii="Times New Roman" w:hAnsi="Times New Roman"/>
                <w:sz w:val="24"/>
                <w:szCs w:val="24"/>
              </w:rPr>
              <w:t>. 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</w:t>
            </w:r>
            <w:r w:rsidR="00F47BF0">
              <w:rPr>
                <w:rFonts w:ascii="Times New Roman" w:hAnsi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6560">
              <w:rPr>
                <w:rFonts w:ascii="Times New Roman" w:hAnsi="Times New Roman"/>
                <w:sz w:val="24"/>
                <w:szCs w:val="24"/>
              </w:rPr>
              <w:t xml:space="preserve">not </w:t>
            </w:r>
            <w:r w:rsidR="00F47BF0">
              <w:rPr>
                <w:rFonts w:ascii="Times New Roman" w:hAnsi="Times New Roman"/>
                <w:sz w:val="24"/>
                <w:szCs w:val="24"/>
              </w:rPr>
              <w:t xml:space="preserve">regulate </w:t>
            </w:r>
            <w:r w:rsidR="00A16D7D">
              <w:rPr>
                <w:rFonts w:ascii="Times New Roman" w:hAnsi="Times New Roman"/>
                <w:sz w:val="24"/>
                <w:szCs w:val="24"/>
              </w:rPr>
              <w:t xml:space="preserve">applicable </w:t>
            </w:r>
            <w:r w:rsidR="0075154E">
              <w:rPr>
                <w:rFonts w:ascii="Times New Roman" w:hAnsi="Times New Roman"/>
                <w:sz w:val="24"/>
                <w:szCs w:val="24"/>
              </w:rPr>
              <w:t>law,</w:t>
            </w:r>
            <w:r w:rsidR="00A16D7D">
              <w:rPr>
                <w:rFonts w:ascii="Times New Roman" w:hAnsi="Times New Roman"/>
                <w:sz w:val="24"/>
                <w:szCs w:val="24"/>
              </w:rPr>
              <w:t xml:space="preserve"> nor does it interfere with rules on </w:t>
            </w:r>
            <w:r w:rsidR="00982154">
              <w:rPr>
                <w:rFonts w:ascii="Times New Roman" w:hAnsi="Times New Roman"/>
                <w:sz w:val="24"/>
                <w:szCs w:val="24"/>
              </w:rPr>
              <w:t xml:space="preserve">private international </w:t>
            </w:r>
            <w:r w:rsidR="0075154E">
              <w:rPr>
                <w:rFonts w:ascii="Times New Roman" w:hAnsi="Times New Roman"/>
                <w:sz w:val="24"/>
                <w:szCs w:val="24"/>
              </w:rPr>
              <w:t>law.</w:t>
            </w:r>
          </w:p>
          <w:p w14:paraId="30D14481" w14:textId="521174EF" w:rsidR="00734613" w:rsidRDefault="001E132F" w:rsidP="00267223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Commission </w:t>
            </w:r>
            <w:r w:rsidR="009671E4">
              <w:rPr>
                <w:rFonts w:ascii="Times New Roman" w:hAnsi="Times New Roman"/>
                <w:sz w:val="24"/>
                <w:szCs w:val="24"/>
              </w:rPr>
              <w:t>would like to stress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rules on </w:t>
            </w:r>
            <w:r w:rsidRPr="001E132F">
              <w:rPr>
                <w:rFonts w:ascii="Times New Roman" w:hAnsi="Times New Roman"/>
                <w:sz w:val="24"/>
                <w:szCs w:val="24"/>
              </w:rPr>
              <w:t xml:space="preserve">cross-border enforcement and coordination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the proposal do not reinforce the </w:t>
            </w:r>
            <w:r w:rsidR="009671E4">
              <w:rPr>
                <w:rFonts w:ascii="Times New Roman" w:hAnsi="Times New Roman"/>
                <w:sz w:val="24"/>
                <w:szCs w:val="24"/>
              </w:rPr>
              <w:t xml:space="preserve">extra-territorial </w:t>
            </w:r>
            <w:r>
              <w:rPr>
                <w:rFonts w:ascii="Times New Roman" w:hAnsi="Times New Roman"/>
                <w:sz w:val="24"/>
                <w:szCs w:val="24"/>
              </w:rPr>
              <w:t>application of natio</w:t>
            </w:r>
            <w:r w:rsidRPr="001E132F">
              <w:rPr>
                <w:rFonts w:ascii="Times New Roman" w:hAnsi="Times New Roman"/>
                <w:sz w:val="24"/>
                <w:szCs w:val="24"/>
              </w:rPr>
              <w:t>nal law</w:t>
            </w:r>
            <w:r w:rsidR="009671E4">
              <w:rPr>
                <w:rFonts w:ascii="Times New Roman" w:hAnsi="Times New Roman"/>
                <w:sz w:val="24"/>
                <w:szCs w:val="24"/>
              </w:rPr>
              <w:t>s</w:t>
            </w:r>
            <w:r w:rsidR="00A16D7D">
              <w:rPr>
                <w:rFonts w:ascii="Times New Roman" w:hAnsi="Times New Roman"/>
                <w:sz w:val="24"/>
                <w:szCs w:val="24"/>
              </w:rPr>
              <w:t xml:space="preserve"> that go beyond the minimum harmonisation of the Directive. It also does not legitimise any national law that go</w:t>
            </w:r>
            <w:r w:rsidR="00472782">
              <w:rPr>
                <w:rFonts w:ascii="Times New Roman" w:hAnsi="Times New Roman"/>
                <w:sz w:val="24"/>
                <w:szCs w:val="24"/>
              </w:rPr>
              <w:t>es</w:t>
            </w:r>
            <w:r w:rsidR="00A16D7D">
              <w:rPr>
                <w:rFonts w:ascii="Times New Roman" w:hAnsi="Times New Roman"/>
                <w:sz w:val="24"/>
                <w:szCs w:val="24"/>
              </w:rPr>
              <w:t xml:space="preserve"> beyond the minimum harmonisation of the Directive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6417F">
              <w:rPr>
                <w:rFonts w:ascii="Times New Roman" w:hAnsi="Times New Roman"/>
                <w:sz w:val="24"/>
                <w:szCs w:val="24"/>
              </w:rPr>
              <w:t xml:space="preserve"> Such national rules need to be compatible with rules on the functioning of the internal market, as provided for in Article 9 of the UTP Directive.</w:t>
            </w:r>
          </w:p>
        </w:tc>
      </w:tr>
    </w:tbl>
    <w:p w14:paraId="7130C201" w14:textId="77777777" w:rsidR="00751910" w:rsidRPr="002568A6" w:rsidRDefault="00751910" w:rsidP="00C94E13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sectPr w:rsidR="00751910" w:rsidRPr="0025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991A" w14:textId="77777777" w:rsidR="00FF63EA" w:rsidRDefault="00FF63EA" w:rsidP="00FF63EA">
      <w:pPr>
        <w:spacing w:after="0" w:line="240" w:lineRule="auto"/>
      </w:pPr>
      <w:r>
        <w:separator/>
      </w:r>
    </w:p>
  </w:endnote>
  <w:endnote w:type="continuationSeparator" w:id="0">
    <w:p w14:paraId="4F20E001" w14:textId="77777777" w:rsidR="00FF63EA" w:rsidRDefault="00FF63EA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41E3" w14:textId="77777777" w:rsidR="00FF63EA" w:rsidRDefault="00FF63EA" w:rsidP="00FF63EA">
      <w:pPr>
        <w:spacing w:after="0" w:line="240" w:lineRule="auto"/>
      </w:pPr>
      <w:r>
        <w:separator/>
      </w:r>
    </w:p>
  </w:footnote>
  <w:footnote w:type="continuationSeparator" w:id="0">
    <w:p w14:paraId="2E5903DE" w14:textId="77777777" w:rsidR="00FF63EA" w:rsidRDefault="00FF63EA" w:rsidP="00FF63EA">
      <w:pPr>
        <w:spacing w:after="0" w:line="240" w:lineRule="auto"/>
      </w:pPr>
      <w:r>
        <w:continuationSeparator/>
      </w:r>
    </w:p>
  </w:footnote>
  <w:footnote w:id="1">
    <w:p w14:paraId="3E13C064" w14:textId="69369D7F" w:rsidR="00C905D1" w:rsidRPr="00267223" w:rsidRDefault="00C905D1" w:rsidP="00C94E13">
      <w:pPr>
        <w:pStyle w:val="FootnoteText"/>
        <w:widowControl w:val="0"/>
        <w:spacing w:after="0" w:line="240" w:lineRule="auto"/>
        <w:ind w:left="-141" w:right="-425" w:hanging="284"/>
        <w:jc w:val="both"/>
        <w:rPr>
          <w:rFonts w:ascii="Times New Roman" w:hAnsi="Times New Roman"/>
          <w:lang w:val="en-IE"/>
        </w:rPr>
      </w:pPr>
      <w:r w:rsidRPr="00267223">
        <w:rPr>
          <w:rStyle w:val="FootnoteReference"/>
          <w:rFonts w:ascii="Times New Roman" w:hAnsi="Times New Roman"/>
        </w:rPr>
        <w:footnoteRef/>
      </w:r>
      <w:r w:rsidRPr="00267223">
        <w:rPr>
          <w:rFonts w:ascii="Times New Roman" w:hAnsi="Times New Roman"/>
        </w:rPr>
        <w:t xml:space="preserve"> </w:t>
      </w:r>
      <w:r w:rsidR="00EF4065" w:rsidRPr="00267223">
        <w:rPr>
          <w:rFonts w:ascii="Times New Roman" w:hAnsi="Times New Roman"/>
        </w:rPr>
        <w:tab/>
      </w:r>
      <w:r w:rsidRPr="00267223">
        <w:rPr>
          <w:rFonts w:ascii="Times New Roman" w:hAnsi="Times New Roman"/>
        </w:rPr>
        <w:t xml:space="preserve">Proposal for a REGULATION OF THE EUROPEAN PARLIAMENT AND OF THE COUNCIL on cooperation among enforcement authorities responsible for the enforcement of Directive (EU) 2019/633 on unfair trading practices in business-to-business relationships in the agricultural and food supply chain, COM/2024/576 final </w:t>
      </w:r>
      <w:r w:rsidR="00D73F7C">
        <w:rPr>
          <w:rFonts w:ascii="Times New Roman" w:hAnsi="Times New Roman"/>
        </w:rPr>
        <w:t>(</w:t>
      </w:r>
      <w:hyperlink r:id="rId1" w:history="1">
        <w:r w:rsidRPr="00267223">
          <w:rPr>
            <w:rStyle w:val="Hyperlink"/>
            <w:rFonts w:ascii="Times New Roman" w:hAnsi="Times New Roman"/>
          </w:rPr>
          <w:t>EUR-Lex - 52024PC0576 - EN - EUR-Lex</w:t>
        </w:r>
      </w:hyperlink>
      <w:r w:rsidR="00D73F7C">
        <w:rPr>
          <w:rStyle w:val="Hyperlink"/>
          <w:rFonts w:ascii="Times New Roman" w:hAnsi="Times New Roman"/>
        </w:rPr>
        <w:t>).</w:t>
      </w:r>
    </w:p>
  </w:footnote>
  <w:footnote w:id="2">
    <w:p w14:paraId="5CA5F076" w14:textId="6F45081F" w:rsidR="00C905D1" w:rsidRPr="00267223" w:rsidRDefault="00C905D1" w:rsidP="00C94E13">
      <w:pPr>
        <w:pStyle w:val="FootnoteText"/>
        <w:widowControl w:val="0"/>
        <w:spacing w:after="0" w:line="240" w:lineRule="auto"/>
        <w:ind w:left="-141" w:right="-425" w:hanging="284"/>
        <w:jc w:val="both"/>
        <w:rPr>
          <w:rFonts w:ascii="Times New Roman" w:hAnsi="Times New Roman"/>
        </w:rPr>
      </w:pPr>
      <w:r w:rsidRPr="00267223">
        <w:rPr>
          <w:rStyle w:val="FootnoteReference"/>
          <w:rFonts w:ascii="Times New Roman" w:hAnsi="Times New Roman"/>
        </w:rPr>
        <w:footnoteRef/>
      </w:r>
      <w:r w:rsidRPr="00267223">
        <w:rPr>
          <w:rFonts w:ascii="Times New Roman" w:hAnsi="Times New Roman"/>
        </w:rPr>
        <w:t xml:space="preserve"> </w:t>
      </w:r>
      <w:r w:rsidR="00EF4065" w:rsidRPr="00267223">
        <w:rPr>
          <w:rFonts w:ascii="Times New Roman" w:hAnsi="Times New Roman"/>
        </w:rPr>
        <w:tab/>
      </w:r>
      <w:r w:rsidRPr="00267223">
        <w:rPr>
          <w:rFonts w:ascii="Times New Roman" w:hAnsi="Times New Roman"/>
        </w:rPr>
        <w:t xml:space="preserve">Directive (EU) 2019/633 of the European Parliament and of the Council of 17 April 2019 on unfair trading practices in business-to-business relationships in the agricultural and food supply chain, OJ L 111, 25.4.2019, p. 59–72 </w:t>
      </w:r>
      <w:r w:rsidR="00D73F7C">
        <w:rPr>
          <w:rFonts w:ascii="Times New Roman" w:hAnsi="Times New Roman"/>
        </w:rPr>
        <w:t>(</w:t>
      </w:r>
      <w:hyperlink r:id="rId2" w:history="1">
        <w:r w:rsidRPr="00267223">
          <w:rPr>
            <w:rStyle w:val="Hyperlink"/>
            <w:rFonts w:ascii="Times New Roman" w:hAnsi="Times New Roman"/>
          </w:rPr>
          <w:t>Directive - 2019/633 - EN - EUR-Lex</w:t>
        </w:r>
      </w:hyperlink>
      <w:r w:rsidR="00D73F7C">
        <w:rPr>
          <w:rStyle w:val="Hyperlink"/>
          <w:rFonts w:ascii="Times New Roman" w:hAnsi="Times New Roman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7289AF8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bCs w:val="0"/>
        <w:i w:val="0"/>
        <w:iCs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 w16cid:durableId="41386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12A37"/>
    <w:rsid w:val="00046B15"/>
    <w:rsid w:val="00050DC7"/>
    <w:rsid w:val="00076109"/>
    <w:rsid w:val="00077C4F"/>
    <w:rsid w:val="0009600A"/>
    <w:rsid w:val="000A209E"/>
    <w:rsid w:val="000D12D4"/>
    <w:rsid w:val="000F5FD8"/>
    <w:rsid w:val="001167C0"/>
    <w:rsid w:val="00122E40"/>
    <w:rsid w:val="00135C2A"/>
    <w:rsid w:val="001728C3"/>
    <w:rsid w:val="001B0E0B"/>
    <w:rsid w:val="001D2EAC"/>
    <w:rsid w:val="001E132F"/>
    <w:rsid w:val="001F2EC6"/>
    <w:rsid w:val="001F65D0"/>
    <w:rsid w:val="00201AFA"/>
    <w:rsid w:val="00217E59"/>
    <w:rsid w:val="002568A6"/>
    <w:rsid w:val="0026417F"/>
    <w:rsid w:val="00267223"/>
    <w:rsid w:val="002F03FA"/>
    <w:rsid w:val="003004D2"/>
    <w:rsid w:val="003029B9"/>
    <w:rsid w:val="00316560"/>
    <w:rsid w:val="003349A3"/>
    <w:rsid w:val="00377967"/>
    <w:rsid w:val="0038121C"/>
    <w:rsid w:val="00386143"/>
    <w:rsid w:val="003B233B"/>
    <w:rsid w:val="003B58DC"/>
    <w:rsid w:val="003E350A"/>
    <w:rsid w:val="003F686E"/>
    <w:rsid w:val="00400E53"/>
    <w:rsid w:val="0041041D"/>
    <w:rsid w:val="004219CF"/>
    <w:rsid w:val="00442552"/>
    <w:rsid w:val="00446111"/>
    <w:rsid w:val="00455A1C"/>
    <w:rsid w:val="00461CAE"/>
    <w:rsid w:val="004675B5"/>
    <w:rsid w:val="00472782"/>
    <w:rsid w:val="00473C28"/>
    <w:rsid w:val="004770D6"/>
    <w:rsid w:val="004F63F1"/>
    <w:rsid w:val="004F651E"/>
    <w:rsid w:val="0052345B"/>
    <w:rsid w:val="0052596B"/>
    <w:rsid w:val="0054122C"/>
    <w:rsid w:val="00554D8D"/>
    <w:rsid w:val="00573835"/>
    <w:rsid w:val="00577D41"/>
    <w:rsid w:val="00581306"/>
    <w:rsid w:val="005C3105"/>
    <w:rsid w:val="00602A22"/>
    <w:rsid w:val="00692C2F"/>
    <w:rsid w:val="00695797"/>
    <w:rsid w:val="00695A27"/>
    <w:rsid w:val="00696A5E"/>
    <w:rsid w:val="006A7763"/>
    <w:rsid w:val="006B30AC"/>
    <w:rsid w:val="006B3B69"/>
    <w:rsid w:val="00700FD9"/>
    <w:rsid w:val="00734613"/>
    <w:rsid w:val="00736CEE"/>
    <w:rsid w:val="0075022C"/>
    <w:rsid w:val="0075154E"/>
    <w:rsid w:val="00751910"/>
    <w:rsid w:val="00751E60"/>
    <w:rsid w:val="007547B5"/>
    <w:rsid w:val="00765940"/>
    <w:rsid w:val="00784E2E"/>
    <w:rsid w:val="00790DCF"/>
    <w:rsid w:val="00794D9A"/>
    <w:rsid w:val="00795A9E"/>
    <w:rsid w:val="007A606D"/>
    <w:rsid w:val="007C2214"/>
    <w:rsid w:val="00807B48"/>
    <w:rsid w:val="008135CA"/>
    <w:rsid w:val="0081584F"/>
    <w:rsid w:val="008703BF"/>
    <w:rsid w:val="0088261A"/>
    <w:rsid w:val="008925CE"/>
    <w:rsid w:val="008936F1"/>
    <w:rsid w:val="008C4D41"/>
    <w:rsid w:val="008F6D84"/>
    <w:rsid w:val="009072BF"/>
    <w:rsid w:val="00921862"/>
    <w:rsid w:val="00953E37"/>
    <w:rsid w:val="009614E9"/>
    <w:rsid w:val="009671E4"/>
    <w:rsid w:val="00981F45"/>
    <w:rsid w:val="00982154"/>
    <w:rsid w:val="00994D12"/>
    <w:rsid w:val="009A3E2D"/>
    <w:rsid w:val="009B128B"/>
    <w:rsid w:val="009E5084"/>
    <w:rsid w:val="00A06490"/>
    <w:rsid w:val="00A16D7D"/>
    <w:rsid w:val="00A16F07"/>
    <w:rsid w:val="00A62C7B"/>
    <w:rsid w:val="00A6720A"/>
    <w:rsid w:val="00A7709A"/>
    <w:rsid w:val="00AE1842"/>
    <w:rsid w:val="00AE3C7C"/>
    <w:rsid w:val="00B31306"/>
    <w:rsid w:val="00B337CF"/>
    <w:rsid w:val="00B42814"/>
    <w:rsid w:val="00B42C9C"/>
    <w:rsid w:val="00B83936"/>
    <w:rsid w:val="00B95C62"/>
    <w:rsid w:val="00BD6EB7"/>
    <w:rsid w:val="00C023C0"/>
    <w:rsid w:val="00C54D27"/>
    <w:rsid w:val="00C72E9F"/>
    <w:rsid w:val="00C76EEB"/>
    <w:rsid w:val="00C905D1"/>
    <w:rsid w:val="00C94E13"/>
    <w:rsid w:val="00D01F5A"/>
    <w:rsid w:val="00D15473"/>
    <w:rsid w:val="00D1716E"/>
    <w:rsid w:val="00D60F38"/>
    <w:rsid w:val="00D64E05"/>
    <w:rsid w:val="00D73F7C"/>
    <w:rsid w:val="00D92FD3"/>
    <w:rsid w:val="00DA3B6E"/>
    <w:rsid w:val="00DB7581"/>
    <w:rsid w:val="00DC70C1"/>
    <w:rsid w:val="00E1237C"/>
    <w:rsid w:val="00E27520"/>
    <w:rsid w:val="00E54FA9"/>
    <w:rsid w:val="00E904C8"/>
    <w:rsid w:val="00EA1BBF"/>
    <w:rsid w:val="00EB29A9"/>
    <w:rsid w:val="00EB77D2"/>
    <w:rsid w:val="00EE7A02"/>
    <w:rsid w:val="00EF4065"/>
    <w:rsid w:val="00F00C35"/>
    <w:rsid w:val="00F176F6"/>
    <w:rsid w:val="00F316C8"/>
    <w:rsid w:val="00F47BF0"/>
    <w:rsid w:val="00F609AB"/>
    <w:rsid w:val="00F632DE"/>
    <w:rsid w:val="00F735E4"/>
    <w:rsid w:val="00FB39B4"/>
    <w:rsid w:val="00FB7834"/>
    <w:rsid w:val="00FD4B6A"/>
    <w:rsid w:val="00FD4BC7"/>
    <w:rsid w:val="00FF03A8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6EDBEE9"/>
  <w15:chartTrackingRefBased/>
  <w15:docId w15:val="{8250BCC8-4D0F-43C9-A9FB-5B735BFF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05D1"/>
    <w:pPr>
      <w:numPr>
        <w:numId w:val="1"/>
      </w:numPr>
      <w:spacing w:after="0" w:line="288" w:lineRule="auto"/>
      <w:ind w:left="567" w:hanging="567"/>
      <w:jc w:val="both"/>
      <w:outlineLvl w:val="0"/>
    </w:pPr>
    <w:rPr>
      <w:rFonts w:ascii="Times New Roman" w:eastAsia="Times New Roman" w:hAnsi="Times New Roman"/>
      <w:kern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C905D1"/>
    <w:pPr>
      <w:numPr>
        <w:ilvl w:val="1"/>
        <w:numId w:val="1"/>
      </w:numPr>
      <w:spacing w:after="0" w:line="288" w:lineRule="auto"/>
      <w:ind w:left="567" w:hanging="567"/>
      <w:jc w:val="both"/>
      <w:outlineLvl w:val="1"/>
    </w:pPr>
    <w:rPr>
      <w:rFonts w:ascii="Times New Roman" w:eastAsia="Times New Roman" w:hAnsi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C905D1"/>
    <w:pPr>
      <w:numPr>
        <w:ilvl w:val="2"/>
        <w:numId w:val="1"/>
      </w:numPr>
      <w:spacing w:after="0" w:line="288" w:lineRule="auto"/>
      <w:ind w:left="567" w:hanging="567"/>
      <w:jc w:val="both"/>
      <w:outlineLvl w:val="2"/>
    </w:pPr>
    <w:rPr>
      <w:rFonts w:ascii="Times New Roman" w:eastAsia="Times New Roman" w:hAnsi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C905D1"/>
    <w:pPr>
      <w:numPr>
        <w:ilvl w:val="3"/>
        <w:numId w:val="1"/>
      </w:numPr>
      <w:spacing w:after="0" w:line="288" w:lineRule="auto"/>
      <w:ind w:left="567" w:hanging="567"/>
      <w:jc w:val="both"/>
      <w:outlineLvl w:val="3"/>
    </w:pPr>
    <w:rPr>
      <w:rFonts w:ascii="Times New Roman" w:eastAsia="Times New Roman" w:hAnsi="Times New Roman"/>
      <w:lang w:val="en-US"/>
    </w:rPr>
  </w:style>
  <w:style w:type="paragraph" w:styleId="Heading5">
    <w:name w:val="heading 5"/>
    <w:basedOn w:val="Normal"/>
    <w:next w:val="Normal"/>
    <w:link w:val="Heading5Char"/>
    <w:qFormat/>
    <w:rsid w:val="00C905D1"/>
    <w:pPr>
      <w:numPr>
        <w:ilvl w:val="4"/>
        <w:numId w:val="1"/>
      </w:numPr>
      <w:spacing w:after="0" w:line="288" w:lineRule="auto"/>
      <w:ind w:left="567" w:hanging="567"/>
      <w:jc w:val="both"/>
      <w:outlineLvl w:val="4"/>
    </w:pPr>
    <w:rPr>
      <w:rFonts w:ascii="Times New Roman" w:eastAsia="Times New Roman" w:hAnsi="Times New Roman"/>
      <w:lang w:val="en-US"/>
    </w:rPr>
  </w:style>
  <w:style w:type="paragraph" w:styleId="Heading6">
    <w:name w:val="heading 6"/>
    <w:basedOn w:val="Normal"/>
    <w:next w:val="Normal"/>
    <w:link w:val="Heading6Char"/>
    <w:qFormat/>
    <w:rsid w:val="00C905D1"/>
    <w:pPr>
      <w:numPr>
        <w:ilvl w:val="5"/>
        <w:numId w:val="1"/>
      </w:numPr>
      <w:spacing w:after="0" w:line="288" w:lineRule="auto"/>
      <w:ind w:left="567" w:hanging="567"/>
      <w:jc w:val="both"/>
      <w:outlineLvl w:val="5"/>
    </w:pPr>
    <w:rPr>
      <w:rFonts w:ascii="Times New Roman" w:eastAsia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C905D1"/>
    <w:pPr>
      <w:numPr>
        <w:ilvl w:val="6"/>
        <w:numId w:val="1"/>
      </w:numPr>
      <w:spacing w:after="0" w:line="288" w:lineRule="auto"/>
      <w:ind w:left="567" w:hanging="567"/>
      <w:jc w:val="both"/>
      <w:outlineLvl w:val="6"/>
    </w:pPr>
    <w:rPr>
      <w:rFonts w:ascii="Times New Roman" w:eastAsia="Times New Roman" w:hAnsi="Times New Roman"/>
      <w:lang w:val="en-US"/>
    </w:rPr>
  </w:style>
  <w:style w:type="paragraph" w:styleId="Heading8">
    <w:name w:val="heading 8"/>
    <w:basedOn w:val="Normal"/>
    <w:next w:val="Normal"/>
    <w:link w:val="Heading8Char"/>
    <w:qFormat/>
    <w:rsid w:val="00C905D1"/>
    <w:pPr>
      <w:numPr>
        <w:ilvl w:val="7"/>
        <w:numId w:val="1"/>
      </w:numPr>
      <w:spacing w:after="0" w:line="288" w:lineRule="auto"/>
      <w:ind w:left="567" w:hanging="567"/>
      <w:jc w:val="both"/>
      <w:outlineLvl w:val="7"/>
    </w:pPr>
    <w:rPr>
      <w:rFonts w:ascii="Times New Roman" w:eastAsia="Times New Roman" w:hAnsi="Times New Roman"/>
      <w:lang w:val="en-US"/>
    </w:rPr>
  </w:style>
  <w:style w:type="paragraph" w:styleId="Heading9">
    <w:name w:val="heading 9"/>
    <w:basedOn w:val="Normal"/>
    <w:next w:val="Normal"/>
    <w:link w:val="Heading9Char"/>
    <w:qFormat/>
    <w:rsid w:val="00C905D1"/>
    <w:pPr>
      <w:numPr>
        <w:ilvl w:val="8"/>
        <w:numId w:val="1"/>
      </w:numPr>
      <w:spacing w:after="0" w:line="288" w:lineRule="auto"/>
      <w:ind w:left="567" w:hanging="567"/>
      <w:jc w:val="both"/>
      <w:outlineLvl w:val="8"/>
    </w:pPr>
    <w:rPr>
      <w:rFonts w:ascii="Times New Roman" w:eastAsia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18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862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218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21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8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905D1"/>
    <w:rPr>
      <w:rFonts w:ascii="Times New Roman" w:eastAsia="Times New Roman" w:hAnsi="Times New Roman"/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905D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905D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905D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905D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905D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C905D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C905D1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C905D1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F176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EN/TXT/?uri=CELEX%3A32019L0633&amp;qid=1747039059355" TargetMode="External"/><Relationship Id="rId1" Type="http://schemas.openxmlformats.org/officeDocument/2006/relationships/hyperlink" Target="https://eur-lex.europa.eu/legal-content/EN/TXT/?uri=CELEX%3A52024PC0576&amp;qid=1747038991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4E66B-EEA0-4E0B-9D34-634DF29E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2372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(SG-EXT)</cp:lastModifiedBy>
  <cp:revision>2</cp:revision>
  <cp:lastPrinted>2013-02-27T18:02:00Z</cp:lastPrinted>
  <dcterms:created xsi:type="dcterms:W3CDTF">2026-01-08T10:53:00Z</dcterms:created>
  <dcterms:modified xsi:type="dcterms:W3CDTF">2026-01-08T10:53:00Z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</Properties>
</file>