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0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403"/>
      </w:tblGrid>
      <w:tr w:rsidR="001C4138" w:rsidRPr="00442552" w14:paraId="7E6372DC" w14:textId="77777777" w:rsidTr="00E479E7">
        <w:trPr>
          <w:jc w:val="center"/>
        </w:trPr>
        <w:tc>
          <w:tcPr>
            <w:tcW w:w="10403" w:type="dxa"/>
          </w:tcPr>
          <w:p w14:paraId="3A4EDC3A" w14:textId="1BE08433" w:rsidR="001C4138" w:rsidRPr="004F6117" w:rsidRDefault="00E255FB" w:rsidP="002E1AF1">
            <w:pPr>
              <w:widowControl w:val="0"/>
              <w:spacing w:before="120" w:after="120"/>
              <w:ind w:left="74"/>
              <w:rPr>
                <w:rFonts w:ascii="Times New Roman" w:hAnsi="Times New Roman"/>
                <w:b/>
                <w:sz w:val="24"/>
                <w:szCs w:val="24"/>
              </w:rPr>
            </w:pPr>
            <w:r w:rsidRPr="00E255FB">
              <w:rPr>
                <w:rFonts w:ascii="Times New Roman" w:hAnsi="Times New Roman"/>
                <w:b/>
                <w:sz w:val="24"/>
                <w:szCs w:val="24"/>
              </w:rPr>
              <w:t>Civil society’s recommendations towards a European Ocean Pact</w:t>
            </w:r>
            <w:r w:rsidR="001C4138" w:rsidRPr="00807B48">
              <w:rPr>
                <w:rFonts w:ascii="Times New Roman" w:hAnsi="Times New Roman"/>
                <w:b/>
                <w:sz w:val="24"/>
                <w:szCs w:val="24"/>
              </w:rPr>
              <w:br/>
            </w:r>
            <w:r w:rsidR="00057C9C">
              <w:rPr>
                <w:rFonts w:ascii="Times New Roman" w:hAnsi="Times New Roman"/>
                <w:b/>
                <w:sz w:val="24"/>
                <w:szCs w:val="24"/>
              </w:rPr>
              <w:t>(</w:t>
            </w:r>
            <w:r>
              <w:rPr>
                <w:rFonts w:ascii="Times New Roman" w:hAnsi="Times New Roman"/>
                <w:b/>
                <w:sz w:val="24"/>
                <w:szCs w:val="24"/>
              </w:rPr>
              <w:t xml:space="preserve">Exploratory </w:t>
            </w:r>
            <w:r w:rsidRPr="00E255FB">
              <w:rPr>
                <w:rFonts w:ascii="Times New Roman" w:hAnsi="Times New Roman"/>
                <w:b/>
                <w:sz w:val="24"/>
                <w:szCs w:val="24"/>
                <w:lang w:val="en-IE"/>
              </w:rPr>
              <w:t>opinion at the request of the European Commission</w:t>
            </w:r>
            <w:r w:rsidR="00057C9C">
              <w:rPr>
                <w:rFonts w:ascii="Times New Roman" w:hAnsi="Times New Roman"/>
                <w:b/>
                <w:sz w:val="24"/>
                <w:szCs w:val="24"/>
                <w:lang w:val="en-IE"/>
              </w:rPr>
              <w:t>)</w:t>
            </w:r>
            <w:r w:rsidR="001C4138" w:rsidRPr="00455A1C">
              <w:rPr>
                <w:rFonts w:ascii="Times New Roman" w:hAnsi="Times New Roman"/>
                <w:b/>
                <w:sz w:val="24"/>
                <w:szCs w:val="24"/>
                <w:lang w:val="en-IE"/>
              </w:rPr>
              <w:br/>
            </w:r>
            <w:r w:rsidRPr="00E255FB">
              <w:rPr>
                <w:rFonts w:ascii="Times New Roman" w:hAnsi="Times New Roman"/>
                <w:b/>
                <w:sz w:val="24"/>
                <w:szCs w:val="24"/>
                <w:lang w:val="en-IE"/>
              </w:rPr>
              <w:t>EESC-2024-04595</w:t>
            </w:r>
            <w:r w:rsidR="00057C9C">
              <w:rPr>
                <w:rFonts w:ascii="Times New Roman" w:hAnsi="Times New Roman"/>
                <w:b/>
                <w:sz w:val="24"/>
                <w:szCs w:val="24"/>
                <w:lang w:val="en-IE"/>
              </w:rPr>
              <w:t xml:space="preserve"> </w:t>
            </w:r>
            <w:r w:rsidR="001C4138" w:rsidRPr="00807B48">
              <w:rPr>
                <w:rFonts w:ascii="Times New Roman" w:hAnsi="Times New Roman"/>
                <w:b/>
                <w:sz w:val="24"/>
                <w:szCs w:val="24"/>
              </w:rPr>
              <w:t xml:space="preserve">‒ </w:t>
            </w:r>
            <w:r w:rsidRPr="00E255FB">
              <w:rPr>
                <w:rFonts w:ascii="Times New Roman" w:hAnsi="Times New Roman"/>
                <w:b/>
                <w:sz w:val="24"/>
                <w:szCs w:val="24"/>
              </w:rPr>
              <w:t>NAT/944</w:t>
            </w:r>
            <w:r w:rsidR="001C4138" w:rsidRPr="00807B48">
              <w:rPr>
                <w:rFonts w:ascii="Times New Roman" w:hAnsi="Times New Roman"/>
                <w:b/>
                <w:sz w:val="24"/>
                <w:szCs w:val="24"/>
              </w:rPr>
              <w:br/>
            </w:r>
            <w:r>
              <w:rPr>
                <w:rFonts w:ascii="Times New Roman" w:hAnsi="Times New Roman"/>
                <w:b/>
                <w:sz w:val="24"/>
                <w:szCs w:val="24"/>
              </w:rPr>
              <w:t>595</w:t>
            </w:r>
            <w:r>
              <w:rPr>
                <w:rFonts w:ascii="Times New Roman" w:hAnsi="Times New Roman"/>
                <w:b/>
                <w:sz w:val="24"/>
                <w:szCs w:val="24"/>
                <w:vertAlign w:val="superscript"/>
              </w:rPr>
              <w:t>th</w:t>
            </w:r>
            <w:r>
              <w:rPr>
                <w:rFonts w:ascii="Times New Roman" w:hAnsi="Times New Roman"/>
                <w:b/>
                <w:sz w:val="24"/>
                <w:szCs w:val="24"/>
              </w:rPr>
              <w:t xml:space="preserve"> </w:t>
            </w:r>
            <w:r w:rsidR="001C4138" w:rsidRPr="00AE3C7C">
              <w:rPr>
                <w:rFonts w:ascii="Times New Roman" w:hAnsi="Times New Roman"/>
                <w:b/>
                <w:sz w:val="24"/>
                <w:szCs w:val="24"/>
              </w:rPr>
              <w:t xml:space="preserve">Plenary Session – </w:t>
            </w:r>
            <w:r>
              <w:rPr>
                <w:rFonts w:ascii="Times New Roman" w:hAnsi="Times New Roman"/>
                <w:b/>
                <w:sz w:val="24"/>
                <w:szCs w:val="24"/>
              </w:rPr>
              <w:t>March 2025</w:t>
            </w:r>
            <w:r w:rsidR="001C4138" w:rsidRPr="00807B48">
              <w:rPr>
                <w:rFonts w:ascii="Times New Roman" w:hAnsi="Times New Roman"/>
                <w:b/>
                <w:sz w:val="24"/>
                <w:szCs w:val="24"/>
              </w:rPr>
              <w:br/>
              <w:t xml:space="preserve">Rapporteur: </w:t>
            </w:r>
            <w:r w:rsidRPr="00E255FB">
              <w:rPr>
                <w:rFonts w:ascii="Times New Roman" w:hAnsi="Times New Roman"/>
                <w:b/>
                <w:sz w:val="24"/>
                <w:szCs w:val="24"/>
              </w:rPr>
              <w:t>Javier GARAT PÉREZ</w:t>
            </w:r>
            <w:r w:rsidR="001C4138">
              <w:rPr>
                <w:rFonts w:ascii="Times New Roman" w:hAnsi="Times New Roman"/>
                <w:b/>
                <w:sz w:val="24"/>
                <w:szCs w:val="24"/>
              </w:rPr>
              <w:t xml:space="preserve"> (</w:t>
            </w:r>
            <w:r>
              <w:rPr>
                <w:rFonts w:ascii="Times New Roman" w:hAnsi="Times New Roman"/>
                <w:b/>
                <w:sz w:val="24"/>
                <w:szCs w:val="24"/>
              </w:rPr>
              <w:t>ES</w:t>
            </w:r>
            <w:r w:rsidR="00057C9C">
              <w:rPr>
                <w:rFonts w:ascii="Times New Roman" w:hAnsi="Times New Roman"/>
                <w:b/>
                <w:sz w:val="24"/>
                <w:szCs w:val="24"/>
              </w:rPr>
              <w:t>-III</w:t>
            </w:r>
            <w:r>
              <w:rPr>
                <w:rFonts w:ascii="Times New Roman" w:hAnsi="Times New Roman"/>
                <w:b/>
                <w:sz w:val="24"/>
                <w:szCs w:val="24"/>
              </w:rPr>
              <w:t>)</w:t>
            </w:r>
            <w:r w:rsidR="001C4138" w:rsidRPr="00807B48">
              <w:rPr>
                <w:rFonts w:ascii="Times New Roman" w:hAnsi="Times New Roman"/>
                <w:b/>
                <w:sz w:val="24"/>
                <w:szCs w:val="24"/>
              </w:rPr>
              <w:br/>
              <w:t xml:space="preserve">DG </w:t>
            </w:r>
            <w:r>
              <w:rPr>
                <w:rFonts w:ascii="Times New Roman" w:hAnsi="Times New Roman"/>
                <w:b/>
                <w:sz w:val="24"/>
                <w:szCs w:val="24"/>
              </w:rPr>
              <w:t xml:space="preserve">MARE </w:t>
            </w:r>
            <w:r w:rsidR="001C4138" w:rsidRPr="00807B48">
              <w:rPr>
                <w:rFonts w:ascii="Times New Roman" w:hAnsi="Times New Roman"/>
                <w:b/>
                <w:sz w:val="24"/>
                <w:szCs w:val="24"/>
              </w:rPr>
              <w:t xml:space="preserve">– Commissioner </w:t>
            </w:r>
            <w:r>
              <w:rPr>
                <w:rFonts w:ascii="Times New Roman" w:hAnsi="Times New Roman"/>
                <w:b/>
                <w:sz w:val="24"/>
                <w:szCs w:val="24"/>
              </w:rPr>
              <w:t>KADIS</w:t>
            </w:r>
          </w:p>
        </w:tc>
      </w:tr>
      <w:tr w:rsidR="00734613" w:rsidRPr="00442552" w14:paraId="1937071F" w14:textId="77777777" w:rsidTr="00E479E7">
        <w:trPr>
          <w:jc w:val="center"/>
        </w:trPr>
        <w:tc>
          <w:tcPr>
            <w:tcW w:w="10403" w:type="dxa"/>
          </w:tcPr>
          <w:p w14:paraId="1E50B4DB" w14:textId="23CBC329" w:rsidR="00734613" w:rsidRPr="00695797" w:rsidRDefault="004F6117" w:rsidP="002E1AF1">
            <w:pPr>
              <w:widowControl w:val="0"/>
              <w:spacing w:before="120" w:after="120"/>
              <w:jc w:val="center"/>
              <w:rPr>
                <w:rFonts w:ascii="Times New Roman" w:hAnsi="Times New Roman"/>
                <w:b/>
                <w:sz w:val="24"/>
                <w:szCs w:val="24"/>
              </w:rPr>
            </w:pPr>
            <w:r w:rsidRPr="004F6117">
              <w:rPr>
                <w:rFonts w:ascii="Times New Roman" w:hAnsi="Times New Roman"/>
                <w:b/>
                <w:sz w:val="24"/>
                <w:szCs w:val="24"/>
              </w:rPr>
              <w:t>European Commission position on points</w:t>
            </w:r>
            <w:r>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sidR="00057C9C">
              <w:rPr>
                <w:rFonts w:ascii="Times New Roman" w:hAnsi="Times New Roman"/>
                <w:b/>
                <w:sz w:val="24"/>
                <w:szCs w:val="24"/>
              </w:rPr>
              <w:t xml:space="preserve">(EESC) </w:t>
            </w:r>
            <w:r w:rsidRPr="004F6117">
              <w:rPr>
                <w:rFonts w:ascii="Times New Roman" w:hAnsi="Times New Roman"/>
                <w:b/>
                <w:sz w:val="24"/>
                <w:szCs w:val="24"/>
              </w:rPr>
              <w:t>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734613" w:rsidRPr="004F6117" w14:paraId="673DDC1B" w14:textId="77777777" w:rsidTr="00E479E7">
        <w:trPr>
          <w:jc w:val="center"/>
        </w:trPr>
        <w:tc>
          <w:tcPr>
            <w:tcW w:w="10403" w:type="dxa"/>
          </w:tcPr>
          <w:p w14:paraId="1D2A74BC" w14:textId="0235B174" w:rsidR="0054762D" w:rsidRDefault="0054762D" w:rsidP="002E1AF1">
            <w:pPr>
              <w:widowControl w:val="0"/>
              <w:spacing w:before="120" w:after="120"/>
              <w:jc w:val="both"/>
              <w:rPr>
                <w:rFonts w:ascii="Times New Roman" w:hAnsi="Times New Roman"/>
                <w:sz w:val="24"/>
                <w:szCs w:val="24"/>
                <w:lang w:val="en-IE"/>
              </w:rPr>
            </w:pPr>
            <w:r w:rsidRPr="007D401B">
              <w:rPr>
                <w:rFonts w:ascii="Times New Roman" w:hAnsi="Times New Roman"/>
                <w:sz w:val="24"/>
                <w:szCs w:val="24"/>
                <w:lang w:val="en-IE"/>
              </w:rPr>
              <w:t>The Commission</w:t>
            </w:r>
            <w:r>
              <w:rPr>
                <w:rFonts w:ascii="Times New Roman" w:hAnsi="Times New Roman"/>
                <w:sz w:val="24"/>
                <w:szCs w:val="24"/>
                <w:lang w:val="en-IE"/>
              </w:rPr>
              <w:t xml:space="preserve"> thanks the Committee</w:t>
            </w:r>
            <w:r w:rsidR="00AA40E6">
              <w:rPr>
                <w:rFonts w:ascii="Times New Roman" w:hAnsi="Times New Roman"/>
                <w:sz w:val="24"/>
                <w:szCs w:val="24"/>
                <w:lang w:val="en-IE"/>
              </w:rPr>
              <w:t xml:space="preserve"> </w:t>
            </w:r>
            <w:r>
              <w:rPr>
                <w:rFonts w:ascii="Times New Roman" w:hAnsi="Times New Roman"/>
                <w:sz w:val="24"/>
                <w:szCs w:val="24"/>
                <w:lang w:val="en-IE"/>
              </w:rPr>
              <w:t>for its</w:t>
            </w:r>
            <w:r w:rsidR="00AF433E">
              <w:rPr>
                <w:rFonts w:ascii="Times New Roman" w:hAnsi="Times New Roman"/>
                <w:sz w:val="24"/>
                <w:szCs w:val="24"/>
                <w:lang w:val="en-IE"/>
              </w:rPr>
              <w:t xml:space="preserve"> insightful</w:t>
            </w:r>
            <w:r>
              <w:rPr>
                <w:rFonts w:ascii="Times New Roman" w:hAnsi="Times New Roman"/>
                <w:sz w:val="24"/>
                <w:szCs w:val="24"/>
                <w:lang w:val="en-IE"/>
              </w:rPr>
              <w:t xml:space="preserve"> </w:t>
            </w:r>
            <w:r w:rsidR="00AF433E">
              <w:rPr>
                <w:rFonts w:ascii="Times New Roman" w:hAnsi="Times New Roman"/>
                <w:sz w:val="24"/>
                <w:szCs w:val="24"/>
                <w:lang w:val="en-IE"/>
              </w:rPr>
              <w:t xml:space="preserve">exploratory </w:t>
            </w:r>
            <w:r>
              <w:rPr>
                <w:rFonts w:ascii="Times New Roman" w:hAnsi="Times New Roman"/>
                <w:sz w:val="24"/>
                <w:szCs w:val="24"/>
                <w:lang w:val="en-IE"/>
              </w:rPr>
              <w:t>opinion</w:t>
            </w:r>
            <w:r w:rsidR="006826E1">
              <w:rPr>
                <w:rFonts w:ascii="Times New Roman" w:hAnsi="Times New Roman"/>
                <w:sz w:val="24"/>
                <w:szCs w:val="24"/>
                <w:lang w:val="en-IE"/>
              </w:rPr>
              <w:t xml:space="preserve">, which </w:t>
            </w:r>
            <w:r w:rsidR="00AF433E">
              <w:rPr>
                <w:rFonts w:ascii="Times New Roman" w:hAnsi="Times New Roman"/>
                <w:sz w:val="24"/>
                <w:szCs w:val="24"/>
                <w:lang w:val="en-IE"/>
              </w:rPr>
              <w:t xml:space="preserve">contributed to </w:t>
            </w:r>
            <w:r w:rsidR="006826E1">
              <w:rPr>
                <w:rFonts w:ascii="Times New Roman" w:hAnsi="Times New Roman"/>
                <w:sz w:val="24"/>
                <w:szCs w:val="24"/>
                <w:lang w:val="en-IE"/>
              </w:rPr>
              <w:t xml:space="preserve">the consultation process and the </w:t>
            </w:r>
            <w:r w:rsidR="00AF433E">
              <w:rPr>
                <w:rFonts w:ascii="Times New Roman" w:hAnsi="Times New Roman"/>
                <w:sz w:val="24"/>
                <w:szCs w:val="24"/>
                <w:lang w:val="en-IE"/>
              </w:rPr>
              <w:t>development</w:t>
            </w:r>
            <w:r w:rsidR="006826E1">
              <w:rPr>
                <w:rFonts w:ascii="Times New Roman" w:hAnsi="Times New Roman"/>
                <w:sz w:val="24"/>
                <w:szCs w:val="24"/>
                <w:lang w:val="en-IE"/>
              </w:rPr>
              <w:t xml:space="preserve"> </w:t>
            </w:r>
            <w:r w:rsidR="00072EA0">
              <w:rPr>
                <w:rFonts w:ascii="Times New Roman" w:hAnsi="Times New Roman"/>
                <w:sz w:val="24"/>
                <w:szCs w:val="24"/>
                <w:lang w:val="en-IE"/>
              </w:rPr>
              <w:t xml:space="preserve">of </w:t>
            </w:r>
            <w:r w:rsidR="006826E1">
              <w:rPr>
                <w:rFonts w:ascii="Times New Roman" w:hAnsi="Times New Roman"/>
                <w:sz w:val="24"/>
                <w:szCs w:val="24"/>
                <w:lang w:val="en-IE"/>
              </w:rPr>
              <w:t>the European Ocean Pact</w:t>
            </w:r>
            <w:r w:rsidR="00437858">
              <w:rPr>
                <w:rFonts w:ascii="Times New Roman" w:hAnsi="Times New Roman"/>
                <w:sz w:val="24"/>
                <w:szCs w:val="24"/>
                <w:lang w:val="en-IE"/>
              </w:rPr>
              <w:t>.</w:t>
            </w:r>
          </w:p>
          <w:p w14:paraId="4C68EBC4" w14:textId="52CC23BD" w:rsidR="00CD51AD" w:rsidRDefault="00CD51AD" w:rsidP="002E1AF1">
            <w:pPr>
              <w:widowControl w:val="0"/>
              <w:spacing w:before="120" w:after="120"/>
              <w:jc w:val="both"/>
              <w:rPr>
                <w:rFonts w:ascii="Times New Roman" w:hAnsi="Times New Roman"/>
                <w:sz w:val="24"/>
                <w:szCs w:val="24"/>
                <w:lang w:val="en-IE"/>
              </w:rPr>
            </w:pPr>
            <w:r>
              <w:rPr>
                <w:rFonts w:ascii="Times New Roman" w:hAnsi="Times New Roman"/>
                <w:sz w:val="24"/>
                <w:szCs w:val="24"/>
                <w:lang w:val="en-IE"/>
              </w:rPr>
              <w:t>The Commission adopted a Communication on the European Ocean Pact</w:t>
            </w:r>
            <w:r w:rsidR="006915FE">
              <w:rPr>
                <w:rStyle w:val="FootnoteReference"/>
                <w:rFonts w:ascii="Times New Roman" w:hAnsi="Times New Roman"/>
                <w:sz w:val="24"/>
                <w:szCs w:val="24"/>
                <w:lang w:val="en-IE"/>
              </w:rPr>
              <w:footnoteReference w:id="2"/>
            </w:r>
            <w:r>
              <w:rPr>
                <w:rFonts w:ascii="Times New Roman" w:hAnsi="Times New Roman"/>
                <w:sz w:val="24"/>
                <w:szCs w:val="24"/>
                <w:lang w:val="en-IE"/>
              </w:rPr>
              <w:t xml:space="preserve"> on 5 June 2025.</w:t>
            </w:r>
          </w:p>
          <w:p w14:paraId="00CD0640" w14:textId="63FC0991" w:rsidR="0054762D" w:rsidRDefault="0054762D" w:rsidP="002E1AF1">
            <w:pPr>
              <w:widowControl w:val="0"/>
              <w:spacing w:before="120" w:after="120"/>
              <w:jc w:val="both"/>
              <w:rPr>
                <w:rFonts w:ascii="Times New Roman" w:hAnsi="Times New Roman"/>
                <w:sz w:val="24"/>
                <w:szCs w:val="24"/>
              </w:rPr>
            </w:pPr>
            <w:r>
              <w:rPr>
                <w:rFonts w:ascii="Times New Roman" w:hAnsi="Times New Roman"/>
                <w:sz w:val="24"/>
                <w:szCs w:val="24"/>
                <w:lang w:val="en-IE"/>
              </w:rPr>
              <w:t xml:space="preserve">The Commission would like to transmit the following comments regarding the specific recommendations </w:t>
            </w:r>
            <w:r w:rsidR="00CD51AD" w:rsidRPr="6F7BCC12">
              <w:rPr>
                <w:rFonts w:ascii="Times New Roman" w:hAnsi="Times New Roman"/>
                <w:sz w:val="24"/>
                <w:szCs w:val="24"/>
                <w:lang w:val="en-IE"/>
              </w:rPr>
              <w:t>of</w:t>
            </w:r>
            <w:r w:rsidR="00CD51AD">
              <w:rPr>
                <w:rFonts w:ascii="Times New Roman" w:hAnsi="Times New Roman"/>
                <w:sz w:val="24"/>
                <w:szCs w:val="24"/>
                <w:lang w:val="en-IE"/>
              </w:rPr>
              <w:t xml:space="preserve"> the EESC exploratory opinion</w:t>
            </w:r>
            <w:r>
              <w:rPr>
                <w:rFonts w:ascii="Times New Roman" w:hAnsi="Times New Roman"/>
                <w:sz w:val="24"/>
                <w:szCs w:val="24"/>
                <w:lang w:val="en-IE"/>
              </w:rPr>
              <w:t>:</w:t>
            </w:r>
          </w:p>
          <w:p w14:paraId="45455A93" w14:textId="693A8E85" w:rsidR="00D65169" w:rsidRDefault="000F48BF" w:rsidP="002E1AF1">
            <w:pPr>
              <w:widowControl w:val="0"/>
              <w:spacing w:before="120" w:after="120"/>
              <w:jc w:val="both"/>
              <w:rPr>
                <w:rFonts w:ascii="Times New Roman" w:hAnsi="Times New Roman"/>
                <w:noProof/>
                <w:sz w:val="24"/>
                <w:szCs w:val="24"/>
              </w:rPr>
            </w:pPr>
            <w:r w:rsidRPr="00E4595A">
              <w:rPr>
                <w:rFonts w:ascii="Times New Roman" w:hAnsi="Times New Roman"/>
                <w:sz w:val="24"/>
                <w:szCs w:val="24"/>
                <w:u w:val="single"/>
              </w:rPr>
              <w:t>On</w:t>
            </w:r>
            <w:r w:rsidR="00B32AD4" w:rsidRPr="00E4595A">
              <w:rPr>
                <w:rFonts w:ascii="Times New Roman" w:hAnsi="Times New Roman"/>
                <w:sz w:val="24"/>
                <w:szCs w:val="24"/>
                <w:u w:val="single"/>
              </w:rPr>
              <w:t xml:space="preserve"> recommendation 1.</w:t>
            </w:r>
            <w:r w:rsidR="001477B2" w:rsidRPr="00E4595A">
              <w:rPr>
                <w:rFonts w:ascii="Times New Roman" w:hAnsi="Times New Roman"/>
                <w:sz w:val="24"/>
                <w:szCs w:val="24"/>
                <w:u w:val="single"/>
              </w:rPr>
              <w:t>1</w:t>
            </w:r>
            <w:r w:rsidR="00B32AD4" w:rsidRPr="00E4595A">
              <w:rPr>
                <w:rFonts w:ascii="Times New Roman" w:hAnsi="Times New Roman"/>
                <w:sz w:val="24"/>
                <w:szCs w:val="24"/>
                <w:u w:val="single"/>
              </w:rPr>
              <w:t>.</w:t>
            </w:r>
            <w:r w:rsidR="00B32AD4" w:rsidRPr="008F1D5C">
              <w:rPr>
                <w:rFonts w:ascii="Times New Roman" w:hAnsi="Times New Roman"/>
                <w:sz w:val="24"/>
                <w:szCs w:val="24"/>
              </w:rPr>
              <w:t xml:space="preserve"> </w:t>
            </w:r>
            <w:r>
              <w:rPr>
                <w:rFonts w:ascii="Times New Roman" w:hAnsi="Times New Roman"/>
                <w:sz w:val="24"/>
                <w:szCs w:val="24"/>
              </w:rPr>
              <w:t>and</w:t>
            </w:r>
            <w:r w:rsidR="00B32AD4" w:rsidRPr="008F1D5C">
              <w:rPr>
                <w:rFonts w:ascii="Times New Roman" w:hAnsi="Times New Roman"/>
                <w:sz w:val="24"/>
                <w:szCs w:val="24"/>
              </w:rPr>
              <w:t xml:space="preserve"> the </w:t>
            </w:r>
            <w:r w:rsidR="001477B2">
              <w:rPr>
                <w:rFonts w:ascii="Times New Roman" w:hAnsi="Times New Roman"/>
                <w:sz w:val="24"/>
                <w:szCs w:val="24"/>
              </w:rPr>
              <w:t xml:space="preserve">call for a </w:t>
            </w:r>
            <w:r w:rsidRPr="000F48BF">
              <w:rPr>
                <w:rFonts w:ascii="Times New Roman" w:hAnsi="Times New Roman"/>
                <w:i/>
                <w:iCs/>
                <w:sz w:val="24"/>
                <w:szCs w:val="24"/>
              </w:rPr>
              <w:t>‘</w:t>
            </w:r>
            <w:r w:rsidR="001477B2" w:rsidRPr="001477B2">
              <w:rPr>
                <w:rFonts w:ascii="Times New Roman" w:hAnsi="Times New Roman"/>
                <w:i/>
                <w:iCs/>
                <w:sz w:val="24"/>
                <w:szCs w:val="24"/>
              </w:rPr>
              <w:t>comprehensive approach that combines economic prosperity and competitiveness with environmental regeneration and the promotion of social equity</w:t>
            </w:r>
            <w:r>
              <w:rPr>
                <w:rFonts w:ascii="Times New Roman" w:hAnsi="Times New Roman"/>
                <w:sz w:val="24"/>
                <w:szCs w:val="24"/>
              </w:rPr>
              <w:t>’</w:t>
            </w:r>
            <w:r w:rsidR="001477B2">
              <w:rPr>
                <w:rFonts w:ascii="Times New Roman" w:hAnsi="Times New Roman"/>
                <w:sz w:val="24"/>
                <w:szCs w:val="24"/>
              </w:rPr>
              <w:t xml:space="preserve">, the Commission would like to underline that the European Ocean Pact </w:t>
            </w:r>
            <w:r w:rsidR="001477B2" w:rsidRPr="00A66671">
              <w:rPr>
                <w:rFonts w:ascii="Times New Roman" w:hAnsi="Times New Roman"/>
                <w:noProof/>
                <w:sz w:val="24"/>
                <w:szCs w:val="24"/>
              </w:rPr>
              <w:t>introduces a</w:t>
            </w:r>
            <w:r w:rsidR="00E14486">
              <w:rPr>
                <w:rFonts w:ascii="Times New Roman" w:hAnsi="Times New Roman"/>
                <w:noProof/>
                <w:sz w:val="24"/>
                <w:szCs w:val="24"/>
              </w:rPr>
              <w:t> </w:t>
            </w:r>
            <w:r w:rsidR="001477B2" w:rsidRPr="00A66671">
              <w:rPr>
                <w:rFonts w:ascii="Times New Roman" w:hAnsi="Times New Roman"/>
                <w:noProof/>
                <w:sz w:val="24"/>
                <w:szCs w:val="24"/>
              </w:rPr>
              <w:t xml:space="preserve">single reference framework </w:t>
            </w:r>
            <w:r w:rsidR="001477B2">
              <w:rPr>
                <w:rFonts w:ascii="Times New Roman" w:hAnsi="Times New Roman"/>
                <w:noProof/>
                <w:sz w:val="24"/>
                <w:szCs w:val="24"/>
              </w:rPr>
              <w:t xml:space="preserve">to </w:t>
            </w:r>
            <w:r w:rsidR="001477B2" w:rsidRPr="00A66671">
              <w:rPr>
                <w:rFonts w:ascii="Times New Roman" w:hAnsi="Times New Roman"/>
                <w:noProof/>
                <w:sz w:val="24"/>
                <w:szCs w:val="24"/>
              </w:rPr>
              <w:t>streamlin</w:t>
            </w:r>
            <w:r w:rsidR="001477B2">
              <w:rPr>
                <w:rFonts w:ascii="Times New Roman" w:hAnsi="Times New Roman"/>
                <w:noProof/>
                <w:sz w:val="24"/>
                <w:szCs w:val="24"/>
              </w:rPr>
              <w:t>e</w:t>
            </w:r>
            <w:r w:rsidR="001477B2" w:rsidRPr="00A66671">
              <w:rPr>
                <w:rFonts w:ascii="Times New Roman" w:hAnsi="Times New Roman"/>
                <w:noProof/>
                <w:sz w:val="24"/>
                <w:szCs w:val="24"/>
              </w:rPr>
              <w:t xml:space="preserve"> coordination processes, simplify reporting obligations and offer a strategy for implementing existing legislation and achieving policy goals more coherently across sectors. </w:t>
            </w:r>
            <w:r w:rsidR="00D65169">
              <w:rPr>
                <w:rFonts w:ascii="Times New Roman" w:hAnsi="Times New Roman"/>
                <w:noProof/>
                <w:sz w:val="24"/>
                <w:szCs w:val="24"/>
              </w:rPr>
              <w:t>The promotion of e</w:t>
            </w:r>
            <w:r w:rsidR="00D65169" w:rsidRPr="00D65169">
              <w:rPr>
                <w:rFonts w:ascii="Times New Roman" w:hAnsi="Times New Roman"/>
                <w:noProof/>
                <w:sz w:val="24"/>
                <w:szCs w:val="24"/>
              </w:rPr>
              <w:t>conomic prosperity</w:t>
            </w:r>
            <w:r w:rsidR="00D65169">
              <w:rPr>
                <w:rFonts w:ascii="Times New Roman" w:hAnsi="Times New Roman"/>
                <w:noProof/>
                <w:sz w:val="24"/>
                <w:szCs w:val="24"/>
              </w:rPr>
              <w:t>,</w:t>
            </w:r>
            <w:r w:rsidR="00D65169" w:rsidRPr="00D65169">
              <w:rPr>
                <w:rFonts w:ascii="Times New Roman" w:hAnsi="Times New Roman"/>
                <w:noProof/>
                <w:sz w:val="24"/>
                <w:szCs w:val="24"/>
              </w:rPr>
              <w:t xml:space="preserve"> competitiveness</w:t>
            </w:r>
            <w:r w:rsidR="00D65169">
              <w:rPr>
                <w:rFonts w:ascii="Times New Roman" w:hAnsi="Times New Roman"/>
                <w:noProof/>
                <w:sz w:val="24"/>
                <w:szCs w:val="24"/>
              </w:rPr>
              <w:t xml:space="preserve">, </w:t>
            </w:r>
            <w:r w:rsidR="00D65169" w:rsidRPr="00D65169">
              <w:rPr>
                <w:rFonts w:ascii="Times New Roman" w:hAnsi="Times New Roman"/>
                <w:noProof/>
                <w:sz w:val="24"/>
                <w:szCs w:val="24"/>
              </w:rPr>
              <w:t>social equity</w:t>
            </w:r>
            <w:r w:rsidR="00D65169">
              <w:rPr>
                <w:rFonts w:ascii="Times New Roman" w:hAnsi="Times New Roman"/>
                <w:noProof/>
                <w:sz w:val="24"/>
                <w:szCs w:val="24"/>
              </w:rPr>
              <w:t>, and</w:t>
            </w:r>
            <w:r w:rsidR="00D65169" w:rsidRPr="00D65169">
              <w:rPr>
                <w:rFonts w:ascii="Times New Roman" w:hAnsi="Times New Roman"/>
                <w:noProof/>
                <w:sz w:val="24"/>
                <w:szCs w:val="24"/>
              </w:rPr>
              <w:t xml:space="preserve"> environmental </w:t>
            </w:r>
            <w:r w:rsidR="00D65169">
              <w:rPr>
                <w:rFonts w:ascii="Times New Roman" w:hAnsi="Times New Roman"/>
                <w:noProof/>
                <w:sz w:val="24"/>
                <w:szCs w:val="24"/>
              </w:rPr>
              <w:t>oce</w:t>
            </w:r>
            <w:r w:rsidR="007D412D">
              <w:rPr>
                <w:rFonts w:ascii="Times New Roman" w:hAnsi="Times New Roman"/>
                <w:noProof/>
                <w:sz w:val="24"/>
                <w:szCs w:val="24"/>
              </w:rPr>
              <w:t>a</w:t>
            </w:r>
            <w:r w:rsidR="00D65169">
              <w:rPr>
                <w:rFonts w:ascii="Times New Roman" w:hAnsi="Times New Roman"/>
                <w:noProof/>
                <w:sz w:val="24"/>
                <w:szCs w:val="24"/>
              </w:rPr>
              <w:t xml:space="preserve">n </w:t>
            </w:r>
            <w:r w:rsidR="00D65169" w:rsidRPr="00D65169">
              <w:rPr>
                <w:rFonts w:ascii="Times New Roman" w:hAnsi="Times New Roman"/>
                <w:noProof/>
                <w:sz w:val="24"/>
                <w:szCs w:val="24"/>
              </w:rPr>
              <w:t>regeneration a</w:t>
            </w:r>
            <w:r w:rsidR="00D65169">
              <w:rPr>
                <w:rFonts w:ascii="Times New Roman" w:hAnsi="Times New Roman"/>
                <w:noProof/>
                <w:sz w:val="24"/>
                <w:szCs w:val="24"/>
              </w:rPr>
              <w:t>re among the top priorities.</w:t>
            </w:r>
          </w:p>
          <w:p w14:paraId="1AD66396" w14:textId="1EE47CC8" w:rsidR="00D65169" w:rsidRDefault="000F48BF" w:rsidP="002E1AF1">
            <w:pPr>
              <w:widowControl w:val="0"/>
              <w:spacing w:before="120" w:after="120"/>
              <w:jc w:val="both"/>
              <w:rPr>
                <w:rFonts w:ascii="Times New Roman" w:hAnsi="Times New Roman"/>
                <w:noProof/>
                <w:sz w:val="24"/>
              </w:rPr>
            </w:pPr>
            <w:r w:rsidRPr="00E4595A">
              <w:rPr>
                <w:rFonts w:ascii="Times New Roman" w:hAnsi="Times New Roman"/>
                <w:sz w:val="24"/>
                <w:szCs w:val="24"/>
                <w:u w:val="single"/>
              </w:rPr>
              <w:t>On</w:t>
            </w:r>
            <w:r w:rsidR="00D65169" w:rsidRPr="00E4595A">
              <w:rPr>
                <w:rFonts w:ascii="Times New Roman" w:hAnsi="Times New Roman"/>
                <w:sz w:val="24"/>
                <w:szCs w:val="24"/>
                <w:u w:val="single"/>
              </w:rPr>
              <w:t xml:space="preserve"> recommendation 1.3.</w:t>
            </w:r>
            <w:r w:rsidR="00D65169" w:rsidRPr="008F1D5C">
              <w:rPr>
                <w:rFonts w:ascii="Times New Roman" w:hAnsi="Times New Roman"/>
                <w:sz w:val="24"/>
                <w:szCs w:val="24"/>
              </w:rPr>
              <w:t xml:space="preserve"> </w:t>
            </w:r>
            <w:r w:rsidR="00D65169">
              <w:rPr>
                <w:rFonts w:ascii="Times New Roman" w:hAnsi="Times New Roman"/>
                <w:sz w:val="24"/>
                <w:szCs w:val="24"/>
              </w:rPr>
              <w:t xml:space="preserve">to </w:t>
            </w:r>
            <w:r>
              <w:rPr>
                <w:rFonts w:ascii="Times New Roman" w:hAnsi="Times New Roman"/>
                <w:sz w:val="24"/>
                <w:szCs w:val="24"/>
              </w:rPr>
              <w:t>‘</w:t>
            </w:r>
            <w:r w:rsidR="00D65169" w:rsidRPr="00D65169">
              <w:rPr>
                <w:rFonts w:ascii="Times New Roman" w:hAnsi="Times New Roman"/>
                <w:i/>
                <w:iCs/>
                <w:sz w:val="24"/>
                <w:szCs w:val="24"/>
              </w:rPr>
              <w:t>strengthen and improve the EU maritime governance framework</w:t>
            </w:r>
            <w:r>
              <w:rPr>
                <w:rFonts w:ascii="Times New Roman" w:hAnsi="Times New Roman"/>
                <w:i/>
                <w:iCs/>
                <w:sz w:val="24"/>
                <w:szCs w:val="24"/>
              </w:rPr>
              <w:t>’</w:t>
            </w:r>
            <w:r w:rsidR="00D65169">
              <w:rPr>
                <w:rFonts w:ascii="Times New Roman" w:hAnsi="Times New Roman"/>
                <w:sz w:val="24"/>
                <w:szCs w:val="24"/>
              </w:rPr>
              <w:t>, the European Ocean Pact underlines that a</w:t>
            </w:r>
            <w:r w:rsidR="00D65169" w:rsidRPr="00A66671">
              <w:rPr>
                <w:rFonts w:ascii="Times New Roman" w:hAnsi="Times New Roman"/>
                <w:b/>
                <w:bCs/>
                <w:noProof/>
                <w:sz w:val="24"/>
              </w:rPr>
              <w:t xml:space="preserve"> </w:t>
            </w:r>
            <w:r w:rsidR="00D65169" w:rsidRPr="00D65169">
              <w:rPr>
                <w:rFonts w:ascii="Times New Roman" w:hAnsi="Times New Roman"/>
                <w:noProof/>
                <w:sz w:val="24"/>
              </w:rPr>
              <w:t>strong governance framework</w:t>
            </w:r>
            <w:r w:rsidR="00D65169" w:rsidRPr="00A66671">
              <w:rPr>
                <w:rFonts w:ascii="Times New Roman" w:hAnsi="Times New Roman"/>
                <w:noProof/>
                <w:sz w:val="24"/>
              </w:rPr>
              <w:t xml:space="preserve"> is needed to align actions at Union, regional, national, and local levels through the various sea basins, involving both EU and non-EU countries</w:t>
            </w:r>
            <w:r w:rsidR="00D65169">
              <w:rPr>
                <w:rFonts w:ascii="Times New Roman" w:hAnsi="Times New Roman"/>
                <w:noProof/>
                <w:sz w:val="24"/>
              </w:rPr>
              <w:t>.</w:t>
            </w:r>
          </w:p>
          <w:p w14:paraId="24E99A4D" w14:textId="557C22AF" w:rsidR="00734613" w:rsidRDefault="000F48BF" w:rsidP="002E1AF1">
            <w:pPr>
              <w:widowControl w:val="0"/>
              <w:spacing w:before="120" w:after="120"/>
              <w:jc w:val="both"/>
              <w:rPr>
                <w:rFonts w:ascii="Times New Roman" w:hAnsi="Times New Roman"/>
                <w:noProof/>
                <w:sz w:val="24"/>
                <w:szCs w:val="24"/>
              </w:rPr>
            </w:pPr>
            <w:r w:rsidRPr="00E4595A">
              <w:rPr>
                <w:rFonts w:ascii="Times New Roman" w:hAnsi="Times New Roman"/>
                <w:sz w:val="24"/>
                <w:szCs w:val="24"/>
                <w:u w:val="single"/>
              </w:rPr>
              <w:t>On</w:t>
            </w:r>
            <w:r w:rsidR="00D65169" w:rsidRPr="00E4595A">
              <w:rPr>
                <w:rFonts w:ascii="Times New Roman" w:hAnsi="Times New Roman"/>
                <w:sz w:val="24"/>
                <w:szCs w:val="24"/>
                <w:u w:val="single"/>
              </w:rPr>
              <w:t xml:space="preserve"> recommendation 1.</w:t>
            </w:r>
            <w:r w:rsidR="00B7029F" w:rsidRPr="00E4595A">
              <w:rPr>
                <w:rFonts w:ascii="Times New Roman" w:hAnsi="Times New Roman"/>
                <w:sz w:val="24"/>
                <w:szCs w:val="24"/>
                <w:u w:val="single"/>
              </w:rPr>
              <w:t>5</w:t>
            </w:r>
            <w:r w:rsidR="00D65169" w:rsidRPr="00E4595A">
              <w:rPr>
                <w:rFonts w:ascii="Times New Roman" w:hAnsi="Times New Roman"/>
                <w:sz w:val="24"/>
                <w:szCs w:val="24"/>
                <w:u w:val="single"/>
              </w:rPr>
              <w:t>.</w:t>
            </w:r>
            <w:r w:rsidR="00D65169" w:rsidRPr="008F1D5C">
              <w:rPr>
                <w:rFonts w:ascii="Times New Roman" w:hAnsi="Times New Roman"/>
                <w:sz w:val="24"/>
                <w:szCs w:val="24"/>
              </w:rPr>
              <w:t xml:space="preserve"> </w:t>
            </w:r>
            <w:r w:rsidR="00D65169">
              <w:rPr>
                <w:rFonts w:ascii="Times New Roman" w:hAnsi="Times New Roman"/>
                <w:sz w:val="24"/>
                <w:szCs w:val="24"/>
              </w:rPr>
              <w:t xml:space="preserve">to </w:t>
            </w:r>
            <w:r>
              <w:rPr>
                <w:rFonts w:ascii="Times New Roman" w:hAnsi="Times New Roman"/>
                <w:sz w:val="24"/>
                <w:szCs w:val="24"/>
              </w:rPr>
              <w:t>‘</w:t>
            </w:r>
            <w:r w:rsidR="00D65169" w:rsidRPr="00D65169">
              <w:rPr>
                <w:rFonts w:ascii="Times New Roman" w:hAnsi="Times New Roman"/>
                <w:i/>
                <w:iCs/>
                <w:sz w:val="24"/>
                <w:szCs w:val="24"/>
              </w:rPr>
              <w:t>revise maritime spatial planning (MSP) to facilitate synergies and balance conflicting interests</w:t>
            </w:r>
            <w:r>
              <w:rPr>
                <w:rFonts w:ascii="Times New Roman" w:hAnsi="Times New Roman"/>
                <w:i/>
                <w:iCs/>
                <w:sz w:val="24"/>
                <w:szCs w:val="24"/>
              </w:rPr>
              <w:t>’</w:t>
            </w:r>
            <w:r w:rsidR="00D65169">
              <w:rPr>
                <w:rFonts w:ascii="Times New Roman" w:hAnsi="Times New Roman"/>
                <w:sz w:val="24"/>
                <w:szCs w:val="24"/>
              </w:rPr>
              <w:t xml:space="preserve">, the Ocean Pact </w:t>
            </w:r>
            <w:r w:rsidR="00CD51AD">
              <w:rPr>
                <w:rFonts w:ascii="Times New Roman" w:hAnsi="Times New Roman"/>
                <w:sz w:val="24"/>
                <w:szCs w:val="24"/>
              </w:rPr>
              <w:t xml:space="preserve">announces </w:t>
            </w:r>
            <w:r w:rsidR="00B7029F">
              <w:rPr>
                <w:rFonts w:ascii="Times New Roman" w:hAnsi="Times New Roman"/>
                <w:sz w:val="24"/>
                <w:szCs w:val="24"/>
              </w:rPr>
              <w:t>that, b</w:t>
            </w:r>
            <w:r w:rsidR="00B7029F" w:rsidRPr="00A66671">
              <w:rPr>
                <w:rFonts w:ascii="Times New Roman" w:hAnsi="Times New Roman"/>
                <w:noProof/>
                <w:sz w:val="24"/>
                <w:szCs w:val="24"/>
              </w:rPr>
              <w:t xml:space="preserve">ased on a consultation of the relevant stakeholders, </w:t>
            </w:r>
            <w:r w:rsidR="00B7029F" w:rsidRPr="00B7029F">
              <w:rPr>
                <w:rFonts w:ascii="Times New Roman" w:hAnsi="Times New Roman"/>
                <w:noProof/>
                <w:sz w:val="24"/>
                <w:szCs w:val="24"/>
              </w:rPr>
              <w:t xml:space="preserve">the Commission will propose an </w:t>
            </w:r>
            <w:r>
              <w:rPr>
                <w:rFonts w:ascii="Times New Roman" w:hAnsi="Times New Roman"/>
                <w:noProof/>
                <w:sz w:val="24"/>
                <w:szCs w:val="24"/>
              </w:rPr>
              <w:t>‘</w:t>
            </w:r>
            <w:r w:rsidR="00B7029F" w:rsidRPr="00B7029F">
              <w:rPr>
                <w:rFonts w:ascii="Times New Roman" w:hAnsi="Times New Roman"/>
                <w:noProof/>
                <w:sz w:val="24"/>
                <w:szCs w:val="24"/>
              </w:rPr>
              <w:t>Ocean Act</w:t>
            </w:r>
            <w:r>
              <w:rPr>
                <w:rFonts w:ascii="Times New Roman" w:hAnsi="Times New Roman"/>
                <w:noProof/>
                <w:sz w:val="24"/>
                <w:szCs w:val="24"/>
              </w:rPr>
              <w:t>’</w:t>
            </w:r>
            <w:r w:rsidR="00B7029F" w:rsidRPr="00B7029F">
              <w:rPr>
                <w:rFonts w:ascii="Times New Roman" w:hAnsi="Times New Roman"/>
                <w:noProof/>
                <w:sz w:val="24"/>
                <w:szCs w:val="24"/>
              </w:rPr>
              <w:t xml:space="preserve"> by 2027 that will build on a</w:t>
            </w:r>
            <w:r w:rsidR="00E14486">
              <w:rPr>
                <w:rFonts w:ascii="Times New Roman" w:hAnsi="Times New Roman"/>
                <w:noProof/>
                <w:sz w:val="24"/>
                <w:szCs w:val="24"/>
              </w:rPr>
              <w:t> </w:t>
            </w:r>
            <w:r w:rsidR="00B7029F" w:rsidRPr="00B7029F">
              <w:rPr>
                <w:rFonts w:ascii="Times New Roman" w:hAnsi="Times New Roman"/>
                <w:noProof/>
                <w:sz w:val="24"/>
                <w:szCs w:val="24"/>
              </w:rPr>
              <w:t>revision of the MSP</w:t>
            </w:r>
            <w:r w:rsidR="00E14486">
              <w:rPr>
                <w:rFonts w:ascii="Times New Roman" w:hAnsi="Times New Roman"/>
                <w:noProof/>
                <w:sz w:val="24"/>
                <w:szCs w:val="24"/>
              </w:rPr>
              <w:t> (</w:t>
            </w:r>
            <w:r w:rsidR="00E14486" w:rsidRPr="00E4595A">
              <w:rPr>
                <w:rFonts w:ascii="Times New Roman" w:hAnsi="Times New Roman"/>
                <w:noProof/>
                <w:sz w:val="24"/>
                <w:szCs w:val="24"/>
              </w:rPr>
              <w:t>establishing a framework for maritime spatial planning)</w:t>
            </w:r>
            <w:r w:rsidR="00B7029F" w:rsidRPr="00B7029F">
              <w:rPr>
                <w:rFonts w:ascii="Times New Roman" w:hAnsi="Times New Roman"/>
                <w:noProof/>
                <w:sz w:val="24"/>
                <w:szCs w:val="24"/>
              </w:rPr>
              <w:t xml:space="preserve"> Directive</w:t>
            </w:r>
            <w:r>
              <w:rPr>
                <w:rStyle w:val="FootnoteReference"/>
                <w:rFonts w:ascii="Times New Roman" w:hAnsi="Times New Roman"/>
                <w:noProof/>
                <w:sz w:val="24"/>
                <w:szCs w:val="24"/>
              </w:rPr>
              <w:footnoteReference w:id="3"/>
            </w:r>
            <w:r w:rsidR="00B7029F" w:rsidRPr="00A66671">
              <w:rPr>
                <w:rFonts w:ascii="Times New Roman" w:hAnsi="Times New Roman"/>
                <w:noProof/>
                <w:sz w:val="24"/>
                <w:szCs w:val="24"/>
              </w:rPr>
              <w:t xml:space="preserve">. It will aim at strengthening and modernising maritime spatial planning as a strategic tool that will serve the priorities of the Ocean Pact and their implementation, notably through increased cross-sectoral coordination at national level and through a better organised sea basin approach. </w:t>
            </w:r>
            <w:r w:rsidR="00B7029F" w:rsidRPr="00B7029F">
              <w:rPr>
                <w:rFonts w:ascii="Times New Roman" w:hAnsi="Times New Roman"/>
                <w:noProof/>
                <w:sz w:val="24"/>
                <w:szCs w:val="24"/>
              </w:rPr>
              <w:t>The Act will reference relevant targets, so that they are identifiable under one roof, and will facilitate their coherent and effective implementation</w:t>
            </w:r>
            <w:r w:rsidR="00B7029F">
              <w:rPr>
                <w:rFonts w:ascii="Times New Roman" w:hAnsi="Times New Roman"/>
                <w:noProof/>
                <w:sz w:val="24"/>
                <w:szCs w:val="24"/>
              </w:rPr>
              <w:t>.</w:t>
            </w:r>
          </w:p>
          <w:p w14:paraId="407CEBF3" w14:textId="678EE874" w:rsidR="00E4595A" w:rsidRPr="00A66671" w:rsidRDefault="00E4595A" w:rsidP="00E4595A">
            <w:pPr>
              <w:widowControl w:val="0"/>
              <w:spacing w:before="120" w:after="120"/>
              <w:jc w:val="both"/>
              <w:rPr>
                <w:rFonts w:cs="Arial"/>
                <w:noProof/>
              </w:rPr>
            </w:pPr>
            <w:r w:rsidRPr="00E4595A">
              <w:rPr>
                <w:rFonts w:ascii="Times New Roman" w:eastAsia="Times New Roman" w:hAnsi="Times New Roman"/>
                <w:noProof/>
                <w:sz w:val="24"/>
                <w:szCs w:val="24"/>
                <w:u w:val="single"/>
              </w:rPr>
              <w:t>On recommendation 1.6.</w:t>
            </w:r>
            <w:r>
              <w:rPr>
                <w:rFonts w:ascii="Times New Roman" w:eastAsia="Times New Roman" w:hAnsi="Times New Roman"/>
                <w:noProof/>
                <w:sz w:val="24"/>
                <w:szCs w:val="24"/>
              </w:rPr>
              <w:t xml:space="preserve"> referring to</w:t>
            </w:r>
            <w:r w:rsidRPr="00102FF2">
              <w:rPr>
                <w:rFonts w:ascii="Times New Roman" w:eastAsia="Times New Roman" w:hAnsi="Times New Roman"/>
                <w:noProof/>
                <w:sz w:val="24"/>
                <w:szCs w:val="24"/>
              </w:rPr>
              <w:t xml:space="preserve"> </w:t>
            </w:r>
            <w:r>
              <w:rPr>
                <w:rFonts w:ascii="Times New Roman" w:eastAsia="Times New Roman" w:hAnsi="Times New Roman"/>
                <w:noProof/>
                <w:sz w:val="24"/>
                <w:szCs w:val="24"/>
              </w:rPr>
              <w:t>‘</w:t>
            </w:r>
            <w:r w:rsidRPr="00102FF2">
              <w:rPr>
                <w:rFonts w:ascii="Times New Roman" w:eastAsia="Times New Roman" w:hAnsi="Times New Roman"/>
                <w:noProof/>
                <w:sz w:val="24"/>
                <w:szCs w:val="24"/>
              </w:rPr>
              <w:t xml:space="preserve">the </w:t>
            </w:r>
            <w:r>
              <w:rPr>
                <w:rFonts w:ascii="Times New Roman" w:eastAsia="Times New Roman" w:hAnsi="Times New Roman"/>
                <w:noProof/>
                <w:sz w:val="24"/>
                <w:szCs w:val="24"/>
              </w:rPr>
              <w:t>creation of an ‘</w:t>
            </w:r>
            <w:r w:rsidRPr="00102FF2">
              <w:rPr>
                <w:rFonts w:ascii="Times New Roman" w:eastAsia="Times New Roman" w:hAnsi="Times New Roman"/>
                <w:noProof/>
                <w:sz w:val="24"/>
                <w:szCs w:val="24"/>
              </w:rPr>
              <w:t>Industrial Alliance for Blue Economy Value Chains</w:t>
            </w:r>
            <w:r>
              <w:rPr>
                <w:rFonts w:ascii="Times New Roman" w:eastAsia="Times New Roman" w:hAnsi="Times New Roman"/>
                <w:noProof/>
                <w:sz w:val="24"/>
                <w:szCs w:val="24"/>
              </w:rPr>
              <w:t>’</w:t>
            </w:r>
            <w:r w:rsidR="00A84A7A">
              <w:rPr>
                <w:rFonts w:ascii="Times New Roman" w:eastAsia="Times New Roman" w:hAnsi="Times New Roman"/>
                <w:noProof/>
                <w:sz w:val="24"/>
                <w:szCs w:val="24"/>
              </w:rPr>
              <w:t>’</w:t>
            </w:r>
            <w:r>
              <w:rPr>
                <w:rFonts w:ascii="Times New Roman" w:eastAsia="Times New Roman" w:hAnsi="Times New Roman"/>
                <w:noProof/>
                <w:sz w:val="24"/>
                <w:szCs w:val="24"/>
              </w:rPr>
              <w:t xml:space="preserve">, </w:t>
            </w:r>
            <w:r w:rsidRPr="00E4595A">
              <w:rPr>
                <w:rFonts w:ascii="Times New Roman" w:eastAsia="Times New Roman" w:hAnsi="Times New Roman"/>
                <w:noProof/>
                <w:sz w:val="24"/>
                <w:szCs w:val="24"/>
              </w:rPr>
              <w:t xml:space="preserve">the Commission is currently reflecting on suitable tools to strengthen EU value chain synergies, </w:t>
            </w:r>
            <w:r w:rsidRPr="00E4595A">
              <w:rPr>
                <w:rFonts w:ascii="Times New Roman" w:eastAsia="Times New Roman" w:hAnsi="Times New Roman"/>
                <w:i/>
                <w:iCs/>
                <w:noProof/>
                <w:sz w:val="24"/>
                <w:szCs w:val="24"/>
              </w:rPr>
              <w:t>inter alia</w:t>
            </w:r>
            <w:r w:rsidRPr="00E4595A">
              <w:rPr>
                <w:rFonts w:ascii="Times New Roman" w:eastAsia="Times New Roman" w:hAnsi="Times New Roman"/>
                <w:noProof/>
                <w:sz w:val="24"/>
                <w:szCs w:val="24"/>
              </w:rPr>
              <w:t xml:space="preserve"> in the context of its forthcoming Industrial Maritime Strategy. The Commission could, in this </w:t>
            </w:r>
            <w:r w:rsidRPr="00E4595A">
              <w:rPr>
                <w:rFonts w:ascii="Times New Roman" w:eastAsia="Times New Roman" w:hAnsi="Times New Roman"/>
                <w:noProof/>
                <w:sz w:val="24"/>
                <w:szCs w:val="24"/>
              </w:rPr>
              <w:lastRenderedPageBreak/>
              <w:t>regard, assess the potential added value and role of a new Industrial Alliance subject to clearly defined objectives and strong stakeholder engagement.</w:t>
            </w:r>
            <w:r w:rsidR="00A84A7A">
              <w:rPr>
                <w:rFonts w:ascii="Times New Roman" w:eastAsia="Times New Roman" w:hAnsi="Times New Roman"/>
                <w:noProof/>
                <w:sz w:val="24"/>
                <w:szCs w:val="24"/>
              </w:rPr>
              <w:t xml:space="preserve"> </w:t>
            </w:r>
            <w:r>
              <w:rPr>
                <w:rFonts w:ascii="Times New Roman" w:eastAsia="Times New Roman" w:hAnsi="Times New Roman"/>
                <w:noProof/>
                <w:sz w:val="24"/>
                <w:szCs w:val="24"/>
              </w:rPr>
              <w:t xml:space="preserve">Concerning the </w:t>
            </w:r>
            <w:r w:rsidRPr="00E4595A">
              <w:rPr>
                <w:rFonts w:ascii="Times New Roman" w:eastAsia="Times New Roman" w:hAnsi="Times New Roman"/>
                <w:noProof/>
                <w:sz w:val="24"/>
                <w:szCs w:val="24"/>
                <w:u w:val="single"/>
              </w:rPr>
              <w:t>recommendation</w:t>
            </w:r>
            <w:r>
              <w:rPr>
                <w:rFonts w:ascii="Times New Roman" w:eastAsia="Times New Roman" w:hAnsi="Times New Roman"/>
                <w:noProof/>
                <w:sz w:val="24"/>
                <w:szCs w:val="24"/>
              </w:rPr>
              <w:t xml:space="preserve"> for ‘</w:t>
            </w:r>
            <w:r w:rsidRPr="00102FF2">
              <w:rPr>
                <w:rFonts w:ascii="Times New Roman" w:eastAsia="Times New Roman" w:hAnsi="Times New Roman"/>
                <w:noProof/>
                <w:sz w:val="24"/>
                <w:szCs w:val="24"/>
              </w:rPr>
              <w:t xml:space="preserve">an EU action plan for </w:t>
            </w:r>
            <w:r>
              <w:rPr>
                <w:rFonts w:ascii="Times New Roman" w:eastAsia="Times New Roman" w:hAnsi="Times New Roman"/>
                <w:noProof/>
                <w:sz w:val="24"/>
                <w:szCs w:val="24"/>
              </w:rPr>
              <w:t>‘</w:t>
            </w:r>
            <w:r w:rsidRPr="00102FF2">
              <w:rPr>
                <w:rFonts w:ascii="Times New Roman" w:eastAsia="Times New Roman" w:hAnsi="Times New Roman"/>
                <w:noProof/>
                <w:sz w:val="24"/>
                <w:szCs w:val="24"/>
              </w:rPr>
              <w:t>blue food</w:t>
            </w:r>
            <w:r>
              <w:rPr>
                <w:rFonts w:ascii="Times New Roman" w:eastAsia="Times New Roman" w:hAnsi="Times New Roman"/>
                <w:noProof/>
                <w:sz w:val="24"/>
                <w:szCs w:val="24"/>
              </w:rPr>
              <w:t xml:space="preserve">’’, the European Ocean Pact </w:t>
            </w:r>
            <w:bookmarkStart w:id="0" w:name="_Hlk199016893"/>
            <w:r>
              <w:rPr>
                <w:rFonts w:ascii="Times New Roman" w:eastAsia="Times New Roman" w:hAnsi="Times New Roman"/>
                <w:noProof/>
                <w:sz w:val="24"/>
                <w:szCs w:val="24"/>
              </w:rPr>
              <w:t>will promote the establishment of a</w:t>
            </w:r>
            <w:r w:rsidRPr="00A66671">
              <w:rPr>
                <w:rFonts w:ascii="Times New Roman" w:hAnsi="Times New Roman"/>
                <w:noProof/>
                <w:sz w:val="24"/>
                <w:szCs w:val="24"/>
              </w:rPr>
              <w:t xml:space="preserve">n EU-wide campaign in 2027 on the benefits and the value added of EU-produced and sustainable </w:t>
            </w:r>
            <w:r>
              <w:rPr>
                <w:rFonts w:ascii="Times New Roman" w:hAnsi="Times New Roman"/>
                <w:noProof/>
                <w:sz w:val="24"/>
                <w:szCs w:val="24"/>
              </w:rPr>
              <w:t>‘</w:t>
            </w:r>
            <w:r w:rsidRPr="00A66671">
              <w:rPr>
                <w:rFonts w:ascii="Times New Roman" w:hAnsi="Times New Roman"/>
                <w:noProof/>
                <w:sz w:val="24"/>
                <w:szCs w:val="24"/>
              </w:rPr>
              <w:t>Aquatic food</w:t>
            </w:r>
            <w:r>
              <w:rPr>
                <w:rFonts w:ascii="Times New Roman" w:hAnsi="Times New Roman"/>
                <w:noProof/>
                <w:sz w:val="24"/>
                <w:szCs w:val="24"/>
              </w:rPr>
              <w:t>’</w:t>
            </w:r>
            <w:bookmarkEnd w:id="0"/>
            <w:r>
              <w:rPr>
                <w:rFonts w:ascii="Times New Roman" w:hAnsi="Times New Roman"/>
                <w:noProof/>
                <w:sz w:val="24"/>
                <w:szCs w:val="24"/>
              </w:rPr>
              <w:t xml:space="preserve"> along the lines of the suggested recommendation. </w:t>
            </w:r>
            <w:r w:rsidRPr="00A66671">
              <w:rPr>
                <w:rFonts w:ascii="Times New Roman" w:hAnsi="Times New Roman"/>
                <w:noProof/>
                <w:sz w:val="24"/>
                <w:szCs w:val="24"/>
              </w:rPr>
              <w:t>Fisheries and aquaculture are vital for food supply and food security. Yet, 70% of aquatic food consumed in the EU today is imported.</w:t>
            </w:r>
            <w:r>
              <w:rPr>
                <w:rFonts w:ascii="Times New Roman" w:hAnsi="Times New Roman"/>
                <w:noProof/>
                <w:sz w:val="24"/>
                <w:szCs w:val="24"/>
              </w:rPr>
              <w:t xml:space="preserve"> The campaign for EU aquatic food will thus c</w:t>
            </w:r>
            <w:r w:rsidRPr="00A66671">
              <w:rPr>
                <w:rFonts w:ascii="Times New Roman" w:hAnsi="Times New Roman"/>
                <w:noProof/>
                <w:sz w:val="24"/>
                <w:szCs w:val="24"/>
              </w:rPr>
              <w:t>omplement the Vision for Agriculture and Food</w:t>
            </w:r>
            <w:r>
              <w:rPr>
                <w:rStyle w:val="FootnoteReference"/>
                <w:rFonts w:ascii="Times New Roman" w:hAnsi="Times New Roman"/>
                <w:noProof/>
                <w:sz w:val="24"/>
                <w:szCs w:val="24"/>
              </w:rPr>
              <w:footnoteReference w:id="4"/>
            </w:r>
            <w:r w:rsidRPr="00A66671">
              <w:rPr>
                <w:rFonts w:ascii="Times New Roman" w:hAnsi="Times New Roman"/>
                <w:noProof/>
                <w:sz w:val="24"/>
                <w:szCs w:val="24"/>
              </w:rPr>
              <w:t xml:space="preserve">, the </w:t>
            </w:r>
            <w:r w:rsidRPr="00A66671">
              <w:rPr>
                <w:rFonts w:ascii="Times New Roman" w:hAnsi="Times New Roman" w:cs="Arial"/>
                <w:noProof/>
                <w:sz w:val="24"/>
                <w:szCs w:val="24"/>
              </w:rPr>
              <w:t xml:space="preserve">comprehensive </w:t>
            </w:r>
            <w:r w:rsidRPr="00E4595A">
              <w:rPr>
                <w:rFonts w:ascii="Times New Roman" w:hAnsi="Times New Roman" w:cs="Arial"/>
                <w:noProof/>
                <w:sz w:val="24"/>
                <w:szCs w:val="24"/>
              </w:rPr>
              <w:t>evaluation and possible revision of the CFP</w:t>
            </w:r>
            <w:r w:rsidRPr="00E4595A">
              <w:rPr>
                <w:rFonts w:ascii="Times New Roman" w:hAnsi="Times New Roman"/>
                <w:noProof/>
                <w:sz w:val="24"/>
                <w:szCs w:val="24"/>
              </w:rPr>
              <w:t>, covering also the</w:t>
            </w:r>
            <w:r w:rsidRPr="00336F8C">
              <w:rPr>
                <w:rFonts w:ascii="Times New Roman" w:hAnsi="Times New Roman"/>
                <w:noProof/>
                <w:sz w:val="24"/>
                <w:szCs w:val="24"/>
              </w:rPr>
              <w:t xml:space="preserve"> </w:t>
            </w:r>
            <w:r w:rsidRPr="00E4595A">
              <w:rPr>
                <w:rFonts w:ascii="Times New Roman" w:hAnsi="Times New Roman" w:cs="Arial"/>
                <w:noProof/>
                <w:sz w:val="24"/>
                <w:szCs w:val="24"/>
              </w:rPr>
              <w:t>Common Market Organisation (</w:t>
            </w:r>
            <w:r w:rsidRPr="00E4595A">
              <w:rPr>
                <w:rFonts w:ascii="Times New Roman" w:hAnsi="Times New Roman"/>
                <w:noProof/>
                <w:sz w:val="24"/>
                <w:szCs w:val="24"/>
              </w:rPr>
              <w:t>CMO)</w:t>
            </w:r>
            <w:r>
              <w:rPr>
                <w:rStyle w:val="FootnoteReference"/>
                <w:rFonts w:ascii="Times New Roman" w:hAnsi="Times New Roman"/>
                <w:noProof/>
                <w:sz w:val="24"/>
                <w:szCs w:val="24"/>
              </w:rPr>
              <w:footnoteReference w:id="5"/>
            </w:r>
            <w:r w:rsidRPr="00E4595A">
              <w:rPr>
                <w:rFonts w:ascii="Times New Roman" w:hAnsi="Times New Roman"/>
                <w:noProof/>
                <w:sz w:val="24"/>
                <w:szCs w:val="24"/>
              </w:rPr>
              <w:t xml:space="preserve">, </w:t>
            </w:r>
            <w:r w:rsidRPr="00336F8C">
              <w:rPr>
                <w:rFonts w:ascii="Times New Roman" w:hAnsi="Times New Roman"/>
                <w:noProof/>
                <w:sz w:val="24"/>
                <w:szCs w:val="24"/>
              </w:rPr>
              <w:t xml:space="preserve">and the </w:t>
            </w:r>
            <w:r w:rsidRPr="00E4595A">
              <w:rPr>
                <w:rFonts w:ascii="Times New Roman" w:hAnsi="Times New Roman"/>
                <w:noProof/>
                <w:sz w:val="24"/>
                <w:szCs w:val="24"/>
              </w:rPr>
              <w:t>Vision 2040 for fisheries and aquaculture</w:t>
            </w:r>
            <w:r w:rsidRPr="00336F8C">
              <w:rPr>
                <w:rFonts w:ascii="Times New Roman" w:hAnsi="Times New Roman"/>
                <w:noProof/>
                <w:sz w:val="24"/>
                <w:szCs w:val="24"/>
              </w:rPr>
              <w:t>.</w:t>
            </w:r>
          </w:p>
          <w:p w14:paraId="0E99A7CE" w14:textId="7078A924" w:rsidR="00B7029F" w:rsidRDefault="00BD4599" w:rsidP="002E1AF1">
            <w:pPr>
              <w:widowControl w:val="0"/>
              <w:spacing w:before="120" w:after="120"/>
              <w:jc w:val="both"/>
              <w:rPr>
                <w:rFonts w:ascii="Times New Roman" w:hAnsi="Times New Roman"/>
                <w:noProof/>
                <w:sz w:val="24"/>
                <w:szCs w:val="24"/>
              </w:rPr>
            </w:pPr>
            <w:r w:rsidRPr="00E4595A">
              <w:rPr>
                <w:rFonts w:ascii="Times New Roman" w:hAnsi="Times New Roman"/>
                <w:sz w:val="24"/>
                <w:szCs w:val="24"/>
                <w:u w:val="single"/>
              </w:rPr>
              <w:t>On</w:t>
            </w:r>
            <w:r w:rsidR="00B7029F" w:rsidRPr="00E4595A">
              <w:rPr>
                <w:rFonts w:ascii="Times New Roman" w:hAnsi="Times New Roman"/>
                <w:sz w:val="24"/>
                <w:szCs w:val="24"/>
                <w:u w:val="single"/>
              </w:rPr>
              <w:t xml:space="preserve"> recommendation 1.7.</w:t>
            </w:r>
            <w:r w:rsidR="00B7029F" w:rsidRPr="008F1D5C">
              <w:rPr>
                <w:rFonts w:ascii="Times New Roman" w:hAnsi="Times New Roman"/>
                <w:sz w:val="24"/>
                <w:szCs w:val="24"/>
              </w:rPr>
              <w:t xml:space="preserve"> </w:t>
            </w:r>
            <w:r>
              <w:rPr>
                <w:rFonts w:ascii="Times New Roman" w:hAnsi="Times New Roman"/>
                <w:sz w:val="24"/>
                <w:szCs w:val="24"/>
              </w:rPr>
              <w:t>and</w:t>
            </w:r>
            <w:r w:rsidR="00B7029F">
              <w:rPr>
                <w:rFonts w:ascii="Times New Roman" w:hAnsi="Times New Roman"/>
                <w:sz w:val="24"/>
                <w:szCs w:val="24"/>
              </w:rPr>
              <w:t xml:space="preserve"> the call for </w:t>
            </w:r>
            <w:proofErr w:type="spellStart"/>
            <w:r w:rsidR="00E14486">
              <w:rPr>
                <w:rFonts w:ascii="Times New Roman" w:hAnsi="Times New Roman"/>
                <w:sz w:val="24"/>
                <w:szCs w:val="24"/>
              </w:rPr>
              <w:t>ʻ</w:t>
            </w:r>
            <w:r w:rsidR="00B7029F" w:rsidRPr="000F5720">
              <w:rPr>
                <w:rFonts w:ascii="Times New Roman" w:hAnsi="Times New Roman"/>
                <w:i/>
                <w:iCs/>
                <w:sz w:val="24"/>
                <w:szCs w:val="24"/>
              </w:rPr>
              <w:t>funding</w:t>
            </w:r>
            <w:proofErr w:type="spellEnd"/>
            <w:r w:rsidR="00B7029F" w:rsidRPr="000F5720">
              <w:rPr>
                <w:rFonts w:ascii="Times New Roman" w:hAnsi="Times New Roman"/>
                <w:i/>
                <w:iCs/>
                <w:sz w:val="24"/>
                <w:szCs w:val="24"/>
              </w:rPr>
              <w:t xml:space="preserve"> to be mobilised for ocean action in support of SDG</w:t>
            </w:r>
            <w:r w:rsidR="00A84A7A">
              <w:rPr>
                <w:rFonts w:ascii="Times New Roman" w:hAnsi="Times New Roman"/>
                <w:i/>
                <w:iCs/>
                <w:sz w:val="24"/>
                <w:szCs w:val="24"/>
              </w:rPr>
              <w:t> </w:t>
            </w:r>
            <w:r w:rsidR="00B7029F" w:rsidRPr="000F5720">
              <w:rPr>
                <w:rFonts w:ascii="Times New Roman" w:hAnsi="Times New Roman"/>
                <w:i/>
                <w:iCs/>
                <w:sz w:val="24"/>
                <w:szCs w:val="24"/>
              </w:rPr>
              <w:t>14</w:t>
            </w:r>
            <w:r w:rsidR="00E14486">
              <w:rPr>
                <w:rFonts w:ascii="Times New Roman" w:hAnsi="Times New Roman"/>
                <w:sz w:val="24"/>
                <w:szCs w:val="24"/>
              </w:rPr>
              <w:t>’</w:t>
            </w:r>
            <w:r w:rsidR="00B7029F">
              <w:rPr>
                <w:rFonts w:ascii="Times New Roman" w:hAnsi="Times New Roman"/>
                <w:sz w:val="24"/>
                <w:szCs w:val="24"/>
              </w:rPr>
              <w:t>, the Ocean Pact states that t</w:t>
            </w:r>
            <w:r w:rsidR="00B7029F" w:rsidRPr="00A66671">
              <w:rPr>
                <w:rFonts w:ascii="Times New Roman" w:hAnsi="Times New Roman"/>
                <w:noProof/>
                <w:sz w:val="24"/>
                <w:szCs w:val="24"/>
              </w:rPr>
              <w:t xml:space="preserve">he initiatives </w:t>
            </w:r>
            <w:r>
              <w:rPr>
                <w:rFonts w:ascii="Times New Roman" w:hAnsi="Times New Roman"/>
                <w:noProof/>
                <w:sz w:val="24"/>
                <w:szCs w:val="24"/>
              </w:rPr>
              <w:t>therein</w:t>
            </w:r>
            <w:r w:rsidR="00B7029F" w:rsidRPr="00A66671">
              <w:rPr>
                <w:rFonts w:ascii="Times New Roman" w:hAnsi="Times New Roman"/>
                <w:noProof/>
                <w:sz w:val="24"/>
                <w:szCs w:val="24"/>
              </w:rPr>
              <w:t xml:space="preserve"> need investments and funding from private and public sources. An</w:t>
            </w:r>
            <w:r w:rsidR="00E14486">
              <w:rPr>
                <w:rFonts w:ascii="Times New Roman" w:hAnsi="Times New Roman"/>
                <w:noProof/>
                <w:sz w:val="24"/>
                <w:szCs w:val="24"/>
              </w:rPr>
              <w:t xml:space="preserve"> </w:t>
            </w:r>
            <w:r w:rsidR="00B7029F" w:rsidRPr="00A66671">
              <w:rPr>
                <w:rFonts w:ascii="Times New Roman" w:hAnsi="Times New Roman"/>
                <w:noProof/>
                <w:sz w:val="24"/>
                <w:szCs w:val="24"/>
              </w:rPr>
              <w:t>integrated approach to funding and ocean-relevant policies will cover a broad range of elements: the conservation of marine biological resources as one of the five EU exclusive competences, the restoration of marine biodiversity, the management of and innovation in fisheries and sustainable aquaculture activities, the activities on implementing the C</w:t>
            </w:r>
            <w:r w:rsidR="001A68A7">
              <w:rPr>
                <w:rFonts w:ascii="Times New Roman" w:hAnsi="Times New Roman"/>
                <w:noProof/>
                <w:sz w:val="24"/>
                <w:szCs w:val="24"/>
              </w:rPr>
              <w:t xml:space="preserve">ommon </w:t>
            </w:r>
            <w:r w:rsidR="00B7029F" w:rsidRPr="00A66671">
              <w:rPr>
                <w:rFonts w:ascii="Times New Roman" w:hAnsi="Times New Roman"/>
                <w:noProof/>
                <w:sz w:val="24"/>
                <w:szCs w:val="24"/>
              </w:rPr>
              <w:t>F</w:t>
            </w:r>
            <w:r w:rsidR="001A68A7">
              <w:rPr>
                <w:rFonts w:ascii="Times New Roman" w:hAnsi="Times New Roman"/>
                <w:noProof/>
                <w:sz w:val="24"/>
                <w:szCs w:val="24"/>
              </w:rPr>
              <w:t xml:space="preserve">isheries </w:t>
            </w:r>
            <w:r w:rsidR="00B7029F" w:rsidRPr="00A66671">
              <w:rPr>
                <w:rFonts w:ascii="Times New Roman" w:hAnsi="Times New Roman"/>
                <w:noProof/>
                <w:sz w:val="24"/>
                <w:szCs w:val="24"/>
              </w:rPr>
              <w:t>P</w:t>
            </w:r>
            <w:r w:rsidR="001A68A7">
              <w:rPr>
                <w:rFonts w:ascii="Times New Roman" w:hAnsi="Times New Roman"/>
                <w:noProof/>
                <w:sz w:val="24"/>
                <w:szCs w:val="24"/>
              </w:rPr>
              <w:t>olicy</w:t>
            </w:r>
            <w:r>
              <w:rPr>
                <w:rFonts w:ascii="Times New Roman" w:hAnsi="Times New Roman"/>
                <w:noProof/>
                <w:sz w:val="24"/>
                <w:szCs w:val="24"/>
              </w:rPr>
              <w:t xml:space="preserve"> (CFP)</w:t>
            </w:r>
            <w:r>
              <w:rPr>
                <w:rStyle w:val="FootnoteReference"/>
                <w:rFonts w:ascii="Times New Roman" w:hAnsi="Times New Roman"/>
                <w:noProof/>
                <w:sz w:val="24"/>
                <w:szCs w:val="24"/>
              </w:rPr>
              <w:footnoteReference w:id="6"/>
            </w:r>
            <w:r w:rsidR="00B7029F" w:rsidRPr="00A66671">
              <w:rPr>
                <w:rFonts w:ascii="Times New Roman" w:hAnsi="Times New Roman"/>
                <w:noProof/>
                <w:sz w:val="24"/>
                <w:szCs w:val="24"/>
              </w:rPr>
              <w:t xml:space="preserve">, ocean knowledge, maritime security, food security, developing and scaling-up a competitive and sustainable blue economy, including offshore and ocean energy, biotech and desalination, </w:t>
            </w:r>
            <w:bookmarkStart w:id="1" w:name="_Hlk199409613"/>
            <w:r w:rsidR="00B7029F" w:rsidRPr="00A66671">
              <w:rPr>
                <w:rFonts w:ascii="Times New Roman" w:hAnsi="Times New Roman"/>
                <w:noProof/>
                <w:sz w:val="24"/>
                <w:szCs w:val="24"/>
              </w:rPr>
              <w:t>safeguarding underwater cultural heritage</w:t>
            </w:r>
            <w:bookmarkEnd w:id="1"/>
            <w:r w:rsidR="00B7029F" w:rsidRPr="00A66671">
              <w:rPr>
                <w:rFonts w:ascii="Times New Roman" w:hAnsi="Times New Roman"/>
                <w:noProof/>
                <w:sz w:val="24"/>
                <w:szCs w:val="24"/>
              </w:rPr>
              <w:t>, supporting other blue economy sectors and industries to become climate neutral, deploy smart solutions, as well as support maritime spatial planning</w:t>
            </w:r>
            <w:r w:rsidR="000F5720">
              <w:rPr>
                <w:rFonts w:ascii="Times New Roman" w:hAnsi="Times New Roman"/>
                <w:noProof/>
                <w:sz w:val="24"/>
                <w:szCs w:val="24"/>
              </w:rPr>
              <w:t xml:space="preserve">. </w:t>
            </w:r>
            <w:r w:rsidR="006C64F0" w:rsidRPr="006C64F0">
              <w:rPr>
                <w:rFonts w:ascii="Times New Roman" w:hAnsi="Times New Roman"/>
                <w:noProof/>
                <w:sz w:val="24"/>
                <w:szCs w:val="24"/>
              </w:rPr>
              <w:t>A</w:t>
            </w:r>
            <w:r w:rsidR="00AB26E3">
              <w:rPr>
                <w:rFonts w:ascii="Times New Roman" w:hAnsi="Times New Roman"/>
                <w:noProof/>
                <w:sz w:val="24"/>
                <w:szCs w:val="24"/>
              </w:rPr>
              <w:t>s a commitmen</w:t>
            </w:r>
            <w:r w:rsidR="006C64F0" w:rsidRPr="006C64F0">
              <w:rPr>
                <w:rFonts w:ascii="Times New Roman" w:hAnsi="Times New Roman"/>
                <w:noProof/>
                <w:sz w:val="24"/>
                <w:szCs w:val="24"/>
              </w:rPr>
              <w:t>t</w:t>
            </w:r>
            <w:r w:rsidR="00AB26E3">
              <w:rPr>
                <w:rFonts w:ascii="Times New Roman" w:hAnsi="Times New Roman"/>
                <w:noProof/>
                <w:sz w:val="24"/>
                <w:szCs w:val="24"/>
              </w:rPr>
              <w:t xml:space="preserve"> to</w:t>
            </w:r>
            <w:r w:rsidR="006C64F0" w:rsidRPr="006C64F0">
              <w:rPr>
                <w:rFonts w:ascii="Times New Roman" w:hAnsi="Times New Roman"/>
                <w:noProof/>
                <w:sz w:val="24"/>
                <w:szCs w:val="24"/>
              </w:rPr>
              <w:t xml:space="preserve"> the 2025 U</w:t>
            </w:r>
            <w:r w:rsidR="00E14486">
              <w:rPr>
                <w:rFonts w:ascii="Times New Roman" w:hAnsi="Times New Roman"/>
                <w:noProof/>
                <w:sz w:val="24"/>
                <w:szCs w:val="24"/>
              </w:rPr>
              <w:t xml:space="preserve">nited </w:t>
            </w:r>
            <w:r w:rsidR="006C64F0" w:rsidRPr="006C64F0">
              <w:rPr>
                <w:rFonts w:ascii="Times New Roman" w:hAnsi="Times New Roman"/>
                <w:noProof/>
                <w:sz w:val="24"/>
                <w:szCs w:val="24"/>
              </w:rPr>
              <w:t>N</w:t>
            </w:r>
            <w:r w:rsidR="00E14486">
              <w:rPr>
                <w:rFonts w:ascii="Times New Roman" w:hAnsi="Times New Roman"/>
                <w:noProof/>
                <w:sz w:val="24"/>
                <w:szCs w:val="24"/>
              </w:rPr>
              <w:t>ations</w:t>
            </w:r>
            <w:r w:rsidR="006C64F0" w:rsidRPr="006C64F0">
              <w:rPr>
                <w:rFonts w:ascii="Times New Roman" w:hAnsi="Times New Roman"/>
                <w:noProof/>
                <w:sz w:val="24"/>
                <w:szCs w:val="24"/>
              </w:rPr>
              <w:t xml:space="preserve"> Ocean</w:t>
            </w:r>
            <w:r>
              <w:rPr>
                <w:rFonts w:ascii="Times New Roman" w:hAnsi="Times New Roman"/>
                <w:noProof/>
                <w:sz w:val="24"/>
                <w:szCs w:val="24"/>
              </w:rPr>
              <w:t xml:space="preserve"> </w:t>
            </w:r>
            <w:r w:rsidR="00BD263C">
              <w:rPr>
                <w:rFonts w:ascii="Times New Roman" w:hAnsi="Times New Roman"/>
                <w:noProof/>
                <w:sz w:val="24"/>
                <w:szCs w:val="24"/>
              </w:rPr>
              <w:t>Conference</w:t>
            </w:r>
            <w:r w:rsidR="006C64F0" w:rsidRPr="006C64F0">
              <w:rPr>
                <w:rFonts w:ascii="Times New Roman" w:hAnsi="Times New Roman"/>
                <w:noProof/>
                <w:sz w:val="24"/>
                <w:szCs w:val="24"/>
              </w:rPr>
              <w:t xml:space="preserve">, </w:t>
            </w:r>
            <w:r w:rsidR="006C64F0" w:rsidRPr="004F1418">
              <w:rPr>
                <w:rFonts w:ascii="Times New Roman" w:hAnsi="Times New Roman"/>
                <w:noProof/>
                <w:sz w:val="24"/>
                <w:szCs w:val="24"/>
              </w:rPr>
              <w:t xml:space="preserve">President von der Leyen announced an investment of </w:t>
            </w:r>
            <w:r w:rsidR="001A68A7" w:rsidRPr="004F1418">
              <w:rPr>
                <w:rFonts w:ascii="Times New Roman" w:hAnsi="Times New Roman"/>
                <w:noProof/>
                <w:sz w:val="24"/>
                <w:szCs w:val="24"/>
              </w:rPr>
              <w:t>EUR</w:t>
            </w:r>
            <w:r w:rsidR="00E14486">
              <w:rPr>
                <w:rFonts w:ascii="Times New Roman" w:hAnsi="Times New Roman"/>
                <w:noProof/>
                <w:sz w:val="24"/>
                <w:szCs w:val="24"/>
              </w:rPr>
              <w:t> </w:t>
            </w:r>
            <w:r w:rsidR="006C64F0" w:rsidRPr="004F1418">
              <w:rPr>
                <w:rFonts w:ascii="Times New Roman" w:hAnsi="Times New Roman"/>
                <w:noProof/>
                <w:sz w:val="24"/>
                <w:szCs w:val="24"/>
              </w:rPr>
              <w:t>1</w:t>
            </w:r>
            <w:r w:rsidR="00E14486">
              <w:rPr>
                <w:rFonts w:ascii="Times New Roman" w:hAnsi="Times New Roman"/>
                <w:noProof/>
                <w:sz w:val="24"/>
                <w:szCs w:val="24"/>
              </w:rPr>
              <w:t> </w:t>
            </w:r>
            <w:r w:rsidR="006C64F0" w:rsidRPr="004F1418">
              <w:rPr>
                <w:rFonts w:ascii="Times New Roman" w:hAnsi="Times New Roman"/>
                <w:noProof/>
                <w:sz w:val="24"/>
                <w:szCs w:val="24"/>
              </w:rPr>
              <w:t>billion</w:t>
            </w:r>
            <w:r w:rsidR="004F1418">
              <w:rPr>
                <w:rStyle w:val="FootnoteReference"/>
                <w:rFonts w:ascii="Times New Roman" w:hAnsi="Times New Roman"/>
                <w:noProof/>
                <w:sz w:val="24"/>
                <w:szCs w:val="24"/>
              </w:rPr>
              <w:footnoteReference w:id="7"/>
            </w:r>
            <w:r w:rsidR="00485A04">
              <w:rPr>
                <w:rFonts w:ascii="Times New Roman" w:hAnsi="Times New Roman"/>
                <w:noProof/>
                <w:sz w:val="24"/>
                <w:szCs w:val="24"/>
              </w:rPr>
              <w:t xml:space="preserve"> </w:t>
            </w:r>
            <w:r w:rsidR="006C64F0" w:rsidRPr="006C64F0">
              <w:rPr>
                <w:rFonts w:ascii="Times New Roman" w:hAnsi="Times New Roman"/>
                <w:noProof/>
                <w:sz w:val="24"/>
                <w:szCs w:val="24"/>
              </w:rPr>
              <w:t>to support ocean conservation,</w:t>
            </w:r>
            <w:r w:rsidR="00E14486">
              <w:rPr>
                <w:rFonts w:ascii="Times New Roman" w:hAnsi="Times New Roman"/>
                <w:noProof/>
                <w:sz w:val="24"/>
                <w:szCs w:val="24"/>
              </w:rPr>
              <w:t xml:space="preserve"> </w:t>
            </w:r>
            <w:r w:rsidR="006C64F0" w:rsidRPr="006C64F0">
              <w:rPr>
                <w:rFonts w:ascii="Times New Roman" w:hAnsi="Times New Roman"/>
                <w:noProof/>
                <w:sz w:val="24"/>
                <w:szCs w:val="24"/>
              </w:rPr>
              <w:t>science and sustainable fishing.</w:t>
            </w:r>
          </w:p>
          <w:p w14:paraId="35714FBA" w14:textId="4E37157B" w:rsidR="60687F28" w:rsidRPr="00BD4599" w:rsidRDefault="00BD4599" w:rsidP="002E1AF1">
            <w:pPr>
              <w:widowControl w:val="0"/>
              <w:spacing w:before="120" w:after="120"/>
              <w:jc w:val="both"/>
              <w:rPr>
                <w:rFonts w:ascii="Times New Roman" w:eastAsia="Times New Roman" w:hAnsi="Times New Roman"/>
                <w:noProof/>
                <w:sz w:val="24"/>
                <w:szCs w:val="24"/>
              </w:rPr>
            </w:pPr>
            <w:r w:rsidRPr="00E4595A">
              <w:rPr>
                <w:rFonts w:ascii="Times New Roman" w:hAnsi="Times New Roman"/>
                <w:sz w:val="24"/>
                <w:szCs w:val="24"/>
                <w:u w:val="single"/>
              </w:rPr>
              <w:t>On</w:t>
            </w:r>
            <w:r w:rsidR="60687F28" w:rsidRPr="00E4595A">
              <w:rPr>
                <w:rFonts w:ascii="Times New Roman" w:hAnsi="Times New Roman"/>
                <w:sz w:val="24"/>
                <w:szCs w:val="24"/>
                <w:u w:val="single"/>
              </w:rPr>
              <w:t xml:space="preserve"> recommendation 1.</w:t>
            </w:r>
            <w:r w:rsidR="5284CB88" w:rsidRPr="00E4595A">
              <w:rPr>
                <w:rFonts w:ascii="Times New Roman" w:hAnsi="Times New Roman"/>
                <w:sz w:val="24"/>
                <w:szCs w:val="24"/>
                <w:u w:val="single"/>
              </w:rPr>
              <w:t>8</w:t>
            </w:r>
            <w:r w:rsidR="60687F28" w:rsidRPr="00E4595A">
              <w:rPr>
                <w:rFonts w:ascii="Times New Roman" w:hAnsi="Times New Roman"/>
                <w:sz w:val="24"/>
                <w:szCs w:val="24"/>
                <w:u w:val="single"/>
              </w:rPr>
              <w:t>.</w:t>
            </w:r>
            <w:r w:rsidR="60687F28" w:rsidRPr="71F2017D">
              <w:rPr>
                <w:rFonts w:ascii="Times New Roman" w:hAnsi="Times New Roman"/>
                <w:sz w:val="24"/>
                <w:szCs w:val="24"/>
              </w:rPr>
              <w:t xml:space="preserve"> </w:t>
            </w:r>
            <w:r w:rsidR="5284CB88" w:rsidRPr="71F2017D">
              <w:rPr>
                <w:rFonts w:ascii="Times New Roman" w:hAnsi="Times New Roman"/>
                <w:sz w:val="24"/>
                <w:szCs w:val="24"/>
              </w:rPr>
              <w:t xml:space="preserve">to </w:t>
            </w:r>
            <w:r>
              <w:rPr>
                <w:rFonts w:ascii="Times New Roman" w:hAnsi="Times New Roman"/>
                <w:sz w:val="24"/>
                <w:szCs w:val="24"/>
              </w:rPr>
              <w:t>‘</w:t>
            </w:r>
            <w:r w:rsidR="5284CB88" w:rsidRPr="71F2017D">
              <w:rPr>
                <w:rFonts w:ascii="Times New Roman" w:hAnsi="Times New Roman"/>
                <w:i/>
                <w:iCs/>
                <w:sz w:val="24"/>
                <w:szCs w:val="24"/>
              </w:rPr>
              <w:t>boosting international scientific cooperation</w:t>
            </w:r>
            <w:r w:rsidR="279D72CA" w:rsidRPr="71F2017D">
              <w:rPr>
                <w:rFonts w:ascii="Times New Roman" w:hAnsi="Times New Roman"/>
                <w:i/>
                <w:iCs/>
                <w:sz w:val="24"/>
                <w:szCs w:val="24"/>
              </w:rPr>
              <w:t>, promoting technological innovation in the maritime sector and allocating more resources to research institutes. Furthermore, it is essential to translate scientific knowledge into effective policies for protection and sustainable us</w:t>
            </w:r>
            <w:r w:rsidR="00F736A1">
              <w:rPr>
                <w:rFonts w:ascii="Times New Roman" w:hAnsi="Times New Roman"/>
                <w:i/>
                <w:iCs/>
                <w:sz w:val="24"/>
                <w:szCs w:val="24"/>
              </w:rPr>
              <w:t>e</w:t>
            </w:r>
            <w:r>
              <w:rPr>
                <w:rFonts w:ascii="Times New Roman" w:hAnsi="Times New Roman"/>
                <w:sz w:val="24"/>
                <w:szCs w:val="24"/>
              </w:rPr>
              <w:t>’</w:t>
            </w:r>
            <w:r w:rsidR="5284CB88" w:rsidRPr="71F2017D">
              <w:rPr>
                <w:rFonts w:ascii="Times New Roman" w:hAnsi="Times New Roman"/>
                <w:sz w:val="24"/>
                <w:szCs w:val="24"/>
              </w:rPr>
              <w:t xml:space="preserve">, the Ocean Pact clearly points out that </w:t>
            </w:r>
            <w:r w:rsidR="5284CB88" w:rsidRPr="71F2017D">
              <w:rPr>
                <w:rFonts w:ascii="Times New Roman" w:hAnsi="Times New Roman"/>
                <w:noProof/>
                <w:sz w:val="24"/>
                <w:szCs w:val="24"/>
              </w:rPr>
              <w:t xml:space="preserve">the EU relies substantively on cooperation with international partners for ocean observation. In a risky geopolitical world, however, Europe must become independent and autonomous in all critical ocean infrastructures, data and information services, while preserving and enhancing international scientific collaboration whenever possible. Therefore, the Ocean Pact proposes to step up European efforts by launching an ambitious </w:t>
            </w:r>
            <w:r>
              <w:rPr>
                <w:rFonts w:ascii="Times New Roman" w:hAnsi="Times New Roman"/>
                <w:noProof/>
                <w:sz w:val="24"/>
                <w:szCs w:val="24"/>
              </w:rPr>
              <w:t>O</w:t>
            </w:r>
            <w:r w:rsidR="5284CB88" w:rsidRPr="71F2017D">
              <w:rPr>
                <w:rFonts w:ascii="Times New Roman" w:hAnsi="Times New Roman"/>
                <w:noProof/>
                <w:sz w:val="24"/>
                <w:szCs w:val="24"/>
              </w:rPr>
              <w:t xml:space="preserve">cean </w:t>
            </w:r>
            <w:r>
              <w:rPr>
                <w:rFonts w:ascii="Times New Roman" w:hAnsi="Times New Roman"/>
                <w:noProof/>
                <w:sz w:val="24"/>
                <w:szCs w:val="24"/>
              </w:rPr>
              <w:t>O</w:t>
            </w:r>
            <w:r w:rsidR="5284CB88" w:rsidRPr="71F2017D">
              <w:rPr>
                <w:rFonts w:ascii="Times New Roman" w:hAnsi="Times New Roman"/>
                <w:noProof/>
                <w:sz w:val="24"/>
                <w:szCs w:val="24"/>
              </w:rPr>
              <w:t>bservation initiative, including for the coastal and deep sea, covering the entire knowledge value chain, and taking a leading international role, to deliver critical information to all marine actors and sectors. The EU Ocean Observation Initiative</w:t>
            </w:r>
            <w:r w:rsidR="00437B13">
              <w:rPr>
                <w:rStyle w:val="FootnoteReference"/>
                <w:rFonts w:ascii="Times New Roman" w:hAnsi="Times New Roman"/>
                <w:noProof/>
                <w:sz w:val="24"/>
                <w:szCs w:val="24"/>
              </w:rPr>
              <w:footnoteReference w:id="8"/>
            </w:r>
            <w:r w:rsidR="5284CB88" w:rsidRPr="71F2017D">
              <w:rPr>
                <w:rFonts w:ascii="Times New Roman" w:hAnsi="Times New Roman"/>
                <w:noProof/>
                <w:sz w:val="24"/>
                <w:szCs w:val="24"/>
              </w:rPr>
              <w:t>,</w:t>
            </w:r>
            <w:r w:rsidR="5284CB88" w:rsidRPr="71F2017D">
              <w:rPr>
                <w:rFonts w:ascii="Times New Roman" w:hAnsi="Times New Roman"/>
                <w:b/>
                <w:bCs/>
                <w:noProof/>
                <w:sz w:val="24"/>
                <w:szCs w:val="24"/>
              </w:rPr>
              <w:t xml:space="preserve"> </w:t>
            </w:r>
            <w:r w:rsidR="5284CB88" w:rsidRPr="71F2017D">
              <w:rPr>
                <w:rFonts w:ascii="Times New Roman" w:hAnsi="Times New Roman"/>
                <w:noProof/>
                <w:sz w:val="24"/>
                <w:szCs w:val="24"/>
              </w:rPr>
              <w:t>covering observation campaigns, data processing, infrastructures and the provision of key services</w:t>
            </w:r>
            <w:r w:rsidR="5284CB88" w:rsidRPr="71F2017D">
              <w:rPr>
                <w:rFonts w:ascii="Times New Roman" w:hAnsi="Times New Roman"/>
                <w:b/>
                <w:bCs/>
                <w:noProof/>
                <w:sz w:val="24"/>
                <w:szCs w:val="24"/>
              </w:rPr>
              <w:t xml:space="preserve"> </w:t>
            </w:r>
            <w:r w:rsidR="5284CB88" w:rsidRPr="71F2017D">
              <w:rPr>
                <w:rFonts w:ascii="Times New Roman" w:hAnsi="Times New Roman"/>
                <w:noProof/>
                <w:sz w:val="24"/>
                <w:szCs w:val="24"/>
              </w:rPr>
              <w:t>will be the next chapter in the discovery of our planet’s inner space and will connect, scale, govern and secure ocean observing capacities.</w:t>
            </w:r>
            <w:r w:rsidR="56EA9055" w:rsidRPr="71F2017D">
              <w:rPr>
                <w:rFonts w:ascii="Times New Roman" w:eastAsia="Times New Roman" w:hAnsi="Times New Roman"/>
                <w:noProof/>
                <w:sz w:val="24"/>
                <w:szCs w:val="24"/>
              </w:rPr>
              <w:t xml:space="preserve"> The Ocean Pact also announces </w:t>
            </w:r>
            <w:r w:rsidR="56EA9055" w:rsidRPr="00BD4599">
              <w:rPr>
                <w:rFonts w:ascii="Times New Roman" w:eastAsia="Times New Roman" w:hAnsi="Times New Roman"/>
                <w:noProof/>
                <w:sz w:val="24"/>
                <w:szCs w:val="24"/>
              </w:rPr>
              <w:t xml:space="preserve">the development of an EU Ocean Research </w:t>
            </w:r>
            <w:r w:rsidR="56EA9055" w:rsidRPr="00BD4599">
              <w:rPr>
                <w:rFonts w:ascii="Times New Roman" w:eastAsia="Times New Roman" w:hAnsi="Times New Roman"/>
                <w:noProof/>
                <w:sz w:val="24"/>
                <w:szCs w:val="24"/>
              </w:rPr>
              <w:lastRenderedPageBreak/>
              <w:t>and Innovation Strategy. The strategy will identify ocean knowledge gaps and relevant research and innovation solutions for ocean challenges, and serve to strengthen science-based policy-making and will also lay the foundations for coherent future EU investments in ocean science, research and innovation.</w:t>
            </w:r>
          </w:p>
          <w:p w14:paraId="0E2DD9C0" w14:textId="1DFB6040" w:rsidR="004C4C12" w:rsidRPr="007D3954" w:rsidRDefault="00BD4599" w:rsidP="002E1AF1">
            <w:pPr>
              <w:widowControl w:val="0"/>
              <w:spacing w:before="120" w:after="120"/>
              <w:jc w:val="both"/>
              <w:rPr>
                <w:rFonts w:ascii="Times New Roman" w:eastAsia="Aptos" w:hAnsi="Times New Roman"/>
                <w:noProof/>
              </w:rPr>
            </w:pPr>
            <w:r w:rsidRPr="00E4595A">
              <w:rPr>
                <w:rFonts w:ascii="Times New Roman" w:eastAsia="Aptos" w:hAnsi="Times New Roman"/>
                <w:noProof/>
                <w:sz w:val="24"/>
                <w:szCs w:val="24"/>
                <w:u w:val="single"/>
              </w:rPr>
              <w:t>On</w:t>
            </w:r>
            <w:r w:rsidR="004C4C12" w:rsidRPr="00E4595A">
              <w:rPr>
                <w:rFonts w:ascii="Times New Roman" w:eastAsia="Aptos" w:hAnsi="Times New Roman"/>
                <w:noProof/>
                <w:sz w:val="24"/>
                <w:szCs w:val="24"/>
                <w:u w:val="single"/>
              </w:rPr>
              <w:t xml:space="preserve"> recommendation 1.9.</w:t>
            </w:r>
            <w:r w:rsidR="004C4C12" w:rsidRPr="007D3954">
              <w:rPr>
                <w:rFonts w:ascii="Times New Roman" w:eastAsia="Aptos" w:hAnsi="Times New Roman"/>
                <w:noProof/>
                <w:sz w:val="24"/>
                <w:szCs w:val="24"/>
              </w:rPr>
              <w:t xml:space="preserve"> </w:t>
            </w:r>
            <w:r>
              <w:rPr>
                <w:rFonts w:ascii="Times New Roman" w:eastAsia="Aptos" w:hAnsi="Times New Roman"/>
                <w:noProof/>
                <w:sz w:val="24"/>
                <w:szCs w:val="24"/>
              </w:rPr>
              <w:t>for</w:t>
            </w:r>
            <w:r w:rsidR="004C4C12" w:rsidRPr="007D3954">
              <w:rPr>
                <w:rFonts w:ascii="Times New Roman" w:eastAsia="Aptos" w:hAnsi="Times New Roman"/>
                <w:noProof/>
                <w:sz w:val="24"/>
                <w:szCs w:val="24"/>
              </w:rPr>
              <w:t xml:space="preserve"> preserving</w:t>
            </w:r>
            <w:r w:rsidR="004C4C12" w:rsidRPr="007D3954">
              <w:rPr>
                <w:rFonts w:ascii="Times New Roman" w:hAnsi="Times New Roman"/>
                <w:i/>
                <w:iCs/>
                <w:noProof/>
                <w:sz w:val="24"/>
                <w:szCs w:val="24"/>
              </w:rPr>
              <w:t xml:space="preserve"> </w:t>
            </w:r>
            <w:r w:rsidR="004C4C12" w:rsidRPr="007D3954">
              <w:rPr>
                <w:rFonts w:ascii="Times New Roman" w:eastAsia="Aptos" w:hAnsi="Times New Roman"/>
                <w:noProof/>
                <w:sz w:val="24"/>
                <w:szCs w:val="24"/>
              </w:rPr>
              <w:t>maritime cultural heritage,</w:t>
            </w:r>
            <w:r w:rsidR="004C4C12" w:rsidRPr="007D3954">
              <w:rPr>
                <w:rFonts w:ascii="Times New Roman" w:eastAsia="Aptos" w:hAnsi="Times New Roman"/>
                <w:i/>
                <w:iCs/>
                <w:noProof/>
                <w:sz w:val="24"/>
                <w:szCs w:val="24"/>
              </w:rPr>
              <w:t xml:space="preserve"> </w:t>
            </w:r>
            <w:r w:rsidR="004C4C12" w:rsidRPr="007D3954">
              <w:rPr>
                <w:rFonts w:ascii="Times New Roman" w:eastAsia="Aptos" w:hAnsi="Times New Roman"/>
                <w:noProof/>
                <w:sz w:val="24"/>
                <w:szCs w:val="24"/>
              </w:rPr>
              <w:t>the Commission supports the preservation of all forms of cultural heritage – including maritime heritage – through its funding programmes such as Creative Europe</w:t>
            </w:r>
            <w:r w:rsidR="004C4C12" w:rsidRPr="002D238D">
              <w:rPr>
                <w:rStyle w:val="FootnoteReference"/>
                <w:rFonts w:ascii="Times New Roman" w:hAnsi="Times New Roman"/>
                <w:sz w:val="24"/>
                <w:szCs w:val="24"/>
                <w:lang w:val="en-IE"/>
              </w:rPr>
              <w:footnoteReference w:id="9"/>
            </w:r>
            <w:r w:rsidR="004C4C12" w:rsidRPr="007D3954">
              <w:rPr>
                <w:rFonts w:ascii="Times New Roman" w:eastAsia="Aptos" w:hAnsi="Times New Roman"/>
                <w:noProof/>
                <w:sz w:val="24"/>
                <w:szCs w:val="24"/>
              </w:rPr>
              <w:t>;</w:t>
            </w:r>
            <w:r w:rsidR="004C4C12" w:rsidRPr="007D3954">
              <w:rPr>
                <w:rFonts w:ascii="Times New Roman" w:eastAsia="Aptos" w:hAnsi="Times New Roman"/>
                <w:noProof/>
              </w:rPr>
              <w:t xml:space="preserve"> </w:t>
            </w:r>
            <w:r w:rsidR="004C4C12" w:rsidRPr="007D3954">
              <w:rPr>
                <w:rFonts w:ascii="Times New Roman" w:eastAsia="Aptos" w:hAnsi="Times New Roman"/>
                <w:noProof/>
                <w:sz w:val="24"/>
                <w:szCs w:val="24"/>
              </w:rPr>
              <w:t>Horizon Europe</w:t>
            </w:r>
            <w:r w:rsidR="004C4C12" w:rsidRPr="002D238D">
              <w:rPr>
                <w:rStyle w:val="FootnoteReference"/>
                <w:rFonts w:ascii="Times New Roman" w:hAnsi="Times New Roman"/>
                <w:sz w:val="24"/>
                <w:szCs w:val="24"/>
                <w:lang w:val="en-IE"/>
              </w:rPr>
              <w:footnoteReference w:id="10"/>
            </w:r>
            <w:r w:rsidR="004C4C12" w:rsidRPr="007D3954">
              <w:rPr>
                <w:rFonts w:ascii="Times New Roman" w:eastAsia="Aptos" w:hAnsi="Times New Roman"/>
                <w:noProof/>
                <w:sz w:val="24"/>
                <w:szCs w:val="24"/>
              </w:rPr>
              <w:t>;</w:t>
            </w:r>
            <w:r w:rsidR="004C4C12" w:rsidRPr="007D3954">
              <w:rPr>
                <w:rFonts w:ascii="Times New Roman" w:eastAsia="Aptos" w:hAnsi="Times New Roman"/>
                <w:noProof/>
              </w:rPr>
              <w:t xml:space="preserve"> </w:t>
            </w:r>
            <w:r w:rsidR="004C4C12" w:rsidRPr="007D3954">
              <w:rPr>
                <w:rFonts w:ascii="Times New Roman" w:eastAsia="Aptos" w:hAnsi="Times New Roman"/>
                <w:noProof/>
                <w:sz w:val="24"/>
                <w:szCs w:val="24"/>
              </w:rPr>
              <w:t>the European Maritime, Fisheries and Aquaculture Fund (EMFAF)</w:t>
            </w:r>
            <w:r w:rsidR="004C4C12" w:rsidRPr="002D238D">
              <w:rPr>
                <w:rStyle w:val="FootnoteReference"/>
                <w:rFonts w:ascii="Times New Roman" w:hAnsi="Times New Roman"/>
                <w:sz w:val="24"/>
                <w:szCs w:val="24"/>
                <w:lang w:val="en-IE"/>
              </w:rPr>
              <w:footnoteReference w:id="11"/>
            </w:r>
            <w:r w:rsidR="004C4C12" w:rsidRPr="007D3954">
              <w:rPr>
                <w:rFonts w:ascii="Times New Roman" w:eastAsia="Aptos" w:hAnsi="Times New Roman"/>
                <w:noProof/>
                <w:sz w:val="24"/>
                <w:szCs w:val="24"/>
              </w:rPr>
              <w:t>.</w:t>
            </w:r>
          </w:p>
          <w:p w14:paraId="0EDBDF2E" w14:textId="7706DB93" w:rsidR="0049246C" w:rsidRPr="001A68A7" w:rsidRDefault="00BD4599" w:rsidP="002E1AF1">
            <w:pPr>
              <w:widowControl w:val="0"/>
              <w:spacing w:before="120" w:after="120"/>
              <w:jc w:val="both"/>
              <w:rPr>
                <w:rFonts w:ascii="Times New Roman" w:hAnsi="Times New Roman"/>
                <w:sz w:val="24"/>
                <w:szCs w:val="24"/>
              </w:rPr>
            </w:pPr>
            <w:r w:rsidRPr="00E4595A">
              <w:rPr>
                <w:rFonts w:ascii="Times New Roman" w:hAnsi="Times New Roman"/>
                <w:sz w:val="24"/>
                <w:szCs w:val="24"/>
                <w:u w:val="single"/>
              </w:rPr>
              <w:t>On</w:t>
            </w:r>
            <w:r w:rsidR="000F5720" w:rsidRPr="00E4595A">
              <w:rPr>
                <w:rFonts w:ascii="Times New Roman" w:hAnsi="Times New Roman"/>
                <w:sz w:val="24"/>
                <w:szCs w:val="24"/>
                <w:u w:val="single"/>
              </w:rPr>
              <w:t xml:space="preserve"> recommendation 1.10.</w:t>
            </w:r>
            <w:r w:rsidR="000F5720">
              <w:rPr>
                <w:rFonts w:ascii="Times New Roman" w:hAnsi="Times New Roman"/>
                <w:sz w:val="24"/>
                <w:szCs w:val="24"/>
              </w:rPr>
              <w:t xml:space="preserve"> to </w:t>
            </w:r>
            <w:r>
              <w:rPr>
                <w:rFonts w:ascii="Times New Roman" w:hAnsi="Times New Roman"/>
                <w:sz w:val="24"/>
                <w:szCs w:val="24"/>
              </w:rPr>
              <w:t>‘</w:t>
            </w:r>
            <w:r w:rsidR="000F5720" w:rsidRPr="000F5720">
              <w:rPr>
                <w:rFonts w:ascii="Times New Roman" w:hAnsi="Times New Roman"/>
                <w:i/>
                <w:iCs/>
                <w:sz w:val="24"/>
                <w:szCs w:val="24"/>
              </w:rPr>
              <w:t xml:space="preserve">safeguard a flourishing and lasting maritime industry in Europe </w:t>
            </w:r>
            <w:r>
              <w:rPr>
                <w:rFonts w:ascii="Times New Roman" w:hAnsi="Times New Roman"/>
                <w:i/>
                <w:iCs/>
                <w:sz w:val="24"/>
                <w:szCs w:val="24"/>
              </w:rPr>
              <w:t>(</w:t>
            </w:r>
            <w:r w:rsidR="000F5720" w:rsidRPr="000F5720">
              <w:rPr>
                <w:rFonts w:ascii="Times New Roman" w:hAnsi="Times New Roman"/>
                <w:i/>
                <w:iCs/>
                <w:sz w:val="24"/>
                <w:szCs w:val="24"/>
              </w:rPr>
              <w:t>…</w:t>
            </w:r>
            <w:r>
              <w:rPr>
                <w:rFonts w:ascii="Times New Roman" w:hAnsi="Times New Roman"/>
                <w:i/>
                <w:iCs/>
                <w:sz w:val="24"/>
                <w:szCs w:val="24"/>
              </w:rPr>
              <w:t>)</w:t>
            </w:r>
            <w:r w:rsidR="000F5720" w:rsidRPr="000F5720">
              <w:rPr>
                <w:rFonts w:ascii="Times New Roman" w:hAnsi="Times New Roman"/>
                <w:i/>
                <w:iCs/>
                <w:sz w:val="24"/>
                <w:szCs w:val="24"/>
              </w:rPr>
              <w:t xml:space="preserve"> with clear decarbonisation objectives</w:t>
            </w:r>
            <w:r w:rsidR="000F5720">
              <w:rPr>
                <w:rFonts w:ascii="Times New Roman" w:hAnsi="Times New Roman"/>
                <w:i/>
                <w:iCs/>
                <w:sz w:val="24"/>
                <w:szCs w:val="24"/>
              </w:rPr>
              <w:t xml:space="preserve"> </w:t>
            </w:r>
            <w:r>
              <w:rPr>
                <w:rFonts w:ascii="Times New Roman" w:hAnsi="Times New Roman"/>
                <w:i/>
                <w:iCs/>
                <w:sz w:val="24"/>
                <w:szCs w:val="24"/>
              </w:rPr>
              <w:t>(</w:t>
            </w:r>
            <w:r w:rsidR="000F5720">
              <w:rPr>
                <w:rFonts w:ascii="Times New Roman" w:hAnsi="Times New Roman"/>
                <w:i/>
                <w:iCs/>
                <w:sz w:val="24"/>
                <w:szCs w:val="24"/>
              </w:rPr>
              <w:t>…</w:t>
            </w:r>
            <w:r>
              <w:rPr>
                <w:rFonts w:ascii="Times New Roman" w:hAnsi="Times New Roman"/>
                <w:i/>
                <w:iCs/>
                <w:sz w:val="24"/>
                <w:szCs w:val="24"/>
              </w:rPr>
              <w:t>)</w:t>
            </w:r>
            <w:r w:rsidR="000F5720">
              <w:rPr>
                <w:rFonts w:ascii="Times New Roman" w:hAnsi="Times New Roman"/>
                <w:i/>
                <w:iCs/>
                <w:sz w:val="24"/>
                <w:szCs w:val="24"/>
              </w:rPr>
              <w:t xml:space="preserve"> and the need for urgent investments</w:t>
            </w:r>
            <w:r>
              <w:rPr>
                <w:rFonts w:ascii="Times New Roman" w:hAnsi="Times New Roman"/>
                <w:i/>
                <w:iCs/>
                <w:sz w:val="24"/>
                <w:szCs w:val="24"/>
              </w:rPr>
              <w:t>’</w:t>
            </w:r>
            <w:r w:rsidR="000F5720">
              <w:rPr>
                <w:rFonts w:ascii="Times New Roman" w:hAnsi="Times New Roman"/>
                <w:sz w:val="24"/>
                <w:szCs w:val="24"/>
              </w:rPr>
              <w:t xml:space="preserve">, the Ocean Pact </w:t>
            </w:r>
            <w:r w:rsidR="000F5720">
              <w:rPr>
                <w:rFonts w:ascii="Times New Roman" w:hAnsi="Times New Roman"/>
                <w:noProof/>
                <w:sz w:val="24"/>
                <w:szCs w:val="24"/>
              </w:rPr>
              <w:t xml:space="preserve">emphasises that </w:t>
            </w:r>
            <w:r w:rsidR="001778E5" w:rsidRPr="00A66671">
              <w:rPr>
                <w:rFonts w:ascii="Times New Roman" w:hAnsi="Times New Roman"/>
                <w:noProof/>
                <w:sz w:val="24"/>
                <w:szCs w:val="24"/>
              </w:rPr>
              <w:t xml:space="preserve">Europe’s </w:t>
            </w:r>
            <w:r w:rsidR="001778E5" w:rsidRPr="00BD4599">
              <w:rPr>
                <w:rFonts w:ascii="Times New Roman" w:hAnsi="Times New Roman"/>
                <w:noProof/>
                <w:sz w:val="24"/>
                <w:szCs w:val="24"/>
              </w:rPr>
              <w:t>maritime manufacturing base</w:t>
            </w:r>
            <w:r w:rsidR="001778E5" w:rsidRPr="00A66671">
              <w:rPr>
                <w:rFonts w:ascii="Times New Roman" w:hAnsi="Times New Roman"/>
                <w:noProof/>
                <w:sz w:val="24"/>
                <w:szCs w:val="24"/>
              </w:rPr>
              <w:t xml:space="preserve"> is essential to the EU’s strategic autonomy, prosperity, and security. European shipyards, suppliers, and technology providers have the expertise to build high-value vessels and to develop technology for offshore renewables. </w:t>
            </w:r>
            <w:r w:rsidR="001778E5" w:rsidRPr="001778E5">
              <w:rPr>
                <w:rFonts w:ascii="Times New Roman" w:hAnsi="Times New Roman"/>
                <w:noProof/>
                <w:sz w:val="24"/>
                <w:szCs w:val="24"/>
              </w:rPr>
              <w:t>To maintain this competitive edge and lead the global transition to clean tech, the Commission will develop an Industrial Maritime Strategy</w:t>
            </w:r>
            <w:r w:rsidR="001778E5">
              <w:rPr>
                <w:rFonts w:ascii="Times New Roman" w:hAnsi="Times New Roman"/>
                <w:noProof/>
                <w:sz w:val="24"/>
                <w:szCs w:val="24"/>
              </w:rPr>
              <w:t xml:space="preserve">. </w:t>
            </w:r>
            <w:r w:rsidR="7ADDCA18" w:rsidRPr="38909612">
              <w:rPr>
                <w:rFonts w:ascii="Times New Roman" w:hAnsi="Times New Roman"/>
                <w:noProof/>
                <w:sz w:val="24"/>
                <w:szCs w:val="24"/>
              </w:rPr>
              <w:t xml:space="preserve">In addition, </w:t>
            </w:r>
            <w:r w:rsidR="5255D968" w:rsidRPr="38909612">
              <w:rPr>
                <w:rFonts w:ascii="Times New Roman" w:hAnsi="Times New Roman"/>
                <w:noProof/>
                <w:sz w:val="24"/>
                <w:szCs w:val="24"/>
              </w:rPr>
              <w:t xml:space="preserve">Member States are encouraged to use part of the revenues from the EU Emissions Trading System (ETS) – which now covers emissions from maritime transport </w:t>
            </w:r>
            <w:r w:rsidR="001F6A38">
              <w:rPr>
                <w:rFonts w:ascii="Times New Roman" w:hAnsi="Times New Roman"/>
                <w:noProof/>
                <w:sz w:val="24"/>
                <w:szCs w:val="24"/>
              </w:rPr>
              <w:t>–</w:t>
            </w:r>
            <w:r w:rsidR="5255D968" w:rsidRPr="38909612">
              <w:rPr>
                <w:rFonts w:ascii="Times New Roman" w:hAnsi="Times New Roman"/>
                <w:noProof/>
                <w:sz w:val="24"/>
                <w:szCs w:val="24"/>
              </w:rPr>
              <w:t xml:space="preserve"> to invest in decarbonising the maritime sector, including via the improvement of the energy efficiency of ships, ports, innovative technologies and infrastructure. </w:t>
            </w:r>
            <w:r w:rsidR="620814C5" w:rsidRPr="38909612">
              <w:rPr>
                <w:rFonts w:ascii="Times New Roman" w:hAnsi="Times New Roman"/>
                <w:noProof/>
                <w:sz w:val="24"/>
                <w:szCs w:val="24"/>
              </w:rPr>
              <w:t xml:space="preserve">The Ocean Pact </w:t>
            </w:r>
            <w:r w:rsidR="5255D968" w:rsidRPr="38909612">
              <w:rPr>
                <w:rFonts w:ascii="Times New Roman" w:hAnsi="Times New Roman"/>
                <w:noProof/>
                <w:sz w:val="24"/>
                <w:szCs w:val="24"/>
              </w:rPr>
              <w:t xml:space="preserve">also makes a clear reference to </w:t>
            </w:r>
            <w:r w:rsidR="4411C84E" w:rsidRPr="38909612">
              <w:rPr>
                <w:rFonts w:ascii="Times New Roman" w:eastAsia="Times New Roman" w:hAnsi="Times New Roman"/>
                <w:noProof/>
                <w:sz w:val="24"/>
                <w:szCs w:val="24"/>
              </w:rPr>
              <w:t xml:space="preserve">EU funding opportunities provided by the structural and cohesion funds and by the European Commission’s </w:t>
            </w:r>
            <w:r w:rsidR="5255D968" w:rsidRPr="38909612">
              <w:rPr>
                <w:rFonts w:ascii="Times New Roman" w:hAnsi="Times New Roman"/>
                <w:noProof/>
                <w:sz w:val="24"/>
                <w:szCs w:val="24"/>
              </w:rPr>
              <w:t>InvestEU Programme</w:t>
            </w:r>
            <w:r w:rsidR="001F6A38">
              <w:rPr>
                <w:rStyle w:val="FootnoteReference"/>
                <w:rFonts w:ascii="Times New Roman" w:hAnsi="Times New Roman"/>
                <w:noProof/>
                <w:sz w:val="24"/>
                <w:szCs w:val="24"/>
              </w:rPr>
              <w:footnoteReference w:id="12"/>
            </w:r>
            <w:r w:rsidR="5255D968" w:rsidRPr="38909612">
              <w:rPr>
                <w:rFonts w:ascii="Times New Roman" w:hAnsi="Times New Roman"/>
                <w:noProof/>
                <w:sz w:val="24"/>
                <w:szCs w:val="24"/>
              </w:rPr>
              <w:t xml:space="preserve">, which provides a guarantee deployed by the </w:t>
            </w:r>
            <w:r w:rsidR="00437B13" w:rsidRPr="00437B13">
              <w:rPr>
                <w:rFonts w:ascii="Times New Roman" w:hAnsi="Times New Roman"/>
                <w:noProof/>
                <w:sz w:val="24"/>
                <w:szCs w:val="24"/>
              </w:rPr>
              <w:t>European Investment Bank</w:t>
            </w:r>
            <w:r w:rsidR="00437B13">
              <w:rPr>
                <w:rFonts w:ascii="Times New Roman" w:hAnsi="Times New Roman"/>
                <w:noProof/>
                <w:sz w:val="24"/>
                <w:szCs w:val="24"/>
              </w:rPr>
              <w:t> (</w:t>
            </w:r>
            <w:r w:rsidR="5255D968" w:rsidRPr="38909612">
              <w:rPr>
                <w:rFonts w:ascii="Times New Roman" w:hAnsi="Times New Roman"/>
                <w:noProof/>
                <w:sz w:val="24"/>
                <w:szCs w:val="24"/>
              </w:rPr>
              <w:t>EIB</w:t>
            </w:r>
            <w:r w:rsidR="00437B13">
              <w:rPr>
                <w:rFonts w:ascii="Times New Roman" w:hAnsi="Times New Roman"/>
                <w:noProof/>
                <w:sz w:val="24"/>
                <w:szCs w:val="24"/>
              </w:rPr>
              <w:t>)</w:t>
            </w:r>
            <w:r w:rsidR="5255D968" w:rsidRPr="38909612">
              <w:rPr>
                <w:rFonts w:ascii="Times New Roman" w:hAnsi="Times New Roman"/>
                <w:noProof/>
                <w:sz w:val="24"/>
                <w:szCs w:val="24"/>
              </w:rPr>
              <w:t>, national promotional banks and multilateral financing institutions, mobilises private investments supporting a</w:t>
            </w:r>
            <w:r w:rsidR="005F362F">
              <w:rPr>
                <w:rFonts w:ascii="Times New Roman" w:hAnsi="Times New Roman"/>
                <w:noProof/>
                <w:sz w:val="24"/>
                <w:szCs w:val="24"/>
              </w:rPr>
              <w:t> </w:t>
            </w:r>
            <w:r w:rsidR="5255D968" w:rsidRPr="38909612">
              <w:rPr>
                <w:rFonts w:ascii="Times New Roman" w:hAnsi="Times New Roman"/>
                <w:noProof/>
                <w:sz w:val="24"/>
                <w:szCs w:val="24"/>
              </w:rPr>
              <w:t>wide array of blue economy investments at different stages. Indicatively, relevant investments range from technologies</w:t>
            </w:r>
            <w:r w:rsidR="001F6A38">
              <w:rPr>
                <w:rFonts w:ascii="Times New Roman" w:hAnsi="Times New Roman"/>
                <w:noProof/>
                <w:sz w:val="24"/>
                <w:szCs w:val="24"/>
              </w:rPr>
              <w:t>,</w:t>
            </w:r>
            <w:r w:rsidR="5255D968" w:rsidRPr="38909612">
              <w:rPr>
                <w:rFonts w:ascii="Times New Roman" w:hAnsi="Times New Roman"/>
                <w:noProof/>
                <w:sz w:val="24"/>
                <w:szCs w:val="24"/>
              </w:rPr>
              <w:t xml:space="preserve"> or environmental sustainability solutions to offshore renewable energy, greening of ports and shipping, aquaculture, coastal development, tourism, circular economy.</w:t>
            </w:r>
            <w:r w:rsidR="00E14486">
              <w:rPr>
                <w:rFonts w:ascii="Times New Roman" w:hAnsi="Times New Roman"/>
                <w:noProof/>
                <w:sz w:val="24"/>
                <w:szCs w:val="24"/>
              </w:rPr>
              <w:t xml:space="preserve"> </w:t>
            </w:r>
            <w:r w:rsidR="5255D968" w:rsidRPr="38909612">
              <w:rPr>
                <w:rFonts w:ascii="Times New Roman" w:hAnsi="Times New Roman"/>
                <w:noProof/>
                <w:sz w:val="24"/>
                <w:szCs w:val="24"/>
              </w:rPr>
              <w:t xml:space="preserve">It also includes investments in </w:t>
            </w:r>
            <w:r w:rsidR="001F6A38">
              <w:rPr>
                <w:rFonts w:ascii="Times New Roman" w:hAnsi="Times New Roman"/>
                <w:noProof/>
                <w:sz w:val="24"/>
                <w:szCs w:val="24"/>
              </w:rPr>
              <w:t>research, development and innovation</w:t>
            </w:r>
            <w:r w:rsidR="5255D968" w:rsidRPr="38909612">
              <w:rPr>
                <w:rFonts w:ascii="Times New Roman" w:hAnsi="Times New Roman"/>
                <w:noProof/>
                <w:sz w:val="24"/>
                <w:szCs w:val="24"/>
              </w:rPr>
              <w:t xml:space="preserve"> for strategic ocean and satellite technologies, digitalisation, </w:t>
            </w:r>
            <w:r w:rsidR="00437B13">
              <w:rPr>
                <w:rFonts w:ascii="Times New Roman" w:hAnsi="Times New Roman"/>
                <w:noProof/>
                <w:sz w:val="24"/>
                <w:szCs w:val="24"/>
              </w:rPr>
              <w:t>artificial intelligence (</w:t>
            </w:r>
            <w:r w:rsidR="5255D968" w:rsidRPr="38909612">
              <w:rPr>
                <w:rFonts w:ascii="Times New Roman" w:hAnsi="Times New Roman"/>
                <w:noProof/>
                <w:sz w:val="24"/>
                <w:szCs w:val="24"/>
              </w:rPr>
              <w:t>AI</w:t>
            </w:r>
            <w:r w:rsidR="00437B13">
              <w:rPr>
                <w:rFonts w:ascii="Times New Roman" w:hAnsi="Times New Roman"/>
                <w:noProof/>
                <w:sz w:val="24"/>
                <w:szCs w:val="24"/>
              </w:rPr>
              <w:t>)</w:t>
            </w:r>
            <w:r w:rsidR="5255D968" w:rsidRPr="38909612">
              <w:rPr>
                <w:rFonts w:ascii="Times New Roman" w:hAnsi="Times New Roman"/>
                <w:noProof/>
                <w:sz w:val="24"/>
                <w:szCs w:val="24"/>
              </w:rPr>
              <w:t xml:space="preserve"> applications, advanced manufacturing, and underwater robotics. Until now, InvestEU has supported investments worth more than EUR 15 billion. Looking ahead, InvestEU will continue supporting investable blue economy projects with funding and advisory services for the remaining programming period.</w:t>
            </w:r>
          </w:p>
          <w:p w14:paraId="57B6395A" w14:textId="5E447484" w:rsidR="00A03707" w:rsidRDefault="001F6A38" w:rsidP="002E1AF1">
            <w:pPr>
              <w:widowControl w:val="0"/>
              <w:spacing w:before="120" w:after="120"/>
              <w:jc w:val="both"/>
              <w:rPr>
                <w:rFonts w:ascii="Times New Roman" w:hAnsi="Times New Roman"/>
                <w:noProof/>
                <w:sz w:val="24"/>
                <w:szCs w:val="24"/>
              </w:rPr>
            </w:pPr>
            <w:r w:rsidRPr="00E4595A">
              <w:rPr>
                <w:rFonts w:ascii="Times New Roman" w:hAnsi="Times New Roman"/>
                <w:noProof/>
                <w:sz w:val="24"/>
                <w:szCs w:val="24"/>
                <w:u w:val="single"/>
              </w:rPr>
              <w:t>On</w:t>
            </w:r>
            <w:r w:rsidR="00A03707" w:rsidRPr="00E4595A">
              <w:rPr>
                <w:rFonts w:ascii="Times New Roman" w:hAnsi="Times New Roman"/>
                <w:noProof/>
                <w:sz w:val="24"/>
                <w:szCs w:val="24"/>
                <w:u w:val="single"/>
              </w:rPr>
              <w:t xml:space="preserve"> recommendations </w:t>
            </w:r>
            <w:r w:rsidR="00A03707" w:rsidRPr="00E4595A">
              <w:rPr>
                <w:rFonts w:ascii="Times New Roman" w:hAnsi="Times New Roman"/>
                <w:sz w:val="24"/>
                <w:szCs w:val="24"/>
                <w:u w:val="single"/>
              </w:rPr>
              <w:t>3.1.14</w:t>
            </w:r>
            <w:r w:rsidR="00E14486">
              <w:rPr>
                <w:rFonts w:ascii="Times New Roman" w:hAnsi="Times New Roman"/>
                <w:sz w:val="24"/>
                <w:szCs w:val="24"/>
              </w:rPr>
              <w:t>.</w:t>
            </w:r>
            <w:r w:rsidR="00A03707" w:rsidRPr="00935CCF">
              <w:rPr>
                <w:rFonts w:ascii="Times New Roman" w:hAnsi="Times New Roman"/>
                <w:sz w:val="24"/>
                <w:szCs w:val="24"/>
              </w:rPr>
              <w:t xml:space="preserve"> </w:t>
            </w:r>
            <w:r w:rsidR="00A03707">
              <w:rPr>
                <w:rFonts w:ascii="Times New Roman" w:hAnsi="Times New Roman"/>
                <w:sz w:val="24"/>
                <w:szCs w:val="24"/>
              </w:rPr>
              <w:t xml:space="preserve">on </w:t>
            </w:r>
            <w:r w:rsidR="00E14486">
              <w:rPr>
                <w:rFonts w:ascii="Times New Roman" w:hAnsi="Times New Roman"/>
                <w:sz w:val="24"/>
                <w:szCs w:val="24"/>
              </w:rPr>
              <w:t>e</w:t>
            </w:r>
            <w:r w:rsidR="00A03707" w:rsidRPr="00935CCF">
              <w:rPr>
                <w:rFonts w:ascii="Times New Roman" w:hAnsi="Times New Roman"/>
                <w:sz w:val="24"/>
                <w:szCs w:val="24"/>
              </w:rPr>
              <w:t>ducation and training</w:t>
            </w:r>
            <w:r w:rsidR="00A03707">
              <w:rPr>
                <w:rFonts w:ascii="Times New Roman" w:hAnsi="Times New Roman"/>
                <w:sz w:val="24"/>
                <w:szCs w:val="24"/>
              </w:rPr>
              <w:t>,</w:t>
            </w:r>
            <w:r w:rsidR="00A03707" w:rsidRPr="00935CCF">
              <w:rPr>
                <w:rFonts w:ascii="Times New Roman" w:hAnsi="Times New Roman"/>
                <w:sz w:val="24"/>
                <w:szCs w:val="24"/>
              </w:rPr>
              <w:t xml:space="preserve"> </w:t>
            </w:r>
            <w:r w:rsidR="00A03707" w:rsidRPr="00E4595A">
              <w:rPr>
                <w:rFonts w:ascii="Times New Roman" w:hAnsi="Times New Roman"/>
                <w:sz w:val="24"/>
                <w:szCs w:val="24"/>
                <w:u w:val="single"/>
              </w:rPr>
              <w:t>3.1.15</w:t>
            </w:r>
            <w:r w:rsidR="00E14486">
              <w:rPr>
                <w:rFonts w:ascii="Times New Roman" w:hAnsi="Times New Roman"/>
                <w:sz w:val="24"/>
                <w:szCs w:val="24"/>
              </w:rPr>
              <w:t>.</w:t>
            </w:r>
            <w:r w:rsidR="00A03707" w:rsidRPr="00935CCF">
              <w:rPr>
                <w:rFonts w:ascii="Times New Roman" w:hAnsi="Times New Roman"/>
                <w:sz w:val="24"/>
                <w:szCs w:val="24"/>
              </w:rPr>
              <w:t xml:space="preserve"> </w:t>
            </w:r>
            <w:r w:rsidR="00A03707">
              <w:rPr>
                <w:rFonts w:ascii="Times New Roman" w:hAnsi="Times New Roman"/>
                <w:sz w:val="24"/>
                <w:szCs w:val="24"/>
              </w:rPr>
              <w:t xml:space="preserve">on </w:t>
            </w:r>
            <w:r w:rsidR="00E14486">
              <w:rPr>
                <w:rFonts w:ascii="Times New Roman" w:hAnsi="Times New Roman"/>
                <w:sz w:val="24"/>
                <w:szCs w:val="24"/>
              </w:rPr>
              <w:t>l</w:t>
            </w:r>
            <w:r w:rsidR="00A03707" w:rsidRPr="00935CCF">
              <w:rPr>
                <w:rFonts w:ascii="Times New Roman" w:hAnsi="Times New Roman"/>
                <w:sz w:val="24"/>
                <w:szCs w:val="24"/>
              </w:rPr>
              <w:t>abour shortage</w:t>
            </w:r>
            <w:r w:rsidR="00A03707">
              <w:rPr>
                <w:rFonts w:ascii="Times New Roman" w:hAnsi="Times New Roman"/>
                <w:sz w:val="24"/>
                <w:szCs w:val="24"/>
              </w:rPr>
              <w:t xml:space="preserve"> and </w:t>
            </w:r>
            <w:r w:rsidR="00A03707" w:rsidRPr="00E4595A">
              <w:rPr>
                <w:rFonts w:ascii="Times New Roman" w:hAnsi="Times New Roman"/>
                <w:sz w:val="24"/>
                <w:szCs w:val="24"/>
                <w:u w:val="single"/>
              </w:rPr>
              <w:t>5.1.3</w:t>
            </w:r>
            <w:r w:rsidR="00E14486">
              <w:rPr>
                <w:rFonts w:ascii="Times New Roman" w:hAnsi="Times New Roman"/>
                <w:sz w:val="24"/>
                <w:szCs w:val="24"/>
              </w:rPr>
              <w:t>.</w:t>
            </w:r>
            <w:r w:rsidR="00A03707" w:rsidRPr="00935CCF">
              <w:rPr>
                <w:rFonts w:ascii="Times New Roman" w:hAnsi="Times New Roman"/>
                <w:sz w:val="24"/>
                <w:szCs w:val="24"/>
              </w:rPr>
              <w:t xml:space="preserve"> </w:t>
            </w:r>
            <w:r w:rsidR="00A03707">
              <w:rPr>
                <w:rFonts w:ascii="Times New Roman" w:hAnsi="Times New Roman"/>
                <w:sz w:val="24"/>
                <w:szCs w:val="24"/>
              </w:rPr>
              <w:t xml:space="preserve">on </w:t>
            </w:r>
            <w:r w:rsidR="00E14486">
              <w:rPr>
                <w:rFonts w:ascii="Times New Roman" w:hAnsi="Times New Roman"/>
                <w:sz w:val="24"/>
                <w:szCs w:val="24"/>
              </w:rPr>
              <w:t>k</w:t>
            </w:r>
            <w:r w:rsidR="00A03707" w:rsidRPr="00935CCF">
              <w:rPr>
                <w:rFonts w:ascii="Times New Roman" w:hAnsi="Times New Roman"/>
                <w:sz w:val="24"/>
                <w:szCs w:val="24"/>
              </w:rPr>
              <w:t>nowledge and marine innovation</w:t>
            </w:r>
            <w:r w:rsidR="00A03707">
              <w:rPr>
                <w:rFonts w:ascii="Times New Roman" w:hAnsi="Times New Roman"/>
                <w:sz w:val="24"/>
                <w:szCs w:val="24"/>
              </w:rPr>
              <w:t xml:space="preserve">, </w:t>
            </w:r>
            <w:r w:rsidR="00A03707" w:rsidRPr="00935CCF">
              <w:rPr>
                <w:rFonts w:ascii="Times New Roman" w:hAnsi="Times New Roman"/>
                <w:sz w:val="24"/>
                <w:szCs w:val="24"/>
              </w:rPr>
              <w:t>promot</w:t>
            </w:r>
            <w:r w:rsidR="00A03707">
              <w:rPr>
                <w:rFonts w:ascii="Times New Roman" w:hAnsi="Times New Roman"/>
                <w:sz w:val="24"/>
                <w:szCs w:val="24"/>
              </w:rPr>
              <w:t>ing</w:t>
            </w:r>
            <w:r w:rsidR="00A03707" w:rsidRPr="00935CCF">
              <w:rPr>
                <w:rFonts w:ascii="Times New Roman" w:hAnsi="Times New Roman"/>
                <w:sz w:val="24"/>
                <w:szCs w:val="24"/>
              </w:rPr>
              <w:t xml:space="preserve"> innovation and </w:t>
            </w:r>
            <w:r w:rsidR="00A03707">
              <w:rPr>
                <w:rFonts w:ascii="Times New Roman" w:hAnsi="Times New Roman"/>
                <w:sz w:val="24"/>
                <w:szCs w:val="24"/>
              </w:rPr>
              <w:t>closing the skills gap</w:t>
            </w:r>
            <w:r w:rsidR="00A03707" w:rsidRPr="00935CCF">
              <w:rPr>
                <w:rFonts w:ascii="Times New Roman" w:hAnsi="Times New Roman"/>
                <w:sz w:val="24"/>
                <w:szCs w:val="24"/>
              </w:rPr>
              <w:t xml:space="preserve"> to bring high technology to the EU market</w:t>
            </w:r>
            <w:r w:rsidR="00A03707">
              <w:rPr>
                <w:rFonts w:ascii="Times New Roman" w:hAnsi="Times New Roman"/>
                <w:sz w:val="24"/>
                <w:szCs w:val="24"/>
              </w:rPr>
              <w:t xml:space="preserve"> is the core mission of the European Institute of Innovation and Technology (EIT)</w:t>
            </w:r>
            <w:r w:rsidR="00A03707">
              <w:rPr>
                <w:rStyle w:val="FootnoteReference"/>
                <w:rFonts w:ascii="Times New Roman" w:hAnsi="Times New Roman"/>
                <w:sz w:val="24"/>
                <w:szCs w:val="24"/>
              </w:rPr>
              <w:footnoteReference w:id="13"/>
            </w:r>
            <w:r w:rsidR="00A03707">
              <w:rPr>
                <w:rFonts w:ascii="Times New Roman" w:hAnsi="Times New Roman"/>
                <w:sz w:val="24"/>
                <w:szCs w:val="24"/>
              </w:rPr>
              <w:t xml:space="preserve">. </w:t>
            </w:r>
            <w:r w:rsidR="00A03707">
              <w:rPr>
                <w:rFonts w:ascii="Times New Roman" w:hAnsi="Times New Roman"/>
                <w:sz w:val="24"/>
                <w:szCs w:val="24"/>
                <w:lang w:val="en-IE"/>
              </w:rPr>
              <w:t>The EIT will soon</w:t>
            </w:r>
            <w:r w:rsidR="00A03707" w:rsidRPr="000D0F73">
              <w:rPr>
                <w:rFonts w:ascii="Times New Roman" w:hAnsi="Times New Roman"/>
                <w:sz w:val="24"/>
                <w:szCs w:val="24"/>
                <w:lang w:val="en-IE"/>
              </w:rPr>
              <w:t xml:space="preserve"> launch its tenth Knowledge and Innovation Community</w:t>
            </w:r>
            <w:r w:rsidR="00A03707">
              <w:rPr>
                <w:rFonts w:ascii="Times New Roman" w:hAnsi="Times New Roman"/>
                <w:sz w:val="24"/>
                <w:szCs w:val="24"/>
                <w:lang w:val="en-IE"/>
              </w:rPr>
              <w:t xml:space="preserve"> (KIC) </w:t>
            </w:r>
            <w:r w:rsidR="00A03707" w:rsidRPr="000D0F73">
              <w:rPr>
                <w:rFonts w:ascii="Times New Roman" w:hAnsi="Times New Roman"/>
                <w:sz w:val="24"/>
                <w:szCs w:val="24"/>
                <w:lang w:val="en-IE"/>
              </w:rPr>
              <w:t>focus</w:t>
            </w:r>
            <w:r w:rsidR="00A03707">
              <w:rPr>
                <w:rFonts w:ascii="Times New Roman" w:hAnsi="Times New Roman"/>
                <w:sz w:val="24"/>
                <w:szCs w:val="24"/>
                <w:lang w:val="en-IE"/>
              </w:rPr>
              <w:t>ed</w:t>
            </w:r>
            <w:r w:rsidR="00A03707" w:rsidRPr="000D0F73">
              <w:rPr>
                <w:rFonts w:ascii="Times New Roman" w:hAnsi="Times New Roman"/>
                <w:sz w:val="24"/>
                <w:szCs w:val="24"/>
                <w:lang w:val="en-IE"/>
              </w:rPr>
              <w:t xml:space="preserve"> on Water, Marine and Maritime Sectors and Ecosystems (Water KIC</w:t>
            </w:r>
            <w:r w:rsidR="00A03707">
              <w:rPr>
                <w:rStyle w:val="FootnoteReference"/>
                <w:rFonts w:ascii="Times New Roman" w:hAnsi="Times New Roman"/>
                <w:sz w:val="24"/>
                <w:szCs w:val="24"/>
                <w:lang w:val="en-IE"/>
              </w:rPr>
              <w:footnoteReference w:id="14"/>
            </w:r>
            <w:r w:rsidR="00A03707" w:rsidRPr="000D0F73">
              <w:rPr>
                <w:rFonts w:ascii="Times New Roman" w:hAnsi="Times New Roman"/>
                <w:sz w:val="24"/>
                <w:szCs w:val="24"/>
                <w:lang w:val="en-IE"/>
              </w:rPr>
              <w:t>)</w:t>
            </w:r>
            <w:r w:rsidR="00A03707">
              <w:rPr>
                <w:rFonts w:ascii="Times New Roman" w:hAnsi="Times New Roman"/>
                <w:sz w:val="24"/>
                <w:szCs w:val="24"/>
                <w:lang w:val="en-IE"/>
              </w:rPr>
              <w:t>. It will</w:t>
            </w:r>
            <w:r w:rsidR="00A03707" w:rsidRPr="000D0F73">
              <w:rPr>
                <w:rFonts w:ascii="Times New Roman" w:hAnsi="Times New Roman"/>
                <w:sz w:val="24"/>
                <w:szCs w:val="24"/>
                <w:lang w:val="en-IE"/>
              </w:rPr>
              <w:t xml:space="preserve"> </w:t>
            </w:r>
            <w:r w:rsidR="00A03707">
              <w:rPr>
                <w:rFonts w:ascii="Times New Roman" w:hAnsi="Times New Roman"/>
                <w:sz w:val="24"/>
                <w:szCs w:val="24"/>
                <w:lang w:val="en-IE"/>
              </w:rPr>
              <w:t>aim</w:t>
            </w:r>
            <w:r w:rsidR="00A03707" w:rsidRPr="000D0F73">
              <w:rPr>
                <w:rFonts w:ascii="Times New Roman" w:hAnsi="Times New Roman"/>
                <w:sz w:val="24"/>
                <w:szCs w:val="24"/>
                <w:lang w:val="en-IE"/>
              </w:rPr>
              <w:t xml:space="preserve"> to create an EU-wide innovation ecosystem by linking universities, research institutes, and businesses. The Water KIC will </w:t>
            </w:r>
            <w:r w:rsidR="00A03707" w:rsidRPr="000D0F73">
              <w:rPr>
                <w:rFonts w:ascii="Times New Roman" w:hAnsi="Times New Roman"/>
                <w:sz w:val="24"/>
                <w:szCs w:val="24"/>
                <w:lang w:val="en-IE"/>
              </w:rPr>
              <w:lastRenderedPageBreak/>
              <w:t>provide entrepreneurship education for students and professionals, support innovators in developing and marketing their ideas, and create synergies within and outside Horizon Europe</w:t>
            </w:r>
            <w:r w:rsidR="00A03707">
              <w:rPr>
                <w:rStyle w:val="FootnoteReference"/>
                <w:rFonts w:ascii="Times New Roman" w:hAnsi="Times New Roman"/>
                <w:sz w:val="24"/>
                <w:szCs w:val="24"/>
                <w:lang w:val="en-IE"/>
              </w:rPr>
              <w:footnoteReference w:id="15"/>
            </w:r>
            <w:r w:rsidR="00A03707" w:rsidRPr="000D0F73">
              <w:rPr>
                <w:rFonts w:ascii="Times New Roman" w:hAnsi="Times New Roman"/>
                <w:sz w:val="24"/>
                <w:szCs w:val="24"/>
                <w:lang w:val="en-IE"/>
              </w:rPr>
              <w:t>. The KIC will also initiate targeted programs for countries with lower innovation levels through the EIT Regional Innovation Scheme (RIS)</w:t>
            </w:r>
            <w:r w:rsidR="00A03707">
              <w:rPr>
                <w:rStyle w:val="FootnoteReference"/>
                <w:rFonts w:ascii="Times New Roman" w:hAnsi="Times New Roman"/>
                <w:sz w:val="24"/>
                <w:szCs w:val="24"/>
                <w:lang w:val="en-IE"/>
              </w:rPr>
              <w:footnoteReference w:id="16"/>
            </w:r>
            <w:r w:rsidR="00A03707" w:rsidRPr="000D0F73">
              <w:rPr>
                <w:rFonts w:ascii="Times New Roman" w:hAnsi="Times New Roman"/>
                <w:sz w:val="24"/>
                <w:szCs w:val="24"/>
                <w:lang w:val="en-IE"/>
              </w:rPr>
              <w:t>, thus addressing also the social dimension.</w:t>
            </w:r>
          </w:p>
          <w:p w14:paraId="6E317D5C" w14:textId="2596A5DE" w:rsidR="00A03707" w:rsidRDefault="004B7BDD" w:rsidP="002E1AF1">
            <w:pPr>
              <w:widowControl w:val="0"/>
              <w:spacing w:before="120" w:after="120"/>
              <w:jc w:val="both"/>
              <w:rPr>
                <w:rFonts w:ascii="Times New Roman" w:hAnsi="Times New Roman"/>
                <w:noProof/>
                <w:sz w:val="24"/>
                <w:szCs w:val="24"/>
              </w:rPr>
            </w:pPr>
            <w:r w:rsidRPr="00E4595A">
              <w:rPr>
                <w:rFonts w:ascii="Times New Roman" w:hAnsi="Times New Roman"/>
                <w:noProof/>
                <w:sz w:val="24"/>
                <w:szCs w:val="24"/>
                <w:u w:val="single"/>
              </w:rPr>
              <w:t>On</w:t>
            </w:r>
            <w:r w:rsidR="00A03707" w:rsidRPr="00E4595A">
              <w:rPr>
                <w:rFonts w:ascii="Times New Roman" w:hAnsi="Times New Roman"/>
                <w:noProof/>
                <w:sz w:val="24"/>
                <w:szCs w:val="24"/>
                <w:u w:val="single"/>
              </w:rPr>
              <w:t xml:space="preserve"> recommendation 3.1.14</w:t>
            </w:r>
            <w:r w:rsidR="00E14486">
              <w:rPr>
                <w:rFonts w:ascii="Times New Roman" w:hAnsi="Times New Roman"/>
                <w:noProof/>
                <w:sz w:val="24"/>
                <w:szCs w:val="24"/>
              </w:rPr>
              <w:t>.</w:t>
            </w:r>
            <w:r w:rsidR="00A03707" w:rsidRPr="243EC596">
              <w:rPr>
                <w:rFonts w:ascii="Times New Roman" w:hAnsi="Times New Roman"/>
                <w:noProof/>
                <w:sz w:val="24"/>
                <w:szCs w:val="24"/>
              </w:rPr>
              <w:t xml:space="preserve"> </w:t>
            </w:r>
            <w:r>
              <w:rPr>
                <w:rFonts w:ascii="Times New Roman" w:hAnsi="Times New Roman"/>
                <w:noProof/>
                <w:sz w:val="24"/>
                <w:szCs w:val="24"/>
              </w:rPr>
              <w:t>and</w:t>
            </w:r>
            <w:r w:rsidR="00A03707">
              <w:rPr>
                <w:rFonts w:ascii="Times New Roman" w:hAnsi="Times New Roman"/>
                <w:noProof/>
                <w:sz w:val="24"/>
                <w:szCs w:val="24"/>
              </w:rPr>
              <w:t xml:space="preserve"> the need to </w:t>
            </w:r>
            <w:r w:rsidRPr="004B7BDD">
              <w:rPr>
                <w:rFonts w:ascii="Times New Roman" w:hAnsi="Times New Roman"/>
                <w:i/>
                <w:iCs/>
                <w:noProof/>
                <w:sz w:val="24"/>
                <w:szCs w:val="24"/>
              </w:rPr>
              <w:t>‘</w:t>
            </w:r>
            <w:r w:rsidR="00A03707" w:rsidRPr="007D3954">
              <w:rPr>
                <w:rFonts w:ascii="Times New Roman" w:hAnsi="Times New Roman"/>
                <w:i/>
                <w:iCs/>
                <w:noProof/>
                <w:sz w:val="24"/>
                <w:szCs w:val="24"/>
              </w:rPr>
              <w:t>invest in the development of skills and competences specific to the blue economy and ensure that young people remain committed to their communities</w:t>
            </w:r>
            <w:r>
              <w:rPr>
                <w:rFonts w:ascii="Times New Roman" w:hAnsi="Times New Roman"/>
                <w:i/>
                <w:iCs/>
                <w:noProof/>
                <w:sz w:val="24"/>
                <w:szCs w:val="24"/>
              </w:rPr>
              <w:t>’</w:t>
            </w:r>
            <w:r w:rsidR="00A03707">
              <w:rPr>
                <w:rFonts w:ascii="Times New Roman" w:hAnsi="Times New Roman"/>
                <w:noProof/>
                <w:sz w:val="24"/>
                <w:szCs w:val="24"/>
              </w:rPr>
              <w:t>,</w:t>
            </w:r>
            <w:r w:rsidR="00A03707" w:rsidRPr="243EC596">
              <w:rPr>
                <w:rFonts w:ascii="Times New Roman" w:hAnsi="Times New Roman"/>
                <w:i/>
                <w:iCs/>
                <w:noProof/>
                <w:sz w:val="24"/>
                <w:szCs w:val="24"/>
              </w:rPr>
              <w:t xml:space="preserve"> </w:t>
            </w:r>
            <w:r w:rsidR="00A03707">
              <w:rPr>
                <w:rFonts w:ascii="Times New Roman" w:hAnsi="Times New Roman"/>
                <w:noProof/>
                <w:sz w:val="24"/>
                <w:szCs w:val="24"/>
              </w:rPr>
              <w:t>t</w:t>
            </w:r>
            <w:r w:rsidR="00A03707" w:rsidRPr="243EC596">
              <w:rPr>
                <w:rFonts w:ascii="Times New Roman" w:hAnsi="Times New Roman"/>
                <w:noProof/>
                <w:sz w:val="24"/>
                <w:szCs w:val="24"/>
              </w:rPr>
              <w:t>he European Solidarity Corps</w:t>
            </w:r>
            <w:r w:rsidR="00A03707">
              <w:rPr>
                <w:rStyle w:val="FootnoteReference"/>
                <w:rFonts w:ascii="Times New Roman" w:hAnsi="Times New Roman"/>
                <w:noProof/>
                <w:sz w:val="24"/>
                <w:szCs w:val="24"/>
              </w:rPr>
              <w:footnoteReference w:id="17"/>
            </w:r>
            <w:r w:rsidR="00A03707" w:rsidRPr="243EC596">
              <w:rPr>
                <w:rFonts w:ascii="Times New Roman" w:hAnsi="Times New Roman"/>
                <w:noProof/>
                <w:sz w:val="24"/>
                <w:szCs w:val="24"/>
              </w:rPr>
              <w:t xml:space="preserve"> ensures that young people remain committed to their communities by providing structured, meaningful opportunities for engagement, skill-building, and long-term civic involvement through volunteering and solidarity projects.</w:t>
            </w:r>
            <w:r w:rsidR="00A62FD2">
              <w:rPr>
                <w:rFonts w:ascii="Times New Roman" w:hAnsi="Times New Roman"/>
                <w:noProof/>
                <w:sz w:val="24"/>
                <w:szCs w:val="24"/>
              </w:rPr>
              <w:t xml:space="preserve"> </w:t>
            </w:r>
            <w:r w:rsidR="00A62FD2" w:rsidRPr="00A62FD2">
              <w:rPr>
                <w:rFonts w:ascii="Times New Roman" w:hAnsi="Times New Roman"/>
                <w:noProof/>
                <w:sz w:val="24"/>
                <w:szCs w:val="24"/>
              </w:rPr>
              <w:t>Generational renewal</w:t>
            </w:r>
            <w:r w:rsidR="00A62FD2">
              <w:rPr>
                <w:rFonts w:ascii="Times New Roman" w:hAnsi="Times New Roman"/>
                <w:noProof/>
                <w:sz w:val="24"/>
                <w:szCs w:val="24"/>
              </w:rPr>
              <w:t>,</w:t>
            </w:r>
            <w:r w:rsidR="00A62FD2" w:rsidRPr="00A62FD2">
              <w:rPr>
                <w:rFonts w:ascii="Times New Roman" w:hAnsi="Times New Roman"/>
                <w:noProof/>
                <w:sz w:val="24"/>
                <w:szCs w:val="24"/>
              </w:rPr>
              <w:t xml:space="preserve"> upskilling, and better working conditions are essential for a thriving blue economy. A new Blue Generational Renewal Strategy (2027) will promote education, ocean literacy, and intergenerational </w:t>
            </w:r>
            <w:r w:rsidR="00A62FD2">
              <w:rPr>
                <w:rFonts w:ascii="Times New Roman" w:hAnsi="Times New Roman"/>
                <w:noProof/>
                <w:sz w:val="24"/>
                <w:szCs w:val="24"/>
              </w:rPr>
              <w:t>faireness</w:t>
            </w:r>
            <w:r w:rsidR="00A62FD2" w:rsidRPr="00A62FD2">
              <w:rPr>
                <w:rFonts w:ascii="Times New Roman" w:hAnsi="Times New Roman"/>
                <w:noProof/>
                <w:sz w:val="24"/>
                <w:szCs w:val="24"/>
              </w:rPr>
              <w:t xml:space="preserve"> with a strong focus on STEM</w:t>
            </w:r>
            <w:r w:rsidR="00A84A7A">
              <w:rPr>
                <w:rFonts w:ascii="Times New Roman" w:hAnsi="Times New Roman"/>
                <w:noProof/>
                <w:sz w:val="24"/>
                <w:szCs w:val="24"/>
              </w:rPr>
              <w:t xml:space="preserve"> </w:t>
            </w:r>
            <w:r w:rsidR="00A84A7A" w:rsidRPr="00807B48">
              <w:rPr>
                <w:rFonts w:ascii="Times New Roman" w:hAnsi="Times New Roman"/>
                <w:b/>
                <w:sz w:val="24"/>
                <w:szCs w:val="24"/>
              </w:rPr>
              <w:t>–</w:t>
            </w:r>
            <w:r w:rsidR="00A84A7A">
              <w:rPr>
                <w:rFonts w:ascii="Times New Roman" w:hAnsi="Times New Roman"/>
                <w:b/>
                <w:sz w:val="24"/>
                <w:szCs w:val="24"/>
              </w:rPr>
              <w:t xml:space="preserve"> </w:t>
            </w:r>
            <w:r w:rsidR="00A62FD2" w:rsidRPr="00A62FD2">
              <w:rPr>
                <w:rFonts w:ascii="Times New Roman" w:hAnsi="Times New Roman"/>
                <w:noProof/>
                <w:sz w:val="24"/>
                <w:szCs w:val="24"/>
              </w:rPr>
              <w:t>Science, Technology, Engineering, and Mathematics</w:t>
            </w:r>
            <w:r w:rsidR="00F50FA5">
              <w:rPr>
                <w:rFonts w:ascii="Times New Roman" w:hAnsi="Times New Roman"/>
                <w:noProof/>
                <w:sz w:val="24"/>
                <w:szCs w:val="24"/>
              </w:rPr>
              <w:t xml:space="preserve"> </w:t>
            </w:r>
            <w:r w:rsidR="00A84A7A" w:rsidRPr="00807B48">
              <w:rPr>
                <w:rFonts w:ascii="Times New Roman" w:hAnsi="Times New Roman"/>
                <w:b/>
                <w:sz w:val="24"/>
                <w:szCs w:val="24"/>
              </w:rPr>
              <w:t>–</w:t>
            </w:r>
            <w:r w:rsidR="00F50FA5">
              <w:rPr>
                <w:rFonts w:ascii="Times New Roman" w:hAnsi="Times New Roman"/>
                <w:noProof/>
                <w:sz w:val="24"/>
                <w:szCs w:val="24"/>
              </w:rPr>
              <w:t xml:space="preserve"> </w:t>
            </w:r>
            <w:r w:rsidR="00A62FD2" w:rsidRPr="00A62FD2">
              <w:rPr>
                <w:rFonts w:ascii="Times New Roman" w:hAnsi="Times New Roman"/>
                <w:noProof/>
                <w:sz w:val="24"/>
                <w:szCs w:val="24"/>
              </w:rPr>
              <w:t xml:space="preserve">crucial for careers in marine science, ocean tech, and sustainable fisheries. </w:t>
            </w:r>
            <w:r w:rsidR="00A62FD2">
              <w:rPr>
                <w:rFonts w:ascii="Times New Roman" w:hAnsi="Times New Roman"/>
                <w:noProof/>
                <w:sz w:val="24"/>
                <w:szCs w:val="24"/>
              </w:rPr>
              <w:t>T</w:t>
            </w:r>
            <w:r w:rsidR="00A62FD2" w:rsidRPr="00A62FD2">
              <w:rPr>
                <w:rFonts w:ascii="Times New Roman" w:hAnsi="Times New Roman"/>
                <w:noProof/>
                <w:sz w:val="24"/>
                <w:szCs w:val="24"/>
              </w:rPr>
              <w:t>he blue generational renewal strategy will align with the new KIC in the field of water, marine and maritime sectors and ecosystem</w:t>
            </w:r>
            <w:r w:rsidR="00A62FD2">
              <w:rPr>
                <w:rFonts w:ascii="Times New Roman" w:hAnsi="Times New Roman"/>
                <w:noProof/>
                <w:sz w:val="24"/>
                <w:szCs w:val="24"/>
              </w:rPr>
              <w:t xml:space="preserve"> along with the</w:t>
            </w:r>
            <w:r w:rsidR="00A62FD2" w:rsidRPr="00A62FD2">
              <w:rPr>
                <w:rFonts w:ascii="Times New Roman" w:hAnsi="Times New Roman"/>
                <w:noProof/>
                <w:sz w:val="24"/>
                <w:szCs w:val="24"/>
              </w:rPr>
              <w:t xml:space="preserve"> </w:t>
            </w:r>
            <w:r w:rsidR="00A62FD2" w:rsidRPr="00E4595A">
              <w:rPr>
                <w:rFonts w:ascii="Times New Roman" w:hAnsi="Times New Roman"/>
                <w:noProof/>
                <w:sz w:val="24"/>
                <w:szCs w:val="24"/>
              </w:rPr>
              <w:t>Union of Skills</w:t>
            </w:r>
            <w:r w:rsidR="00F50FA5">
              <w:rPr>
                <w:rStyle w:val="FootnoteReference"/>
                <w:rFonts w:ascii="Times New Roman" w:hAnsi="Times New Roman"/>
                <w:noProof/>
                <w:sz w:val="24"/>
                <w:szCs w:val="24"/>
              </w:rPr>
              <w:footnoteReference w:id="18"/>
            </w:r>
            <w:r w:rsidR="00A62FD2" w:rsidRPr="00A62FD2">
              <w:rPr>
                <w:rFonts w:ascii="Times New Roman" w:hAnsi="Times New Roman"/>
                <w:noProof/>
                <w:sz w:val="24"/>
                <w:szCs w:val="24"/>
              </w:rPr>
              <w:t xml:space="preserve"> and the </w:t>
            </w:r>
            <w:r w:rsidR="00A62FD2" w:rsidRPr="00E4595A">
              <w:rPr>
                <w:rFonts w:ascii="Times New Roman" w:hAnsi="Times New Roman"/>
                <w:noProof/>
                <w:sz w:val="24"/>
                <w:szCs w:val="24"/>
              </w:rPr>
              <w:t>EU Start-up Strategy</w:t>
            </w:r>
            <w:r w:rsidR="008B0220">
              <w:rPr>
                <w:rStyle w:val="FootnoteReference"/>
                <w:rFonts w:ascii="Times New Roman" w:hAnsi="Times New Roman"/>
                <w:noProof/>
                <w:sz w:val="24"/>
                <w:szCs w:val="24"/>
              </w:rPr>
              <w:footnoteReference w:id="19"/>
            </w:r>
            <w:r w:rsidR="00A62FD2" w:rsidRPr="00A62FD2">
              <w:rPr>
                <w:rFonts w:ascii="Times New Roman" w:hAnsi="Times New Roman"/>
                <w:noProof/>
                <w:sz w:val="24"/>
                <w:szCs w:val="24"/>
              </w:rPr>
              <w:t>, boosting digital and entrepreneurial skills, supporting cross-sector innovation, and enhancing the attractiveness of maritime careers through fleet modernization, safety, and targeted reskilling efforts.</w:t>
            </w:r>
          </w:p>
          <w:p w14:paraId="4E6657D3" w14:textId="1F660BD1" w:rsidR="00E4595A" w:rsidRDefault="00E4595A" w:rsidP="00E4595A">
            <w:pPr>
              <w:widowControl w:val="0"/>
              <w:spacing w:before="120" w:after="120"/>
              <w:jc w:val="both"/>
              <w:rPr>
                <w:rFonts w:ascii="Times New Roman" w:eastAsia="Times New Roman" w:hAnsi="Times New Roman"/>
                <w:noProof/>
                <w:sz w:val="24"/>
                <w:szCs w:val="24"/>
              </w:rPr>
            </w:pPr>
            <w:r w:rsidRPr="00E4595A">
              <w:rPr>
                <w:rFonts w:ascii="Times New Roman" w:eastAsia="Times New Roman" w:hAnsi="Times New Roman"/>
                <w:noProof/>
                <w:sz w:val="24"/>
                <w:szCs w:val="24"/>
                <w:u w:val="single"/>
              </w:rPr>
              <w:t>On recommendation 3.2.4.</w:t>
            </w:r>
            <w:r w:rsidRPr="71F2017D">
              <w:rPr>
                <w:rFonts w:ascii="Times New Roman" w:eastAsia="Times New Roman" w:hAnsi="Times New Roman"/>
                <w:noProof/>
                <w:sz w:val="24"/>
                <w:szCs w:val="24"/>
              </w:rPr>
              <w:t xml:space="preserve"> to ensure the resilience of </w:t>
            </w:r>
            <w:r>
              <w:rPr>
                <w:rFonts w:ascii="Times New Roman" w:eastAsia="Times New Roman" w:hAnsi="Times New Roman"/>
                <w:noProof/>
                <w:sz w:val="24"/>
                <w:szCs w:val="24"/>
              </w:rPr>
              <w:t>the</w:t>
            </w:r>
            <w:r w:rsidRPr="71F2017D">
              <w:rPr>
                <w:rFonts w:ascii="Times New Roman" w:eastAsia="Times New Roman" w:hAnsi="Times New Roman"/>
                <w:noProof/>
                <w:sz w:val="24"/>
                <w:szCs w:val="24"/>
              </w:rPr>
              <w:t xml:space="preserve"> ocean, the Ocean Pact stresses that the Commission will work on the effective implementation and enforcement of existing EU legislation, notably the Marine Strategy Framework Directive (MFSD)</w:t>
            </w:r>
            <w:r>
              <w:rPr>
                <w:rStyle w:val="FootnoteReference"/>
                <w:rFonts w:ascii="Times New Roman" w:eastAsia="Times New Roman" w:hAnsi="Times New Roman"/>
                <w:noProof/>
                <w:sz w:val="24"/>
                <w:szCs w:val="24"/>
              </w:rPr>
              <w:footnoteReference w:id="20"/>
            </w:r>
            <w:r w:rsidRPr="71F2017D">
              <w:rPr>
                <w:rFonts w:ascii="Times New Roman" w:eastAsia="Times New Roman" w:hAnsi="Times New Roman"/>
                <w:noProof/>
                <w:sz w:val="24"/>
                <w:szCs w:val="24"/>
              </w:rPr>
              <w:t>, but also the Birds</w:t>
            </w:r>
            <w:r>
              <w:rPr>
                <w:rStyle w:val="FootnoteReference"/>
                <w:rFonts w:ascii="Times New Roman" w:eastAsia="Times New Roman" w:hAnsi="Times New Roman"/>
                <w:noProof/>
                <w:sz w:val="24"/>
                <w:szCs w:val="24"/>
              </w:rPr>
              <w:footnoteReference w:id="21"/>
            </w:r>
            <w:r w:rsidRPr="71F2017D">
              <w:rPr>
                <w:rFonts w:ascii="Times New Roman" w:eastAsia="Times New Roman" w:hAnsi="Times New Roman"/>
                <w:noProof/>
                <w:sz w:val="24"/>
                <w:szCs w:val="24"/>
              </w:rPr>
              <w:t xml:space="preserve"> and Habitats</w:t>
            </w:r>
            <w:r>
              <w:rPr>
                <w:rStyle w:val="FootnoteReference"/>
                <w:rFonts w:ascii="Times New Roman" w:eastAsia="Times New Roman" w:hAnsi="Times New Roman"/>
                <w:noProof/>
                <w:sz w:val="24"/>
                <w:szCs w:val="24"/>
              </w:rPr>
              <w:footnoteReference w:id="22"/>
            </w:r>
            <w:r w:rsidRPr="71F2017D">
              <w:rPr>
                <w:rFonts w:ascii="Times New Roman" w:eastAsia="Times New Roman" w:hAnsi="Times New Roman"/>
                <w:noProof/>
                <w:sz w:val="24"/>
                <w:szCs w:val="24"/>
              </w:rPr>
              <w:t xml:space="preserve"> Directives, and the Nature Restoration Regulation</w:t>
            </w:r>
            <w:r>
              <w:rPr>
                <w:rStyle w:val="FootnoteReference"/>
                <w:rFonts w:ascii="Times New Roman" w:eastAsia="Times New Roman" w:hAnsi="Times New Roman"/>
                <w:noProof/>
                <w:sz w:val="24"/>
                <w:szCs w:val="24"/>
              </w:rPr>
              <w:footnoteReference w:id="23"/>
            </w:r>
            <w:r w:rsidRPr="71F2017D">
              <w:rPr>
                <w:rFonts w:ascii="Times New Roman" w:eastAsia="Times New Roman" w:hAnsi="Times New Roman"/>
                <w:noProof/>
                <w:sz w:val="24"/>
                <w:szCs w:val="24"/>
              </w:rPr>
              <w:t>, including the use of new technologies, aimed at facilitating surveillance and monitoring. The revision of the MSFD has also been announced.</w:t>
            </w:r>
          </w:p>
          <w:p w14:paraId="517E32E9" w14:textId="1E58EE29" w:rsidR="002C1E2E" w:rsidRPr="001A68A7" w:rsidRDefault="002C1E2E" w:rsidP="002E1AF1">
            <w:pPr>
              <w:widowControl w:val="0"/>
              <w:spacing w:before="120" w:after="120"/>
              <w:jc w:val="both"/>
              <w:rPr>
                <w:rFonts w:ascii="Times New Roman" w:hAnsi="Times New Roman"/>
                <w:noProof/>
                <w:sz w:val="24"/>
                <w:szCs w:val="24"/>
              </w:rPr>
            </w:pPr>
            <w:r w:rsidRPr="00E4595A">
              <w:rPr>
                <w:rFonts w:ascii="Times New Roman" w:hAnsi="Times New Roman"/>
                <w:noProof/>
                <w:sz w:val="24"/>
                <w:szCs w:val="24"/>
                <w:u w:val="single"/>
              </w:rPr>
              <w:t>On recommendation 5.1.5</w:t>
            </w:r>
            <w:r>
              <w:rPr>
                <w:rFonts w:ascii="Times New Roman" w:hAnsi="Times New Roman"/>
                <w:noProof/>
                <w:sz w:val="24"/>
                <w:szCs w:val="24"/>
                <w:u w:val="single"/>
              </w:rPr>
              <w:t>.</w:t>
            </w:r>
            <w:r w:rsidRPr="002C1E2E">
              <w:rPr>
                <w:rFonts w:ascii="Times New Roman" w:hAnsi="Times New Roman"/>
                <w:noProof/>
                <w:sz w:val="24"/>
                <w:szCs w:val="24"/>
              </w:rPr>
              <w:t xml:space="preserve"> for </w:t>
            </w:r>
            <w:r>
              <w:rPr>
                <w:rFonts w:ascii="Times New Roman" w:hAnsi="Times New Roman"/>
                <w:noProof/>
                <w:sz w:val="24"/>
                <w:szCs w:val="24"/>
              </w:rPr>
              <w:t>‘</w:t>
            </w:r>
            <w:r w:rsidRPr="002C1E2E">
              <w:rPr>
                <w:rFonts w:ascii="Times New Roman" w:hAnsi="Times New Roman"/>
                <w:noProof/>
                <w:sz w:val="24"/>
                <w:szCs w:val="24"/>
              </w:rPr>
              <w:t>ensuring the security of Europe’s maritime domain</w:t>
            </w:r>
            <w:r>
              <w:rPr>
                <w:rFonts w:ascii="Times New Roman" w:hAnsi="Times New Roman"/>
                <w:noProof/>
                <w:sz w:val="24"/>
                <w:szCs w:val="24"/>
              </w:rPr>
              <w:t>’</w:t>
            </w:r>
            <w:r w:rsidRPr="002C1E2E">
              <w:rPr>
                <w:rFonts w:ascii="Times New Roman" w:hAnsi="Times New Roman"/>
                <w:noProof/>
                <w:sz w:val="24"/>
                <w:szCs w:val="24"/>
              </w:rPr>
              <w:t xml:space="preserve"> and the call for </w:t>
            </w:r>
            <w:r>
              <w:rPr>
                <w:rFonts w:ascii="Times New Roman" w:hAnsi="Times New Roman"/>
                <w:noProof/>
                <w:sz w:val="24"/>
                <w:szCs w:val="24"/>
              </w:rPr>
              <w:t>‘</w:t>
            </w:r>
            <w:r w:rsidRPr="002C1E2E">
              <w:rPr>
                <w:rFonts w:ascii="Times New Roman" w:hAnsi="Times New Roman"/>
                <w:noProof/>
                <w:sz w:val="24"/>
                <w:szCs w:val="24"/>
              </w:rPr>
              <w:t>protecting (…) ports (…) from threats (…)</w:t>
            </w:r>
            <w:r>
              <w:rPr>
                <w:rFonts w:ascii="Times New Roman" w:hAnsi="Times New Roman"/>
                <w:noProof/>
                <w:sz w:val="24"/>
                <w:szCs w:val="24"/>
              </w:rPr>
              <w:t>’</w:t>
            </w:r>
            <w:r w:rsidRPr="002C1E2E">
              <w:rPr>
                <w:rFonts w:ascii="Times New Roman" w:hAnsi="Times New Roman"/>
                <w:noProof/>
                <w:sz w:val="24"/>
                <w:szCs w:val="24"/>
              </w:rPr>
              <w:t>, the Commission is currently preparing an EU Ports Strategy</w:t>
            </w:r>
            <w:r>
              <w:rPr>
                <w:rFonts w:ascii="Times New Roman" w:hAnsi="Times New Roman"/>
                <w:noProof/>
                <w:sz w:val="24"/>
                <w:szCs w:val="24"/>
              </w:rPr>
              <w:t>,</w:t>
            </w:r>
            <w:r w:rsidRPr="002C1E2E">
              <w:rPr>
                <w:rFonts w:ascii="Times New Roman" w:hAnsi="Times New Roman"/>
                <w:noProof/>
                <w:sz w:val="24"/>
                <w:szCs w:val="24"/>
              </w:rPr>
              <w:t xml:space="preserve"> focusing on both security and sustainability within Europe’s port domain. This strategy will address overarching policy challenges, ensuring that ports remain competitive, resilient, and secure</w:t>
            </w:r>
            <w:r>
              <w:rPr>
                <w:rFonts w:ascii="Times New Roman" w:hAnsi="Times New Roman"/>
                <w:noProof/>
                <w:sz w:val="24"/>
                <w:szCs w:val="24"/>
              </w:rPr>
              <w:t>,</w:t>
            </w:r>
            <w:r w:rsidRPr="002C1E2E">
              <w:rPr>
                <w:rFonts w:ascii="Times New Roman" w:hAnsi="Times New Roman"/>
                <w:noProof/>
                <w:sz w:val="24"/>
                <w:szCs w:val="24"/>
              </w:rPr>
              <w:t xml:space="preserve"> while facilitating the EU’s energy transition.</w:t>
            </w:r>
          </w:p>
          <w:p w14:paraId="30D14481" w14:textId="3A2EBA60" w:rsidR="00102FF2" w:rsidRPr="00E4595A" w:rsidRDefault="004B7BDD" w:rsidP="00E4595A">
            <w:pPr>
              <w:widowControl w:val="0"/>
              <w:spacing w:before="120" w:after="120"/>
              <w:jc w:val="both"/>
            </w:pPr>
            <w:r w:rsidRPr="00E4595A">
              <w:rPr>
                <w:rFonts w:ascii="Times New Roman" w:hAnsi="Times New Roman"/>
                <w:noProof/>
                <w:sz w:val="24"/>
                <w:szCs w:val="24"/>
                <w:u w:val="single"/>
              </w:rPr>
              <w:t>On</w:t>
            </w:r>
            <w:r w:rsidR="00A03707" w:rsidRPr="00E4595A">
              <w:rPr>
                <w:rFonts w:ascii="Times New Roman" w:hAnsi="Times New Roman"/>
                <w:noProof/>
                <w:sz w:val="24"/>
                <w:szCs w:val="24"/>
                <w:u w:val="single"/>
              </w:rPr>
              <w:t xml:space="preserve"> recommendation 5.1.11</w:t>
            </w:r>
            <w:r w:rsidR="00E14486" w:rsidRPr="00E4595A">
              <w:rPr>
                <w:rFonts w:ascii="Times New Roman" w:hAnsi="Times New Roman"/>
                <w:noProof/>
                <w:sz w:val="24"/>
                <w:szCs w:val="24"/>
                <w:u w:val="single"/>
              </w:rPr>
              <w:t>.</w:t>
            </w:r>
            <w:r w:rsidR="00A03707">
              <w:rPr>
                <w:rFonts w:ascii="Times New Roman" w:hAnsi="Times New Roman"/>
                <w:noProof/>
                <w:sz w:val="24"/>
                <w:szCs w:val="24"/>
              </w:rPr>
              <w:t xml:space="preserve"> </w:t>
            </w:r>
            <w:r>
              <w:rPr>
                <w:rFonts w:ascii="Times New Roman" w:hAnsi="Times New Roman"/>
                <w:noProof/>
                <w:sz w:val="24"/>
                <w:szCs w:val="24"/>
              </w:rPr>
              <w:t>and</w:t>
            </w:r>
            <w:r w:rsidR="00A03707" w:rsidRPr="243EC596">
              <w:rPr>
                <w:rFonts w:ascii="Times New Roman" w:hAnsi="Times New Roman"/>
                <w:noProof/>
                <w:sz w:val="24"/>
                <w:szCs w:val="24"/>
              </w:rPr>
              <w:t xml:space="preserve"> </w:t>
            </w:r>
            <w:r>
              <w:rPr>
                <w:rFonts w:ascii="Times New Roman" w:hAnsi="Times New Roman"/>
                <w:i/>
                <w:iCs/>
                <w:noProof/>
                <w:sz w:val="24"/>
                <w:szCs w:val="24"/>
              </w:rPr>
              <w:t>‘</w:t>
            </w:r>
            <w:r w:rsidR="00A03707" w:rsidRPr="007D3954">
              <w:rPr>
                <w:rFonts w:ascii="Times New Roman" w:hAnsi="Times New Roman"/>
                <w:i/>
                <w:iCs/>
                <w:noProof/>
                <w:sz w:val="24"/>
                <w:szCs w:val="24"/>
              </w:rPr>
              <w:t>empowering women and young people in the blue economy</w:t>
            </w:r>
            <w:r>
              <w:rPr>
                <w:rFonts w:ascii="Times New Roman" w:hAnsi="Times New Roman"/>
                <w:i/>
                <w:iCs/>
                <w:noProof/>
                <w:sz w:val="24"/>
                <w:szCs w:val="24"/>
              </w:rPr>
              <w:t>’</w:t>
            </w:r>
            <w:r w:rsidR="00A03707" w:rsidRPr="243EC596">
              <w:rPr>
                <w:rFonts w:ascii="Times New Roman" w:hAnsi="Times New Roman"/>
                <w:i/>
                <w:iCs/>
                <w:noProof/>
                <w:sz w:val="24"/>
                <w:szCs w:val="24"/>
              </w:rPr>
              <w:t xml:space="preserve">, </w:t>
            </w:r>
            <w:r w:rsidR="00A03707" w:rsidRPr="243EC596">
              <w:rPr>
                <w:rFonts w:ascii="Times New Roman" w:hAnsi="Times New Roman"/>
                <w:noProof/>
                <w:sz w:val="24"/>
                <w:szCs w:val="24"/>
              </w:rPr>
              <w:t>t</w:t>
            </w:r>
            <w:r w:rsidR="00A03707" w:rsidRPr="007D3954">
              <w:rPr>
                <w:rFonts w:ascii="Times New Roman" w:hAnsi="Times New Roman"/>
                <w:noProof/>
                <w:sz w:val="24"/>
                <w:szCs w:val="24"/>
              </w:rPr>
              <w:t xml:space="preserve">he </w:t>
            </w:r>
            <w:r w:rsidR="00A03707" w:rsidRPr="007D3954">
              <w:rPr>
                <w:rFonts w:ascii="Times New Roman" w:hAnsi="Times New Roman"/>
                <w:noProof/>
                <w:sz w:val="24"/>
                <w:szCs w:val="24"/>
              </w:rPr>
              <w:lastRenderedPageBreak/>
              <w:t xml:space="preserve">Commission has given young people a stronger role in EU policymaking. It consults young people </w:t>
            </w:r>
            <w:r w:rsidR="00A03707">
              <w:rPr>
                <w:rFonts w:ascii="Times New Roman" w:hAnsi="Times New Roman"/>
                <w:noProof/>
                <w:sz w:val="24"/>
                <w:szCs w:val="24"/>
              </w:rPr>
              <w:t>through a number of instruments such as</w:t>
            </w:r>
            <w:r w:rsidR="00A03707" w:rsidRPr="007D3954">
              <w:rPr>
                <w:rFonts w:ascii="Times New Roman" w:hAnsi="Times New Roman"/>
                <w:noProof/>
                <w:sz w:val="24"/>
                <w:szCs w:val="24"/>
              </w:rPr>
              <w:t xml:space="preserve"> the Commission </w:t>
            </w:r>
            <w:r w:rsidR="00A03707">
              <w:rPr>
                <w:rFonts w:ascii="Times New Roman" w:hAnsi="Times New Roman"/>
                <w:noProof/>
                <w:sz w:val="24"/>
                <w:szCs w:val="24"/>
              </w:rPr>
              <w:t>Y</w:t>
            </w:r>
            <w:r w:rsidR="00A03707" w:rsidRPr="007D3954">
              <w:rPr>
                <w:rFonts w:ascii="Times New Roman" w:hAnsi="Times New Roman"/>
                <w:noProof/>
                <w:sz w:val="24"/>
                <w:szCs w:val="24"/>
              </w:rPr>
              <w:t xml:space="preserve">outh </w:t>
            </w:r>
            <w:r w:rsidR="00A03707">
              <w:rPr>
                <w:rFonts w:ascii="Times New Roman" w:hAnsi="Times New Roman"/>
                <w:noProof/>
                <w:sz w:val="24"/>
                <w:szCs w:val="24"/>
              </w:rPr>
              <w:t>C</w:t>
            </w:r>
            <w:r w:rsidR="00A03707" w:rsidRPr="007D3954">
              <w:rPr>
                <w:rFonts w:ascii="Times New Roman" w:hAnsi="Times New Roman"/>
                <w:noProof/>
                <w:sz w:val="24"/>
                <w:szCs w:val="24"/>
              </w:rPr>
              <w:t>heck</w:t>
            </w:r>
            <w:r w:rsidR="00A03707">
              <w:rPr>
                <w:rStyle w:val="FootnoteReference"/>
                <w:rFonts w:ascii="Times New Roman" w:hAnsi="Times New Roman"/>
                <w:noProof/>
                <w:sz w:val="24"/>
                <w:szCs w:val="24"/>
              </w:rPr>
              <w:footnoteReference w:id="24"/>
            </w:r>
            <w:r w:rsidR="00A03707" w:rsidRPr="007D3954">
              <w:rPr>
                <w:rFonts w:ascii="Times New Roman" w:hAnsi="Times New Roman"/>
                <w:noProof/>
                <w:sz w:val="24"/>
                <w:szCs w:val="24"/>
              </w:rPr>
              <w:t>, the EU Youth Dialogue</w:t>
            </w:r>
            <w:r w:rsidR="00A03707">
              <w:rPr>
                <w:rStyle w:val="FootnoteReference"/>
                <w:rFonts w:ascii="Times New Roman" w:hAnsi="Times New Roman"/>
                <w:noProof/>
                <w:sz w:val="24"/>
                <w:szCs w:val="24"/>
              </w:rPr>
              <w:footnoteReference w:id="25"/>
            </w:r>
            <w:r w:rsidR="00A03707">
              <w:rPr>
                <w:rFonts w:ascii="Times New Roman" w:hAnsi="Times New Roman"/>
                <w:noProof/>
                <w:sz w:val="24"/>
                <w:szCs w:val="24"/>
              </w:rPr>
              <w:t>,</w:t>
            </w:r>
            <w:r w:rsidR="00A03707" w:rsidRPr="007D3954">
              <w:rPr>
                <w:rFonts w:ascii="Times New Roman" w:hAnsi="Times New Roman"/>
                <w:noProof/>
                <w:sz w:val="24"/>
                <w:szCs w:val="24"/>
              </w:rPr>
              <w:t xml:space="preserve"> the Youth Policy Dialogues with Commissioners</w:t>
            </w:r>
            <w:r w:rsidR="00A03707">
              <w:rPr>
                <w:rStyle w:val="FootnoteReference"/>
                <w:rFonts w:ascii="Times New Roman" w:hAnsi="Times New Roman"/>
                <w:noProof/>
                <w:sz w:val="24"/>
                <w:szCs w:val="24"/>
              </w:rPr>
              <w:footnoteReference w:id="26"/>
            </w:r>
            <w:r w:rsidR="00A03707" w:rsidRPr="007D3954">
              <w:rPr>
                <w:rFonts w:ascii="Times New Roman" w:hAnsi="Times New Roman"/>
                <w:noProof/>
                <w:sz w:val="24"/>
                <w:szCs w:val="24"/>
              </w:rPr>
              <w:t>, the EU Youth Stakeholders Group</w:t>
            </w:r>
            <w:r w:rsidR="00A03707">
              <w:rPr>
                <w:rStyle w:val="FootnoteReference"/>
                <w:rFonts w:ascii="Times New Roman" w:hAnsi="Times New Roman"/>
                <w:noProof/>
                <w:sz w:val="24"/>
                <w:szCs w:val="24"/>
              </w:rPr>
              <w:footnoteReference w:id="27"/>
            </w:r>
            <w:r w:rsidR="00A03707" w:rsidRPr="007D3954">
              <w:rPr>
                <w:rFonts w:ascii="Times New Roman" w:hAnsi="Times New Roman"/>
                <w:noProof/>
                <w:sz w:val="24"/>
                <w:szCs w:val="24"/>
              </w:rPr>
              <w:t>,</w:t>
            </w:r>
            <w:r w:rsidR="00A03707">
              <w:rPr>
                <w:rFonts w:ascii="Times New Roman" w:hAnsi="Times New Roman"/>
                <w:noProof/>
                <w:sz w:val="24"/>
                <w:szCs w:val="24"/>
              </w:rPr>
              <w:t xml:space="preserve"> and</w:t>
            </w:r>
            <w:r w:rsidR="00A03707" w:rsidRPr="007D3954">
              <w:rPr>
                <w:rFonts w:ascii="Times New Roman" w:hAnsi="Times New Roman"/>
                <w:noProof/>
                <w:sz w:val="24"/>
                <w:szCs w:val="24"/>
              </w:rPr>
              <w:t xml:space="preserve"> the President’s Youth Advisory Board</w:t>
            </w:r>
            <w:r w:rsidR="00A03707">
              <w:rPr>
                <w:rStyle w:val="FootnoteReference"/>
                <w:rFonts w:ascii="Times New Roman" w:hAnsi="Times New Roman"/>
                <w:noProof/>
                <w:sz w:val="24"/>
                <w:szCs w:val="24"/>
              </w:rPr>
              <w:footnoteReference w:id="28"/>
            </w:r>
            <w:r w:rsidR="00A03707" w:rsidRPr="007D3954">
              <w:rPr>
                <w:rFonts w:ascii="Times New Roman" w:hAnsi="Times New Roman"/>
                <w:noProof/>
                <w:sz w:val="24"/>
                <w:szCs w:val="24"/>
              </w:rPr>
              <w:t xml:space="preserve">. </w:t>
            </w:r>
            <w:r w:rsidR="00A03707">
              <w:rPr>
                <w:rFonts w:ascii="Times New Roman" w:hAnsi="Times New Roman"/>
                <w:noProof/>
                <w:sz w:val="24"/>
                <w:szCs w:val="24"/>
              </w:rPr>
              <w:t>Furthermore, y</w:t>
            </w:r>
            <w:r w:rsidR="00A03707" w:rsidRPr="007D3954">
              <w:rPr>
                <w:rFonts w:ascii="Times New Roman" w:hAnsi="Times New Roman"/>
                <w:noProof/>
                <w:sz w:val="24"/>
                <w:szCs w:val="24"/>
              </w:rPr>
              <w:t>oung people are one-third of the participants in the European Citizens’ Panels</w:t>
            </w:r>
            <w:r w:rsidR="00A03707">
              <w:rPr>
                <w:rStyle w:val="FootnoteReference"/>
                <w:rFonts w:ascii="Times New Roman" w:hAnsi="Times New Roman"/>
                <w:noProof/>
                <w:sz w:val="24"/>
                <w:szCs w:val="24"/>
              </w:rPr>
              <w:footnoteReference w:id="29"/>
            </w:r>
            <w:r w:rsidR="00A03707" w:rsidRPr="007D3954">
              <w:rPr>
                <w:rFonts w:ascii="Times New Roman" w:hAnsi="Times New Roman"/>
                <w:noProof/>
                <w:sz w:val="24"/>
                <w:szCs w:val="24"/>
              </w:rPr>
              <w:t>.</w:t>
            </w:r>
            <w:r w:rsidR="00102FF2">
              <w:rPr>
                <w:rFonts w:ascii="Times New Roman" w:hAnsi="Times New Roman"/>
                <w:noProof/>
                <w:sz w:val="24"/>
                <w:szCs w:val="24"/>
              </w:rPr>
              <w:t xml:space="preserve"> </w:t>
            </w:r>
            <w:r w:rsidR="00336F8C" w:rsidRPr="00336F8C">
              <w:rPr>
                <w:rFonts w:ascii="Times New Roman" w:hAnsi="Times New Roman"/>
                <w:noProof/>
                <w:sz w:val="24"/>
                <w:szCs w:val="24"/>
              </w:rPr>
              <w:t>The</w:t>
            </w:r>
            <w:r w:rsidR="00336F8C">
              <w:rPr>
                <w:rFonts w:ascii="Times New Roman" w:hAnsi="Times New Roman"/>
                <w:noProof/>
                <w:sz w:val="24"/>
                <w:szCs w:val="24"/>
              </w:rPr>
              <w:t xml:space="preserve"> Commission</w:t>
            </w:r>
            <w:r w:rsidR="00336F8C" w:rsidRPr="00336F8C">
              <w:rPr>
                <w:rFonts w:ascii="Times New Roman" w:hAnsi="Times New Roman"/>
                <w:noProof/>
                <w:sz w:val="24"/>
                <w:szCs w:val="24"/>
              </w:rPr>
              <w:t xml:space="preserve"> will strengthen ocean literacy and citizen engagement through initiatives like EU4Ocean</w:t>
            </w:r>
            <w:r w:rsidR="008B0220">
              <w:rPr>
                <w:rStyle w:val="FootnoteReference"/>
                <w:rFonts w:ascii="Times New Roman" w:hAnsi="Times New Roman"/>
                <w:noProof/>
                <w:sz w:val="24"/>
                <w:szCs w:val="24"/>
              </w:rPr>
              <w:footnoteReference w:id="30"/>
            </w:r>
            <w:r w:rsidR="00336F8C" w:rsidRPr="00336F8C">
              <w:rPr>
                <w:rFonts w:ascii="Times New Roman" w:hAnsi="Times New Roman"/>
                <w:noProof/>
                <w:sz w:val="24"/>
                <w:szCs w:val="24"/>
              </w:rPr>
              <w:t>, promoting intergenerational dialogue and linking ocean and water literacy. Key actions include expanding youth involvement via the Youth4Ocean Forum, launching an Ocean Youth Ambassador Network, and supporting early career professionals through internships and the Blue Intergenerational Programme.</w:t>
            </w:r>
            <w:r w:rsidR="00336F8C">
              <w:rPr>
                <w:rFonts w:ascii="Times New Roman" w:hAnsi="Times New Roman"/>
                <w:noProof/>
                <w:sz w:val="24"/>
                <w:szCs w:val="24"/>
              </w:rPr>
              <w:t xml:space="preserve"> The Commission</w:t>
            </w:r>
            <w:r w:rsidR="00336F8C" w:rsidRPr="00336F8C">
              <w:rPr>
                <w:rFonts w:ascii="Times New Roman" w:hAnsi="Times New Roman"/>
                <w:noProof/>
                <w:sz w:val="24"/>
                <w:szCs w:val="24"/>
              </w:rPr>
              <w:t xml:space="preserve"> promotes women’s participation in the blue economy by supporting gender equality, leadership development, and skills training across sectors such as marine biotechnology, aquaculture, offshore renewable energy, coastal tourism, and marine technologies. Its initiatives focus on mentoring, networking, and career advancement, with special attention to underrepresented groups.</w:t>
            </w:r>
          </w:p>
        </w:tc>
      </w:tr>
    </w:tbl>
    <w:p w14:paraId="6AF07B14" w14:textId="26AEAB66" w:rsidR="004F6117" w:rsidRPr="002E1AF1" w:rsidRDefault="004F6117" w:rsidP="002E1AF1">
      <w:pPr>
        <w:widowControl w:val="0"/>
        <w:spacing w:after="0" w:line="240" w:lineRule="auto"/>
        <w:ind w:left="-709"/>
        <w:rPr>
          <w:rFonts w:ascii="Times New Roman" w:hAnsi="Times New Roman"/>
          <w:b/>
          <w:i/>
          <w:iCs/>
          <w:strike/>
          <w:sz w:val="16"/>
          <w:szCs w:val="16"/>
        </w:rPr>
      </w:pPr>
    </w:p>
    <w:sectPr w:rsidR="004F6117" w:rsidRPr="002E1AF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DE08A" w14:textId="77777777" w:rsidR="006073BB" w:rsidRDefault="006073BB" w:rsidP="00FF63EA">
      <w:pPr>
        <w:spacing w:after="0" w:line="240" w:lineRule="auto"/>
      </w:pPr>
      <w:r>
        <w:separator/>
      </w:r>
    </w:p>
  </w:endnote>
  <w:endnote w:type="continuationSeparator" w:id="0">
    <w:p w14:paraId="1DE8FC85" w14:textId="77777777" w:rsidR="006073BB" w:rsidRDefault="006073BB" w:rsidP="00FF63EA">
      <w:pPr>
        <w:spacing w:after="0" w:line="240" w:lineRule="auto"/>
      </w:pPr>
      <w:r>
        <w:continuationSeparator/>
      </w:r>
    </w:p>
  </w:endnote>
  <w:endnote w:type="continuationNotice" w:id="1">
    <w:p w14:paraId="54550355" w14:textId="77777777" w:rsidR="006073BB" w:rsidRDefault="006073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D70D5" w14:textId="77777777" w:rsidR="006073BB" w:rsidRDefault="006073BB" w:rsidP="00FF63EA">
      <w:pPr>
        <w:spacing w:after="0" w:line="240" w:lineRule="auto"/>
      </w:pPr>
      <w:r>
        <w:separator/>
      </w:r>
    </w:p>
  </w:footnote>
  <w:footnote w:type="continuationSeparator" w:id="0">
    <w:p w14:paraId="5544E16F" w14:textId="77777777" w:rsidR="006073BB" w:rsidRDefault="006073BB" w:rsidP="00FF63EA">
      <w:pPr>
        <w:spacing w:after="0" w:line="240" w:lineRule="auto"/>
      </w:pPr>
      <w:r>
        <w:continuationSeparator/>
      </w:r>
    </w:p>
  </w:footnote>
  <w:footnote w:type="continuationNotice" w:id="1">
    <w:p w14:paraId="02AA8331" w14:textId="77777777" w:rsidR="006073BB" w:rsidRDefault="006073BB">
      <w:pPr>
        <w:spacing w:after="0" w:line="240" w:lineRule="auto"/>
      </w:pPr>
    </w:p>
  </w:footnote>
  <w:footnote w:id="2">
    <w:p w14:paraId="5F25717F" w14:textId="23398EDA" w:rsidR="00AA40E6" w:rsidRPr="00A84A7A" w:rsidRDefault="006915FE" w:rsidP="00E479E7">
      <w:pPr>
        <w:pStyle w:val="FootnoteText"/>
        <w:widowControl w:val="0"/>
        <w:spacing w:after="0" w:line="240" w:lineRule="auto"/>
        <w:ind w:left="-284" w:right="-567" w:hanging="284"/>
        <w:jc w:val="both"/>
        <w:rPr>
          <w:rFonts w:ascii="Times New Roman" w:hAnsi="Times New Roman"/>
          <w:lang w:val="fr-BE"/>
        </w:rPr>
      </w:pPr>
      <w:r w:rsidRPr="00A84A7A">
        <w:rPr>
          <w:rStyle w:val="FootnoteReference"/>
          <w:rFonts w:ascii="Times New Roman" w:hAnsi="Times New Roman"/>
        </w:rPr>
        <w:footnoteRef/>
      </w:r>
      <w:r w:rsidRPr="00A84A7A">
        <w:rPr>
          <w:rFonts w:ascii="Times New Roman" w:hAnsi="Times New Roman"/>
          <w:lang w:val="fr-BE"/>
        </w:rPr>
        <w:t xml:space="preserve"> </w:t>
      </w:r>
      <w:r w:rsidR="00057C9C" w:rsidRPr="00A84A7A">
        <w:rPr>
          <w:rFonts w:ascii="Times New Roman" w:hAnsi="Times New Roman"/>
          <w:lang w:val="fr-BE"/>
        </w:rPr>
        <w:tab/>
      </w:r>
      <w:proofErr w:type="gramStart"/>
      <w:r w:rsidRPr="00A84A7A">
        <w:rPr>
          <w:rFonts w:ascii="Times New Roman" w:hAnsi="Times New Roman"/>
          <w:lang w:val="fr-BE"/>
        </w:rPr>
        <w:t>COM(</w:t>
      </w:r>
      <w:proofErr w:type="gramEnd"/>
      <w:r w:rsidRPr="00A84A7A">
        <w:rPr>
          <w:rFonts w:ascii="Times New Roman" w:hAnsi="Times New Roman"/>
          <w:lang w:val="fr-BE"/>
        </w:rPr>
        <w:t>2025)</w:t>
      </w:r>
      <w:r w:rsidR="00AA40E6" w:rsidRPr="00A84A7A">
        <w:rPr>
          <w:rFonts w:ascii="Times New Roman" w:hAnsi="Times New Roman"/>
          <w:lang w:val="fr-BE"/>
        </w:rPr>
        <w:t xml:space="preserve"> </w:t>
      </w:r>
      <w:r w:rsidRPr="00A84A7A">
        <w:rPr>
          <w:rFonts w:ascii="Times New Roman" w:hAnsi="Times New Roman"/>
          <w:lang w:val="fr-BE"/>
        </w:rPr>
        <w:t>281 final</w:t>
      </w:r>
      <w:r w:rsidR="00057C9C" w:rsidRPr="00A84A7A">
        <w:rPr>
          <w:rFonts w:ascii="Times New Roman" w:hAnsi="Times New Roman"/>
          <w:lang w:val="fr-BE"/>
        </w:rPr>
        <w:t xml:space="preserve"> (</w:t>
      </w:r>
      <w:hyperlink r:id="rId1" w:history="1">
        <w:r w:rsidR="00AA40E6" w:rsidRPr="00A84A7A">
          <w:rPr>
            <w:rFonts w:ascii="Times New Roman" w:hAnsi="Times New Roman"/>
            <w:color w:val="0000FF"/>
            <w:u w:val="single"/>
            <w:lang w:val="fr-BE"/>
          </w:rPr>
          <w:t>EUR-Lex - 52025DC0281 - EN - EUR-Lex</w:t>
        </w:r>
      </w:hyperlink>
      <w:r w:rsidR="00057C9C" w:rsidRPr="00A84A7A">
        <w:rPr>
          <w:rFonts w:ascii="Times New Roman" w:hAnsi="Times New Roman"/>
          <w:lang w:val="fr-BE"/>
        </w:rPr>
        <w:t>).</w:t>
      </w:r>
    </w:p>
  </w:footnote>
  <w:footnote w:id="3">
    <w:p w14:paraId="5F30B6DC" w14:textId="722A05FA" w:rsidR="000F48BF" w:rsidRPr="00A84A7A" w:rsidRDefault="000F48BF" w:rsidP="00E479E7">
      <w:pPr>
        <w:pStyle w:val="FootnoteText"/>
        <w:widowControl w:val="0"/>
        <w:spacing w:after="0" w:line="240" w:lineRule="auto"/>
        <w:ind w:left="-284" w:right="-567" w:hanging="284"/>
        <w:jc w:val="both"/>
        <w:rPr>
          <w:rFonts w:ascii="Times New Roman" w:hAnsi="Times New Roman"/>
          <w:lang w:val="en-IE"/>
        </w:rPr>
      </w:pPr>
      <w:r w:rsidRPr="00A84A7A">
        <w:rPr>
          <w:rStyle w:val="FootnoteReference"/>
          <w:rFonts w:ascii="Times New Roman" w:hAnsi="Times New Roman"/>
        </w:rPr>
        <w:footnoteRef/>
      </w:r>
      <w:r w:rsidRPr="00A84A7A">
        <w:rPr>
          <w:rFonts w:ascii="Times New Roman" w:hAnsi="Times New Roman"/>
          <w:lang w:val="en-US"/>
        </w:rPr>
        <w:t xml:space="preserve"> </w:t>
      </w:r>
      <w:r w:rsidR="00057C9C" w:rsidRPr="00A84A7A">
        <w:rPr>
          <w:rFonts w:ascii="Times New Roman" w:hAnsi="Times New Roman"/>
          <w:lang w:val="en-US"/>
        </w:rPr>
        <w:tab/>
      </w:r>
      <w:r w:rsidRPr="00A84A7A">
        <w:rPr>
          <w:rFonts w:ascii="Times New Roman" w:hAnsi="Times New Roman"/>
          <w:lang w:val="en-IE"/>
        </w:rPr>
        <w:t>Directive 2014/89/EU of the European Parliament and of the Council of 23 July 2014 establishing a framework for maritime spatial planning</w:t>
      </w:r>
      <w:r w:rsidR="00057C9C" w:rsidRPr="00A84A7A">
        <w:rPr>
          <w:rFonts w:ascii="Times New Roman" w:hAnsi="Times New Roman"/>
          <w:lang w:val="en-IE"/>
        </w:rPr>
        <w:t xml:space="preserve"> </w:t>
      </w:r>
      <w:r w:rsidRPr="00A84A7A">
        <w:rPr>
          <w:rFonts w:ascii="Times New Roman" w:hAnsi="Times New Roman"/>
          <w:lang w:val="en-IE"/>
        </w:rPr>
        <w:t>(</w:t>
      </w:r>
      <w:hyperlink r:id="rId2" w:history="1">
        <w:r w:rsidRPr="00A84A7A">
          <w:rPr>
            <w:rFonts w:ascii="Times New Roman" w:hAnsi="Times New Roman"/>
            <w:color w:val="0000FF"/>
            <w:u w:val="single"/>
            <w:lang w:val="en-IE"/>
          </w:rPr>
          <w:t>Directive - 2014/89 - EN - EUR-Lex</w:t>
        </w:r>
      </w:hyperlink>
      <w:r w:rsidRPr="00A84A7A">
        <w:rPr>
          <w:rFonts w:ascii="Times New Roman" w:hAnsi="Times New Roman"/>
          <w:lang w:val="en-IE"/>
        </w:rPr>
        <w:t>)</w:t>
      </w:r>
      <w:r w:rsidR="00057C9C" w:rsidRPr="00A84A7A">
        <w:rPr>
          <w:rFonts w:ascii="Times New Roman" w:hAnsi="Times New Roman"/>
          <w:lang w:val="en-IE"/>
        </w:rPr>
        <w:t>.</w:t>
      </w:r>
    </w:p>
  </w:footnote>
  <w:footnote w:id="4">
    <w:p w14:paraId="1374A96A" w14:textId="0424E5BA" w:rsidR="00E4595A" w:rsidRPr="00A84A7A" w:rsidRDefault="00E4595A" w:rsidP="00E479E7">
      <w:pPr>
        <w:pStyle w:val="FootnoteText"/>
        <w:spacing w:after="0" w:line="240" w:lineRule="auto"/>
        <w:ind w:left="-284" w:right="-567" w:hanging="284"/>
        <w:jc w:val="both"/>
        <w:rPr>
          <w:rFonts w:ascii="Times New Roman" w:hAnsi="Times New Roman"/>
          <w:lang w:val="en-US"/>
        </w:rPr>
      </w:pPr>
      <w:r w:rsidRPr="00A84A7A">
        <w:rPr>
          <w:rStyle w:val="FootnoteReference"/>
          <w:rFonts w:ascii="Times New Roman" w:hAnsi="Times New Roman"/>
        </w:rPr>
        <w:footnoteRef/>
      </w:r>
      <w:r w:rsidRPr="00A84A7A">
        <w:rPr>
          <w:rFonts w:ascii="Times New Roman" w:hAnsi="Times New Roman"/>
        </w:rPr>
        <w:t xml:space="preserve"> </w:t>
      </w:r>
      <w:r w:rsidRPr="00A84A7A">
        <w:rPr>
          <w:rFonts w:ascii="Times New Roman" w:hAnsi="Times New Roman"/>
          <w:lang w:val="en-US"/>
        </w:rPr>
        <w:tab/>
      </w:r>
      <w:hyperlink r:id="rId3" w:history="1">
        <w:r w:rsidRPr="00A84A7A">
          <w:rPr>
            <w:rFonts w:ascii="Times New Roman" w:hAnsi="Times New Roman"/>
            <w:color w:val="0000FF"/>
            <w:u w:val="single"/>
          </w:rPr>
          <w:t>Vision for Agriculture and Food - European Commission</w:t>
        </w:r>
      </w:hyperlink>
      <w:r w:rsidR="00A84A7A" w:rsidRPr="00E479E7">
        <w:rPr>
          <w:rFonts w:ascii="Times New Roman" w:hAnsi="Times New Roman"/>
        </w:rPr>
        <w:t>.</w:t>
      </w:r>
    </w:p>
  </w:footnote>
  <w:footnote w:id="5">
    <w:p w14:paraId="3152843F" w14:textId="2DB0D71C" w:rsidR="00E4595A" w:rsidRPr="00E479E7" w:rsidRDefault="00E4595A" w:rsidP="00E479E7">
      <w:pPr>
        <w:pStyle w:val="FootnoteText"/>
        <w:spacing w:after="0" w:line="240" w:lineRule="auto"/>
        <w:ind w:left="-284" w:right="-567" w:hanging="284"/>
        <w:jc w:val="both"/>
        <w:rPr>
          <w:rFonts w:ascii="Times New Roman" w:hAnsi="Times New Roman"/>
          <w:lang w:val="en-IE"/>
        </w:rPr>
      </w:pPr>
      <w:r w:rsidRPr="00A84A7A">
        <w:rPr>
          <w:rStyle w:val="FootnoteReference"/>
          <w:rFonts w:ascii="Times New Roman" w:hAnsi="Times New Roman"/>
        </w:rPr>
        <w:footnoteRef/>
      </w:r>
      <w:r w:rsidRPr="00A84A7A">
        <w:rPr>
          <w:rFonts w:ascii="Times New Roman" w:hAnsi="Times New Roman"/>
        </w:rPr>
        <w:t xml:space="preserve"> </w:t>
      </w:r>
      <w:r w:rsidRPr="00A84A7A">
        <w:rPr>
          <w:rFonts w:ascii="Times New Roman" w:hAnsi="Times New Roman"/>
          <w:lang w:val="en-US"/>
        </w:rPr>
        <w:tab/>
        <w:t xml:space="preserve">Regulation (EU) No 1308/2013 of the European Parliament and of the Council of 17 December 2013 establishing a common </w:t>
      </w:r>
      <w:proofErr w:type="spellStart"/>
      <w:r w:rsidRPr="00A84A7A">
        <w:rPr>
          <w:rFonts w:ascii="Times New Roman" w:hAnsi="Times New Roman"/>
          <w:lang w:val="en-US"/>
        </w:rPr>
        <w:t>organisation</w:t>
      </w:r>
      <w:proofErr w:type="spellEnd"/>
      <w:r w:rsidRPr="00A84A7A">
        <w:rPr>
          <w:rFonts w:ascii="Times New Roman" w:hAnsi="Times New Roman"/>
          <w:lang w:val="en-US"/>
        </w:rPr>
        <w:t xml:space="preserve"> of the markets in agricultural products and repealing Council Regulations (EEC) No 922/72, (EEC) No 234/79, (EC) No 1037/2001 and (EC) No 1234/2007</w:t>
      </w:r>
      <w:r w:rsidR="00A84A7A" w:rsidRPr="00A84A7A">
        <w:rPr>
          <w:rFonts w:ascii="Times New Roman" w:hAnsi="Times New Roman"/>
          <w:lang w:val="en-US"/>
        </w:rPr>
        <w:t>;</w:t>
      </w:r>
      <w:r w:rsidR="00A84A7A">
        <w:rPr>
          <w:rFonts w:ascii="Times New Roman" w:hAnsi="Times New Roman"/>
          <w:lang w:val="en-US"/>
        </w:rPr>
        <w:t xml:space="preserve"> </w:t>
      </w:r>
      <w:r w:rsidRPr="00E479E7">
        <w:rPr>
          <w:rFonts w:ascii="Times New Roman" w:hAnsi="Times New Roman"/>
          <w:lang w:val="en-IE"/>
        </w:rPr>
        <w:t>(</w:t>
      </w:r>
      <w:hyperlink r:id="rId4" w:history="1">
        <w:r w:rsidRPr="00E479E7">
          <w:rPr>
            <w:rFonts w:ascii="Times New Roman" w:hAnsi="Times New Roman"/>
            <w:color w:val="0000FF"/>
            <w:u w:val="single"/>
            <w:lang w:val="en-IE"/>
          </w:rPr>
          <w:t>EUR-Lex - 02013R1308-20241108 - EN - EUR-Lex</w:t>
        </w:r>
      </w:hyperlink>
      <w:r w:rsidRPr="00E479E7">
        <w:rPr>
          <w:rFonts w:ascii="Times New Roman" w:hAnsi="Times New Roman"/>
          <w:lang w:val="en-IE"/>
        </w:rPr>
        <w:t>)</w:t>
      </w:r>
      <w:r w:rsidR="00A84A7A" w:rsidRPr="00E479E7">
        <w:rPr>
          <w:rFonts w:ascii="Times New Roman" w:hAnsi="Times New Roman"/>
          <w:lang w:val="en-IE"/>
        </w:rPr>
        <w:t>.</w:t>
      </w:r>
    </w:p>
  </w:footnote>
  <w:footnote w:id="6">
    <w:p w14:paraId="5187E1BD" w14:textId="77777777" w:rsidR="00C56912" w:rsidRPr="00A84A7A" w:rsidRDefault="00BD4599" w:rsidP="00E479E7">
      <w:pPr>
        <w:pStyle w:val="FootnoteText"/>
        <w:widowControl w:val="0"/>
        <w:spacing w:after="0" w:line="240" w:lineRule="auto"/>
        <w:ind w:left="-284" w:right="-567" w:hanging="284"/>
        <w:jc w:val="both"/>
        <w:rPr>
          <w:rFonts w:ascii="Times New Roman" w:hAnsi="Times New Roman"/>
          <w:lang w:val="en-IE"/>
        </w:rPr>
      </w:pPr>
      <w:r w:rsidRPr="00A84A7A">
        <w:rPr>
          <w:rStyle w:val="FootnoteReference"/>
          <w:rFonts w:ascii="Times New Roman" w:hAnsi="Times New Roman"/>
        </w:rPr>
        <w:footnoteRef/>
      </w:r>
      <w:r w:rsidRPr="00A84A7A">
        <w:rPr>
          <w:rFonts w:ascii="Times New Roman" w:hAnsi="Times New Roman"/>
          <w:lang w:val="en-US"/>
        </w:rPr>
        <w:t xml:space="preserve"> </w:t>
      </w:r>
      <w:r w:rsidR="00057C9C" w:rsidRPr="00A84A7A">
        <w:rPr>
          <w:rFonts w:ascii="Times New Roman" w:hAnsi="Times New Roman"/>
          <w:lang w:val="en-US"/>
        </w:rPr>
        <w:tab/>
      </w:r>
      <w:r w:rsidRPr="00A84A7A">
        <w:rPr>
          <w:rFonts w:ascii="Times New Roman" w:hAnsi="Times New Roman"/>
          <w:lang w:val="en-IE"/>
        </w:rPr>
        <w:t>Regulation (EU) No 1380/2013 of the European Parliament and of the Council of 11 December 2013 on the Common Fisheries Policy, amending Council Regulations (EC) No 1954/2003 and (EC) No 1224/2009 and repealing Council Regulations (EC) No 2371/2002 and (EC) No 639/2004 and Council Decision 2004/585/EC</w:t>
      </w:r>
    </w:p>
    <w:p w14:paraId="237B1845" w14:textId="51343E48" w:rsidR="00BD4599" w:rsidRPr="00A84A7A" w:rsidRDefault="00057C9C" w:rsidP="00E479E7">
      <w:pPr>
        <w:pStyle w:val="FootnoteText"/>
        <w:widowControl w:val="0"/>
        <w:spacing w:after="0" w:line="240" w:lineRule="auto"/>
        <w:ind w:left="-284" w:right="-567" w:hanging="284"/>
        <w:jc w:val="both"/>
        <w:rPr>
          <w:rFonts w:ascii="Times New Roman" w:hAnsi="Times New Roman"/>
          <w:lang w:val="fr-BE"/>
        </w:rPr>
      </w:pPr>
      <w:r w:rsidRPr="00A84A7A">
        <w:rPr>
          <w:rFonts w:ascii="Times New Roman" w:hAnsi="Times New Roman"/>
          <w:lang w:val="en-IE"/>
        </w:rPr>
        <w:t xml:space="preserve"> </w:t>
      </w:r>
      <w:r w:rsidR="00C56912" w:rsidRPr="00A84A7A">
        <w:rPr>
          <w:rFonts w:ascii="Times New Roman" w:hAnsi="Times New Roman"/>
          <w:lang w:val="en-IE"/>
        </w:rPr>
        <w:tab/>
      </w:r>
      <w:r w:rsidR="00BD4599" w:rsidRPr="00A84A7A">
        <w:rPr>
          <w:rFonts w:ascii="Times New Roman" w:hAnsi="Times New Roman"/>
          <w:lang w:val="fr-BE"/>
        </w:rPr>
        <w:t>(</w:t>
      </w:r>
      <w:proofErr w:type="spellStart"/>
      <w:r w:rsidR="00BD4599">
        <w:fldChar w:fldCharType="begin"/>
      </w:r>
      <w:r w:rsidR="00BD4599" w:rsidRPr="00B23D24">
        <w:rPr>
          <w:lang w:val="fr-BE"/>
        </w:rPr>
        <w:instrText>HYPERLINK "https://eur-lex.europa.eu/eli/reg/2013/1380/oj/eng"</w:instrText>
      </w:r>
      <w:r w:rsidR="00BD4599">
        <w:fldChar w:fldCharType="separate"/>
      </w:r>
      <w:r w:rsidR="00BD4599" w:rsidRPr="00A84A7A">
        <w:rPr>
          <w:rFonts w:ascii="Times New Roman" w:hAnsi="Times New Roman"/>
          <w:color w:val="0000FF"/>
          <w:u w:val="single"/>
          <w:lang w:val="fr-BE"/>
        </w:rPr>
        <w:t>Regulation</w:t>
      </w:r>
      <w:proofErr w:type="spellEnd"/>
      <w:r w:rsidR="00BD4599" w:rsidRPr="00A84A7A">
        <w:rPr>
          <w:rFonts w:ascii="Times New Roman" w:hAnsi="Times New Roman"/>
          <w:color w:val="0000FF"/>
          <w:u w:val="single"/>
          <w:lang w:val="fr-BE"/>
        </w:rPr>
        <w:t xml:space="preserve"> - 1380/2013 - EN - EUR-Lex</w:t>
      </w:r>
      <w:r w:rsidR="00BD4599">
        <w:fldChar w:fldCharType="end"/>
      </w:r>
      <w:r w:rsidR="00BD4599" w:rsidRPr="00A84A7A">
        <w:rPr>
          <w:rFonts w:ascii="Times New Roman" w:hAnsi="Times New Roman"/>
          <w:lang w:val="fr-BE"/>
        </w:rPr>
        <w:t>)</w:t>
      </w:r>
      <w:r w:rsidRPr="00A84A7A">
        <w:rPr>
          <w:rFonts w:ascii="Times New Roman" w:hAnsi="Times New Roman"/>
          <w:lang w:val="fr-BE"/>
        </w:rPr>
        <w:t>.</w:t>
      </w:r>
    </w:p>
  </w:footnote>
  <w:footnote w:id="7">
    <w:p w14:paraId="143C2C12" w14:textId="0C7E7199" w:rsidR="004F1418" w:rsidRPr="00A84A7A" w:rsidRDefault="004F1418" w:rsidP="00E479E7">
      <w:pPr>
        <w:pStyle w:val="FootnoteText"/>
        <w:widowControl w:val="0"/>
        <w:spacing w:after="0" w:line="240" w:lineRule="auto"/>
        <w:ind w:left="-284" w:right="-567" w:hanging="284"/>
        <w:jc w:val="both"/>
        <w:rPr>
          <w:rFonts w:ascii="Times New Roman" w:hAnsi="Times New Roman"/>
          <w:lang w:val="fr-BE"/>
        </w:rPr>
      </w:pPr>
      <w:r w:rsidRPr="00A84A7A">
        <w:rPr>
          <w:rStyle w:val="FootnoteReference"/>
          <w:rFonts w:ascii="Times New Roman" w:hAnsi="Times New Roman"/>
        </w:rPr>
        <w:footnoteRef/>
      </w:r>
      <w:r w:rsidRPr="00A84A7A">
        <w:rPr>
          <w:rFonts w:ascii="Times New Roman" w:hAnsi="Times New Roman"/>
          <w:lang w:val="fr-BE"/>
        </w:rPr>
        <w:t xml:space="preserve"> </w:t>
      </w:r>
      <w:r w:rsidR="00057C9C" w:rsidRPr="00A84A7A">
        <w:rPr>
          <w:rFonts w:ascii="Times New Roman" w:hAnsi="Times New Roman"/>
          <w:lang w:val="fr-BE"/>
        </w:rPr>
        <w:tab/>
      </w:r>
      <w:hyperlink r:id="rId5" w:history="1">
        <w:r w:rsidR="00057C9C" w:rsidRPr="00A84A7A">
          <w:rPr>
            <w:rFonts w:ascii="Times New Roman" w:hAnsi="Times New Roman"/>
            <w:color w:val="0000FF"/>
            <w:u w:val="single"/>
            <w:lang w:val="fr-BE"/>
          </w:rPr>
          <w:t>https://ec.europa.eu/commission/presscorner/detail/en/ac_25_1475</w:t>
        </w:r>
      </w:hyperlink>
      <w:r w:rsidR="00A84A7A" w:rsidRPr="00A84A7A">
        <w:rPr>
          <w:rFonts w:ascii="Times New Roman" w:hAnsi="Times New Roman"/>
          <w:color w:val="0000FF"/>
          <w:u w:val="single"/>
          <w:lang w:val="fr-BE"/>
        </w:rPr>
        <w:t>.</w:t>
      </w:r>
    </w:p>
  </w:footnote>
  <w:footnote w:id="8">
    <w:p w14:paraId="2B824EFF" w14:textId="192B873E" w:rsidR="00437B13" w:rsidRPr="00A84A7A" w:rsidRDefault="00437B13" w:rsidP="00E479E7">
      <w:pPr>
        <w:pStyle w:val="FootnoteText"/>
        <w:widowControl w:val="0"/>
        <w:spacing w:after="0" w:line="240" w:lineRule="auto"/>
        <w:ind w:left="-284" w:right="-567" w:hanging="284"/>
        <w:jc w:val="both"/>
        <w:rPr>
          <w:rFonts w:ascii="Times New Roman" w:hAnsi="Times New Roman"/>
          <w:lang w:val="fr-BE"/>
        </w:rPr>
      </w:pPr>
      <w:r w:rsidRPr="00A84A7A">
        <w:rPr>
          <w:rStyle w:val="FootnoteReference"/>
          <w:rFonts w:ascii="Times New Roman" w:hAnsi="Times New Roman"/>
        </w:rPr>
        <w:footnoteRef/>
      </w:r>
      <w:r w:rsidRPr="00A84A7A">
        <w:rPr>
          <w:rFonts w:ascii="Times New Roman" w:hAnsi="Times New Roman"/>
          <w:lang w:val="fr-BE"/>
        </w:rPr>
        <w:t xml:space="preserve"> </w:t>
      </w:r>
      <w:r w:rsidRPr="00A84A7A">
        <w:rPr>
          <w:rFonts w:ascii="Times New Roman" w:hAnsi="Times New Roman"/>
          <w:lang w:val="fr-BE"/>
        </w:rPr>
        <w:tab/>
      </w:r>
      <w:hyperlink r:id="rId6" w:history="1">
        <w:proofErr w:type="spellStart"/>
        <w:r w:rsidRPr="00A84A7A">
          <w:rPr>
            <w:rFonts w:ascii="Times New Roman" w:hAnsi="Times New Roman"/>
            <w:color w:val="0000FF"/>
            <w:u w:val="single"/>
            <w:lang w:val="fr-BE"/>
          </w:rPr>
          <w:t>Ocean</w:t>
        </w:r>
        <w:proofErr w:type="spellEnd"/>
        <w:r w:rsidRPr="00A84A7A">
          <w:rPr>
            <w:rFonts w:ascii="Times New Roman" w:hAnsi="Times New Roman"/>
            <w:color w:val="0000FF"/>
            <w:u w:val="single"/>
            <w:lang w:val="fr-BE"/>
          </w:rPr>
          <w:t xml:space="preserve"> Observation - European Commission</w:t>
        </w:r>
      </w:hyperlink>
      <w:r w:rsidRPr="00A84A7A">
        <w:rPr>
          <w:rFonts w:ascii="Times New Roman" w:hAnsi="Times New Roman"/>
          <w:color w:val="0000FF"/>
          <w:u w:val="single"/>
          <w:lang w:val="fr-BE"/>
        </w:rPr>
        <w:t>.</w:t>
      </w:r>
    </w:p>
  </w:footnote>
  <w:footnote w:id="9">
    <w:p w14:paraId="10075619" w14:textId="2227DB37" w:rsidR="004C4C12" w:rsidRPr="00A84A7A" w:rsidRDefault="004C4C12" w:rsidP="00E479E7">
      <w:pPr>
        <w:pStyle w:val="FootnoteText"/>
        <w:widowControl w:val="0"/>
        <w:spacing w:after="0" w:line="240" w:lineRule="auto"/>
        <w:ind w:left="-284" w:right="-709" w:hanging="284"/>
        <w:jc w:val="both"/>
        <w:rPr>
          <w:rFonts w:ascii="Times New Roman" w:hAnsi="Times New Roman"/>
          <w:lang w:val="fr-BE"/>
        </w:rPr>
      </w:pPr>
      <w:r w:rsidRPr="00A84A7A">
        <w:rPr>
          <w:rStyle w:val="FootnoteReference"/>
          <w:rFonts w:ascii="Times New Roman" w:hAnsi="Times New Roman"/>
        </w:rPr>
        <w:footnoteRef/>
      </w:r>
      <w:r w:rsidRPr="00A84A7A">
        <w:rPr>
          <w:rFonts w:ascii="Times New Roman" w:hAnsi="Times New Roman"/>
          <w:lang w:val="fr-BE"/>
        </w:rPr>
        <w:t xml:space="preserve"> </w:t>
      </w:r>
      <w:r w:rsidR="00057C9C" w:rsidRPr="00A84A7A">
        <w:rPr>
          <w:rFonts w:ascii="Times New Roman" w:hAnsi="Times New Roman"/>
          <w:lang w:val="fr-BE"/>
        </w:rPr>
        <w:tab/>
      </w:r>
      <w:hyperlink r:id="rId7" w:history="1">
        <w:r w:rsidR="00057C9C" w:rsidRPr="00A84A7A">
          <w:rPr>
            <w:rFonts w:ascii="Times New Roman" w:hAnsi="Times New Roman"/>
            <w:color w:val="0000FF"/>
            <w:u w:val="single"/>
            <w:lang w:val="fr-BE"/>
          </w:rPr>
          <w:t>https://culture.ec.europa.eu/creative-europe</w:t>
        </w:r>
      </w:hyperlink>
      <w:r w:rsidR="00057C9C" w:rsidRPr="00A84A7A">
        <w:rPr>
          <w:rFonts w:ascii="Times New Roman" w:hAnsi="Times New Roman"/>
          <w:color w:val="0000FF"/>
          <w:u w:val="single"/>
          <w:lang w:val="fr-BE"/>
        </w:rPr>
        <w:t>.</w:t>
      </w:r>
    </w:p>
  </w:footnote>
  <w:footnote w:id="10">
    <w:p w14:paraId="047EAB2B" w14:textId="28202A9C" w:rsidR="004C4C12" w:rsidRPr="00A84A7A" w:rsidRDefault="004C4C12" w:rsidP="00E479E7">
      <w:pPr>
        <w:pStyle w:val="FootnoteText"/>
        <w:widowControl w:val="0"/>
        <w:spacing w:after="0" w:line="240" w:lineRule="auto"/>
        <w:ind w:left="-284" w:right="-709" w:hanging="284"/>
        <w:jc w:val="both"/>
        <w:rPr>
          <w:rFonts w:ascii="Times New Roman" w:hAnsi="Times New Roman"/>
          <w:lang w:val="fr-BE"/>
        </w:rPr>
      </w:pPr>
      <w:r w:rsidRPr="00A84A7A">
        <w:rPr>
          <w:rStyle w:val="FootnoteReference"/>
          <w:rFonts w:ascii="Times New Roman" w:hAnsi="Times New Roman"/>
        </w:rPr>
        <w:footnoteRef/>
      </w:r>
      <w:r w:rsidRPr="00A84A7A">
        <w:rPr>
          <w:rFonts w:ascii="Times New Roman" w:hAnsi="Times New Roman"/>
          <w:lang w:val="fr-BE"/>
        </w:rPr>
        <w:t xml:space="preserve"> </w:t>
      </w:r>
      <w:r w:rsidR="00057C9C" w:rsidRPr="00A84A7A">
        <w:rPr>
          <w:rFonts w:ascii="Times New Roman" w:hAnsi="Times New Roman"/>
          <w:lang w:val="fr-BE"/>
        </w:rPr>
        <w:tab/>
      </w:r>
      <w:hyperlink r:id="rId8" w:history="1">
        <w:r w:rsidR="00057C9C" w:rsidRPr="00A84A7A">
          <w:rPr>
            <w:rFonts w:ascii="Times New Roman" w:hAnsi="Times New Roman"/>
            <w:color w:val="0000FF"/>
            <w:u w:val="single"/>
            <w:lang w:val="fr-BE"/>
          </w:rPr>
          <w:t>https://research-and-innovation.ec.europa.eu/funding/funding-opportunities/funding-programmes-and-open-calls/horizon-europe_en</w:t>
        </w:r>
      </w:hyperlink>
      <w:r w:rsidR="00057C9C" w:rsidRPr="00A84A7A">
        <w:rPr>
          <w:rFonts w:ascii="Times New Roman" w:hAnsi="Times New Roman"/>
          <w:color w:val="0000FF"/>
          <w:u w:val="single"/>
          <w:lang w:val="fr-BE"/>
        </w:rPr>
        <w:t>.</w:t>
      </w:r>
    </w:p>
  </w:footnote>
  <w:footnote w:id="11">
    <w:p w14:paraId="0A7938F0" w14:textId="6CC9D165" w:rsidR="004C4C12" w:rsidRPr="00A84A7A" w:rsidRDefault="004C4C12" w:rsidP="00E479E7">
      <w:pPr>
        <w:pStyle w:val="FootnoteText"/>
        <w:widowControl w:val="0"/>
        <w:spacing w:after="0" w:line="240" w:lineRule="auto"/>
        <w:ind w:left="-284" w:right="-709" w:hanging="284"/>
        <w:jc w:val="both"/>
        <w:rPr>
          <w:rFonts w:ascii="Times New Roman" w:hAnsi="Times New Roman"/>
          <w:lang w:val="fr-BE"/>
        </w:rPr>
      </w:pPr>
      <w:r w:rsidRPr="00A84A7A">
        <w:rPr>
          <w:rStyle w:val="FootnoteReference"/>
          <w:rFonts w:ascii="Times New Roman" w:hAnsi="Times New Roman"/>
        </w:rPr>
        <w:footnoteRef/>
      </w:r>
      <w:r w:rsidRPr="00A84A7A">
        <w:rPr>
          <w:rFonts w:ascii="Times New Roman" w:hAnsi="Times New Roman"/>
          <w:lang w:val="fr-BE"/>
        </w:rPr>
        <w:t xml:space="preserve"> </w:t>
      </w:r>
      <w:r w:rsidR="00057C9C" w:rsidRPr="00A84A7A">
        <w:rPr>
          <w:rFonts w:ascii="Times New Roman" w:hAnsi="Times New Roman"/>
          <w:lang w:val="fr-BE"/>
        </w:rPr>
        <w:tab/>
      </w:r>
      <w:hyperlink r:id="rId9" w:history="1">
        <w:r w:rsidR="00057C9C" w:rsidRPr="00A84A7A">
          <w:rPr>
            <w:rFonts w:ascii="Times New Roman" w:hAnsi="Times New Roman"/>
            <w:color w:val="0000FF"/>
            <w:u w:val="single"/>
            <w:lang w:val="fr-BE"/>
          </w:rPr>
          <w:t>https://oceans-and-fisheries.ec.europa.eu/funding/emfaf_en</w:t>
        </w:r>
      </w:hyperlink>
      <w:r w:rsidR="00C56912" w:rsidRPr="00A84A7A">
        <w:rPr>
          <w:rFonts w:ascii="Times New Roman" w:hAnsi="Times New Roman"/>
          <w:color w:val="0000FF"/>
          <w:u w:val="single"/>
          <w:lang w:val="fr-BE"/>
        </w:rPr>
        <w:t>.</w:t>
      </w:r>
    </w:p>
  </w:footnote>
  <w:footnote w:id="12">
    <w:p w14:paraId="2EDE78B1" w14:textId="001E1192" w:rsidR="001F6A38" w:rsidRPr="00A84A7A" w:rsidRDefault="001F6A38" w:rsidP="00E479E7">
      <w:pPr>
        <w:pStyle w:val="FootnoteText"/>
        <w:widowControl w:val="0"/>
        <w:spacing w:after="0" w:line="240" w:lineRule="auto"/>
        <w:ind w:left="-284" w:right="-709" w:hanging="284"/>
        <w:jc w:val="both"/>
        <w:rPr>
          <w:rFonts w:ascii="Times New Roman" w:hAnsi="Times New Roman"/>
          <w:lang w:val="fr-BE"/>
        </w:rPr>
      </w:pPr>
      <w:r w:rsidRPr="00A84A7A">
        <w:rPr>
          <w:rStyle w:val="FootnoteReference"/>
          <w:rFonts w:ascii="Times New Roman" w:hAnsi="Times New Roman"/>
        </w:rPr>
        <w:footnoteRef/>
      </w:r>
      <w:r w:rsidRPr="00A84A7A">
        <w:rPr>
          <w:rFonts w:ascii="Times New Roman" w:hAnsi="Times New Roman"/>
          <w:lang w:val="fr-BE"/>
        </w:rPr>
        <w:t xml:space="preserve"> </w:t>
      </w:r>
      <w:r w:rsidR="00057C9C" w:rsidRPr="00A84A7A">
        <w:rPr>
          <w:rFonts w:ascii="Times New Roman" w:hAnsi="Times New Roman"/>
          <w:lang w:val="fr-BE"/>
        </w:rPr>
        <w:tab/>
      </w:r>
      <w:hyperlink r:id="rId10" w:history="1">
        <w:proofErr w:type="spellStart"/>
        <w:r w:rsidRPr="00A84A7A">
          <w:rPr>
            <w:rFonts w:ascii="Times New Roman" w:hAnsi="Times New Roman"/>
            <w:color w:val="0000FF"/>
            <w:u w:val="single"/>
            <w:lang w:val="fr-BE"/>
          </w:rPr>
          <w:t>InvestEU</w:t>
        </w:r>
        <w:proofErr w:type="spellEnd"/>
        <w:r w:rsidRPr="00A84A7A">
          <w:rPr>
            <w:rFonts w:ascii="Times New Roman" w:hAnsi="Times New Roman"/>
            <w:color w:val="0000FF"/>
            <w:u w:val="single"/>
            <w:lang w:val="fr-BE"/>
          </w:rPr>
          <w:t xml:space="preserve"> Programme - European Union</w:t>
        </w:r>
      </w:hyperlink>
      <w:r w:rsidR="00C56912" w:rsidRPr="00A84A7A">
        <w:rPr>
          <w:rFonts w:ascii="Times New Roman" w:hAnsi="Times New Roman"/>
          <w:lang w:val="fr-BE"/>
        </w:rPr>
        <w:t>.</w:t>
      </w:r>
    </w:p>
  </w:footnote>
  <w:footnote w:id="13">
    <w:p w14:paraId="04C315E1" w14:textId="6A754C9A" w:rsidR="00A03707" w:rsidRPr="00A84A7A" w:rsidRDefault="00A03707" w:rsidP="00E479E7">
      <w:pPr>
        <w:pStyle w:val="FootnoteText"/>
        <w:widowControl w:val="0"/>
        <w:spacing w:after="0" w:line="240" w:lineRule="auto"/>
        <w:ind w:left="-284" w:right="-709" w:hanging="284"/>
        <w:jc w:val="both"/>
        <w:rPr>
          <w:rFonts w:ascii="Times New Roman" w:hAnsi="Times New Roman"/>
          <w:lang w:val="fr-BE"/>
        </w:rPr>
      </w:pPr>
      <w:r w:rsidRPr="00A84A7A">
        <w:rPr>
          <w:rStyle w:val="FootnoteReference"/>
          <w:rFonts w:ascii="Times New Roman" w:hAnsi="Times New Roman"/>
        </w:rPr>
        <w:footnoteRef/>
      </w:r>
      <w:r w:rsidRPr="00A84A7A">
        <w:rPr>
          <w:rFonts w:ascii="Times New Roman" w:hAnsi="Times New Roman"/>
          <w:lang w:val="fr-BE"/>
        </w:rPr>
        <w:t xml:space="preserve"> </w:t>
      </w:r>
      <w:r w:rsidR="00057C9C" w:rsidRPr="00A84A7A">
        <w:rPr>
          <w:rFonts w:ascii="Times New Roman" w:hAnsi="Times New Roman"/>
          <w:lang w:val="fr-BE"/>
        </w:rPr>
        <w:tab/>
      </w:r>
      <w:hyperlink r:id="rId11" w:history="1">
        <w:r w:rsidR="00057C9C" w:rsidRPr="00A84A7A">
          <w:rPr>
            <w:rFonts w:ascii="Times New Roman" w:hAnsi="Times New Roman"/>
            <w:color w:val="0000FF"/>
            <w:u w:val="single"/>
            <w:lang w:val="fr-BE"/>
          </w:rPr>
          <w:t>https://www.eit.europa.eu/</w:t>
        </w:r>
      </w:hyperlink>
      <w:r w:rsidR="00C56912" w:rsidRPr="00A84A7A">
        <w:rPr>
          <w:rFonts w:ascii="Times New Roman" w:hAnsi="Times New Roman"/>
          <w:color w:val="0000FF"/>
          <w:u w:val="single"/>
          <w:lang w:val="fr-BE"/>
        </w:rPr>
        <w:t>.</w:t>
      </w:r>
    </w:p>
  </w:footnote>
  <w:footnote w:id="14">
    <w:p w14:paraId="4B2B0698" w14:textId="5702D5E3" w:rsidR="00A03707" w:rsidRPr="00A84A7A" w:rsidRDefault="00A03707" w:rsidP="00E479E7">
      <w:pPr>
        <w:pStyle w:val="FootnoteText"/>
        <w:widowControl w:val="0"/>
        <w:spacing w:after="0" w:line="240" w:lineRule="auto"/>
        <w:ind w:left="-284" w:right="-709" w:hanging="284"/>
        <w:jc w:val="both"/>
        <w:rPr>
          <w:rFonts w:ascii="Times New Roman" w:hAnsi="Times New Roman"/>
          <w:lang w:val="fr-BE"/>
        </w:rPr>
      </w:pPr>
      <w:r w:rsidRPr="00A84A7A">
        <w:rPr>
          <w:rStyle w:val="FootnoteReference"/>
          <w:rFonts w:ascii="Times New Roman" w:hAnsi="Times New Roman"/>
        </w:rPr>
        <w:footnoteRef/>
      </w:r>
      <w:r w:rsidRPr="00A84A7A">
        <w:rPr>
          <w:rFonts w:ascii="Times New Roman" w:hAnsi="Times New Roman"/>
          <w:lang w:val="fr-BE"/>
        </w:rPr>
        <w:t xml:space="preserve"> </w:t>
      </w:r>
      <w:r w:rsidR="00057C9C" w:rsidRPr="00A84A7A">
        <w:rPr>
          <w:rFonts w:ascii="Times New Roman" w:hAnsi="Times New Roman"/>
          <w:lang w:val="fr-BE"/>
        </w:rPr>
        <w:tab/>
      </w:r>
      <w:hyperlink r:id="rId12" w:history="1">
        <w:r w:rsidR="00057C9C" w:rsidRPr="00A84A7A">
          <w:rPr>
            <w:rFonts w:ascii="Times New Roman" w:hAnsi="Times New Roman"/>
            <w:color w:val="0000FF"/>
            <w:u w:val="single"/>
            <w:lang w:val="fr-BE"/>
          </w:rPr>
          <w:t>https://www.eit.europa.eu/our-activities/call-for-eit-communities/eit-water</w:t>
        </w:r>
      </w:hyperlink>
      <w:r w:rsidR="00C56912" w:rsidRPr="00A84A7A">
        <w:rPr>
          <w:rFonts w:ascii="Times New Roman" w:hAnsi="Times New Roman"/>
          <w:color w:val="0000FF"/>
          <w:u w:val="single"/>
          <w:lang w:val="fr-BE"/>
        </w:rPr>
        <w:t>.</w:t>
      </w:r>
    </w:p>
  </w:footnote>
  <w:footnote w:id="15">
    <w:p w14:paraId="4CA8D55A" w14:textId="5C60E0E1" w:rsidR="00A03707" w:rsidRPr="00A84A7A" w:rsidRDefault="00A03707" w:rsidP="00E479E7">
      <w:pPr>
        <w:pStyle w:val="FootnoteText"/>
        <w:widowControl w:val="0"/>
        <w:spacing w:after="0" w:line="240" w:lineRule="auto"/>
        <w:ind w:left="-284" w:right="-567" w:hanging="284"/>
        <w:jc w:val="both"/>
        <w:rPr>
          <w:rFonts w:ascii="Times New Roman" w:hAnsi="Times New Roman"/>
          <w:lang w:val="fr-BE"/>
        </w:rPr>
      </w:pPr>
      <w:r w:rsidRPr="00A84A7A">
        <w:rPr>
          <w:rStyle w:val="FootnoteReference"/>
          <w:rFonts w:ascii="Times New Roman" w:hAnsi="Times New Roman"/>
        </w:rPr>
        <w:footnoteRef/>
      </w:r>
      <w:r w:rsidRPr="00A84A7A">
        <w:rPr>
          <w:rFonts w:ascii="Times New Roman" w:hAnsi="Times New Roman"/>
          <w:lang w:val="fr-BE"/>
        </w:rPr>
        <w:t xml:space="preserve"> </w:t>
      </w:r>
      <w:r w:rsidR="00057C9C" w:rsidRPr="00A84A7A">
        <w:rPr>
          <w:rFonts w:ascii="Times New Roman" w:hAnsi="Times New Roman"/>
          <w:lang w:val="fr-BE"/>
        </w:rPr>
        <w:tab/>
      </w:r>
      <w:hyperlink r:id="rId13" w:history="1">
        <w:r w:rsidR="00057C9C" w:rsidRPr="00A84A7A">
          <w:rPr>
            <w:rFonts w:ascii="Times New Roman" w:hAnsi="Times New Roman"/>
            <w:color w:val="0000FF"/>
            <w:u w:val="single"/>
            <w:lang w:val="fr-BE"/>
          </w:rPr>
          <w:t>https://research-and-innovation.ec.europa.eu/funding/funding-opportunities/funding-programmes-and-open-calls/horizon-europe_en</w:t>
        </w:r>
      </w:hyperlink>
      <w:r w:rsidR="00C56912" w:rsidRPr="00A84A7A">
        <w:rPr>
          <w:rFonts w:ascii="Times New Roman" w:hAnsi="Times New Roman"/>
          <w:color w:val="0000FF"/>
          <w:u w:val="single"/>
          <w:lang w:val="fr-BE"/>
        </w:rPr>
        <w:t>.</w:t>
      </w:r>
    </w:p>
  </w:footnote>
  <w:footnote w:id="16">
    <w:p w14:paraId="040DB943" w14:textId="43A1049D" w:rsidR="00A03707" w:rsidRPr="00A84A7A" w:rsidRDefault="00A03707" w:rsidP="00E479E7">
      <w:pPr>
        <w:pStyle w:val="FootnoteText"/>
        <w:widowControl w:val="0"/>
        <w:spacing w:after="0" w:line="240" w:lineRule="auto"/>
        <w:ind w:left="-284" w:right="-567" w:hanging="284"/>
        <w:jc w:val="both"/>
        <w:rPr>
          <w:rFonts w:ascii="Times New Roman" w:hAnsi="Times New Roman"/>
          <w:lang w:val="fr-BE"/>
        </w:rPr>
      </w:pPr>
      <w:r w:rsidRPr="00A84A7A">
        <w:rPr>
          <w:rStyle w:val="FootnoteReference"/>
          <w:rFonts w:ascii="Times New Roman" w:hAnsi="Times New Roman"/>
        </w:rPr>
        <w:footnoteRef/>
      </w:r>
      <w:r w:rsidRPr="00A84A7A">
        <w:rPr>
          <w:rFonts w:ascii="Times New Roman" w:hAnsi="Times New Roman"/>
          <w:lang w:val="fr-BE"/>
        </w:rPr>
        <w:t xml:space="preserve"> </w:t>
      </w:r>
      <w:r w:rsidR="00057C9C" w:rsidRPr="00A84A7A">
        <w:rPr>
          <w:rFonts w:ascii="Times New Roman" w:hAnsi="Times New Roman"/>
          <w:lang w:val="fr-BE"/>
        </w:rPr>
        <w:tab/>
      </w:r>
      <w:hyperlink r:id="rId14" w:history="1">
        <w:r w:rsidR="00057C9C" w:rsidRPr="00A84A7A">
          <w:rPr>
            <w:rFonts w:ascii="Times New Roman" w:hAnsi="Times New Roman"/>
            <w:color w:val="0000FF"/>
            <w:u w:val="single"/>
            <w:lang w:val="fr-BE"/>
          </w:rPr>
          <w:t>https://eit-ris.eu/</w:t>
        </w:r>
      </w:hyperlink>
      <w:r w:rsidR="00C56912" w:rsidRPr="00A84A7A">
        <w:rPr>
          <w:rFonts w:ascii="Times New Roman" w:hAnsi="Times New Roman"/>
          <w:color w:val="0000FF"/>
          <w:u w:val="single"/>
          <w:lang w:val="fr-BE"/>
        </w:rPr>
        <w:t>.</w:t>
      </w:r>
    </w:p>
  </w:footnote>
  <w:footnote w:id="17">
    <w:p w14:paraId="4115DB26" w14:textId="3231CBC4" w:rsidR="00A03707" w:rsidRPr="00A84A7A" w:rsidRDefault="00A03707" w:rsidP="00E479E7">
      <w:pPr>
        <w:pStyle w:val="FootnoteText"/>
        <w:widowControl w:val="0"/>
        <w:spacing w:after="0" w:line="240" w:lineRule="auto"/>
        <w:ind w:left="-284" w:right="-567" w:hanging="284"/>
        <w:jc w:val="both"/>
        <w:rPr>
          <w:rFonts w:ascii="Times New Roman" w:hAnsi="Times New Roman"/>
          <w:lang w:val="fr-BE"/>
        </w:rPr>
      </w:pPr>
      <w:r w:rsidRPr="00A84A7A">
        <w:rPr>
          <w:rStyle w:val="FootnoteReference"/>
          <w:rFonts w:ascii="Times New Roman" w:hAnsi="Times New Roman"/>
        </w:rPr>
        <w:footnoteRef/>
      </w:r>
      <w:r w:rsidRPr="00A84A7A">
        <w:rPr>
          <w:rFonts w:ascii="Times New Roman" w:hAnsi="Times New Roman"/>
          <w:lang w:val="fr-BE"/>
        </w:rPr>
        <w:t xml:space="preserve"> </w:t>
      </w:r>
      <w:r w:rsidR="00057C9C" w:rsidRPr="00A84A7A">
        <w:rPr>
          <w:rFonts w:ascii="Times New Roman" w:hAnsi="Times New Roman"/>
          <w:lang w:val="fr-BE"/>
        </w:rPr>
        <w:tab/>
      </w:r>
      <w:hyperlink r:id="rId15" w:history="1">
        <w:r w:rsidR="00057C9C" w:rsidRPr="00A84A7A">
          <w:rPr>
            <w:rFonts w:ascii="Times New Roman" w:hAnsi="Times New Roman"/>
            <w:color w:val="0000FF"/>
            <w:u w:val="single"/>
            <w:lang w:val="fr-BE"/>
          </w:rPr>
          <w:t>https://youth.europa.eu/solidarity_en</w:t>
        </w:r>
      </w:hyperlink>
      <w:r w:rsidR="00C56912" w:rsidRPr="00A84A7A">
        <w:rPr>
          <w:rFonts w:ascii="Times New Roman" w:hAnsi="Times New Roman"/>
          <w:color w:val="0000FF"/>
          <w:u w:val="single"/>
          <w:lang w:val="fr-BE"/>
        </w:rPr>
        <w:t>.</w:t>
      </w:r>
    </w:p>
  </w:footnote>
  <w:footnote w:id="18">
    <w:p w14:paraId="03C7A550" w14:textId="358EBBC3" w:rsidR="00F50FA5" w:rsidRPr="00A84A7A" w:rsidRDefault="00F50FA5" w:rsidP="00E479E7">
      <w:pPr>
        <w:pStyle w:val="FootnoteText"/>
        <w:spacing w:after="0" w:line="240" w:lineRule="auto"/>
        <w:ind w:left="-284" w:right="-567" w:hanging="284"/>
        <w:rPr>
          <w:rFonts w:ascii="Times New Roman" w:hAnsi="Times New Roman"/>
          <w:lang w:val="fr-BE"/>
        </w:rPr>
      </w:pPr>
      <w:r w:rsidRPr="00A84A7A">
        <w:rPr>
          <w:rStyle w:val="FootnoteReference"/>
          <w:rFonts w:ascii="Times New Roman" w:hAnsi="Times New Roman"/>
        </w:rPr>
        <w:footnoteRef/>
      </w:r>
      <w:r w:rsidRPr="00A84A7A">
        <w:rPr>
          <w:rFonts w:ascii="Times New Roman" w:hAnsi="Times New Roman"/>
          <w:lang w:val="fr-BE"/>
        </w:rPr>
        <w:t xml:space="preserve"> </w:t>
      </w:r>
      <w:r w:rsidRPr="00A84A7A">
        <w:rPr>
          <w:rFonts w:ascii="Times New Roman" w:hAnsi="Times New Roman"/>
          <w:lang w:val="fr-BE"/>
        </w:rPr>
        <w:tab/>
      </w:r>
      <w:proofErr w:type="gramStart"/>
      <w:r w:rsidRPr="00A84A7A">
        <w:rPr>
          <w:rFonts w:ascii="Times New Roman" w:hAnsi="Times New Roman"/>
          <w:lang w:val="fr-BE"/>
        </w:rPr>
        <w:t>COM(</w:t>
      </w:r>
      <w:proofErr w:type="gramEnd"/>
      <w:r w:rsidRPr="00A84A7A">
        <w:rPr>
          <w:rFonts w:ascii="Times New Roman" w:hAnsi="Times New Roman"/>
          <w:lang w:val="fr-BE"/>
        </w:rPr>
        <w:t>2025) 90 final</w:t>
      </w:r>
    </w:p>
    <w:p w14:paraId="3A8DD316" w14:textId="7A6E52A2" w:rsidR="00F50FA5" w:rsidRPr="00A84A7A" w:rsidRDefault="00F50FA5" w:rsidP="00E479E7">
      <w:pPr>
        <w:pStyle w:val="FootnoteText"/>
        <w:spacing w:after="0" w:line="240" w:lineRule="auto"/>
        <w:ind w:left="-284" w:right="-567"/>
        <w:rPr>
          <w:rFonts w:ascii="Times New Roman" w:hAnsi="Times New Roman"/>
          <w:lang w:val="fr-BE"/>
        </w:rPr>
      </w:pPr>
      <w:r w:rsidRPr="00E479E7">
        <w:rPr>
          <w:rFonts w:ascii="Times New Roman" w:hAnsi="Times New Roman"/>
          <w:lang w:val="fr-BE"/>
        </w:rPr>
        <w:t>(</w:t>
      </w:r>
      <w:hyperlink r:id="rId16" w:history="1">
        <w:r w:rsidRPr="00A84A7A">
          <w:rPr>
            <w:rFonts w:ascii="Times New Roman" w:hAnsi="Times New Roman"/>
            <w:color w:val="0000FF"/>
            <w:u w:val="single"/>
            <w:lang w:val="fr-BE"/>
          </w:rPr>
          <w:t>EUR-Lex - 52025DC0090 - EN - EUR-Lex</w:t>
        </w:r>
      </w:hyperlink>
      <w:r w:rsidRPr="00E479E7">
        <w:rPr>
          <w:rFonts w:ascii="Times New Roman" w:hAnsi="Times New Roman"/>
          <w:lang w:val="fr-BE"/>
        </w:rPr>
        <w:t>)</w:t>
      </w:r>
    </w:p>
  </w:footnote>
  <w:footnote w:id="19">
    <w:p w14:paraId="6C051AE2" w14:textId="5D22934E" w:rsidR="008B0220" w:rsidRPr="00A84A7A" w:rsidRDefault="008B0220" w:rsidP="00E479E7">
      <w:pPr>
        <w:pStyle w:val="FootnoteText"/>
        <w:spacing w:after="0" w:line="240" w:lineRule="auto"/>
        <w:ind w:left="-284" w:right="-567" w:hanging="284"/>
        <w:rPr>
          <w:rFonts w:ascii="Times New Roman" w:hAnsi="Times New Roman"/>
          <w:lang w:val="fr-BE"/>
        </w:rPr>
      </w:pPr>
      <w:r w:rsidRPr="00A84A7A">
        <w:rPr>
          <w:rStyle w:val="FootnoteReference"/>
          <w:rFonts w:ascii="Times New Roman" w:hAnsi="Times New Roman"/>
        </w:rPr>
        <w:footnoteRef/>
      </w:r>
      <w:r w:rsidRPr="00A84A7A">
        <w:rPr>
          <w:rFonts w:ascii="Times New Roman" w:hAnsi="Times New Roman"/>
          <w:lang w:val="fr-BE"/>
        </w:rPr>
        <w:t xml:space="preserve"> </w:t>
      </w:r>
      <w:r w:rsidRPr="00A84A7A">
        <w:rPr>
          <w:rFonts w:ascii="Times New Roman" w:hAnsi="Times New Roman"/>
          <w:lang w:val="fr-BE"/>
        </w:rPr>
        <w:tab/>
        <w:t>https://research-and-innovation.ec.europa.eu/strategy/strategy-research-and-innovation/jobs-and-economy/eu-startup-and-scaleup-strategy_en</w:t>
      </w:r>
      <w:r w:rsidR="005F362F">
        <w:rPr>
          <w:rFonts w:ascii="Times New Roman" w:hAnsi="Times New Roman"/>
          <w:lang w:val="fr-BE"/>
        </w:rPr>
        <w:t>.</w:t>
      </w:r>
    </w:p>
  </w:footnote>
  <w:footnote w:id="20">
    <w:p w14:paraId="474418F6" w14:textId="77777777" w:rsidR="00E4595A" w:rsidRPr="00A84A7A" w:rsidRDefault="00E4595A" w:rsidP="00E479E7">
      <w:pPr>
        <w:pStyle w:val="FootnoteText"/>
        <w:widowControl w:val="0"/>
        <w:spacing w:after="0" w:line="240" w:lineRule="auto"/>
        <w:ind w:left="-284" w:right="-567" w:hanging="284"/>
        <w:jc w:val="both"/>
        <w:rPr>
          <w:rFonts w:ascii="Times New Roman" w:hAnsi="Times New Roman"/>
          <w:lang w:val="en-IE"/>
        </w:rPr>
      </w:pPr>
      <w:r w:rsidRPr="00A84A7A">
        <w:rPr>
          <w:rStyle w:val="FootnoteReference"/>
          <w:rFonts w:ascii="Times New Roman" w:hAnsi="Times New Roman"/>
        </w:rPr>
        <w:footnoteRef/>
      </w:r>
      <w:r w:rsidRPr="00A84A7A">
        <w:rPr>
          <w:rFonts w:ascii="Times New Roman" w:hAnsi="Times New Roman"/>
        </w:rPr>
        <w:t xml:space="preserve"> </w:t>
      </w:r>
      <w:r w:rsidRPr="00A84A7A">
        <w:rPr>
          <w:rFonts w:ascii="Times New Roman" w:hAnsi="Times New Roman"/>
        </w:rPr>
        <w:tab/>
      </w:r>
      <w:r w:rsidRPr="00A84A7A">
        <w:rPr>
          <w:rFonts w:ascii="Times New Roman" w:hAnsi="Times New Roman"/>
          <w:lang w:val="en-IE"/>
        </w:rPr>
        <w:t>Directive 2008/56/EC of the European Parliament and of the Council of 17 June 2008 establishing a framework for community action in the field of marine environmental policy (</w:t>
      </w:r>
      <w:hyperlink r:id="rId17" w:history="1">
        <w:r w:rsidRPr="00A84A7A">
          <w:rPr>
            <w:rFonts w:ascii="Times New Roman" w:hAnsi="Times New Roman"/>
            <w:color w:val="0000FF"/>
            <w:u w:val="single"/>
            <w:lang w:val="en-IE"/>
          </w:rPr>
          <w:t>Directive - 2008/56 - EN - EUR-Lex</w:t>
        </w:r>
      </w:hyperlink>
      <w:r w:rsidRPr="00A84A7A">
        <w:rPr>
          <w:rFonts w:ascii="Times New Roman" w:hAnsi="Times New Roman"/>
          <w:lang w:val="en-IE"/>
        </w:rPr>
        <w:t>).</w:t>
      </w:r>
    </w:p>
  </w:footnote>
  <w:footnote w:id="21">
    <w:p w14:paraId="1A7E7102" w14:textId="77777777" w:rsidR="00E4595A" w:rsidRPr="00A84A7A" w:rsidRDefault="00E4595A" w:rsidP="00E479E7">
      <w:pPr>
        <w:pStyle w:val="FootnoteText"/>
        <w:widowControl w:val="0"/>
        <w:spacing w:after="0" w:line="240" w:lineRule="auto"/>
        <w:ind w:left="-284" w:right="-567" w:hanging="284"/>
        <w:jc w:val="both"/>
        <w:rPr>
          <w:rFonts w:ascii="Times New Roman" w:hAnsi="Times New Roman"/>
          <w:lang w:val="en-US"/>
        </w:rPr>
      </w:pPr>
      <w:r w:rsidRPr="00A84A7A">
        <w:rPr>
          <w:rStyle w:val="FootnoteReference"/>
          <w:rFonts w:ascii="Times New Roman" w:hAnsi="Times New Roman"/>
        </w:rPr>
        <w:footnoteRef/>
      </w:r>
      <w:r w:rsidRPr="00A84A7A">
        <w:rPr>
          <w:rFonts w:ascii="Times New Roman" w:hAnsi="Times New Roman"/>
        </w:rPr>
        <w:t xml:space="preserve"> </w:t>
      </w:r>
      <w:r w:rsidRPr="00A84A7A">
        <w:rPr>
          <w:rFonts w:ascii="Times New Roman" w:hAnsi="Times New Roman"/>
        </w:rPr>
        <w:tab/>
      </w:r>
      <w:r w:rsidRPr="00A84A7A">
        <w:rPr>
          <w:rFonts w:ascii="Times New Roman" w:hAnsi="Times New Roman"/>
          <w:lang w:val="en-IE"/>
        </w:rPr>
        <w:t xml:space="preserve">Directive 2009/147/EC of the European Parliament and of the Council of 30 November 2009 on the conservation of wild birds </w:t>
      </w:r>
      <w:r w:rsidRPr="00A84A7A">
        <w:rPr>
          <w:rFonts w:ascii="Times New Roman" w:hAnsi="Times New Roman"/>
          <w:lang w:val="en-US"/>
        </w:rPr>
        <w:t>(</w:t>
      </w:r>
      <w:hyperlink r:id="rId18" w:history="1">
        <w:r w:rsidRPr="00A84A7A">
          <w:rPr>
            <w:rFonts w:ascii="Times New Roman" w:hAnsi="Times New Roman"/>
            <w:color w:val="0000FF"/>
            <w:u w:val="single"/>
            <w:lang w:val="en-US"/>
          </w:rPr>
          <w:t>Directive - 2009/147 - EN - Birds Directive - EUR-Lex</w:t>
        </w:r>
      </w:hyperlink>
      <w:r w:rsidRPr="00A84A7A">
        <w:rPr>
          <w:rFonts w:ascii="Times New Roman" w:hAnsi="Times New Roman"/>
          <w:lang w:val="en-US"/>
        </w:rPr>
        <w:t>).</w:t>
      </w:r>
    </w:p>
  </w:footnote>
  <w:footnote w:id="22">
    <w:p w14:paraId="7FC212D1" w14:textId="77777777" w:rsidR="00E4595A" w:rsidRPr="00A84A7A" w:rsidRDefault="00E4595A" w:rsidP="00E479E7">
      <w:pPr>
        <w:pStyle w:val="FootnoteText"/>
        <w:widowControl w:val="0"/>
        <w:spacing w:after="0" w:line="240" w:lineRule="auto"/>
        <w:ind w:left="-284" w:right="-567" w:hanging="284"/>
        <w:jc w:val="both"/>
        <w:rPr>
          <w:rFonts w:ascii="Times New Roman" w:hAnsi="Times New Roman"/>
          <w:lang w:val="en-IE"/>
        </w:rPr>
      </w:pPr>
      <w:r w:rsidRPr="00A84A7A">
        <w:rPr>
          <w:rStyle w:val="FootnoteReference"/>
          <w:rFonts w:ascii="Times New Roman" w:hAnsi="Times New Roman"/>
        </w:rPr>
        <w:footnoteRef/>
      </w:r>
      <w:r w:rsidRPr="00A84A7A">
        <w:rPr>
          <w:rFonts w:ascii="Times New Roman" w:hAnsi="Times New Roman"/>
        </w:rPr>
        <w:t xml:space="preserve"> </w:t>
      </w:r>
      <w:r w:rsidRPr="00A84A7A">
        <w:rPr>
          <w:rFonts w:ascii="Times New Roman" w:hAnsi="Times New Roman"/>
        </w:rPr>
        <w:tab/>
      </w:r>
      <w:r w:rsidRPr="00A84A7A">
        <w:rPr>
          <w:rFonts w:ascii="Times New Roman" w:hAnsi="Times New Roman"/>
          <w:lang w:val="en-IE"/>
        </w:rPr>
        <w:t>Council Directive 92/43/EEC of 21 May 1992 on the conservation of natural habitats and of wild fauna and flora</w:t>
      </w:r>
    </w:p>
    <w:p w14:paraId="5358EBDD" w14:textId="77777777" w:rsidR="00E4595A" w:rsidRPr="00A84A7A" w:rsidRDefault="00E4595A" w:rsidP="00E479E7">
      <w:pPr>
        <w:pStyle w:val="FootnoteText"/>
        <w:widowControl w:val="0"/>
        <w:spacing w:after="0" w:line="240" w:lineRule="auto"/>
        <w:ind w:left="-284" w:right="-567" w:hanging="284"/>
        <w:jc w:val="both"/>
        <w:rPr>
          <w:rFonts w:ascii="Times New Roman" w:hAnsi="Times New Roman"/>
          <w:lang w:val="fr-BE"/>
        </w:rPr>
      </w:pPr>
      <w:r w:rsidRPr="00A84A7A">
        <w:rPr>
          <w:rFonts w:ascii="Times New Roman" w:hAnsi="Times New Roman"/>
          <w:lang w:val="en-IE"/>
        </w:rPr>
        <w:t xml:space="preserve"> </w:t>
      </w:r>
      <w:r w:rsidRPr="00A84A7A">
        <w:rPr>
          <w:rFonts w:ascii="Times New Roman" w:hAnsi="Times New Roman"/>
          <w:lang w:val="en-IE"/>
        </w:rPr>
        <w:tab/>
      </w:r>
      <w:r w:rsidRPr="00A84A7A">
        <w:rPr>
          <w:rFonts w:ascii="Times New Roman" w:hAnsi="Times New Roman"/>
          <w:lang w:val="fr-BE"/>
        </w:rPr>
        <w:t>(</w:t>
      </w:r>
      <w:hyperlink r:id="rId19" w:history="1">
        <w:r w:rsidRPr="00A84A7A">
          <w:rPr>
            <w:rFonts w:ascii="Times New Roman" w:hAnsi="Times New Roman"/>
            <w:color w:val="0000FF"/>
            <w:u w:val="single"/>
            <w:lang w:val="fr-BE"/>
          </w:rPr>
          <w:t>Directive - 92/43 - EN - Habitats Directive - EUR-Lex</w:t>
        </w:r>
      </w:hyperlink>
      <w:r w:rsidRPr="00A84A7A">
        <w:rPr>
          <w:rFonts w:ascii="Times New Roman" w:hAnsi="Times New Roman"/>
          <w:lang w:val="fr-BE"/>
        </w:rPr>
        <w:t>).</w:t>
      </w:r>
    </w:p>
  </w:footnote>
  <w:footnote w:id="23">
    <w:p w14:paraId="155D5494" w14:textId="77777777" w:rsidR="00E4595A" w:rsidRPr="00A84A7A" w:rsidRDefault="00E4595A" w:rsidP="00E479E7">
      <w:pPr>
        <w:pStyle w:val="FootnoteText"/>
        <w:widowControl w:val="0"/>
        <w:spacing w:after="0" w:line="240" w:lineRule="auto"/>
        <w:ind w:left="-284" w:right="-567" w:hanging="284"/>
        <w:jc w:val="both"/>
        <w:rPr>
          <w:rFonts w:ascii="Times New Roman" w:hAnsi="Times New Roman"/>
          <w:lang w:val="en-US"/>
        </w:rPr>
      </w:pPr>
      <w:r w:rsidRPr="00A84A7A">
        <w:rPr>
          <w:rStyle w:val="FootnoteReference"/>
          <w:rFonts w:ascii="Times New Roman" w:hAnsi="Times New Roman"/>
        </w:rPr>
        <w:footnoteRef/>
      </w:r>
      <w:r w:rsidRPr="00A84A7A">
        <w:rPr>
          <w:rFonts w:ascii="Times New Roman" w:hAnsi="Times New Roman"/>
        </w:rPr>
        <w:t xml:space="preserve"> </w:t>
      </w:r>
      <w:r w:rsidRPr="00A84A7A">
        <w:rPr>
          <w:rFonts w:ascii="Times New Roman" w:hAnsi="Times New Roman"/>
        </w:rPr>
        <w:tab/>
      </w:r>
      <w:r w:rsidRPr="00A84A7A">
        <w:rPr>
          <w:rFonts w:ascii="Times New Roman" w:hAnsi="Times New Roman"/>
          <w:lang w:val="en-IE"/>
        </w:rPr>
        <w:t xml:space="preserve">Regulation (EU) 2024/1991 of the European Parliament and of the Council of 24 June 2024 on nature restoration and amending Regulation (EU) 2022/869 </w:t>
      </w:r>
      <w:r w:rsidRPr="00A84A7A">
        <w:rPr>
          <w:rFonts w:ascii="Times New Roman" w:hAnsi="Times New Roman"/>
          <w:lang w:val="en-US"/>
        </w:rPr>
        <w:t>(</w:t>
      </w:r>
      <w:hyperlink r:id="rId20" w:history="1">
        <w:r w:rsidRPr="00A84A7A">
          <w:rPr>
            <w:rFonts w:ascii="Times New Roman" w:hAnsi="Times New Roman"/>
            <w:color w:val="0000FF"/>
            <w:u w:val="single"/>
            <w:lang w:val="en-US"/>
          </w:rPr>
          <w:t>Regulation - EU - 2024/1991 - EN - EUR-Lex</w:t>
        </w:r>
      </w:hyperlink>
      <w:r w:rsidRPr="00A84A7A">
        <w:rPr>
          <w:rFonts w:ascii="Times New Roman" w:hAnsi="Times New Roman"/>
          <w:lang w:val="en-US"/>
        </w:rPr>
        <w:t>).</w:t>
      </w:r>
    </w:p>
  </w:footnote>
  <w:footnote w:id="24">
    <w:p w14:paraId="7E851146" w14:textId="7E2F718B" w:rsidR="00A03707" w:rsidRPr="00E4595A" w:rsidRDefault="00A03707" w:rsidP="00E4595A">
      <w:pPr>
        <w:pStyle w:val="FootnoteText"/>
        <w:widowControl w:val="0"/>
        <w:spacing w:after="0" w:line="240" w:lineRule="auto"/>
        <w:ind w:left="142" w:right="-142" w:hanging="284"/>
        <w:jc w:val="both"/>
        <w:rPr>
          <w:rFonts w:ascii="Times New Roman" w:hAnsi="Times New Roman"/>
          <w:lang w:val="en-US"/>
        </w:rPr>
      </w:pPr>
      <w:r w:rsidRPr="00057C9C">
        <w:rPr>
          <w:rStyle w:val="FootnoteReference"/>
          <w:rFonts w:ascii="Times New Roman" w:hAnsi="Times New Roman"/>
        </w:rPr>
        <w:footnoteRef/>
      </w:r>
      <w:r w:rsidRPr="00E4595A">
        <w:rPr>
          <w:rFonts w:ascii="Times New Roman" w:hAnsi="Times New Roman"/>
          <w:lang w:val="en-US"/>
        </w:rPr>
        <w:t xml:space="preserve"> </w:t>
      </w:r>
      <w:r w:rsidR="00057C9C" w:rsidRPr="00E4595A">
        <w:rPr>
          <w:rFonts w:ascii="Times New Roman" w:hAnsi="Times New Roman"/>
          <w:lang w:val="en-US"/>
        </w:rPr>
        <w:tab/>
      </w:r>
      <w:hyperlink r:id="rId21" w:history="1">
        <w:r w:rsidR="00057C9C" w:rsidRPr="00FF07B5">
          <w:rPr>
            <w:rFonts w:ascii="Times New Roman" w:hAnsi="Times New Roman"/>
            <w:color w:val="0000FF"/>
            <w:u w:val="single"/>
          </w:rPr>
          <w:t>https://youth.europa.eu/strategy/youth-check_en</w:t>
        </w:r>
      </w:hyperlink>
      <w:r w:rsidR="00C56912" w:rsidRPr="00E4595A">
        <w:rPr>
          <w:rFonts w:ascii="Times New Roman" w:hAnsi="Times New Roman"/>
          <w:color w:val="0000FF"/>
          <w:u w:val="single"/>
          <w:lang w:val="en-US"/>
        </w:rPr>
        <w:t>.</w:t>
      </w:r>
    </w:p>
  </w:footnote>
  <w:footnote w:id="25">
    <w:p w14:paraId="51F4ADC7" w14:textId="7C776511" w:rsidR="00A03707" w:rsidRPr="001402C7" w:rsidRDefault="00A03707" w:rsidP="00E4595A">
      <w:pPr>
        <w:pStyle w:val="FootnoteText"/>
        <w:widowControl w:val="0"/>
        <w:spacing w:after="0" w:line="240" w:lineRule="auto"/>
        <w:ind w:left="142" w:right="-142" w:hanging="284"/>
        <w:jc w:val="both"/>
        <w:rPr>
          <w:rFonts w:ascii="Times New Roman" w:hAnsi="Times New Roman"/>
          <w:lang w:val="en-US"/>
        </w:rPr>
      </w:pPr>
      <w:r w:rsidRPr="00057C9C">
        <w:rPr>
          <w:rStyle w:val="FootnoteReference"/>
          <w:rFonts w:ascii="Times New Roman" w:hAnsi="Times New Roman"/>
        </w:rPr>
        <w:footnoteRef/>
      </w:r>
      <w:r w:rsidRPr="001402C7">
        <w:rPr>
          <w:rFonts w:ascii="Times New Roman" w:hAnsi="Times New Roman"/>
          <w:lang w:val="en-US"/>
        </w:rPr>
        <w:t xml:space="preserve"> </w:t>
      </w:r>
      <w:r w:rsidR="00057C9C" w:rsidRPr="001402C7">
        <w:rPr>
          <w:rFonts w:ascii="Times New Roman" w:hAnsi="Times New Roman"/>
          <w:lang w:val="en-US"/>
        </w:rPr>
        <w:tab/>
      </w:r>
      <w:hyperlink r:id="rId22" w:history="1">
        <w:r w:rsidR="00057C9C" w:rsidRPr="00FF07B5">
          <w:rPr>
            <w:rFonts w:ascii="Times New Roman" w:hAnsi="Times New Roman"/>
            <w:color w:val="0000FF"/>
            <w:u w:val="single"/>
          </w:rPr>
          <w:t>https://youth.europa.eu/strategy/euyouthdialogue_en</w:t>
        </w:r>
      </w:hyperlink>
      <w:r w:rsidR="00C56912" w:rsidRPr="00FF07B5">
        <w:rPr>
          <w:rFonts w:ascii="Times New Roman" w:hAnsi="Times New Roman"/>
          <w:color w:val="0000FF"/>
          <w:u w:val="single"/>
        </w:rPr>
        <w:t>.</w:t>
      </w:r>
    </w:p>
  </w:footnote>
  <w:footnote w:id="26">
    <w:p w14:paraId="32BB952B" w14:textId="16FDC615" w:rsidR="00A03707" w:rsidRPr="00085308" w:rsidRDefault="00A03707" w:rsidP="00E4595A">
      <w:pPr>
        <w:pStyle w:val="FootnoteText"/>
        <w:widowControl w:val="0"/>
        <w:spacing w:after="0" w:line="240" w:lineRule="auto"/>
        <w:ind w:left="142" w:right="-142" w:hanging="284"/>
        <w:jc w:val="both"/>
        <w:rPr>
          <w:rFonts w:ascii="Times New Roman" w:hAnsi="Times New Roman"/>
          <w:lang w:val="en-US"/>
        </w:rPr>
      </w:pPr>
      <w:r w:rsidRPr="00057C9C">
        <w:rPr>
          <w:rStyle w:val="FootnoteReference"/>
          <w:rFonts w:ascii="Times New Roman" w:hAnsi="Times New Roman"/>
        </w:rPr>
        <w:footnoteRef/>
      </w:r>
      <w:r w:rsidRPr="00085308">
        <w:rPr>
          <w:rFonts w:ascii="Times New Roman" w:hAnsi="Times New Roman"/>
          <w:lang w:val="en-US"/>
        </w:rPr>
        <w:t xml:space="preserve"> </w:t>
      </w:r>
      <w:r w:rsidR="00057C9C" w:rsidRPr="00085308">
        <w:rPr>
          <w:rFonts w:ascii="Times New Roman" w:hAnsi="Times New Roman"/>
          <w:lang w:val="en-US"/>
        </w:rPr>
        <w:tab/>
      </w:r>
      <w:hyperlink r:id="rId23" w:history="1">
        <w:r w:rsidR="00057C9C" w:rsidRPr="00085308">
          <w:rPr>
            <w:rFonts w:ascii="Times New Roman" w:hAnsi="Times New Roman"/>
            <w:color w:val="0000FF"/>
            <w:u w:val="single"/>
            <w:lang w:val="en-US"/>
          </w:rPr>
          <w:t>https://commission.europa.eu/topics/youth/youth-dialogues_en</w:t>
        </w:r>
      </w:hyperlink>
      <w:r w:rsidR="00C56912" w:rsidRPr="00085308">
        <w:rPr>
          <w:rFonts w:ascii="Times New Roman" w:hAnsi="Times New Roman"/>
          <w:color w:val="0000FF"/>
          <w:u w:val="single"/>
          <w:lang w:val="en-US"/>
        </w:rPr>
        <w:t>.</w:t>
      </w:r>
    </w:p>
  </w:footnote>
  <w:footnote w:id="27">
    <w:p w14:paraId="61565F59" w14:textId="29E69296" w:rsidR="00A03707" w:rsidRPr="00085308" w:rsidRDefault="00A03707" w:rsidP="00E4595A">
      <w:pPr>
        <w:pStyle w:val="FootnoteText"/>
        <w:widowControl w:val="0"/>
        <w:spacing w:after="0" w:line="240" w:lineRule="auto"/>
        <w:ind w:left="142" w:right="-142" w:hanging="284"/>
        <w:jc w:val="both"/>
        <w:rPr>
          <w:rFonts w:ascii="Times New Roman" w:hAnsi="Times New Roman"/>
          <w:lang w:val="en-US"/>
        </w:rPr>
      </w:pPr>
      <w:r w:rsidRPr="00057C9C">
        <w:rPr>
          <w:rStyle w:val="FootnoteReference"/>
          <w:rFonts w:ascii="Times New Roman" w:hAnsi="Times New Roman"/>
        </w:rPr>
        <w:footnoteRef/>
      </w:r>
      <w:r w:rsidRPr="00085308">
        <w:rPr>
          <w:rFonts w:ascii="Times New Roman" w:hAnsi="Times New Roman"/>
          <w:lang w:val="en-US"/>
        </w:rPr>
        <w:t xml:space="preserve"> </w:t>
      </w:r>
      <w:r w:rsidR="00057C9C" w:rsidRPr="00085308">
        <w:rPr>
          <w:rFonts w:ascii="Times New Roman" w:hAnsi="Times New Roman"/>
          <w:lang w:val="en-US"/>
        </w:rPr>
        <w:tab/>
      </w:r>
      <w:hyperlink r:id="rId24" w:history="1">
        <w:r w:rsidR="00057C9C" w:rsidRPr="00085308">
          <w:rPr>
            <w:rFonts w:ascii="Times New Roman" w:hAnsi="Times New Roman"/>
            <w:color w:val="0000FF"/>
            <w:u w:val="single"/>
            <w:lang w:val="en-US"/>
          </w:rPr>
          <w:t>https://youth.europa.eu/strategy/euyouthstrategygroup_en</w:t>
        </w:r>
      </w:hyperlink>
      <w:r w:rsidR="00C56912" w:rsidRPr="00085308">
        <w:rPr>
          <w:rFonts w:ascii="Times New Roman" w:hAnsi="Times New Roman"/>
          <w:color w:val="0000FF"/>
          <w:u w:val="single"/>
          <w:lang w:val="en-US"/>
        </w:rPr>
        <w:t>.</w:t>
      </w:r>
    </w:p>
  </w:footnote>
  <w:footnote w:id="28">
    <w:p w14:paraId="4994B32C" w14:textId="06DEADC5" w:rsidR="00A03707" w:rsidRPr="00085308" w:rsidRDefault="00A03707" w:rsidP="00E4595A">
      <w:pPr>
        <w:pStyle w:val="FootnoteText"/>
        <w:widowControl w:val="0"/>
        <w:spacing w:after="0" w:line="240" w:lineRule="auto"/>
        <w:ind w:left="142" w:right="-142" w:hanging="284"/>
        <w:jc w:val="both"/>
        <w:rPr>
          <w:rFonts w:ascii="Times New Roman" w:hAnsi="Times New Roman"/>
          <w:lang w:val="en-US"/>
        </w:rPr>
      </w:pPr>
      <w:r w:rsidRPr="00057C9C">
        <w:rPr>
          <w:rStyle w:val="FootnoteReference"/>
          <w:rFonts w:ascii="Times New Roman" w:hAnsi="Times New Roman"/>
        </w:rPr>
        <w:footnoteRef/>
      </w:r>
      <w:r w:rsidRPr="00085308">
        <w:rPr>
          <w:rFonts w:ascii="Times New Roman" w:hAnsi="Times New Roman"/>
          <w:lang w:val="en-US"/>
        </w:rPr>
        <w:t xml:space="preserve"> </w:t>
      </w:r>
      <w:r w:rsidR="00057C9C" w:rsidRPr="00085308">
        <w:rPr>
          <w:rFonts w:ascii="Times New Roman" w:hAnsi="Times New Roman"/>
          <w:lang w:val="en-US"/>
        </w:rPr>
        <w:tab/>
      </w:r>
      <w:hyperlink r:id="rId25" w:history="1">
        <w:r w:rsidR="00057C9C" w:rsidRPr="00085308">
          <w:rPr>
            <w:rFonts w:ascii="Times New Roman" w:hAnsi="Times New Roman"/>
            <w:color w:val="0000FF"/>
            <w:u w:val="single"/>
            <w:lang w:val="en-US"/>
          </w:rPr>
          <w:t>https://youth.europa.eu/news/europe-listens-presidents-youth-advisory-board-takes_en</w:t>
        </w:r>
      </w:hyperlink>
      <w:r w:rsidR="00C56912" w:rsidRPr="00085308">
        <w:rPr>
          <w:rFonts w:ascii="Times New Roman" w:hAnsi="Times New Roman"/>
          <w:color w:val="0000FF"/>
          <w:u w:val="single"/>
          <w:lang w:val="en-US"/>
        </w:rPr>
        <w:t>.</w:t>
      </w:r>
    </w:p>
  </w:footnote>
  <w:footnote w:id="29">
    <w:p w14:paraId="68AA70A7" w14:textId="140487AB" w:rsidR="00A03707" w:rsidRPr="00085308" w:rsidRDefault="00A03707" w:rsidP="00E4595A">
      <w:pPr>
        <w:pStyle w:val="FootnoteText"/>
        <w:widowControl w:val="0"/>
        <w:spacing w:after="0" w:line="240" w:lineRule="auto"/>
        <w:ind w:left="142" w:right="-142" w:hanging="284"/>
        <w:jc w:val="both"/>
        <w:rPr>
          <w:rFonts w:ascii="Times New Roman" w:hAnsi="Times New Roman"/>
          <w:lang w:val="en-US"/>
        </w:rPr>
      </w:pPr>
      <w:r w:rsidRPr="00057C9C">
        <w:rPr>
          <w:rStyle w:val="FootnoteReference"/>
          <w:rFonts w:ascii="Times New Roman" w:hAnsi="Times New Roman"/>
        </w:rPr>
        <w:footnoteRef/>
      </w:r>
      <w:r w:rsidRPr="00085308">
        <w:rPr>
          <w:rFonts w:ascii="Times New Roman" w:hAnsi="Times New Roman"/>
          <w:lang w:val="en-US"/>
        </w:rPr>
        <w:t xml:space="preserve"> </w:t>
      </w:r>
      <w:r w:rsidR="00057C9C" w:rsidRPr="00085308">
        <w:rPr>
          <w:rFonts w:ascii="Times New Roman" w:hAnsi="Times New Roman"/>
          <w:lang w:val="en-US"/>
        </w:rPr>
        <w:tab/>
      </w:r>
      <w:hyperlink r:id="rId26" w:history="1">
        <w:r w:rsidR="00057C9C" w:rsidRPr="00085308">
          <w:rPr>
            <w:rFonts w:ascii="Times New Roman" w:hAnsi="Times New Roman"/>
            <w:color w:val="0000FF"/>
            <w:u w:val="single"/>
            <w:lang w:val="en-US"/>
          </w:rPr>
          <w:t>https://citizens.ec.europa.eu/european-citizens-panels_en</w:t>
        </w:r>
      </w:hyperlink>
      <w:r w:rsidR="00C56912" w:rsidRPr="00085308">
        <w:rPr>
          <w:rFonts w:ascii="Times New Roman" w:hAnsi="Times New Roman"/>
          <w:color w:val="0000FF"/>
          <w:u w:val="single"/>
          <w:lang w:val="en-US"/>
        </w:rPr>
        <w:t>.</w:t>
      </w:r>
    </w:p>
  </w:footnote>
  <w:footnote w:id="30">
    <w:p w14:paraId="704BE01A" w14:textId="127A0FC0" w:rsidR="008B0220" w:rsidRPr="00E4595A" w:rsidRDefault="008B0220" w:rsidP="00E4595A">
      <w:pPr>
        <w:pStyle w:val="FootnoteText"/>
        <w:spacing w:after="0" w:line="240" w:lineRule="auto"/>
        <w:ind w:left="142" w:right="-142" w:hanging="284"/>
        <w:rPr>
          <w:rFonts w:ascii="Times New Roman" w:hAnsi="Times New Roman"/>
        </w:rPr>
      </w:pPr>
      <w:r w:rsidRPr="00E4595A">
        <w:rPr>
          <w:rStyle w:val="FootnoteReference"/>
          <w:rFonts w:ascii="Times New Roman" w:hAnsi="Times New Roman"/>
        </w:rPr>
        <w:footnoteRef/>
      </w:r>
      <w:r w:rsidRPr="00E4595A">
        <w:rPr>
          <w:rFonts w:ascii="Times New Roman" w:hAnsi="Times New Roman"/>
        </w:rPr>
        <w:t xml:space="preserve"> </w:t>
      </w:r>
      <w:r w:rsidRPr="00E4595A">
        <w:rPr>
          <w:rFonts w:ascii="Times New Roman" w:hAnsi="Times New Roman"/>
        </w:rPr>
        <w:tab/>
      </w:r>
      <w:hyperlink r:id="rId27" w:history="1">
        <w:r w:rsidR="00031118" w:rsidRPr="005B77F0">
          <w:rPr>
            <w:rStyle w:val="Hyperlink"/>
            <w:rFonts w:ascii="Times New Roman" w:hAnsi="Times New Roman"/>
          </w:rPr>
          <w:t>https://maritime-forum.ec.europa.eu/theme/ocean-literacy-and-blue-skills/ocean-literacy/eu4ocean-coalition_entogether</w:t>
        </w:r>
      </w:hyperlink>
      <w:r w:rsidR="005F362F">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3E4405"/>
    <w:multiLevelType w:val="hybridMultilevel"/>
    <w:tmpl w:val="ABDA61D2"/>
    <w:lvl w:ilvl="0" w:tplc="597A0608">
      <w:start w:val="1"/>
      <w:numFmt w:val="bullet"/>
      <w:lvlText w:val="-"/>
      <w:lvlJc w:val="left"/>
      <w:pPr>
        <w:ind w:left="720" w:hanging="360"/>
      </w:pPr>
      <w:rPr>
        <w:rFonts w:ascii="Times New Roman" w:eastAsia="Calibri"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65530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11AA1"/>
    <w:rsid w:val="00012A37"/>
    <w:rsid w:val="00012D9D"/>
    <w:rsid w:val="000249CB"/>
    <w:rsid w:val="00031118"/>
    <w:rsid w:val="00035C49"/>
    <w:rsid w:val="00046B15"/>
    <w:rsid w:val="00050DC7"/>
    <w:rsid w:val="00053294"/>
    <w:rsid w:val="00057C9C"/>
    <w:rsid w:val="00060D5D"/>
    <w:rsid w:val="00061526"/>
    <w:rsid w:val="00070310"/>
    <w:rsid w:val="00072EA0"/>
    <w:rsid w:val="00075153"/>
    <w:rsid w:val="00076109"/>
    <w:rsid w:val="00077C4F"/>
    <w:rsid w:val="00085308"/>
    <w:rsid w:val="000B6659"/>
    <w:rsid w:val="000C2C84"/>
    <w:rsid w:val="000D5F41"/>
    <w:rsid w:val="000E31ED"/>
    <w:rsid w:val="000F130F"/>
    <w:rsid w:val="000F48BF"/>
    <w:rsid w:val="000F5720"/>
    <w:rsid w:val="000F5FD8"/>
    <w:rsid w:val="00102FF2"/>
    <w:rsid w:val="00106A04"/>
    <w:rsid w:val="001117D2"/>
    <w:rsid w:val="00112022"/>
    <w:rsid w:val="00115943"/>
    <w:rsid w:val="001167C0"/>
    <w:rsid w:val="00135C2A"/>
    <w:rsid w:val="001402C7"/>
    <w:rsid w:val="001477B2"/>
    <w:rsid w:val="00150118"/>
    <w:rsid w:val="0015371A"/>
    <w:rsid w:val="00163196"/>
    <w:rsid w:val="00165E77"/>
    <w:rsid w:val="001778E5"/>
    <w:rsid w:val="001852FD"/>
    <w:rsid w:val="00192B46"/>
    <w:rsid w:val="001A68A7"/>
    <w:rsid w:val="001B0E0B"/>
    <w:rsid w:val="001C4138"/>
    <w:rsid w:val="001D2EA3"/>
    <w:rsid w:val="001F2EC6"/>
    <w:rsid w:val="001F65D0"/>
    <w:rsid w:val="001F6A38"/>
    <w:rsid w:val="0021303C"/>
    <w:rsid w:val="0021345C"/>
    <w:rsid w:val="00217E59"/>
    <w:rsid w:val="00231FDA"/>
    <w:rsid w:val="00235BCE"/>
    <w:rsid w:val="0023746A"/>
    <w:rsid w:val="0024360B"/>
    <w:rsid w:val="0025678A"/>
    <w:rsid w:val="00262700"/>
    <w:rsid w:val="0026515B"/>
    <w:rsid w:val="0028012F"/>
    <w:rsid w:val="002802C6"/>
    <w:rsid w:val="0029258D"/>
    <w:rsid w:val="00296196"/>
    <w:rsid w:val="002B6F99"/>
    <w:rsid w:val="002C1E2E"/>
    <w:rsid w:val="002C6172"/>
    <w:rsid w:val="002E1AF1"/>
    <w:rsid w:val="002F03FA"/>
    <w:rsid w:val="002F04E8"/>
    <w:rsid w:val="003004D2"/>
    <w:rsid w:val="0032307E"/>
    <w:rsid w:val="003349A3"/>
    <w:rsid w:val="00336F8C"/>
    <w:rsid w:val="003707DE"/>
    <w:rsid w:val="00377967"/>
    <w:rsid w:val="00386143"/>
    <w:rsid w:val="003931F0"/>
    <w:rsid w:val="003A258B"/>
    <w:rsid w:val="003B03E4"/>
    <w:rsid w:val="003B321E"/>
    <w:rsid w:val="003B58DC"/>
    <w:rsid w:val="003B7CAC"/>
    <w:rsid w:val="003F0BA2"/>
    <w:rsid w:val="003F2174"/>
    <w:rsid w:val="003F686E"/>
    <w:rsid w:val="00420C38"/>
    <w:rsid w:val="00435C3C"/>
    <w:rsid w:val="00437858"/>
    <w:rsid w:val="00437B13"/>
    <w:rsid w:val="00442552"/>
    <w:rsid w:val="004529E2"/>
    <w:rsid w:val="00455A1C"/>
    <w:rsid w:val="004675B5"/>
    <w:rsid w:val="004767F5"/>
    <w:rsid w:val="004770D6"/>
    <w:rsid w:val="0048176A"/>
    <w:rsid w:val="00485A04"/>
    <w:rsid w:val="00490614"/>
    <w:rsid w:val="0049246C"/>
    <w:rsid w:val="00497B3B"/>
    <w:rsid w:val="004B3038"/>
    <w:rsid w:val="004B781E"/>
    <w:rsid w:val="004B7BDD"/>
    <w:rsid w:val="004C0CF7"/>
    <w:rsid w:val="004C1CCC"/>
    <w:rsid w:val="004C4C12"/>
    <w:rsid w:val="004E07FE"/>
    <w:rsid w:val="004E23A5"/>
    <w:rsid w:val="004F1418"/>
    <w:rsid w:val="004F30E4"/>
    <w:rsid w:val="004F6117"/>
    <w:rsid w:val="004F63F1"/>
    <w:rsid w:val="004F651E"/>
    <w:rsid w:val="005047EE"/>
    <w:rsid w:val="0052596B"/>
    <w:rsid w:val="0054762D"/>
    <w:rsid w:val="00550EB7"/>
    <w:rsid w:val="00554D8D"/>
    <w:rsid w:val="00557FF8"/>
    <w:rsid w:val="00573835"/>
    <w:rsid w:val="005739FA"/>
    <w:rsid w:val="00581306"/>
    <w:rsid w:val="00597511"/>
    <w:rsid w:val="005A64C9"/>
    <w:rsid w:val="005C3105"/>
    <w:rsid w:val="005D317F"/>
    <w:rsid w:val="005E51DB"/>
    <w:rsid w:val="005F362F"/>
    <w:rsid w:val="005F6339"/>
    <w:rsid w:val="006073BB"/>
    <w:rsid w:val="006440D1"/>
    <w:rsid w:val="006538C8"/>
    <w:rsid w:val="0065683A"/>
    <w:rsid w:val="0068019C"/>
    <w:rsid w:val="006826E1"/>
    <w:rsid w:val="006915FE"/>
    <w:rsid w:val="006920D8"/>
    <w:rsid w:val="00692C2F"/>
    <w:rsid w:val="00695797"/>
    <w:rsid w:val="00696A5E"/>
    <w:rsid w:val="006A48A5"/>
    <w:rsid w:val="006B3B69"/>
    <w:rsid w:val="006C0287"/>
    <w:rsid w:val="006C1C31"/>
    <w:rsid w:val="006C64F0"/>
    <w:rsid w:val="006C67CF"/>
    <w:rsid w:val="006D0798"/>
    <w:rsid w:val="006E25E2"/>
    <w:rsid w:val="006E7EC0"/>
    <w:rsid w:val="007140ED"/>
    <w:rsid w:val="00724A16"/>
    <w:rsid w:val="0073107F"/>
    <w:rsid w:val="00734613"/>
    <w:rsid w:val="00743FBB"/>
    <w:rsid w:val="00744B28"/>
    <w:rsid w:val="00751910"/>
    <w:rsid w:val="00751E60"/>
    <w:rsid w:val="007547B5"/>
    <w:rsid w:val="00795A9E"/>
    <w:rsid w:val="007A19F4"/>
    <w:rsid w:val="007A606D"/>
    <w:rsid w:val="007C2214"/>
    <w:rsid w:val="007D412D"/>
    <w:rsid w:val="007D427A"/>
    <w:rsid w:val="00807B48"/>
    <w:rsid w:val="00811AB3"/>
    <w:rsid w:val="008135CA"/>
    <w:rsid w:val="0081584F"/>
    <w:rsid w:val="00817E45"/>
    <w:rsid w:val="00841F98"/>
    <w:rsid w:val="008703BF"/>
    <w:rsid w:val="008925CE"/>
    <w:rsid w:val="008B0220"/>
    <w:rsid w:val="008C4D41"/>
    <w:rsid w:val="008D2F12"/>
    <w:rsid w:val="008F43CC"/>
    <w:rsid w:val="008F5979"/>
    <w:rsid w:val="008F7045"/>
    <w:rsid w:val="00912077"/>
    <w:rsid w:val="0093688E"/>
    <w:rsid w:val="00960E17"/>
    <w:rsid w:val="009719DA"/>
    <w:rsid w:val="00981F45"/>
    <w:rsid w:val="00994D12"/>
    <w:rsid w:val="00995DDC"/>
    <w:rsid w:val="009B128B"/>
    <w:rsid w:val="009C52C3"/>
    <w:rsid w:val="009D24B3"/>
    <w:rsid w:val="009E2ACF"/>
    <w:rsid w:val="009F36F7"/>
    <w:rsid w:val="00A03707"/>
    <w:rsid w:val="00A16F07"/>
    <w:rsid w:val="00A55A63"/>
    <w:rsid w:val="00A62C7B"/>
    <w:rsid w:val="00A62FD2"/>
    <w:rsid w:val="00A64464"/>
    <w:rsid w:val="00A7709A"/>
    <w:rsid w:val="00A777C8"/>
    <w:rsid w:val="00A84A7A"/>
    <w:rsid w:val="00AA40E6"/>
    <w:rsid w:val="00AB26E3"/>
    <w:rsid w:val="00AE1842"/>
    <w:rsid w:val="00AE3C7C"/>
    <w:rsid w:val="00AE6249"/>
    <w:rsid w:val="00AF3D8A"/>
    <w:rsid w:val="00AF433E"/>
    <w:rsid w:val="00B1747A"/>
    <w:rsid w:val="00B23D24"/>
    <w:rsid w:val="00B27BCD"/>
    <w:rsid w:val="00B31306"/>
    <w:rsid w:val="00B32AD4"/>
    <w:rsid w:val="00B42478"/>
    <w:rsid w:val="00B42814"/>
    <w:rsid w:val="00B7029F"/>
    <w:rsid w:val="00B7475A"/>
    <w:rsid w:val="00B83936"/>
    <w:rsid w:val="00BA4E2F"/>
    <w:rsid w:val="00BD263C"/>
    <w:rsid w:val="00BD4599"/>
    <w:rsid w:val="00BD6EB7"/>
    <w:rsid w:val="00BF4711"/>
    <w:rsid w:val="00C1258C"/>
    <w:rsid w:val="00C128DE"/>
    <w:rsid w:val="00C20075"/>
    <w:rsid w:val="00C21071"/>
    <w:rsid w:val="00C54D27"/>
    <w:rsid w:val="00C55B48"/>
    <w:rsid w:val="00C56912"/>
    <w:rsid w:val="00C729FD"/>
    <w:rsid w:val="00C76EEB"/>
    <w:rsid w:val="00C85880"/>
    <w:rsid w:val="00C97025"/>
    <w:rsid w:val="00CA53BA"/>
    <w:rsid w:val="00CD51AD"/>
    <w:rsid w:val="00D01F5A"/>
    <w:rsid w:val="00D1716E"/>
    <w:rsid w:val="00D1717A"/>
    <w:rsid w:val="00D51554"/>
    <w:rsid w:val="00D64E05"/>
    <w:rsid w:val="00D65169"/>
    <w:rsid w:val="00D70A56"/>
    <w:rsid w:val="00D83C51"/>
    <w:rsid w:val="00D90651"/>
    <w:rsid w:val="00D92FD3"/>
    <w:rsid w:val="00D9404A"/>
    <w:rsid w:val="00DA3B6E"/>
    <w:rsid w:val="00DA5B38"/>
    <w:rsid w:val="00DB42D7"/>
    <w:rsid w:val="00DB7581"/>
    <w:rsid w:val="00DC70C1"/>
    <w:rsid w:val="00DF0624"/>
    <w:rsid w:val="00E14486"/>
    <w:rsid w:val="00E255FB"/>
    <w:rsid w:val="00E30CEA"/>
    <w:rsid w:val="00E34291"/>
    <w:rsid w:val="00E4595A"/>
    <w:rsid w:val="00E46AD4"/>
    <w:rsid w:val="00E479E7"/>
    <w:rsid w:val="00E52BAA"/>
    <w:rsid w:val="00E60B12"/>
    <w:rsid w:val="00E83C12"/>
    <w:rsid w:val="00E87843"/>
    <w:rsid w:val="00E904C8"/>
    <w:rsid w:val="00EA1BBF"/>
    <w:rsid w:val="00EB29A9"/>
    <w:rsid w:val="00EB5D2F"/>
    <w:rsid w:val="00EB77D2"/>
    <w:rsid w:val="00F01FE2"/>
    <w:rsid w:val="00F156C2"/>
    <w:rsid w:val="00F166E1"/>
    <w:rsid w:val="00F316C8"/>
    <w:rsid w:val="00F417FE"/>
    <w:rsid w:val="00F509F1"/>
    <w:rsid w:val="00F50FA5"/>
    <w:rsid w:val="00F632DE"/>
    <w:rsid w:val="00F735E4"/>
    <w:rsid w:val="00F736A1"/>
    <w:rsid w:val="00FB7834"/>
    <w:rsid w:val="00FC3D45"/>
    <w:rsid w:val="00FD4B6A"/>
    <w:rsid w:val="00FD4ED9"/>
    <w:rsid w:val="00FF03A8"/>
    <w:rsid w:val="00FF07B5"/>
    <w:rsid w:val="00FF63EA"/>
    <w:rsid w:val="00FF6597"/>
    <w:rsid w:val="10B105F4"/>
    <w:rsid w:val="160FE363"/>
    <w:rsid w:val="1684750E"/>
    <w:rsid w:val="19B2B69E"/>
    <w:rsid w:val="279D72CA"/>
    <w:rsid w:val="30E08864"/>
    <w:rsid w:val="30FA508F"/>
    <w:rsid w:val="320A3766"/>
    <w:rsid w:val="3354F6EC"/>
    <w:rsid w:val="38909612"/>
    <w:rsid w:val="38D3DA7E"/>
    <w:rsid w:val="3C47764C"/>
    <w:rsid w:val="3E32E412"/>
    <w:rsid w:val="4411C84E"/>
    <w:rsid w:val="5255D968"/>
    <w:rsid w:val="5284CB88"/>
    <w:rsid w:val="52C1E040"/>
    <w:rsid w:val="56EA9055"/>
    <w:rsid w:val="5A8ECE60"/>
    <w:rsid w:val="60687F28"/>
    <w:rsid w:val="620814C5"/>
    <w:rsid w:val="6A8D0CF0"/>
    <w:rsid w:val="6C426F73"/>
    <w:rsid w:val="6EB36591"/>
    <w:rsid w:val="6F7BCC12"/>
    <w:rsid w:val="71F2017D"/>
    <w:rsid w:val="7307BE80"/>
    <w:rsid w:val="7ADDCA1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60EBEECF-7ABB-46DD-9D54-6AF8932CC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D51AD"/>
    <w:rPr>
      <w:sz w:val="22"/>
      <w:szCs w:val="22"/>
      <w:lang w:val="en-GB" w:eastAsia="en-US"/>
    </w:rPr>
  </w:style>
  <w:style w:type="character" w:styleId="Hyperlink">
    <w:name w:val="Hyperlink"/>
    <w:uiPriority w:val="99"/>
    <w:unhideWhenUsed/>
    <w:rsid w:val="006C64F0"/>
    <w:rPr>
      <w:color w:val="0563C1"/>
      <w:u w:val="single"/>
    </w:rPr>
  </w:style>
  <w:style w:type="character" w:styleId="UnresolvedMention">
    <w:name w:val="Unresolved Mention"/>
    <w:uiPriority w:val="99"/>
    <w:semiHidden/>
    <w:unhideWhenUsed/>
    <w:rsid w:val="006C64F0"/>
    <w:rPr>
      <w:color w:val="605E5C"/>
      <w:shd w:val="clear" w:color="auto" w:fill="E1DFDD"/>
    </w:rPr>
  </w:style>
  <w:style w:type="paragraph" w:styleId="Header">
    <w:name w:val="header"/>
    <w:basedOn w:val="Normal"/>
    <w:link w:val="HeaderChar"/>
    <w:uiPriority w:val="99"/>
    <w:semiHidden/>
    <w:unhideWhenUsed/>
    <w:rsid w:val="00D1717A"/>
    <w:pPr>
      <w:tabs>
        <w:tab w:val="center" w:pos="4513"/>
        <w:tab w:val="right" w:pos="9026"/>
      </w:tabs>
    </w:pPr>
  </w:style>
  <w:style w:type="character" w:customStyle="1" w:styleId="HeaderChar">
    <w:name w:val="Header Char"/>
    <w:link w:val="Header"/>
    <w:uiPriority w:val="99"/>
    <w:semiHidden/>
    <w:rsid w:val="00D1717A"/>
    <w:rPr>
      <w:sz w:val="22"/>
      <w:szCs w:val="22"/>
      <w:lang w:val="en-GB" w:eastAsia="en-US"/>
    </w:rPr>
  </w:style>
  <w:style w:type="paragraph" w:styleId="Footer">
    <w:name w:val="footer"/>
    <w:basedOn w:val="Normal"/>
    <w:link w:val="FooterChar"/>
    <w:uiPriority w:val="99"/>
    <w:semiHidden/>
    <w:unhideWhenUsed/>
    <w:rsid w:val="00D1717A"/>
    <w:pPr>
      <w:tabs>
        <w:tab w:val="center" w:pos="4513"/>
        <w:tab w:val="right" w:pos="9026"/>
      </w:tabs>
    </w:pPr>
  </w:style>
  <w:style w:type="character" w:customStyle="1" w:styleId="FooterChar">
    <w:name w:val="Footer Char"/>
    <w:link w:val="Footer"/>
    <w:uiPriority w:val="99"/>
    <w:semiHidden/>
    <w:rsid w:val="00D1717A"/>
    <w:rPr>
      <w:sz w:val="22"/>
      <w:szCs w:val="22"/>
      <w:lang w:val="en-GB" w:eastAsia="en-US"/>
    </w:rPr>
  </w:style>
  <w:style w:type="character" w:styleId="FollowedHyperlink">
    <w:name w:val="FollowedHyperlink"/>
    <w:uiPriority w:val="99"/>
    <w:semiHidden/>
    <w:unhideWhenUsed/>
    <w:rsid w:val="004F1418"/>
    <w:rPr>
      <w:color w:val="954F72"/>
      <w:u w:val="single"/>
    </w:rPr>
  </w:style>
  <w:style w:type="paragraph" w:styleId="FootnoteText">
    <w:name w:val="footnote text"/>
    <w:basedOn w:val="Normal"/>
    <w:link w:val="FootnoteTextChar"/>
    <w:uiPriority w:val="99"/>
    <w:unhideWhenUsed/>
    <w:rsid w:val="004F1418"/>
    <w:rPr>
      <w:sz w:val="20"/>
      <w:szCs w:val="20"/>
    </w:rPr>
  </w:style>
  <w:style w:type="character" w:customStyle="1" w:styleId="FootnoteTextChar">
    <w:name w:val="Footnote Text Char"/>
    <w:link w:val="FootnoteText"/>
    <w:uiPriority w:val="99"/>
    <w:rsid w:val="004F1418"/>
    <w:rPr>
      <w:lang w:val="en-GB" w:eastAsia="en-US"/>
    </w:rPr>
  </w:style>
  <w:style w:type="character" w:styleId="FootnoteReference">
    <w:name w:val="footnote reference"/>
    <w:uiPriority w:val="99"/>
    <w:semiHidden/>
    <w:unhideWhenUsed/>
    <w:rsid w:val="004F1418"/>
    <w:rPr>
      <w:vertAlign w:val="superscript"/>
    </w:rPr>
  </w:style>
  <w:style w:type="character" w:styleId="CommentReference">
    <w:name w:val="annotation reference"/>
    <w:uiPriority w:val="99"/>
    <w:semiHidden/>
    <w:unhideWhenUsed/>
    <w:rsid w:val="00485A04"/>
    <w:rPr>
      <w:sz w:val="16"/>
      <w:szCs w:val="16"/>
    </w:rPr>
  </w:style>
  <w:style w:type="paragraph" w:styleId="CommentText">
    <w:name w:val="annotation text"/>
    <w:basedOn w:val="Normal"/>
    <w:link w:val="CommentTextChar"/>
    <w:uiPriority w:val="99"/>
    <w:unhideWhenUsed/>
    <w:rsid w:val="00485A04"/>
    <w:rPr>
      <w:sz w:val="20"/>
      <w:szCs w:val="20"/>
    </w:rPr>
  </w:style>
  <w:style w:type="character" w:customStyle="1" w:styleId="CommentTextChar">
    <w:name w:val="Comment Text Char"/>
    <w:link w:val="CommentText"/>
    <w:uiPriority w:val="99"/>
    <w:rsid w:val="00485A04"/>
    <w:rPr>
      <w:lang w:val="en-GB" w:eastAsia="en-US"/>
    </w:rPr>
  </w:style>
  <w:style w:type="paragraph" w:styleId="CommentSubject">
    <w:name w:val="annotation subject"/>
    <w:basedOn w:val="CommentText"/>
    <w:next w:val="CommentText"/>
    <w:link w:val="CommentSubjectChar"/>
    <w:uiPriority w:val="99"/>
    <w:semiHidden/>
    <w:unhideWhenUsed/>
    <w:rsid w:val="00485A04"/>
    <w:rPr>
      <w:b/>
      <w:bCs/>
    </w:rPr>
  </w:style>
  <w:style w:type="character" w:customStyle="1" w:styleId="CommentSubjectChar">
    <w:name w:val="Comment Subject Char"/>
    <w:link w:val="CommentSubject"/>
    <w:uiPriority w:val="99"/>
    <w:semiHidden/>
    <w:rsid w:val="00485A04"/>
    <w:rPr>
      <w:b/>
      <w:bCs/>
      <w:lang w:val="en-GB" w:eastAsia="en-US"/>
    </w:rPr>
  </w:style>
  <w:style w:type="character" w:customStyle="1" w:styleId="Hyperlink1">
    <w:name w:val="Hyperlink1"/>
    <w:uiPriority w:val="99"/>
    <w:unhideWhenUsed/>
    <w:rsid w:val="00336F8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research-and-innovation.ec.europa.eu/funding/funding-opportunities/funding-programmes-and-open-calls/horizon-europe_en" TargetMode="External"/><Relationship Id="rId13" Type="http://schemas.openxmlformats.org/officeDocument/2006/relationships/hyperlink" Target="https://research-and-innovation.ec.europa.eu/funding/funding-opportunities/funding-programmes-and-open-calls/horizon-europe_en" TargetMode="External"/><Relationship Id="rId18" Type="http://schemas.openxmlformats.org/officeDocument/2006/relationships/hyperlink" Target="https://eur-lex.europa.eu/eli/dir/2009/147/oj/eng" TargetMode="External"/><Relationship Id="rId26" Type="http://schemas.openxmlformats.org/officeDocument/2006/relationships/hyperlink" Target="https://citizens.ec.europa.eu/european-citizens-panels_en" TargetMode="External"/><Relationship Id="rId3" Type="http://schemas.openxmlformats.org/officeDocument/2006/relationships/hyperlink" Target="https://agriculture.ec.europa.eu/overview-vision-agriculture-food/vision-agriculture-and-food_en" TargetMode="External"/><Relationship Id="rId21" Type="http://schemas.openxmlformats.org/officeDocument/2006/relationships/hyperlink" Target="https://youth.europa.eu/strategy/youth-check_en" TargetMode="External"/><Relationship Id="rId7" Type="http://schemas.openxmlformats.org/officeDocument/2006/relationships/hyperlink" Target="https://culture.ec.europa.eu/creative-europe" TargetMode="External"/><Relationship Id="rId12" Type="http://schemas.openxmlformats.org/officeDocument/2006/relationships/hyperlink" Target="https://www.eit.europa.eu/our-activities/call-for-eit-communities/eit-water" TargetMode="External"/><Relationship Id="rId17" Type="http://schemas.openxmlformats.org/officeDocument/2006/relationships/hyperlink" Target="https://eur-lex.europa.eu/eli/dir/2008/56/oj/eng" TargetMode="External"/><Relationship Id="rId25" Type="http://schemas.openxmlformats.org/officeDocument/2006/relationships/hyperlink" Target="https://youth.europa.eu/news/europe-listens-presidents-youth-advisory-board-takes_en" TargetMode="External"/><Relationship Id="rId2" Type="http://schemas.openxmlformats.org/officeDocument/2006/relationships/hyperlink" Target="https://eur-lex.europa.eu/eli/dir/2014/89/oj/eng" TargetMode="External"/><Relationship Id="rId16" Type="http://schemas.openxmlformats.org/officeDocument/2006/relationships/hyperlink" Target="https://eur-lex.europa.eu/legal-content/EN/TXT/?uri=celex:52025DC0090" TargetMode="External"/><Relationship Id="rId20" Type="http://schemas.openxmlformats.org/officeDocument/2006/relationships/hyperlink" Target="https://eur-lex.europa.eu/eli/reg/2024/1991/oj/eng" TargetMode="External"/><Relationship Id="rId1" Type="http://schemas.openxmlformats.org/officeDocument/2006/relationships/hyperlink" Target="https://eur-lex.europa.eu/legal-content/EN/TXT/?uri=celex:52025DC0281" TargetMode="External"/><Relationship Id="rId6" Type="http://schemas.openxmlformats.org/officeDocument/2006/relationships/hyperlink" Target="https://maritime-forum.ec.europa.eu/theme/marine-knowledge/ocean-observation_en" TargetMode="External"/><Relationship Id="rId11" Type="http://schemas.openxmlformats.org/officeDocument/2006/relationships/hyperlink" Target="https://www.eit.europa.eu/" TargetMode="External"/><Relationship Id="rId24" Type="http://schemas.openxmlformats.org/officeDocument/2006/relationships/hyperlink" Target="https://youth.europa.eu/strategy/euyouthstrategygroup_en" TargetMode="External"/><Relationship Id="rId5" Type="http://schemas.openxmlformats.org/officeDocument/2006/relationships/hyperlink" Target="https://ec.europa.eu/commission/presscorner/detail/en/ac_25_1475" TargetMode="External"/><Relationship Id="rId15" Type="http://schemas.openxmlformats.org/officeDocument/2006/relationships/hyperlink" Target="https://youth.europa.eu/solidarity_en" TargetMode="External"/><Relationship Id="rId23" Type="http://schemas.openxmlformats.org/officeDocument/2006/relationships/hyperlink" Target="https://commission.europa.eu/topics/youth/youth-dialogues_en" TargetMode="External"/><Relationship Id="rId10" Type="http://schemas.openxmlformats.org/officeDocument/2006/relationships/hyperlink" Target="https://investeu.europa.eu/investeu-programme_en" TargetMode="External"/><Relationship Id="rId19" Type="http://schemas.openxmlformats.org/officeDocument/2006/relationships/hyperlink" Target="https://eur-lex.europa.eu/eli/dir/1992/43/oj/eng" TargetMode="External"/><Relationship Id="rId4" Type="http://schemas.openxmlformats.org/officeDocument/2006/relationships/hyperlink" Target="https://eur-lex.europa.eu/legal-content/EN/TXT/?uri=CELEX%3A02013R1308-20241108" TargetMode="External"/><Relationship Id="rId9" Type="http://schemas.openxmlformats.org/officeDocument/2006/relationships/hyperlink" Target="https://oceans-and-fisheries.ec.europa.eu/funding/emfaf_en" TargetMode="External"/><Relationship Id="rId14" Type="http://schemas.openxmlformats.org/officeDocument/2006/relationships/hyperlink" Target="https://eit-ris.eu/" TargetMode="External"/><Relationship Id="rId22" Type="http://schemas.openxmlformats.org/officeDocument/2006/relationships/hyperlink" Target="https://youth.europa.eu/strategy/euyouthdialogue_en" TargetMode="External"/><Relationship Id="rId27" Type="http://schemas.openxmlformats.org/officeDocument/2006/relationships/hyperlink" Target="https://maritime-forum.ec.europa.eu/theme/ocean-literacy-and-blue-skills/ocean-literacy/eu4ocean-coalition_entoget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E0B4D7868BE6499BC692814C996D23" ma:contentTypeVersion="30" ma:contentTypeDescription="Create a new document." ma:contentTypeScope="" ma:versionID="5a30ee53fcc32ba36c4bcb48962e420c">
  <xsd:schema xmlns:xsd="http://www.w3.org/2001/XMLSchema" xmlns:xs="http://www.w3.org/2001/XMLSchema" xmlns:p="http://schemas.microsoft.com/office/2006/metadata/properties" xmlns:ns2="143df74d-9af4-4f98-9378-663f31c63d7c" xmlns:ns3="4cd748c3-e997-44c0-a273-cebd799d98bf" targetNamespace="http://schemas.microsoft.com/office/2006/metadata/properties" ma:root="true" ma:fieldsID="05ffac531eb6103bab455960a8e14e47" ns2:_="" ns3:_="">
    <xsd:import namespace="143df74d-9af4-4f98-9378-663f31c63d7c"/>
    <xsd:import namespace="4cd748c3-e997-44c0-a273-cebd799d98bf"/>
    <xsd:element name="properties">
      <xsd:complexType>
        <xsd:sequence>
          <xsd:element name="documentManagement">
            <xsd:complexType>
              <xsd:all>
                <xsd:element ref="ns2:Ares"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df74d-9af4-4f98-9378-663f31c63d7c" elementFormDefault="qualified">
    <xsd:import namespace="http://schemas.microsoft.com/office/2006/documentManagement/types"/>
    <xsd:import namespace="http://schemas.microsoft.com/office/infopath/2007/PartnerControls"/>
    <xsd:element name="Ares" ma:index="8" nillable="true" ma:displayName="Ares" ma:description="To insert Ares reference and link" ma:format="Hyperlink" ma:internalName="Are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bde0c64-e763-40ae-8609-40cb59e62bca}" ma:internalName="TaxCatchAll" ma:showField="CatchAllData" ma:web="143df74d-9af4-4f98-9378-663f31c63d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d748c3-e997-44c0-a273-cebd799d98b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res xmlns="143df74d-9af4-4f98-9378-663f31c63d7c">
      <Url xsi:nil="true"/>
      <Description xsi:nil="true"/>
    </Ares>
    <TaxCatchAll xmlns="143df74d-9af4-4f98-9378-663f31c63d7c" xsi:nil="true"/>
    <lcf76f155ced4ddcb4097134ff3c332f xmlns="4cd748c3-e997-44c0-a273-cebd799d98b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Props1.xml><?xml version="1.0" encoding="utf-8"?>
<ds:datastoreItem xmlns:ds="http://schemas.openxmlformats.org/officeDocument/2006/customXml" ds:itemID="{BDC6985D-8AD6-4C1A-B813-C62804B38CDD}">
  <ds:schemaRefs>
    <ds:schemaRef ds:uri="http://schemas.openxmlformats.org/officeDocument/2006/bibliography"/>
  </ds:schemaRefs>
</ds:datastoreItem>
</file>

<file path=customXml/itemProps2.xml><?xml version="1.0" encoding="utf-8"?>
<ds:datastoreItem xmlns:ds="http://schemas.openxmlformats.org/officeDocument/2006/customXml" ds:itemID="{14D144A2-1D91-4E7B-BDAD-4F685566F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3df74d-9af4-4f98-9378-663f31c63d7c"/>
    <ds:schemaRef ds:uri="4cd748c3-e997-44c0-a273-cebd799d98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2C93E4-D4C7-48CD-8C9C-95E1DCB0F0B3}">
  <ds:schemaRefs>
    <ds:schemaRef ds:uri="http://schemas.microsoft.com/sharepoint/v3/contenttype/forms"/>
  </ds:schemaRefs>
</ds:datastoreItem>
</file>

<file path=customXml/itemProps4.xml><?xml version="1.0" encoding="utf-8"?>
<ds:datastoreItem xmlns:ds="http://schemas.openxmlformats.org/officeDocument/2006/customXml" ds:itemID="{5D97417C-A16E-4710-80AF-D703EEE5550A}">
  <ds:schemaRefs>
    <ds:schemaRef ds:uri="http://schemas.microsoft.com/office/2006/metadata/properties"/>
    <ds:schemaRef ds:uri="http://schemas.microsoft.com/office/infopath/2007/PartnerControls"/>
    <ds:schemaRef ds:uri="143df74d-9af4-4f98-9378-663f31c63d7c"/>
    <ds:schemaRef ds:uri="4cd748c3-e997-44c0-a273-cebd799d98bf"/>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1946</Words>
  <Characters>11288</Characters>
  <Application>Microsoft Office Word</Application>
  <DocSecurity>0</DocSecurity>
  <Lines>163</Lines>
  <Paragraphs>39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(SG-EXT)</cp:lastModifiedBy>
  <cp:revision>2</cp:revision>
  <cp:lastPrinted>2013-02-28T12:02:00Z</cp:lastPrinted>
  <dcterms:created xsi:type="dcterms:W3CDTF">2025-12-19T13:04:00Z</dcterms:created>
  <dcterms:modified xsi:type="dcterms:W3CDTF">2025-12-19T13:04:00Z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0x010100A3E0B4D7868BE6499BC692814C996D23</vt:lpwstr>
  </property>
  <property fmtid="{D5CDD505-2E9C-101B-9397-08002B2CF9AE}" pid="10" name="MediaServiceImageTags">
    <vt:lpwstr/>
  </property>
</Properties>
</file>