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AFA" w14:textId="6875F494" w:rsidR="0072162A" w:rsidRPr="001575E0" w:rsidRDefault="0072162A" w:rsidP="001575E0">
      <w:pPr>
        <w:spacing w:after="0" w:line="240" w:lineRule="auto"/>
        <w:ind w:left="-567"/>
        <w:rPr>
          <w:rFonts w:ascii="Times New Roman" w:hAnsi="Times New Roman"/>
          <w:bCs/>
          <w:sz w:val="16"/>
          <w:szCs w:val="16"/>
        </w:rPr>
      </w:pPr>
    </w:p>
    <w:tbl>
      <w:tblPr>
        <w:tblW w:w="10207" w:type="dxa"/>
        <w:tblInd w:w="-4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7"/>
      </w:tblGrid>
      <w:tr w:rsidR="0072162A" w:rsidRPr="005136CF" w14:paraId="1282116B" w14:textId="77777777" w:rsidTr="009F3464">
        <w:trPr>
          <w:trHeight w:val="300"/>
        </w:trPr>
        <w:tc>
          <w:tcPr>
            <w:tcW w:w="10207" w:type="dxa"/>
            <w:tcBorders>
              <w:top w:val="double" w:sz="6" w:space="0" w:color="auto"/>
              <w:left w:val="double" w:sz="6" w:space="0" w:color="auto"/>
              <w:bottom w:val="single" w:sz="6" w:space="0" w:color="auto"/>
              <w:right w:val="double" w:sz="6" w:space="0" w:color="auto"/>
            </w:tcBorders>
            <w:shd w:val="clear" w:color="auto" w:fill="auto"/>
            <w:hideMark/>
          </w:tcPr>
          <w:p w14:paraId="638C255B" w14:textId="5F0D914D" w:rsidR="0072162A" w:rsidRPr="005136CF" w:rsidRDefault="0072162A" w:rsidP="001575E0">
            <w:pPr>
              <w:spacing w:before="120" w:after="120" w:line="276" w:lineRule="auto"/>
              <w:divId w:val="1850749924"/>
              <w:rPr>
                <w:rFonts w:ascii="Times New Roman" w:hAnsi="Times New Roman"/>
                <w:b/>
              </w:rPr>
            </w:pPr>
            <w:r w:rsidRPr="00705667">
              <w:rPr>
                <w:rFonts w:ascii="Times New Roman" w:hAnsi="Times New Roman"/>
                <w:b/>
                <w:bCs/>
              </w:rPr>
              <w:t>Single market dysfunctionalities / rising cost of living</w:t>
            </w:r>
            <w:r w:rsidRPr="005136CF">
              <w:rPr>
                <w:rFonts w:ascii="Times New Roman" w:hAnsi="Times New Roman"/>
                <w:b/>
              </w:rPr>
              <w:br/>
            </w:r>
            <w:r w:rsidR="00A560BA">
              <w:rPr>
                <w:rFonts w:ascii="Times New Roman" w:hAnsi="Times New Roman"/>
                <w:b/>
                <w:bCs/>
              </w:rPr>
              <w:t>(</w:t>
            </w:r>
            <w:r w:rsidRPr="005136CF">
              <w:rPr>
                <w:rFonts w:ascii="Times New Roman" w:hAnsi="Times New Roman"/>
                <w:b/>
                <w:bCs/>
              </w:rPr>
              <w:t>Own-initiative opinion</w:t>
            </w:r>
            <w:r w:rsidR="00A560BA">
              <w:rPr>
                <w:rFonts w:ascii="Times New Roman" w:hAnsi="Times New Roman"/>
                <w:b/>
                <w:bCs/>
              </w:rPr>
              <w:t>)</w:t>
            </w:r>
            <w:r w:rsidRPr="005136CF">
              <w:rPr>
                <w:rFonts w:ascii="Times New Roman" w:hAnsi="Times New Roman"/>
                <w:b/>
              </w:rPr>
              <w:br/>
            </w:r>
            <w:r w:rsidRPr="005136CF">
              <w:rPr>
                <w:rFonts w:ascii="Times New Roman" w:hAnsi="Times New Roman"/>
                <w:b/>
                <w:bCs/>
              </w:rPr>
              <w:t>EESC-2025-00004 – INT/1078</w:t>
            </w:r>
            <w:r w:rsidRPr="005136CF">
              <w:rPr>
                <w:rFonts w:ascii="Times New Roman" w:hAnsi="Times New Roman"/>
                <w:b/>
              </w:rPr>
              <w:br/>
            </w:r>
            <w:r w:rsidRPr="005136CF">
              <w:rPr>
                <w:rFonts w:ascii="Times New Roman" w:hAnsi="Times New Roman"/>
                <w:b/>
                <w:bCs/>
              </w:rPr>
              <w:t>596</w:t>
            </w:r>
            <w:r w:rsidRPr="002E4626">
              <w:rPr>
                <w:rFonts w:ascii="Times New Roman" w:hAnsi="Times New Roman"/>
                <w:b/>
                <w:bCs/>
                <w:vertAlign w:val="superscript"/>
              </w:rPr>
              <w:t>th</w:t>
            </w:r>
            <w:r w:rsidRPr="005136CF">
              <w:rPr>
                <w:rFonts w:ascii="Times New Roman" w:hAnsi="Times New Roman"/>
                <w:b/>
                <w:bCs/>
              </w:rPr>
              <w:t xml:space="preserve"> </w:t>
            </w:r>
            <w:r w:rsidRPr="00705667">
              <w:rPr>
                <w:rFonts w:ascii="Times New Roman" w:hAnsi="Times New Roman"/>
                <w:b/>
                <w:bCs/>
              </w:rPr>
              <w:t>Plenary Session – April 2025</w:t>
            </w:r>
            <w:r w:rsidRPr="005136CF">
              <w:rPr>
                <w:rFonts w:ascii="Times New Roman" w:hAnsi="Times New Roman"/>
                <w:b/>
              </w:rPr>
              <w:t> </w:t>
            </w:r>
            <w:r w:rsidRPr="005136CF">
              <w:rPr>
                <w:rFonts w:ascii="Times New Roman" w:hAnsi="Times New Roman"/>
                <w:b/>
              </w:rPr>
              <w:br/>
            </w:r>
            <w:r w:rsidRPr="00705667">
              <w:rPr>
                <w:rFonts w:ascii="Times New Roman" w:hAnsi="Times New Roman"/>
                <w:b/>
                <w:bCs/>
              </w:rPr>
              <w:t xml:space="preserve">Rapporteur: Emilie PROUZET </w:t>
            </w:r>
            <w:r w:rsidR="00A560BA">
              <w:rPr>
                <w:rFonts w:ascii="Times New Roman" w:hAnsi="Times New Roman"/>
                <w:b/>
                <w:bCs/>
              </w:rPr>
              <w:t>(</w:t>
            </w:r>
            <w:r w:rsidRPr="00705667">
              <w:rPr>
                <w:rFonts w:ascii="Times New Roman" w:hAnsi="Times New Roman"/>
                <w:b/>
                <w:bCs/>
              </w:rPr>
              <w:t>FR</w:t>
            </w:r>
            <w:r w:rsidR="00A560BA">
              <w:rPr>
                <w:rFonts w:ascii="Times New Roman" w:hAnsi="Times New Roman"/>
                <w:b/>
                <w:bCs/>
              </w:rPr>
              <w:t>-I)</w:t>
            </w:r>
            <w:r w:rsidRPr="005136CF">
              <w:rPr>
                <w:rFonts w:ascii="Times New Roman" w:hAnsi="Times New Roman"/>
                <w:b/>
              </w:rPr>
              <w:br/>
            </w:r>
            <w:r w:rsidRPr="00705667">
              <w:rPr>
                <w:rFonts w:ascii="Times New Roman" w:hAnsi="Times New Roman"/>
                <w:b/>
                <w:bCs/>
              </w:rPr>
              <w:t xml:space="preserve">DG GROW – Executive Vice-President </w:t>
            </w:r>
            <w:r w:rsidR="00A560BA" w:rsidRPr="00705667">
              <w:rPr>
                <w:rFonts w:ascii="Times New Roman" w:hAnsi="Times New Roman"/>
                <w:b/>
                <w:bCs/>
              </w:rPr>
              <w:t>SÉJOURNÉ</w:t>
            </w:r>
          </w:p>
        </w:tc>
      </w:tr>
      <w:tr w:rsidR="0072162A" w:rsidRPr="005136CF" w14:paraId="757534A2" w14:textId="77777777" w:rsidTr="009F3464">
        <w:trPr>
          <w:trHeight w:val="300"/>
        </w:trPr>
        <w:tc>
          <w:tcPr>
            <w:tcW w:w="10207" w:type="dxa"/>
            <w:tcBorders>
              <w:top w:val="single" w:sz="6" w:space="0" w:color="auto"/>
              <w:left w:val="double" w:sz="6" w:space="0" w:color="auto"/>
              <w:bottom w:val="single" w:sz="6" w:space="0" w:color="auto"/>
              <w:right w:val="double" w:sz="6" w:space="0" w:color="auto"/>
            </w:tcBorders>
            <w:shd w:val="clear" w:color="auto" w:fill="auto"/>
            <w:hideMark/>
          </w:tcPr>
          <w:p w14:paraId="22E2E4EE" w14:textId="27694D59" w:rsidR="0072162A" w:rsidRPr="005136CF" w:rsidRDefault="0072162A" w:rsidP="001575E0">
            <w:pPr>
              <w:spacing w:before="120" w:after="120" w:line="276" w:lineRule="auto"/>
              <w:jc w:val="center"/>
              <w:rPr>
                <w:rFonts w:ascii="Times New Roman" w:hAnsi="Times New Roman"/>
                <w:b/>
                <w:bCs/>
              </w:rPr>
            </w:pPr>
            <w:r w:rsidRPr="00705667">
              <w:rPr>
                <w:rFonts w:ascii="Times New Roman" w:hAnsi="Times New Roman"/>
                <w:b/>
                <w:bCs/>
              </w:rPr>
              <w:t>European Commission position on points</w:t>
            </w:r>
            <w:r w:rsidRPr="005136CF">
              <w:br/>
            </w:r>
            <w:r w:rsidRPr="00705667">
              <w:rPr>
                <w:rFonts w:ascii="Times New Roman" w:hAnsi="Times New Roman"/>
                <w:b/>
                <w:bCs/>
              </w:rPr>
              <w:t>of the European Economic and Social Committee</w:t>
            </w:r>
            <w:r w:rsidR="00896774">
              <w:rPr>
                <w:rFonts w:ascii="Times New Roman" w:hAnsi="Times New Roman"/>
                <w:b/>
                <w:bCs/>
              </w:rPr>
              <w:t xml:space="preserve"> (EESC)</w:t>
            </w:r>
            <w:r w:rsidRPr="00705667">
              <w:rPr>
                <w:rFonts w:ascii="Times New Roman" w:hAnsi="Times New Roman"/>
                <w:b/>
                <w:bCs/>
              </w:rPr>
              <w:t xml:space="preserve"> opinion considered as essential</w:t>
            </w:r>
          </w:p>
        </w:tc>
      </w:tr>
      <w:tr w:rsidR="0072162A" w:rsidRPr="005136CF" w14:paraId="2D44C0B4" w14:textId="77777777" w:rsidTr="009F3464">
        <w:trPr>
          <w:trHeight w:val="300"/>
        </w:trPr>
        <w:tc>
          <w:tcPr>
            <w:tcW w:w="10207" w:type="dxa"/>
            <w:tcBorders>
              <w:top w:val="single" w:sz="6" w:space="0" w:color="auto"/>
              <w:left w:val="double" w:sz="6" w:space="0" w:color="auto"/>
              <w:bottom w:val="double" w:sz="6" w:space="0" w:color="auto"/>
              <w:right w:val="double" w:sz="6" w:space="0" w:color="auto"/>
            </w:tcBorders>
            <w:shd w:val="clear" w:color="auto" w:fill="auto"/>
            <w:hideMark/>
          </w:tcPr>
          <w:p w14:paraId="62893FE5" w14:textId="749453B6" w:rsidR="006407E3" w:rsidRPr="00CD2737" w:rsidRDefault="00421BE6" w:rsidP="001575E0">
            <w:pPr>
              <w:widowControl w:val="0"/>
              <w:spacing w:before="120" w:after="120" w:line="276" w:lineRule="auto"/>
              <w:ind w:left="136" w:right="119"/>
              <w:jc w:val="both"/>
              <w:rPr>
                <w:rFonts w:ascii="Times New Roman" w:hAnsi="Times New Roman" w:cs="Times New Roman"/>
              </w:rPr>
            </w:pPr>
            <w:r w:rsidRPr="005136CF">
              <w:rPr>
                <w:rFonts w:ascii="Times New Roman" w:hAnsi="Times New Roman" w:cs="Times New Roman"/>
              </w:rPr>
              <w:t xml:space="preserve">The </w:t>
            </w:r>
            <w:r w:rsidR="0082004B" w:rsidRPr="00CD2737">
              <w:rPr>
                <w:rFonts w:ascii="Times New Roman" w:hAnsi="Times New Roman" w:cs="Times New Roman"/>
              </w:rPr>
              <w:t xml:space="preserve">European Single Market is </w:t>
            </w:r>
            <w:r w:rsidR="005136CF" w:rsidRPr="00CD2737">
              <w:rPr>
                <w:rFonts w:ascii="Times New Roman" w:hAnsi="Times New Roman" w:cs="Times New Roman"/>
              </w:rPr>
              <w:t xml:space="preserve">Europe’s </w:t>
            </w:r>
            <w:r w:rsidR="0082004B" w:rsidRPr="00CD2737">
              <w:rPr>
                <w:rFonts w:ascii="Times New Roman" w:hAnsi="Times New Roman" w:cs="Times New Roman"/>
              </w:rPr>
              <w:t>anchor for stability</w:t>
            </w:r>
            <w:r w:rsidR="00FE732C" w:rsidRPr="00CD2737">
              <w:rPr>
                <w:rFonts w:ascii="Times New Roman" w:hAnsi="Times New Roman" w:cs="Times New Roman"/>
              </w:rPr>
              <w:t>, growth</w:t>
            </w:r>
            <w:r w:rsidR="0082004B" w:rsidRPr="00CD2737">
              <w:rPr>
                <w:rFonts w:ascii="Times New Roman" w:hAnsi="Times New Roman" w:cs="Times New Roman"/>
              </w:rPr>
              <w:t xml:space="preserve"> and resilien</w:t>
            </w:r>
            <w:r w:rsidR="000F4F7D" w:rsidRPr="00CD2737">
              <w:rPr>
                <w:rFonts w:ascii="Times New Roman" w:hAnsi="Times New Roman" w:cs="Times New Roman"/>
              </w:rPr>
              <w:t>ce</w:t>
            </w:r>
            <w:r w:rsidR="0027441C" w:rsidRPr="00CD2737">
              <w:rPr>
                <w:rFonts w:ascii="Times New Roman" w:hAnsi="Times New Roman" w:cs="Times New Roman"/>
              </w:rPr>
              <w:t>.</w:t>
            </w:r>
            <w:r w:rsidR="000F4F7D" w:rsidRPr="00CD2737">
              <w:rPr>
                <w:rFonts w:ascii="Times New Roman" w:hAnsi="Times New Roman" w:cs="Times New Roman"/>
              </w:rPr>
              <w:t xml:space="preserve"> </w:t>
            </w:r>
            <w:r w:rsidR="006C29F4" w:rsidRPr="00CD2737">
              <w:rPr>
                <w:rFonts w:ascii="Times New Roman" w:hAnsi="Times New Roman" w:cs="Times New Roman"/>
              </w:rPr>
              <w:t xml:space="preserve">The </w:t>
            </w:r>
            <w:r w:rsidR="006D0059" w:rsidRPr="00CD2737">
              <w:rPr>
                <w:rFonts w:ascii="Times New Roman" w:hAnsi="Times New Roman" w:cs="Times New Roman"/>
              </w:rPr>
              <w:t>Single Market Strategy</w:t>
            </w:r>
            <w:r w:rsidR="006D0059" w:rsidRPr="00CD2737">
              <w:rPr>
                <w:rStyle w:val="FootnoteReference"/>
                <w:rFonts w:ascii="Times New Roman" w:hAnsi="Times New Roman" w:cs="Times New Roman"/>
              </w:rPr>
              <w:footnoteReference w:id="2"/>
            </w:r>
            <w:r w:rsidR="00A560BA">
              <w:rPr>
                <w:rFonts w:ascii="Times New Roman" w:hAnsi="Times New Roman" w:cs="Times New Roman"/>
              </w:rPr>
              <w:t>,</w:t>
            </w:r>
            <w:r w:rsidR="004219CA" w:rsidRPr="00CD2737">
              <w:rPr>
                <w:rFonts w:ascii="Times New Roman" w:hAnsi="Times New Roman" w:cs="Times New Roman"/>
              </w:rPr>
              <w:t xml:space="preserve"> published on 21 May 2025</w:t>
            </w:r>
            <w:r w:rsidR="00A560BA">
              <w:rPr>
                <w:rFonts w:ascii="Times New Roman" w:hAnsi="Times New Roman" w:cs="Times New Roman"/>
              </w:rPr>
              <w:t>,</w:t>
            </w:r>
            <w:r w:rsidR="006D0059" w:rsidRPr="00CD2737">
              <w:rPr>
                <w:rFonts w:ascii="Times New Roman" w:hAnsi="Times New Roman" w:cs="Times New Roman"/>
              </w:rPr>
              <w:t xml:space="preserve"> will guide </w:t>
            </w:r>
            <w:r w:rsidR="00993DDC" w:rsidRPr="00CD2737">
              <w:rPr>
                <w:rFonts w:ascii="Times New Roman" w:hAnsi="Times New Roman" w:cs="Times New Roman"/>
              </w:rPr>
              <w:t xml:space="preserve">the </w:t>
            </w:r>
            <w:r w:rsidR="006D0059" w:rsidRPr="00CD2737">
              <w:rPr>
                <w:rFonts w:ascii="Times New Roman" w:hAnsi="Times New Roman" w:cs="Times New Roman"/>
              </w:rPr>
              <w:t xml:space="preserve">Commission’s work </w:t>
            </w:r>
            <w:r w:rsidR="00993DDC" w:rsidRPr="00CD2737">
              <w:rPr>
                <w:rFonts w:ascii="Times New Roman" w:hAnsi="Times New Roman" w:cs="Times New Roman"/>
              </w:rPr>
              <w:t xml:space="preserve">to </w:t>
            </w:r>
            <w:r w:rsidR="006D0059" w:rsidRPr="00CD2737">
              <w:rPr>
                <w:rFonts w:ascii="Times New Roman" w:hAnsi="Times New Roman" w:cs="Times New Roman"/>
              </w:rPr>
              <w:t>mak</w:t>
            </w:r>
            <w:r w:rsidR="00993DDC" w:rsidRPr="00CD2737">
              <w:rPr>
                <w:rFonts w:ascii="Times New Roman" w:hAnsi="Times New Roman" w:cs="Times New Roman"/>
              </w:rPr>
              <w:t>e</w:t>
            </w:r>
            <w:r w:rsidR="006D0059" w:rsidRPr="00CD2737">
              <w:rPr>
                <w:rFonts w:ascii="Times New Roman" w:hAnsi="Times New Roman" w:cs="Times New Roman"/>
              </w:rPr>
              <w:t xml:space="preserve"> the Single Market simple, seamless</w:t>
            </w:r>
            <w:r w:rsidR="003D0330" w:rsidRPr="00CD2737">
              <w:rPr>
                <w:rFonts w:ascii="Times New Roman" w:hAnsi="Times New Roman" w:cs="Times New Roman"/>
              </w:rPr>
              <w:t>,</w:t>
            </w:r>
            <w:r w:rsidR="006D0059" w:rsidRPr="00CD2737">
              <w:rPr>
                <w:rFonts w:ascii="Times New Roman" w:hAnsi="Times New Roman" w:cs="Times New Roman"/>
              </w:rPr>
              <w:t xml:space="preserve"> and strong for the benefit of businesses and citizens.</w:t>
            </w:r>
            <w:r w:rsidR="00E85158" w:rsidRPr="00CD2737">
              <w:rPr>
                <w:rFonts w:ascii="Times New Roman" w:hAnsi="Times New Roman" w:cs="Times New Roman"/>
              </w:rPr>
              <w:t xml:space="preserve"> In her 2025 State of the European Union</w:t>
            </w:r>
            <w:r w:rsidR="00A2263A" w:rsidRPr="00CD2737">
              <w:rPr>
                <w:rFonts w:ascii="Times New Roman" w:hAnsi="Times New Roman" w:cs="Times New Roman"/>
              </w:rPr>
              <w:t xml:space="preserve"> address</w:t>
            </w:r>
            <w:r w:rsidR="00E85158" w:rsidRPr="00CD2737">
              <w:rPr>
                <w:rFonts w:ascii="Times New Roman" w:hAnsi="Times New Roman" w:cs="Times New Roman"/>
              </w:rPr>
              <w:t xml:space="preserve">, President von der Leyen </w:t>
            </w:r>
            <w:r w:rsidR="00A2263A" w:rsidRPr="00CD2737">
              <w:rPr>
                <w:rFonts w:ascii="Times New Roman" w:hAnsi="Times New Roman" w:cs="Times New Roman"/>
              </w:rPr>
              <w:t>announced a Single Market Roadmap to 2028, on capital, services, energy, telecoms, the 28</w:t>
            </w:r>
            <w:r w:rsidR="00A2263A" w:rsidRPr="002E4626">
              <w:rPr>
                <w:rFonts w:ascii="Times New Roman" w:hAnsi="Times New Roman" w:cs="Times New Roman"/>
                <w:vertAlign w:val="superscript"/>
              </w:rPr>
              <w:t>th</w:t>
            </w:r>
            <w:r w:rsidR="00A2263A" w:rsidRPr="00CD2737">
              <w:rPr>
                <w:rFonts w:ascii="Times New Roman" w:hAnsi="Times New Roman" w:cs="Times New Roman"/>
              </w:rPr>
              <w:t xml:space="preserve"> regime </w:t>
            </w:r>
            <w:r w:rsidR="00B378B3">
              <w:rPr>
                <w:rFonts w:ascii="Times New Roman" w:hAnsi="Times New Roman" w:cs="Times New Roman"/>
              </w:rPr>
              <w:t xml:space="preserve">for companies </w:t>
            </w:r>
            <w:r w:rsidR="00A2263A" w:rsidRPr="00CD2737">
              <w:rPr>
                <w:rFonts w:ascii="Times New Roman" w:hAnsi="Times New Roman" w:cs="Times New Roman"/>
              </w:rPr>
              <w:t>and the fifth freedom for knowledge and innovation. This offers an opportunity to further reinforce the actions of the Strategy.</w:t>
            </w:r>
          </w:p>
          <w:p w14:paraId="70E9E775" w14:textId="3ED8038F" w:rsidR="006D0059" w:rsidRPr="005136CF" w:rsidRDefault="006D0059" w:rsidP="001575E0">
            <w:pPr>
              <w:widowControl w:val="0"/>
              <w:spacing w:before="120" w:after="120" w:line="276" w:lineRule="auto"/>
              <w:ind w:left="136" w:right="119"/>
              <w:jc w:val="both"/>
              <w:rPr>
                <w:rFonts w:ascii="Times New Roman" w:hAnsi="Times New Roman" w:cs="Times New Roman"/>
              </w:rPr>
            </w:pPr>
            <w:r w:rsidRPr="00CD2737">
              <w:rPr>
                <w:rFonts w:ascii="Times New Roman" w:hAnsi="Times New Roman" w:cs="Times New Roman"/>
              </w:rPr>
              <w:t xml:space="preserve">Priority will be given to </w:t>
            </w:r>
            <w:r w:rsidR="00AA1F91" w:rsidRPr="00CD2737">
              <w:rPr>
                <w:rFonts w:ascii="Times New Roman" w:hAnsi="Times New Roman" w:cs="Times New Roman"/>
              </w:rPr>
              <w:t>addressin</w:t>
            </w:r>
            <w:r w:rsidRPr="00CD2737">
              <w:rPr>
                <w:rFonts w:ascii="Times New Roman" w:hAnsi="Times New Roman" w:cs="Times New Roman"/>
              </w:rPr>
              <w:t xml:space="preserve">g the most harmful Single Market barriers (the </w:t>
            </w:r>
            <w:r w:rsidR="00E85158" w:rsidRPr="00CD2737">
              <w:rPr>
                <w:rFonts w:ascii="Times New Roman" w:hAnsi="Times New Roman" w:cs="Times New Roman"/>
              </w:rPr>
              <w:t>‘</w:t>
            </w:r>
            <w:r w:rsidRPr="00CD2737">
              <w:rPr>
                <w:rFonts w:ascii="Times New Roman" w:hAnsi="Times New Roman" w:cs="Times New Roman"/>
              </w:rPr>
              <w:t>Terrible Ten</w:t>
            </w:r>
            <w:r w:rsidR="00E85158" w:rsidRPr="00CD2737">
              <w:rPr>
                <w:rFonts w:ascii="Times New Roman" w:hAnsi="Times New Roman" w:cs="Times New Roman"/>
              </w:rPr>
              <w:t>’</w:t>
            </w:r>
            <w:r w:rsidRPr="00CD2737">
              <w:rPr>
                <w:rStyle w:val="FootnoteReference"/>
                <w:rFonts w:ascii="Times New Roman" w:hAnsi="Times New Roman" w:cs="Times New Roman"/>
              </w:rPr>
              <w:footnoteReference w:id="3"/>
            </w:r>
            <w:r w:rsidRPr="00CD2737">
              <w:rPr>
                <w:rFonts w:ascii="Times New Roman" w:hAnsi="Times New Roman" w:cs="Times New Roman"/>
              </w:rPr>
              <w:t>)</w:t>
            </w:r>
            <w:r w:rsidRPr="00CD2737" w:rsidDel="00815AD1">
              <w:rPr>
                <w:rFonts w:ascii="Times New Roman" w:hAnsi="Times New Roman" w:cs="Times New Roman"/>
              </w:rPr>
              <w:t xml:space="preserve"> </w:t>
            </w:r>
            <w:r w:rsidRPr="00CD2737">
              <w:rPr>
                <w:rFonts w:ascii="Times New Roman" w:hAnsi="Times New Roman" w:cs="Times New Roman"/>
              </w:rPr>
              <w:t xml:space="preserve">and ensuring </w:t>
            </w:r>
            <w:r w:rsidR="000C2567" w:rsidRPr="00CD2737">
              <w:rPr>
                <w:rFonts w:ascii="Times New Roman" w:hAnsi="Times New Roman" w:cs="Times New Roman"/>
              </w:rPr>
              <w:t xml:space="preserve">the </w:t>
            </w:r>
            <w:r w:rsidRPr="00CD2737">
              <w:rPr>
                <w:rFonts w:ascii="Times New Roman" w:hAnsi="Times New Roman" w:cs="Times New Roman"/>
              </w:rPr>
              <w:t xml:space="preserve">effective implementation and enforcement of Single Market rules. </w:t>
            </w:r>
            <w:r w:rsidR="00B05E25" w:rsidRPr="00CD2737">
              <w:rPr>
                <w:rFonts w:ascii="Times New Roman" w:hAnsi="Times New Roman" w:cs="Times New Roman"/>
              </w:rPr>
              <w:t>T</w:t>
            </w:r>
            <w:r w:rsidRPr="00CD2737">
              <w:rPr>
                <w:rFonts w:ascii="Times New Roman" w:eastAsiaTheme="minorEastAsia" w:hAnsi="Times New Roman" w:cs="Times New Roman"/>
              </w:rPr>
              <w:t>he</w:t>
            </w:r>
            <w:r w:rsidRPr="005136CF">
              <w:rPr>
                <w:rFonts w:ascii="Times New Roman" w:eastAsiaTheme="minorEastAsia" w:hAnsi="Times New Roman" w:cs="Times New Roman"/>
              </w:rPr>
              <w:t xml:space="preserve"> Commission will continue monitoring the overall functioning of the Single Market through its Annual Single Market a</w:t>
            </w:r>
            <w:r w:rsidRPr="005136CF">
              <w:rPr>
                <w:rFonts w:ascii="Times New Roman" w:hAnsi="Times New Roman" w:cs="Times New Roman"/>
              </w:rPr>
              <w:t>nd Competitiveness Repor</w:t>
            </w:r>
            <w:r w:rsidR="00876061" w:rsidRPr="005136CF">
              <w:rPr>
                <w:rFonts w:ascii="Times New Roman" w:hAnsi="Times New Roman" w:cs="Times New Roman"/>
              </w:rPr>
              <w:t>t</w:t>
            </w:r>
            <w:r w:rsidR="007B305E">
              <w:rPr>
                <w:rStyle w:val="FootnoteReference"/>
                <w:rFonts w:ascii="Times New Roman" w:hAnsi="Times New Roman" w:cs="Times New Roman"/>
              </w:rPr>
              <w:footnoteReference w:id="4"/>
            </w:r>
            <w:r w:rsidRPr="005136CF">
              <w:rPr>
                <w:rFonts w:ascii="Times New Roman" w:hAnsi="Times New Roman" w:cs="Times New Roman"/>
              </w:rPr>
              <w:t>.</w:t>
            </w:r>
          </w:p>
          <w:p w14:paraId="76AC9244" w14:textId="7CA6D5E9" w:rsidR="00CE2E8E" w:rsidRPr="005136CF" w:rsidRDefault="006D0059" w:rsidP="001575E0">
            <w:pPr>
              <w:widowControl w:val="0"/>
              <w:spacing w:before="120" w:after="120" w:line="276" w:lineRule="auto"/>
              <w:ind w:left="136" w:right="119"/>
              <w:jc w:val="both"/>
              <w:rPr>
                <w:rFonts w:ascii="Times New Roman" w:hAnsi="Times New Roman" w:cs="Times New Roman"/>
              </w:rPr>
            </w:pPr>
            <w:r w:rsidRPr="005136CF">
              <w:rPr>
                <w:rFonts w:ascii="Times New Roman" w:hAnsi="Times New Roman" w:cs="Times New Roman"/>
              </w:rPr>
              <w:t xml:space="preserve">The Commission </w:t>
            </w:r>
            <w:r w:rsidR="006407E3" w:rsidRPr="005136CF">
              <w:rPr>
                <w:rFonts w:ascii="Times New Roman" w:hAnsi="Times New Roman" w:cs="Times New Roman"/>
              </w:rPr>
              <w:t>supports</w:t>
            </w:r>
            <w:r w:rsidRPr="005136CF">
              <w:rPr>
                <w:rFonts w:ascii="Times New Roman" w:hAnsi="Times New Roman" w:cs="Times New Roman"/>
              </w:rPr>
              <w:t xml:space="preserve"> </w:t>
            </w:r>
            <w:r w:rsidR="00A16D09" w:rsidRPr="005136CF">
              <w:rPr>
                <w:rFonts w:ascii="Times New Roman" w:hAnsi="Times New Roman" w:cs="Times New Roman"/>
              </w:rPr>
              <w:t xml:space="preserve">the </w:t>
            </w:r>
            <w:r w:rsidRPr="005136CF">
              <w:rPr>
                <w:rFonts w:ascii="Times New Roman" w:hAnsi="Times New Roman" w:cs="Times New Roman"/>
              </w:rPr>
              <w:t xml:space="preserve">EESC’s emphasis on </w:t>
            </w:r>
            <w:r w:rsidR="004251A9" w:rsidRPr="005136CF">
              <w:rPr>
                <w:rFonts w:ascii="Times New Roman" w:hAnsi="Times New Roman" w:cs="Times New Roman"/>
              </w:rPr>
              <w:t xml:space="preserve">the </w:t>
            </w:r>
            <w:r w:rsidR="000B7DC6" w:rsidRPr="005136CF">
              <w:rPr>
                <w:rFonts w:ascii="Times New Roman" w:hAnsi="Times New Roman" w:cs="Times New Roman"/>
              </w:rPr>
              <w:t>need for</w:t>
            </w:r>
            <w:r w:rsidR="00362685" w:rsidRPr="005136CF">
              <w:rPr>
                <w:rFonts w:ascii="Times New Roman" w:hAnsi="Times New Roman" w:cs="Times New Roman"/>
              </w:rPr>
              <w:t xml:space="preserve"> more effective </w:t>
            </w:r>
            <w:r w:rsidR="00CB3D86" w:rsidRPr="005136CF">
              <w:rPr>
                <w:rFonts w:ascii="Times New Roman" w:hAnsi="Times New Roman" w:cs="Times New Roman"/>
              </w:rPr>
              <w:t>impl</w:t>
            </w:r>
            <w:r w:rsidR="00BE78BA" w:rsidRPr="005136CF">
              <w:rPr>
                <w:rFonts w:ascii="Times New Roman" w:hAnsi="Times New Roman" w:cs="Times New Roman"/>
              </w:rPr>
              <w:t>ementation and</w:t>
            </w:r>
            <w:r w:rsidR="00B417F6" w:rsidRPr="005136CF">
              <w:rPr>
                <w:rFonts w:ascii="Times New Roman" w:hAnsi="Times New Roman" w:cs="Times New Roman"/>
              </w:rPr>
              <w:t xml:space="preserve"> </w:t>
            </w:r>
            <w:r w:rsidRPr="005136CF">
              <w:rPr>
                <w:rFonts w:ascii="Times New Roman" w:hAnsi="Times New Roman" w:cs="Times New Roman"/>
              </w:rPr>
              <w:t>enforc</w:t>
            </w:r>
            <w:r w:rsidR="00BE78BA" w:rsidRPr="005136CF">
              <w:rPr>
                <w:rFonts w:ascii="Times New Roman" w:hAnsi="Times New Roman" w:cs="Times New Roman"/>
              </w:rPr>
              <w:t>ement of</w:t>
            </w:r>
            <w:r w:rsidRPr="005136CF">
              <w:rPr>
                <w:rFonts w:ascii="Times New Roman" w:hAnsi="Times New Roman" w:cs="Times New Roman"/>
              </w:rPr>
              <w:t xml:space="preserve"> Single Market rules. EU businesses and citizens </w:t>
            </w:r>
            <w:r w:rsidR="00721375" w:rsidRPr="005136CF">
              <w:rPr>
                <w:rFonts w:ascii="Times New Roman" w:hAnsi="Times New Roman" w:cs="Times New Roman"/>
              </w:rPr>
              <w:t>frequent</w:t>
            </w:r>
            <w:r w:rsidR="00383B06" w:rsidRPr="005136CF">
              <w:rPr>
                <w:rFonts w:ascii="Times New Roman" w:hAnsi="Times New Roman" w:cs="Times New Roman"/>
              </w:rPr>
              <w:t>ly</w:t>
            </w:r>
            <w:r w:rsidRPr="005136CF">
              <w:rPr>
                <w:rFonts w:ascii="Times New Roman" w:hAnsi="Times New Roman" w:cs="Times New Roman"/>
              </w:rPr>
              <w:t xml:space="preserve"> report national rules that disproportionately restrict fundamental freedoms guaranteed by the Treaties or create economically harmful barriers in the Single Market, including unnecessary gold-plating. The Single Market Strategy</w:t>
            </w:r>
            <w:r w:rsidR="000B7DC6" w:rsidRPr="005136CF">
              <w:rPr>
                <w:rFonts w:ascii="Times New Roman" w:hAnsi="Times New Roman" w:cs="Times New Roman"/>
              </w:rPr>
              <w:t xml:space="preserve"> also</w:t>
            </w:r>
            <w:r w:rsidR="008533D3" w:rsidRPr="005136CF">
              <w:rPr>
                <w:rFonts w:ascii="Times New Roman" w:hAnsi="Times New Roman" w:cs="Times New Roman"/>
              </w:rPr>
              <w:t xml:space="preserve"> </w:t>
            </w:r>
            <w:r w:rsidR="006407E3" w:rsidRPr="005136CF">
              <w:rPr>
                <w:rFonts w:ascii="Times New Roman" w:hAnsi="Times New Roman" w:cs="Times New Roman"/>
              </w:rPr>
              <w:t>acknowledge</w:t>
            </w:r>
            <w:r w:rsidR="000B7DC6" w:rsidRPr="005136CF">
              <w:rPr>
                <w:rFonts w:ascii="Times New Roman" w:hAnsi="Times New Roman" w:cs="Times New Roman"/>
              </w:rPr>
              <w:t>s</w:t>
            </w:r>
            <w:r w:rsidR="006407E3" w:rsidRPr="005136CF">
              <w:rPr>
                <w:rFonts w:ascii="Times New Roman" w:hAnsi="Times New Roman" w:cs="Times New Roman"/>
              </w:rPr>
              <w:t xml:space="preserve"> </w:t>
            </w:r>
            <w:r w:rsidR="00A079C4" w:rsidRPr="005136CF">
              <w:rPr>
                <w:rFonts w:ascii="Times New Roman" w:hAnsi="Times New Roman" w:cs="Times New Roman"/>
              </w:rPr>
              <w:t xml:space="preserve">the need for </w:t>
            </w:r>
            <w:r w:rsidR="000B7DC6" w:rsidRPr="005136CF">
              <w:rPr>
                <w:rFonts w:ascii="Times New Roman" w:hAnsi="Times New Roman" w:cs="Times New Roman"/>
              </w:rPr>
              <w:t xml:space="preserve">stronger </w:t>
            </w:r>
            <w:r w:rsidRPr="005136CF">
              <w:rPr>
                <w:rFonts w:ascii="Times New Roman" w:hAnsi="Times New Roman" w:cs="Times New Roman"/>
              </w:rPr>
              <w:t xml:space="preserve">Single Market ownership by Member States. </w:t>
            </w:r>
            <w:r w:rsidR="006C1D6E" w:rsidRPr="005136CF">
              <w:rPr>
                <w:rFonts w:ascii="Times New Roman" w:hAnsi="Times New Roman" w:cs="Times New Roman"/>
              </w:rPr>
              <w:t xml:space="preserve">To </w:t>
            </w:r>
            <w:r w:rsidR="00BB2FE1" w:rsidRPr="005136CF">
              <w:rPr>
                <w:rFonts w:ascii="Times New Roman" w:hAnsi="Times New Roman" w:cs="Times New Roman"/>
              </w:rPr>
              <w:t>enhance</w:t>
            </w:r>
            <w:r w:rsidR="001F139C" w:rsidRPr="005136CF">
              <w:rPr>
                <w:rFonts w:ascii="Times New Roman" w:hAnsi="Times New Roman" w:cs="Times New Roman"/>
              </w:rPr>
              <w:t xml:space="preserve"> political and national </w:t>
            </w:r>
            <w:r w:rsidR="00F80796" w:rsidRPr="005136CF">
              <w:rPr>
                <w:rFonts w:ascii="Times New Roman" w:hAnsi="Times New Roman" w:cs="Times New Roman"/>
              </w:rPr>
              <w:t>engagement</w:t>
            </w:r>
            <w:r w:rsidR="006C1D6E" w:rsidRPr="005136CF">
              <w:rPr>
                <w:rFonts w:ascii="Times New Roman" w:hAnsi="Times New Roman" w:cs="Times New Roman"/>
              </w:rPr>
              <w:t xml:space="preserve">, </w:t>
            </w:r>
            <w:r w:rsidRPr="005136CF">
              <w:rPr>
                <w:rFonts w:ascii="Times New Roman" w:hAnsi="Times New Roman" w:cs="Times New Roman"/>
              </w:rPr>
              <w:t xml:space="preserve">the Commission calls on Member States to </w:t>
            </w:r>
            <w:r w:rsidR="00B378B3">
              <w:rPr>
                <w:rFonts w:ascii="Times New Roman" w:hAnsi="Times New Roman" w:cs="Times New Roman"/>
              </w:rPr>
              <w:t xml:space="preserve">each </w:t>
            </w:r>
            <w:r w:rsidR="001742B2" w:rsidRPr="005136CF">
              <w:rPr>
                <w:rFonts w:ascii="Times New Roman" w:hAnsi="Times New Roman" w:cs="Times New Roman"/>
              </w:rPr>
              <w:t>appoint</w:t>
            </w:r>
            <w:r w:rsidRPr="005136CF">
              <w:rPr>
                <w:rFonts w:ascii="Times New Roman" w:hAnsi="Times New Roman" w:cs="Times New Roman"/>
              </w:rPr>
              <w:t xml:space="preserve"> a high-level Sherpa to promote </w:t>
            </w:r>
            <w:r w:rsidR="000B7DC6" w:rsidRPr="005136CF">
              <w:rPr>
                <w:rFonts w:ascii="Times New Roman" w:hAnsi="Times New Roman" w:cs="Times New Roman"/>
              </w:rPr>
              <w:t xml:space="preserve">the </w:t>
            </w:r>
            <w:r w:rsidRPr="005136CF">
              <w:rPr>
                <w:rFonts w:ascii="Times New Roman" w:hAnsi="Times New Roman" w:cs="Times New Roman"/>
              </w:rPr>
              <w:t>application of Single Market rules</w:t>
            </w:r>
            <w:r w:rsidR="00573869" w:rsidRPr="005136CF">
              <w:rPr>
                <w:rFonts w:ascii="Times New Roman" w:hAnsi="Times New Roman" w:cs="Times New Roman"/>
              </w:rPr>
              <w:t>,</w:t>
            </w:r>
            <w:r w:rsidR="00B73EA4" w:rsidRPr="005136CF">
              <w:rPr>
                <w:rFonts w:ascii="Times New Roman" w:hAnsi="Times New Roman" w:cs="Times New Roman"/>
              </w:rPr>
              <w:t xml:space="preserve"> and to</w:t>
            </w:r>
            <w:r w:rsidR="00573869" w:rsidRPr="005136CF">
              <w:rPr>
                <w:rFonts w:ascii="Times New Roman" w:hAnsi="Times New Roman" w:cs="Times New Roman"/>
              </w:rPr>
              <w:t xml:space="preserve"> </w:t>
            </w:r>
            <w:r w:rsidR="0007781B" w:rsidRPr="005136CF">
              <w:rPr>
                <w:rFonts w:ascii="Times New Roman" w:hAnsi="Times New Roman" w:cs="Times New Roman"/>
              </w:rPr>
              <w:t>take</w:t>
            </w:r>
            <w:r w:rsidRPr="005136CF">
              <w:rPr>
                <w:rFonts w:ascii="Times New Roman" w:hAnsi="Times New Roman" w:cs="Times New Roman"/>
              </w:rPr>
              <w:t xml:space="preserve"> an active role in preventing and addressing national regulatory and administrative Single Market barriers.</w:t>
            </w:r>
          </w:p>
          <w:p w14:paraId="58617547" w14:textId="5C9BA597" w:rsidR="006D0059" w:rsidRPr="005136CF" w:rsidRDefault="000B7DC6" w:rsidP="001575E0">
            <w:pPr>
              <w:widowControl w:val="0"/>
              <w:spacing w:before="120" w:after="120" w:line="276" w:lineRule="auto"/>
              <w:ind w:left="136" w:right="119"/>
              <w:jc w:val="both"/>
              <w:rPr>
                <w:rFonts w:ascii="Times New Roman" w:hAnsi="Times New Roman" w:cs="Times New Roman"/>
              </w:rPr>
            </w:pPr>
            <w:r w:rsidRPr="005136CF">
              <w:rPr>
                <w:rFonts w:ascii="Times New Roman" w:hAnsi="Times New Roman" w:cs="Times New Roman"/>
              </w:rPr>
              <w:t>By the end of 2026</w:t>
            </w:r>
            <w:r w:rsidR="00200857" w:rsidRPr="005136CF">
              <w:rPr>
                <w:rFonts w:ascii="Times New Roman" w:hAnsi="Times New Roman" w:cs="Times New Roman"/>
              </w:rPr>
              <w:t>, the Commission will assess the functioning of existing preventive tools</w:t>
            </w:r>
            <w:r w:rsidR="00B91705">
              <w:rPr>
                <w:rFonts w:ascii="Times New Roman" w:hAnsi="Times New Roman" w:cs="Times New Roman"/>
              </w:rPr>
              <w:t>. If</w:t>
            </w:r>
            <w:r w:rsidR="009E6E2B" w:rsidRPr="005136CF">
              <w:rPr>
                <w:rFonts w:ascii="Times New Roman" w:hAnsi="Times New Roman" w:cs="Times New Roman"/>
              </w:rPr>
              <w:t xml:space="preserve"> necessary,</w:t>
            </w:r>
            <w:r w:rsidR="00E01B8E">
              <w:rPr>
                <w:rFonts w:ascii="Times New Roman" w:hAnsi="Times New Roman" w:cs="Times New Roman"/>
              </w:rPr>
              <w:t xml:space="preserve"> it will</w:t>
            </w:r>
            <w:r w:rsidR="00200857" w:rsidRPr="005136CF">
              <w:rPr>
                <w:rFonts w:ascii="Times New Roman" w:hAnsi="Times New Roman" w:cs="Times New Roman"/>
              </w:rPr>
              <w:t xml:space="preserve"> propose legislative measures to close gaps and reinforce governance (</w:t>
            </w:r>
            <w:r w:rsidRPr="005136CF">
              <w:rPr>
                <w:rFonts w:ascii="Times New Roman" w:hAnsi="Times New Roman" w:cs="Times New Roman"/>
              </w:rPr>
              <w:t xml:space="preserve">such as </w:t>
            </w:r>
            <w:r w:rsidR="00200857" w:rsidRPr="005136CF">
              <w:rPr>
                <w:rFonts w:ascii="Times New Roman" w:hAnsi="Times New Roman" w:cs="Times New Roman"/>
              </w:rPr>
              <w:t xml:space="preserve">a Single Market Barriers Prevention Act). </w:t>
            </w:r>
            <w:r w:rsidR="0067153A" w:rsidRPr="005136CF">
              <w:rPr>
                <w:rFonts w:ascii="Times New Roman" w:hAnsi="Times New Roman" w:cs="Times New Roman"/>
              </w:rPr>
              <w:t>Effi</w:t>
            </w:r>
            <w:r w:rsidR="000867C2" w:rsidRPr="005136CF">
              <w:rPr>
                <w:rFonts w:ascii="Times New Roman" w:hAnsi="Times New Roman" w:cs="Times New Roman"/>
              </w:rPr>
              <w:t>cient</w:t>
            </w:r>
            <w:r w:rsidR="00176F82" w:rsidRPr="005136CF">
              <w:rPr>
                <w:rFonts w:ascii="Times New Roman" w:hAnsi="Times New Roman" w:cs="Times New Roman"/>
              </w:rPr>
              <w:t xml:space="preserve">, proactive and </w:t>
            </w:r>
            <w:r w:rsidRPr="005136CF">
              <w:rPr>
                <w:rFonts w:ascii="Times New Roman" w:hAnsi="Times New Roman" w:cs="Times New Roman"/>
              </w:rPr>
              <w:t xml:space="preserve">timely </w:t>
            </w:r>
            <w:r w:rsidR="000867C2" w:rsidRPr="005136CF">
              <w:rPr>
                <w:rFonts w:ascii="Times New Roman" w:hAnsi="Times New Roman" w:cs="Times New Roman"/>
              </w:rPr>
              <w:t>legal</w:t>
            </w:r>
            <w:r w:rsidRPr="005136CF">
              <w:rPr>
                <w:rFonts w:ascii="Times New Roman" w:hAnsi="Times New Roman" w:cs="Times New Roman"/>
              </w:rPr>
              <w:t xml:space="preserve"> </w:t>
            </w:r>
            <w:r w:rsidR="000867C2" w:rsidRPr="005136CF">
              <w:rPr>
                <w:rFonts w:ascii="Times New Roman" w:hAnsi="Times New Roman" w:cs="Times New Roman"/>
              </w:rPr>
              <w:t xml:space="preserve">action </w:t>
            </w:r>
            <w:r w:rsidR="007302B5" w:rsidRPr="005136CF">
              <w:rPr>
                <w:rFonts w:ascii="Times New Roman" w:hAnsi="Times New Roman" w:cs="Times New Roman"/>
              </w:rPr>
              <w:t>combined</w:t>
            </w:r>
            <w:r w:rsidR="00C61DE9" w:rsidRPr="005136CF">
              <w:rPr>
                <w:rFonts w:ascii="Times New Roman" w:hAnsi="Times New Roman" w:cs="Times New Roman"/>
              </w:rPr>
              <w:t xml:space="preserve"> with</w:t>
            </w:r>
            <w:r w:rsidR="00B8207F" w:rsidRPr="005136CF">
              <w:rPr>
                <w:rFonts w:ascii="Times New Roman" w:hAnsi="Times New Roman" w:cs="Times New Roman"/>
              </w:rPr>
              <w:t xml:space="preserve"> </w:t>
            </w:r>
            <w:r w:rsidR="0024042D" w:rsidRPr="005136CF">
              <w:rPr>
                <w:rFonts w:ascii="Times New Roman" w:hAnsi="Times New Roman" w:cs="Times New Roman"/>
              </w:rPr>
              <w:t xml:space="preserve">strategic enforcement </w:t>
            </w:r>
            <w:r w:rsidR="00FA5D31" w:rsidRPr="005136CF">
              <w:rPr>
                <w:rFonts w:ascii="Times New Roman" w:hAnsi="Times New Roman" w:cs="Times New Roman"/>
              </w:rPr>
              <w:t>in</w:t>
            </w:r>
            <w:r w:rsidR="006A0F5A" w:rsidRPr="005136CF">
              <w:rPr>
                <w:rFonts w:ascii="Times New Roman" w:hAnsi="Times New Roman" w:cs="Times New Roman"/>
              </w:rPr>
              <w:t xml:space="preserve"> </w:t>
            </w:r>
            <w:r w:rsidR="0024042D" w:rsidRPr="005136CF">
              <w:rPr>
                <w:rFonts w:ascii="Times New Roman" w:hAnsi="Times New Roman" w:cs="Times New Roman"/>
              </w:rPr>
              <w:t>priorit</w:t>
            </w:r>
            <w:r w:rsidR="00CD5AB0" w:rsidRPr="005136CF">
              <w:rPr>
                <w:rFonts w:ascii="Times New Roman" w:hAnsi="Times New Roman" w:cs="Times New Roman"/>
              </w:rPr>
              <w:t>y</w:t>
            </w:r>
            <w:r w:rsidR="0024042D" w:rsidRPr="005136CF">
              <w:rPr>
                <w:rFonts w:ascii="Times New Roman" w:hAnsi="Times New Roman" w:cs="Times New Roman"/>
              </w:rPr>
              <w:t xml:space="preserve"> </w:t>
            </w:r>
            <w:r w:rsidR="00B376CC" w:rsidRPr="005136CF">
              <w:rPr>
                <w:rFonts w:ascii="Times New Roman" w:hAnsi="Times New Roman" w:cs="Times New Roman"/>
              </w:rPr>
              <w:t>policy areas</w:t>
            </w:r>
            <w:r w:rsidR="006A23EC" w:rsidRPr="005136CF">
              <w:rPr>
                <w:rFonts w:ascii="Times New Roman" w:hAnsi="Times New Roman" w:cs="Times New Roman"/>
              </w:rPr>
              <w:t>,</w:t>
            </w:r>
            <w:r w:rsidR="000B2763" w:rsidRPr="005136CF">
              <w:rPr>
                <w:rFonts w:ascii="Times New Roman" w:hAnsi="Times New Roman" w:cs="Times New Roman"/>
              </w:rPr>
              <w:t xml:space="preserve"> identified and presented in an annual Single Market enforcement agenda,</w:t>
            </w:r>
            <w:r w:rsidR="00B376CC" w:rsidRPr="005136CF">
              <w:rPr>
                <w:rFonts w:ascii="Times New Roman" w:hAnsi="Times New Roman" w:cs="Times New Roman"/>
              </w:rPr>
              <w:t xml:space="preserve"> </w:t>
            </w:r>
            <w:r w:rsidR="0024042D" w:rsidRPr="005136CF">
              <w:rPr>
                <w:rFonts w:ascii="Times New Roman" w:hAnsi="Times New Roman" w:cs="Times New Roman"/>
              </w:rPr>
              <w:t xml:space="preserve">will </w:t>
            </w:r>
            <w:r w:rsidR="000B2763" w:rsidRPr="005136CF">
              <w:rPr>
                <w:rFonts w:ascii="Times New Roman" w:hAnsi="Times New Roman" w:cs="Times New Roman"/>
              </w:rPr>
              <w:t xml:space="preserve">play a </w:t>
            </w:r>
            <w:r w:rsidR="002067FB" w:rsidRPr="005136CF">
              <w:rPr>
                <w:rFonts w:ascii="Times New Roman" w:hAnsi="Times New Roman" w:cs="Times New Roman"/>
              </w:rPr>
              <w:t>crucial</w:t>
            </w:r>
            <w:r w:rsidR="000B2763" w:rsidRPr="005136CF">
              <w:rPr>
                <w:rFonts w:ascii="Times New Roman" w:hAnsi="Times New Roman" w:cs="Times New Roman"/>
              </w:rPr>
              <w:t xml:space="preserve"> role </w:t>
            </w:r>
            <w:r w:rsidR="00292117" w:rsidRPr="005136CF">
              <w:rPr>
                <w:rFonts w:ascii="Times New Roman" w:hAnsi="Times New Roman" w:cs="Times New Roman"/>
              </w:rPr>
              <w:t>in</w:t>
            </w:r>
            <w:r w:rsidR="00A65FDE" w:rsidRPr="005136CF">
              <w:rPr>
                <w:rFonts w:ascii="Times New Roman" w:hAnsi="Times New Roman" w:cs="Times New Roman"/>
              </w:rPr>
              <w:t xml:space="preserve"> ensur</w:t>
            </w:r>
            <w:r w:rsidR="00176F82" w:rsidRPr="005136CF">
              <w:rPr>
                <w:rFonts w:ascii="Times New Roman" w:hAnsi="Times New Roman" w:cs="Times New Roman"/>
              </w:rPr>
              <w:t>ing</w:t>
            </w:r>
            <w:r w:rsidR="00A65FDE" w:rsidRPr="005136CF">
              <w:rPr>
                <w:rFonts w:ascii="Times New Roman" w:hAnsi="Times New Roman" w:cs="Times New Roman"/>
              </w:rPr>
              <w:t xml:space="preserve"> </w:t>
            </w:r>
            <w:r w:rsidR="008D216D" w:rsidRPr="005136CF">
              <w:rPr>
                <w:rFonts w:ascii="Times New Roman" w:hAnsi="Times New Roman" w:cs="Times New Roman"/>
              </w:rPr>
              <w:t>c</w:t>
            </w:r>
            <w:r w:rsidRPr="005136CF">
              <w:rPr>
                <w:rFonts w:ascii="Times New Roman" w:hAnsi="Times New Roman" w:cs="Times New Roman"/>
              </w:rPr>
              <w:t>ompliance.</w:t>
            </w:r>
          </w:p>
          <w:p w14:paraId="2DDD15B6" w14:textId="7911B405" w:rsidR="006D0059" w:rsidRPr="005136CF" w:rsidRDefault="006D0059" w:rsidP="001575E0">
            <w:pPr>
              <w:widowControl w:val="0"/>
              <w:spacing w:before="120" w:after="120" w:line="276" w:lineRule="auto"/>
              <w:ind w:left="136" w:right="119"/>
              <w:jc w:val="both"/>
              <w:rPr>
                <w:rFonts w:ascii="Times New Roman" w:hAnsi="Times New Roman" w:cs="Times New Roman"/>
              </w:rPr>
            </w:pPr>
            <w:r w:rsidRPr="005136CF">
              <w:rPr>
                <w:rFonts w:ascii="Times New Roman" w:hAnsi="Times New Roman" w:cs="Times New Roman"/>
              </w:rPr>
              <w:t xml:space="preserve">Territorial supply constraints (TSCs) in retail and wholesale fragment the Single Market, limit consumer </w:t>
            </w:r>
            <w:r w:rsidRPr="005136CF">
              <w:rPr>
                <w:rFonts w:ascii="Times New Roman" w:hAnsi="Times New Roman" w:cs="Times New Roman"/>
              </w:rPr>
              <w:lastRenderedPageBreak/>
              <w:t>choice and contribute to significant price differences across the EU</w:t>
            </w:r>
            <w:r w:rsidR="00DB5F3F" w:rsidRPr="005136CF">
              <w:rPr>
                <w:rFonts w:ascii="Times New Roman" w:hAnsi="Times New Roman" w:cs="Times New Roman"/>
              </w:rPr>
              <w:t>, notably for daily consumer goods</w:t>
            </w:r>
            <w:r w:rsidRPr="005136CF">
              <w:rPr>
                <w:rStyle w:val="FootnoteReference"/>
                <w:rFonts w:ascii="Times New Roman" w:hAnsi="Times New Roman" w:cs="Times New Roman"/>
              </w:rPr>
              <w:footnoteReference w:id="5"/>
            </w:r>
            <w:r w:rsidRPr="005136CF">
              <w:rPr>
                <w:rFonts w:ascii="Times New Roman" w:hAnsi="Times New Roman" w:cs="Times New Roman"/>
              </w:rPr>
              <w:t xml:space="preserve">. The Commission will </w:t>
            </w:r>
            <w:r w:rsidR="008B429D" w:rsidRPr="005136CF">
              <w:rPr>
                <w:rFonts w:ascii="Times New Roman" w:hAnsi="Times New Roman" w:cs="Times New Roman"/>
              </w:rPr>
              <w:t>consider</w:t>
            </w:r>
            <w:r w:rsidRPr="005136CF">
              <w:rPr>
                <w:rFonts w:ascii="Times New Roman" w:hAnsi="Times New Roman" w:cs="Times New Roman"/>
              </w:rPr>
              <w:t xml:space="preserve"> necessary measures to address such supply constraints on the part of significant market players when the</w:t>
            </w:r>
            <w:r w:rsidR="006066DE" w:rsidRPr="005136CF">
              <w:rPr>
                <w:rFonts w:ascii="Times New Roman" w:hAnsi="Times New Roman" w:cs="Times New Roman"/>
              </w:rPr>
              <w:t>se</w:t>
            </w:r>
            <w:r w:rsidRPr="005136CF">
              <w:rPr>
                <w:rFonts w:ascii="Times New Roman" w:hAnsi="Times New Roman" w:cs="Times New Roman"/>
              </w:rPr>
              <w:t xml:space="preserve"> lead to unjustified price differences that cannot be explained by objective factors such as regulatory or cost differences between Member States. Other actions </w:t>
            </w:r>
            <w:r w:rsidR="00185DFC" w:rsidRPr="005136CF">
              <w:rPr>
                <w:rFonts w:ascii="Times New Roman" w:hAnsi="Times New Roman" w:cs="Times New Roman"/>
              </w:rPr>
              <w:t xml:space="preserve">outlined in </w:t>
            </w:r>
            <w:r w:rsidR="00D14D87" w:rsidRPr="005136CF">
              <w:rPr>
                <w:rFonts w:ascii="Times New Roman" w:hAnsi="Times New Roman" w:cs="Times New Roman"/>
              </w:rPr>
              <w:t>the Single Market Strategy</w:t>
            </w:r>
            <w:r w:rsidR="00671806" w:rsidRPr="005136CF">
              <w:rPr>
                <w:rFonts w:ascii="Times New Roman" w:hAnsi="Times New Roman" w:cs="Times New Roman"/>
              </w:rPr>
              <w:t>,</w:t>
            </w:r>
            <w:r w:rsidR="00D14D87" w:rsidRPr="005136CF">
              <w:rPr>
                <w:rFonts w:ascii="Times New Roman" w:hAnsi="Times New Roman" w:cs="Times New Roman"/>
              </w:rPr>
              <w:t xml:space="preserve"> </w:t>
            </w:r>
            <w:r w:rsidRPr="005136CF">
              <w:rPr>
                <w:rFonts w:ascii="Times New Roman" w:hAnsi="Times New Roman" w:cs="Times New Roman"/>
              </w:rPr>
              <w:t xml:space="preserve">such as </w:t>
            </w:r>
            <w:r w:rsidR="00671806" w:rsidRPr="005136CF">
              <w:rPr>
                <w:rFonts w:ascii="Times New Roman" w:hAnsi="Times New Roman" w:cs="Times New Roman"/>
              </w:rPr>
              <w:t>those related to</w:t>
            </w:r>
            <w:r w:rsidRPr="005136CF">
              <w:rPr>
                <w:rFonts w:ascii="Times New Roman" w:hAnsi="Times New Roman" w:cs="Times New Roman"/>
              </w:rPr>
              <w:t xml:space="preserve"> </w:t>
            </w:r>
            <w:r w:rsidR="006E71EE" w:rsidRPr="005136CF">
              <w:rPr>
                <w:rFonts w:ascii="Times New Roman" w:hAnsi="Times New Roman" w:cs="Times New Roman"/>
              </w:rPr>
              <w:t>fragmented national rules on packaging, labelling</w:t>
            </w:r>
            <w:r w:rsidR="00A725C4" w:rsidRPr="005136CF">
              <w:rPr>
                <w:rFonts w:ascii="Times New Roman" w:hAnsi="Times New Roman" w:cs="Times New Roman"/>
              </w:rPr>
              <w:t>,</w:t>
            </w:r>
            <w:r w:rsidR="006E71EE" w:rsidRPr="005136CF">
              <w:rPr>
                <w:rFonts w:ascii="Times New Roman" w:hAnsi="Times New Roman" w:cs="Times New Roman"/>
              </w:rPr>
              <w:t xml:space="preserve"> and waste, can also remove obstacles to trade and ultimately reduce prices and increase choice for consumers</w:t>
            </w:r>
            <w:r w:rsidR="00A77B75" w:rsidRPr="00D041D9">
              <w:rPr>
                <w:rFonts w:ascii="Times New Roman" w:hAnsi="Times New Roman" w:cs="Times New Roman"/>
              </w:rPr>
              <w:t>.</w:t>
            </w:r>
          </w:p>
          <w:p w14:paraId="76C1DC6C" w14:textId="7E7C2BBC" w:rsidR="1783399A" w:rsidRPr="005136CF" w:rsidRDefault="00C81429" w:rsidP="001575E0">
            <w:pPr>
              <w:widowControl w:val="0"/>
              <w:spacing w:before="120" w:after="120" w:line="276" w:lineRule="auto"/>
              <w:ind w:left="136" w:right="119"/>
              <w:jc w:val="both"/>
              <w:rPr>
                <w:rFonts w:ascii="Times New Roman" w:eastAsia="Times New Roman" w:hAnsi="Times New Roman" w:cs="Times New Roman"/>
              </w:rPr>
            </w:pPr>
            <w:r w:rsidRPr="005136CF">
              <w:rPr>
                <w:rFonts w:ascii="Times New Roman" w:hAnsi="Times New Roman" w:cs="Times New Roman"/>
              </w:rPr>
              <w:t xml:space="preserve">The Commission welcomes the EESC’s call to complete the Capital Markets Union to </w:t>
            </w:r>
            <w:r w:rsidR="001A05F6">
              <w:rPr>
                <w:rFonts w:ascii="Times New Roman" w:hAnsi="Times New Roman" w:cs="Times New Roman"/>
              </w:rPr>
              <w:t xml:space="preserve">help </w:t>
            </w:r>
            <w:r w:rsidRPr="005136CF">
              <w:rPr>
                <w:rFonts w:ascii="Times New Roman" w:hAnsi="Times New Roman" w:cs="Times New Roman"/>
              </w:rPr>
              <w:t xml:space="preserve">cover Europe’s investment needs. The </w:t>
            </w:r>
            <w:r w:rsidR="004B50F6" w:rsidRPr="005136CF">
              <w:rPr>
                <w:rFonts w:ascii="Times New Roman" w:hAnsi="Times New Roman" w:cs="Times New Roman"/>
              </w:rPr>
              <w:t>s</w:t>
            </w:r>
            <w:r w:rsidR="297176B8" w:rsidRPr="005136CF">
              <w:rPr>
                <w:rFonts w:ascii="Times New Roman" w:hAnsi="Times New Roman" w:cs="Times New Roman"/>
              </w:rPr>
              <w:t xml:space="preserve">trategy for </w:t>
            </w:r>
            <w:r w:rsidR="007A68EF">
              <w:rPr>
                <w:rFonts w:ascii="Times New Roman" w:hAnsi="Times New Roman" w:cs="Times New Roman"/>
              </w:rPr>
              <w:t>the</w:t>
            </w:r>
            <w:r w:rsidR="297176B8" w:rsidRPr="005136CF">
              <w:rPr>
                <w:rFonts w:ascii="Times New Roman" w:hAnsi="Times New Roman" w:cs="Times New Roman"/>
              </w:rPr>
              <w:t xml:space="preserve"> Savings and Investment</w:t>
            </w:r>
            <w:r w:rsidR="6AA06C6A" w:rsidRPr="005136CF">
              <w:rPr>
                <w:rFonts w:ascii="Times New Roman" w:hAnsi="Times New Roman" w:cs="Times New Roman"/>
              </w:rPr>
              <w:t>s</w:t>
            </w:r>
            <w:r w:rsidR="297176B8" w:rsidRPr="005136CF">
              <w:rPr>
                <w:rFonts w:ascii="Times New Roman" w:hAnsi="Times New Roman" w:cs="Times New Roman"/>
              </w:rPr>
              <w:t xml:space="preserve"> Union</w:t>
            </w:r>
            <w:r w:rsidR="00611AB6" w:rsidRPr="005136CF">
              <w:rPr>
                <w:rStyle w:val="FootnoteReference"/>
                <w:rFonts w:ascii="Times New Roman" w:hAnsi="Times New Roman" w:cs="Times New Roman"/>
              </w:rPr>
              <w:footnoteReference w:id="6"/>
            </w:r>
            <w:r w:rsidR="297176B8" w:rsidRPr="005136CF">
              <w:rPr>
                <w:rFonts w:ascii="Times New Roman" w:hAnsi="Times New Roman" w:cs="Times New Roman"/>
              </w:rPr>
              <w:t>,</w:t>
            </w:r>
            <w:r w:rsidR="00611AB6" w:rsidRPr="005136CF">
              <w:rPr>
                <w:rFonts w:ascii="Times New Roman" w:hAnsi="Times New Roman" w:cs="Times New Roman"/>
              </w:rPr>
              <w:t xml:space="preserve"> build</w:t>
            </w:r>
            <w:r w:rsidR="00CC1210" w:rsidRPr="005136CF">
              <w:rPr>
                <w:rFonts w:ascii="Times New Roman" w:hAnsi="Times New Roman" w:cs="Times New Roman"/>
              </w:rPr>
              <w:t>s on</w:t>
            </w:r>
            <w:r w:rsidR="00611AB6" w:rsidRPr="005136CF">
              <w:rPr>
                <w:rFonts w:ascii="Times New Roman" w:hAnsi="Times New Roman" w:cs="Times New Roman"/>
              </w:rPr>
              <w:t xml:space="preserve"> the </w:t>
            </w:r>
            <w:r w:rsidR="00552AD0" w:rsidRPr="005136CF">
              <w:rPr>
                <w:rFonts w:ascii="Times New Roman" w:hAnsi="Times New Roman" w:cs="Times New Roman"/>
              </w:rPr>
              <w:t xml:space="preserve">objectives of the </w:t>
            </w:r>
            <w:r w:rsidR="00611AB6" w:rsidRPr="005136CF">
              <w:rPr>
                <w:rFonts w:ascii="Times New Roman" w:hAnsi="Times New Roman" w:cs="Times New Roman"/>
              </w:rPr>
              <w:t>Capital Markets Union and the Banking Union</w:t>
            </w:r>
            <w:r w:rsidR="003C5DEA" w:rsidRPr="005136CF">
              <w:rPr>
                <w:rFonts w:ascii="Times New Roman" w:hAnsi="Times New Roman" w:cs="Times New Roman"/>
              </w:rPr>
              <w:t xml:space="preserve"> and </w:t>
            </w:r>
            <w:r w:rsidR="297176B8" w:rsidRPr="005136CF">
              <w:rPr>
                <w:rFonts w:ascii="Times New Roman" w:hAnsi="Times New Roman" w:cs="Times New Roman"/>
              </w:rPr>
              <w:t>detail</w:t>
            </w:r>
            <w:r w:rsidR="00552AD0" w:rsidRPr="005136CF">
              <w:rPr>
                <w:rFonts w:ascii="Times New Roman" w:hAnsi="Times New Roman" w:cs="Times New Roman"/>
              </w:rPr>
              <w:t>s</w:t>
            </w:r>
            <w:r w:rsidR="297176B8" w:rsidRPr="005136CF">
              <w:rPr>
                <w:rFonts w:ascii="Times New Roman" w:hAnsi="Times New Roman" w:cs="Times New Roman"/>
              </w:rPr>
              <w:t xml:space="preserve"> </w:t>
            </w:r>
            <w:r w:rsidR="00552AD0" w:rsidRPr="005136CF">
              <w:rPr>
                <w:rFonts w:ascii="Times New Roman" w:hAnsi="Times New Roman" w:cs="Times New Roman"/>
              </w:rPr>
              <w:t>the</w:t>
            </w:r>
            <w:r w:rsidR="297176B8" w:rsidRPr="005136CF">
              <w:rPr>
                <w:rFonts w:ascii="Times New Roman" w:hAnsi="Times New Roman" w:cs="Times New Roman"/>
              </w:rPr>
              <w:t xml:space="preserve"> vision </w:t>
            </w:r>
            <w:r w:rsidR="00552AD0" w:rsidRPr="005136CF">
              <w:rPr>
                <w:rFonts w:ascii="Times New Roman" w:hAnsi="Times New Roman" w:cs="Times New Roman"/>
              </w:rPr>
              <w:t xml:space="preserve">for creating better financial </w:t>
            </w:r>
            <w:r w:rsidR="00552AD0" w:rsidRPr="00CD2737">
              <w:rPr>
                <w:rFonts w:ascii="Times New Roman" w:hAnsi="Times New Roman" w:cs="Times New Roman"/>
              </w:rPr>
              <w:t xml:space="preserve">opportunities, enhancing our financial system’s capability to connect savings </w:t>
            </w:r>
            <w:r w:rsidR="724A46C0" w:rsidRPr="00CD2737">
              <w:rPr>
                <w:rFonts w:ascii="Times New Roman" w:hAnsi="Times New Roman" w:cs="Times New Roman"/>
              </w:rPr>
              <w:t>with productive investments,</w:t>
            </w:r>
            <w:r w:rsidR="29406222" w:rsidRPr="00CD2737">
              <w:rPr>
                <w:rFonts w:ascii="Times New Roman" w:hAnsi="Times New Roman" w:cs="Times New Roman"/>
              </w:rPr>
              <w:t xml:space="preserve"> </w:t>
            </w:r>
            <w:r w:rsidR="00552AD0" w:rsidRPr="00CD2737">
              <w:rPr>
                <w:rFonts w:ascii="Times New Roman" w:hAnsi="Times New Roman" w:cs="Times New Roman"/>
              </w:rPr>
              <w:t xml:space="preserve">while </w:t>
            </w:r>
            <w:r w:rsidR="2D3F7AF5" w:rsidRPr="00CD2737">
              <w:rPr>
                <w:rFonts w:ascii="Times New Roman" w:hAnsi="Times New Roman" w:cs="Times New Roman"/>
              </w:rPr>
              <w:t>mobilis</w:t>
            </w:r>
            <w:r w:rsidR="00552AD0" w:rsidRPr="00CD2737">
              <w:rPr>
                <w:rFonts w:ascii="Times New Roman" w:hAnsi="Times New Roman" w:cs="Times New Roman"/>
              </w:rPr>
              <w:t>ing</w:t>
            </w:r>
            <w:r w:rsidR="2D3F7AF5" w:rsidRPr="00CD2737">
              <w:rPr>
                <w:rFonts w:ascii="Times New Roman" w:hAnsi="Times New Roman" w:cs="Times New Roman"/>
              </w:rPr>
              <w:t xml:space="preserve"> both public and private investments</w:t>
            </w:r>
            <w:r w:rsidR="29FC4EB6" w:rsidRPr="00CD2737">
              <w:rPr>
                <w:rFonts w:ascii="Times New Roman" w:hAnsi="Times New Roman" w:cs="Times New Roman"/>
              </w:rPr>
              <w:t>.</w:t>
            </w:r>
            <w:r w:rsidR="00BB3FD8" w:rsidRPr="00CD2737">
              <w:rPr>
                <w:rFonts w:ascii="Times New Roman" w:hAnsi="Times New Roman" w:cs="Times New Roman"/>
              </w:rPr>
              <w:t xml:space="preserve"> The Strategy includes initiatives aiming at </w:t>
            </w:r>
            <w:r w:rsidR="00BB3FD8" w:rsidRPr="00CD2737">
              <w:rPr>
                <w:rFonts w:ascii="Times New Roman" w:eastAsia="Times New Roman" w:hAnsi="Times New Roman" w:cs="Times New Roman"/>
              </w:rPr>
              <w:t>improving the cross-border provision of funds and reducing operational barriers faced by asset managers; fostering market integration and a more integrated and efficient supervision for market participants; boosting the supplementary pension sector and increasing the participation of pension funds to equity investments.</w:t>
            </w:r>
            <w:r w:rsidR="29FC4EB6" w:rsidRPr="00CD2737">
              <w:rPr>
                <w:rFonts w:ascii="Times New Roman" w:hAnsi="Times New Roman" w:cs="Times New Roman"/>
              </w:rPr>
              <w:t xml:space="preserve"> </w:t>
            </w:r>
            <w:r w:rsidR="00552AD0" w:rsidRPr="00CD2737">
              <w:rPr>
                <w:rFonts w:ascii="Times New Roman" w:hAnsi="Times New Roman" w:cs="Times New Roman"/>
              </w:rPr>
              <w:t xml:space="preserve">The </w:t>
            </w:r>
            <w:r w:rsidR="00BB3FD8" w:rsidRPr="00CD2737">
              <w:rPr>
                <w:rFonts w:ascii="Times New Roman" w:hAnsi="Times New Roman" w:cs="Times New Roman"/>
              </w:rPr>
              <w:t>Commission will also work</w:t>
            </w:r>
            <w:r w:rsidR="001D2459" w:rsidRPr="00CD2737">
              <w:rPr>
                <w:rFonts w:ascii="Times New Roman" w:hAnsi="Times New Roman" w:cs="Times New Roman"/>
              </w:rPr>
              <w:t xml:space="preserve"> </w:t>
            </w:r>
            <w:r w:rsidR="29FC4EB6" w:rsidRPr="00CD2737">
              <w:rPr>
                <w:rFonts w:ascii="Times New Roman" w:hAnsi="Times New Roman" w:cs="Times New Roman"/>
              </w:rPr>
              <w:t>with the E</w:t>
            </w:r>
            <w:r w:rsidR="00FD4058" w:rsidRPr="00CD2737">
              <w:rPr>
                <w:rFonts w:ascii="Times New Roman" w:hAnsi="Times New Roman" w:cs="Times New Roman"/>
              </w:rPr>
              <w:t>uropean Investment Bank</w:t>
            </w:r>
            <w:r w:rsidR="29FC4EB6" w:rsidRPr="00CD2737">
              <w:rPr>
                <w:rFonts w:ascii="Times New Roman" w:hAnsi="Times New Roman" w:cs="Times New Roman"/>
              </w:rPr>
              <w:t xml:space="preserve"> on the </w:t>
            </w:r>
            <w:proofErr w:type="spellStart"/>
            <w:r w:rsidR="29FC4EB6" w:rsidRPr="00CD2737">
              <w:rPr>
                <w:rFonts w:ascii="Times New Roman" w:eastAsia="Times New Roman" w:hAnsi="Times New Roman" w:cs="Times New Roman"/>
              </w:rPr>
              <w:t>TechEU</w:t>
            </w:r>
            <w:proofErr w:type="spellEnd"/>
            <w:r w:rsidR="29FC4EB6" w:rsidRPr="00CD2737">
              <w:rPr>
                <w:rFonts w:ascii="Times New Roman" w:eastAsia="Times New Roman" w:hAnsi="Times New Roman" w:cs="Times New Roman"/>
              </w:rPr>
              <w:t xml:space="preserve"> initiative</w:t>
            </w:r>
            <w:r w:rsidR="006C29F4" w:rsidRPr="00CD2737">
              <w:rPr>
                <w:rFonts w:ascii="Times New Roman" w:eastAsia="Times New Roman" w:hAnsi="Times New Roman" w:cs="Times New Roman"/>
              </w:rPr>
              <w:t>, as well as</w:t>
            </w:r>
            <w:r w:rsidR="29FC4EB6" w:rsidRPr="00CD2737">
              <w:rPr>
                <w:rFonts w:ascii="Times New Roman" w:eastAsia="Times New Roman" w:hAnsi="Times New Roman" w:cs="Times New Roman"/>
              </w:rPr>
              <w:t xml:space="preserve"> with the E</w:t>
            </w:r>
            <w:r w:rsidR="00FD4058" w:rsidRPr="00CD2737">
              <w:rPr>
                <w:rFonts w:ascii="Times New Roman" w:eastAsia="Times New Roman" w:hAnsi="Times New Roman" w:cs="Times New Roman"/>
              </w:rPr>
              <w:t xml:space="preserve">uropean </w:t>
            </w:r>
            <w:r w:rsidR="29FC4EB6" w:rsidRPr="00CD2737">
              <w:rPr>
                <w:rFonts w:ascii="Times New Roman" w:eastAsia="Times New Roman" w:hAnsi="Times New Roman" w:cs="Times New Roman"/>
              </w:rPr>
              <w:t>I</w:t>
            </w:r>
            <w:r w:rsidR="00FD4058" w:rsidRPr="00CD2737">
              <w:rPr>
                <w:rFonts w:ascii="Times New Roman" w:eastAsia="Times New Roman" w:hAnsi="Times New Roman" w:cs="Times New Roman"/>
              </w:rPr>
              <w:t xml:space="preserve">nvestment </w:t>
            </w:r>
            <w:r w:rsidR="29FC4EB6" w:rsidRPr="00CD2737">
              <w:rPr>
                <w:rFonts w:ascii="Times New Roman" w:eastAsia="Times New Roman" w:hAnsi="Times New Roman" w:cs="Times New Roman"/>
              </w:rPr>
              <w:t>F</w:t>
            </w:r>
            <w:r w:rsidR="00FD4058" w:rsidRPr="00CD2737">
              <w:rPr>
                <w:rFonts w:ascii="Times New Roman" w:eastAsia="Times New Roman" w:hAnsi="Times New Roman" w:cs="Times New Roman"/>
              </w:rPr>
              <w:t>und</w:t>
            </w:r>
            <w:r w:rsidR="29FC4EB6" w:rsidRPr="00CD2737">
              <w:rPr>
                <w:rFonts w:ascii="Times New Roman" w:eastAsia="Times New Roman" w:hAnsi="Times New Roman" w:cs="Times New Roman"/>
              </w:rPr>
              <w:t xml:space="preserve"> on deploying</w:t>
            </w:r>
            <w:r w:rsidR="00D041D9" w:rsidRPr="00CD2737">
              <w:rPr>
                <w:rFonts w:ascii="Times New Roman" w:eastAsia="Times New Roman" w:hAnsi="Times New Roman" w:cs="Times New Roman"/>
              </w:rPr>
              <w:t xml:space="preserve"> the European Tech Champions Initiative</w:t>
            </w:r>
            <w:r w:rsidR="29FC4EB6" w:rsidRPr="00CD2737">
              <w:rPr>
                <w:rFonts w:ascii="Times New Roman" w:eastAsia="Times New Roman" w:hAnsi="Times New Roman" w:cs="Times New Roman"/>
              </w:rPr>
              <w:t xml:space="preserve"> </w:t>
            </w:r>
            <w:r w:rsidR="00D041D9" w:rsidRPr="00CD2737">
              <w:rPr>
                <w:rFonts w:ascii="Times New Roman" w:eastAsia="Times New Roman" w:hAnsi="Times New Roman" w:cs="Times New Roman"/>
              </w:rPr>
              <w:t>(</w:t>
            </w:r>
            <w:r w:rsidR="29FC4EB6" w:rsidRPr="00CD2737">
              <w:rPr>
                <w:rFonts w:ascii="Times New Roman" w:eastAsia="Times New Roman" w:hAnsi="Times New Roman" w:cs="Times New Roman"/>
              </w:rPr>
              <w:t>ETCI</w:t>
            </w:r>
            <w:r w:rsidR="00D041D9" w:rsidRPr="00CD2737">
              <w:rPr>
                <w:rFonts w:ascii="Times New Roman" w:eastAsia="Times New Roman" w:hAnsi="Times New Roman" w:cs="Times New Roman"/>
              </w:rPr>
              <w:t>)</w:t>
            </w:r>
            <w:r w:rsidR="29FC4EB6" w:rsidRPr="00CD2737">
              <w:rPr>
                <w:rFonts w:ascii="Times New Roman" w:eastAsia="Times New Roman" w:hAnsi="Times New Roman" w:cs="Times New Roman"/>
              </w:rPr>
              <w:t xml:space="preserve"> 2.0</w:t>
            </w:r>
            <w:r w:rsidR="001B0F97" w:rsidRPr="00CD2737">
              <w:rPr>
                <w:rStyle w:val="FootnoteReference"/>
                <w:rFonts w:ascii="Times New Roman" w:eastAsia="Times New Roman" w:hAnsi="Times New Roman" w:cs="Times New Roman"/>
              </w:rPr>
              <w:footnoteReference w:id="7"/>
            </w:r>
            <w:r w:rsidR="29FC4EB6" w:rsidRPr="00CD2737">
              <w:rPr>
                <w:rFonts w:ascii="Times New Roman" w:eastAsia="Times New Roman" w:hAnsi="Times New Roman" w:cs="Times New Roman"/>
              </w:rPr>
              <w:t xml:space="preserve"> to crowd</w:t>
            </w:r>
            <w:r w:rsidR="006C29F4" w:rsidRPr="00CD2737">
              <w:rPr>
                <w:rFonts w:ascii="Times New Roman" w:eastAsia="Times New Roman" w:hAnsi="Times New Roman" w:cs="Times New Roman"/>
              </w:rPr>
              <w:t>-</w:t>
            </w:r>
            <w:r w:rsidR="29FC4EB6" w:rsidRPr="00CD2737">
              <w:rPr>
                <w:rFonts w:ascii="Times New Roman" w:eastAsia="Times New Roman" w:hAnsi="Times New Roman" w:cs="Times New Roman"/>
              </w:rPr>
              <w:t>in private investment in growth and venture capita</w:t>
            </w:r>
            <w:r w:rsidR="00B94698" w:rsidRPr="00CD2737">
              <w:rPr>
                <w:rFonts w:ascii="Times New Roman" w:eastAsia="Times New Roman" w:hAnsi="Times New Roman" w:cs="Times New Roman"/>
              </w:rPr>
              <w:t>l</w:t>
            </w:r>
            <w:r w:rsidR="006C29F4" w:rsidRPr="00CD2737">
              <w:rPr>
                <w:rFonts w:ascii="Times New Roman" w:eastAsia="Times New Roman" w:hAnsi="Times New Roman" w:cs="Times New Roman"/>
              </w:rPr>
              <w:t xml:space="preserve">. It </w:t>
            </w:r>
            <w:r w:rsidR="00BB3FD8" w:rsidRPr="00CD2737">
              <w:rPr>
                <w:rFonts w:ascii="Times New Roman" w:eastAsia="Times New Roman" w:hAnsi="Times New Roman" w:cs="Times New Roman"/>
              </w:rPr>
              <w:t xml:space="preserve">will </w:t>
            </w:r>
            <w:r w:rsidR="006C29F4" w:rsidRPr="00CD2737">
              <w:rPr>
                <w:rFonts w:ascii="Times New Roman" w:eastAsia="Times New Roman" w:hAnsi="Times New Roman" w:cs="Times New Roman"/>
              </w:rPr>
              <w:t xml:space="preserve">also </w:t>
            </w:r>
            <w:r w:rsidR="00BB3FD8" w:rsidRPr="00CD2737">
              <w:rPr>
                <w:rFonts w:ascii="Times New Roman" w:eastAsia="Times New Roman" w:hAnsi="Times New Roman" w:cs="Times New Roman"/>
              </w:rPr>
              <w:t xml:space="preserve">review the label for EU venture capital funds through </w:t>
            </w:r>
            <w:r w:rsidR="000206A7" w:rsidRPr="00CD2737">
              <w:rPr>
                <w:rFonts w:ascii="Times New Roman" w:eastAsia="Times New Roman" w:hAnsi="Times New Roman" w:cs="Times New Roman"/>
              </w:rPr>
              <w:t>the European Venture Capital Funds Regulation (</w:t>
            </w:r>
            <w:proofErr w:type="spellStart"/>
            <w:r w:rsidR="000206A7" w:rsidRPr="00CD2737">
              <w:rPr>
                <w:rFonts w:ascii="Times New Roman" w:eastAsia="Times New Roman" w:hAnsi="Times New Roman" w:cs="Times New Roman"/>
              </w:rPr>
              <w:t>EuVECA</w:t>
            </w:r>
            <w:proofErr w:type="spellEnd"/>
            <w:r w:rsidR="000206A7" w:rsidRPr="00CD2737">
              <w:rPr>
                <w:rFonts w:ascii="Times New Roman" w:eastAsia="Times New Roman" w:hAnsi="Times New Roman" w:cs="Times New Roman"/>
              </w:rPr>
              <w:t>)</w:t>
            </w:r>
            <w:r w:rsidR="000206A7" w:rsidRPr="00CD2737">
              <w:rPr>
                <w:rStyle w:val="FootnoteReference"/>
                <w:rFonts w:ascii="Times New Roman" w:eastAsia="Times New Roman" w:hAnsi="Times New Roman" w:cs="Times New Roman"/>
              </w:rPr>
              <w:footnoteReference w:id="8"/>
            </w:r>
            <w:r w:rsidR="5DD0C0DC" w:rsidRPr="00CD2737">
              <w:rPr>
                <w:rFonts w:ascii="Times New Roman" w:eastAsia="Times New Roman" w:hAnsi="Times New Roman" w:cs="Times New Roman"/>
              </w:rPr>
              <w:t xml:space="preserve"> </w:t>
            </w:r>
            <w:r w:rsidR="00BB3FD8" w:rsidRPr="00CD2737">
              <w:rPr>
                <w:rFonts w:ascii="Times New Roman" w:eastAsia="Times New Roman" w:hAnsi="Times New Roman" w:cs="Times New Roman"/>
              </w:rPr>
              <w:t>review</w:t>
            </w:r>
            <w:r w:rsidR="304C65E6" w:rsidRPr="00CD2737">
              <w:rPr>
                <w:rFonts w:ascii="Times New Roman" w:eastAsia="Times New Roman" w:hAnsi="Times New Roman" w:cs="Times New Roman"/>
              </w:rPr>
              <w:t>.</w:t>
            </w:r>
            <w:r w:rsidR="00CC4922" w:rsidRPr="00CD2737">
              <w:rPr>
                <w:rFonts w:ascii="Times New Roman" w:eastAsia="Times New Roman" w:hAnsi="Times New Roman" w:cs="Times New Roman"/>
              </w:rPr>
              <w:t xml:space="preserve"> The EU Startup and Scaleup Strategy outlines further actions to improve financing opportunities for companies to scale</w:t>
            </w:r>
            <w:r w:rsidR="00CC4922" w:rsidRPr="00BB3FD8">
              <w:rPr>
                <w:rFonts w:ascii="Times New Roman" w:eastAsia="Times New Roman" w:hAnsi="Times New Roman" w:cs="Times New Roman"/>
              </w:rPr>
              <w:t xml:space="preserve"> up, including a </w:t>
            </w:r>
            <w:r w:rsidR="00A81D67" w:rsidRPr="00BB3FD8">
              <w:rPr>
                <w:rFonts w:ascii="Times New Roman" w:eastAsia="Times New Roman" w:hAnsi="Times New Roman" w:cs="Times New Roman"/>
              </w:rPr>
              <w:t>Scaleup Europe Fund and a voluntary European Innovation Investment Pact</w:t>
            </w:r>
            <w:r w:rsidR="00CC4922" w:rsidRPr="00BB3FD8">
              <w:rPr>
                <w:rFonts w:ascii="Times New Roman" w:eastAsia="Times New Roman" w:hAnsi="Times New Roman" w:cs="Times New Roman"/>
              </w:rPr>
              <w:t>.</w:t>
            </w:r>
          </w:p>
          <w:p w14:paraId="51C34337" w14:textId="6E692355" w:rsidR="006D0059" w:rsidRPr="00705667" w:rsidRDefault="006D0059" w:rsidP="001575E0">
            <w:pPr>
              <w:widowControl w:val="0"/>
              <w:spacing w:before="120" w:after="120" w:line="276" w:lineRule="auto"/>
              <w:ind w:left="136" w:right="119"/>
              <w:jc w:val="both"/>
              <w:rPr>
                <w:rFonts w:ascii="Times New Roman" w:hAnsi="Times New Roman" w:cs="Times New Roman"/>
                <w:i/>
                <w:iCs/>
              </w:rPr>
            </w:pPr>
            <w:r w:rsidRPr="00705667">
              <w:rPr>
                <w:rFonts w:ascii="Times New Roman" w:hAnsi="Times New Roman" w:cs="Times New Roman"/>
              </w:rPr>
              <w:t xml:space="preserve">The Commission shares the EESC’s perspective on the need for actions to promote labour mobility and improve social security coordination. The Single Market Strategy </w:t>
            </w:r>
            <w:r w:rsidR="007856CF" w:rsidRPr="00705667">
              <w:rPr>
                <w:rFonts w:ascii="Times New Roman" w:hAnsi="Times New Roman" w:cs="Times New Roman"/>
              </w:rPr>
              <w:t>confirms</w:t>
            </w:r>
            <w:r w:rsidR="00F40938" w:rsidRPr="00705667">
              <w:rPr>
                <w:rFonts w:ascii="Times New Roman" w:hAnsi="Times New Roman" w:cs="Times New Roman"/>
              </w:rPr>
              <w:t xml:space="preserve"> the Commission’</w:t>
            </w:r>
            <w:r w:rsidR="00E90189" w:rsidRPr="00705667">
              <w:rPr>
                <w:rFonts w:ascii="Times New Roman" w:hAnsi="Times New Roman" w:cs="Times New Roman"/>
              </w:rPr>
              <w:t>s</w:t>
            </w:r>
            <w:r w:rsidR="00F40938" w:rsidRPr="00705667">
              <w:rPr>
                <w:rFonts w:ascii="Times New Roman" w:hAnsi="Times New Roman" w:cs="Times New Roman"/>
              </w:rPr>
              <w:t xml:space="preserve"> </w:t>
            </w:r>
            <w:r w:rsidR="007856CF" w:rsidRPr="00705667">
              <w:rPr>
                <w:rFonts w:ascii="Times New Roman" w:hAnsi="Times New Roman" w:cs="Times New Roman"/>
              </w:rPr>
              <w:t xml:space="preserve">continued </w:t>
            </w:r>
            <w:r w:rsidRPr="00705667">
              <w:rPr>
                <w:rFonts w:ascii="Times New Roman" w:hAnsi="Times New Roman" w:cs="Times New Roman"/>
              </w:rPr>
              <w:t>support</w:t>
            </w:r>
            <w:r w:rsidR="00FA1815" w:rsidRPr="00705667">
              <w:rPr>
                <w:rFonts w:ascii="Times New Roman" w:hAnsi="Times New Roman" w:cs="Times New Roman"/>
              </w:rPr>
              <w:t xml:space="preserve"> to</w:t>
            </w:r>
            <w:r w:rsidRPr="00705667">
              <w:rPr>
                <w:rFonts w:ascii="Times New Roman" w:hAnsi="Times New Roman" w:cs="Times New Roman"/>
              </w:rPr>
              <w:t xml:space="preserve"> the co-legislators to conclude negotiations on the revision of </w:t>
            </w:r>
            <w:r w:rsidR="001A05F6">
              <w:rPr>
                <w:rFonts w:ascii="Times New Roman" w:hAnsi="Times New Roman" w:cs="Times New Roman"/>
              </w:rPr>
              <w:t xml:space="preserve">the </w:t>
            </w:r>
            <w:r w:rsidR="005F353A" w:rsidRPr="00705667">
              <w:rPr>
                <w:rFonts w:ascii="Times New Roman" w:hAnsi="Times New Roman" w:cs="Times New Roman"/>
              </w:rPr>
              <w:t>Regulation</w:t>
            </w:r>
            <w:r w:rsidR="001A05F6">
              <w:rPr>
                <w:rFonts w:ascii="Times New Roman" w:hAnsi="Times New Roman" w:cs="Times New Roman"/>
              </w:rPr>
              <w:t>s</w:t>
            </w:r>
            <w:r w:rsidR="005F353A" w:rsidRPr="00705667">
              <w:rPr>
                <w:rFonts w:ascii="Times New Roman" w:hAnsi="Times New Roman" w:cs="Times New Roman"/>
              </w:rPr>
              <w:t xml:space="preserve"> </w:t>
            </w:r>
            <w:r w:rsidRPr="00705667">
              <w:rPr>
                <w:rFonts w:ascii="Times New Roman" w:hAnsi="Times New Roman" w:cs="Times New Roman"/>
              </w:rPr>
              <w:t>on social security coordination</w:t>
            </w:r>
            <w:r w:rsidR="005F353A" w:rsidRPr="00705667">
              <w:rPr>
                <w:rStyle w:val="FootnoteReference"/>
                <w:rFonts w:ascii="Times New Roman" w:hAnsi="Times New Roman" w:cs="Times New Roman"/>
              </w:rPr>
              <w:footnoteReference w:id="9"/>
            </w:r>
            <w:r w:rsidR="005F353A" w:rsidRPr="00705667">
              <w:rPr>
                <w:rFonts w:ascii="Times New Roman" w:hAnsi="Times New Roman" w:cs="Times New Roman"/>
              </w:rPr>
              <w:t xml:space="preserve"> in view of</w:t>
            </w:r>
            <w:r w:rsidRPr="00705667">
              <w:rPr>
                <w:rFonts w:ascii="Times New Roman" w:hAnsi="Times New Roman" w:cs="Times New Roman"/>
              </w:rPr>
              <w:t xml:space="preserve"> simplification of procedures</w:t>
            </w:r>
            <w:r w:rsidR="005F353A" w:rsidRPr="00705667">
              <w:rPr>
                <w:rFonts w:ascii="Times New Roman" w:hAnsi="Times New Roman" w:cs="Times New Roman"/>
              </w:rPr>
              <w:t xml:space="preserve">, </w:t>
            </w:r>
            <w:r w:rsidR="000234B0" w:rsidRPr="00705667">
              <w:rPr>
                <w:rFonts w:ascii="Times New Roman" w:hAnsi="Times New Roman" w:cs="Times New Roman"/>
              </w:rPr>
              <w:t>and announces</w:t>
            </w:r>
            <w:r w:rsidR="005F353A" w:rsidRPr="00705667">
              <w:rPr>
                <w:rFonts w:ascii="Times New Roman" w:hAnsi="Times New Roman" w:cs="Times New Roman"/>
              </w:rPr>
              <w:t xml:space="preserve"> </w:t>
            </w:r>
            <w:r w:rsidRPr="00705667">
              <w:rPr>
                <w:rFonts w:ascii="Times New Roman" w:hAnsi="Times New Roman" w:cs="Times New Roman"/>
              </w:rPr>
              <w:t xml:space="preserve">a </w:t>
            </w:r>
            <w:r w:rsidR="001A05F6">
              <w:rPr>
                <w:rFonts w:ascii="Times New Roman" w:hAnsi="Times New Roman" w:cs="Times New Roman"/>
              </w:rPr>
              <w:t>F</w:t>
            </w:r>
            <w:r w:rsidRPr="00705667">
              <w:rPr>
                <w:rFonts w:ascii="Times New Roman" w:hAnsi="Times New Roman" w:cs="Times New Roman"/>
              </w:rPr>
              <w:t xml:space="preserve">air </w:t>
            </w:r>
            <w:r w:rsidR="001A05F6">
              <w:rPr>
                <w:rFonts w:ascii="Times New Roman" w:hAnsi="Times New Roman" w:cs="Times New Roman"/>
              </w:rPr>
              <w:t>L</w:t>
            </w:r>
            <w:r w:rsidRPr="00705667">
              <w:rPr>
                <w:rFonts w:ascii="Times New Roman" w:hAnsi="Times New Roman" w:cs="Times New Roman"/>
              </w:rPr>
              <w:t xml:space="preserve">abour </w:t>
            </w:r>
            <w:r w:rsidR="001A05F6">
              <w:rPr>
                <w:rFonts w:ascii="Times New Roman" w:hAnsi="Times New Roman" w:cs="Times New Roman"/>
              </w:rPr>
              <w:t>M</w:t>
            </w:r>
            <w:r w:rsidRPr="00705667">
              <w:rPr>
                <w:rFonts w:ascii="Times New Roman" w:hAnsi="Times New Roman" w:cs="Times New Roman"/>
              </w:rPr>
              <w:t xml:space="preserve">obility </w:t>
            </w:r>
            <w:r w:rsidR="001A05F6">
              <w:rPr>
                <w:rFonts w:ascii="Times New Roman" w:hAnsi="Times New Roman" w:cs="Times New Roman"/>
              </w:rPr>
              <w:t>P</w:t>
            </w:r>
            <w:r w:rsidRPr="00705667">
              <w:rPr>
                <w:rFonts w:ascii="Times New Roman" w:hAnsi="Times New Roman" w:cs="Times New Roman"/>
              </w:rPr>
              <w:t xml:space="preserve">ackage, </w:t>
            </w:r>
            <w:r w:rsidR="00943631" w:rsidRPr="00705667">
              <w:rPr>
                <w:rFonts w:ascii="Times New Roman" w:hAnsi="Times New Roman" w:cs="Times New Roman"/>
              </w:rPr>
              <w:t xml:space="preserve">including </w:t>
            </w:r>
            <w:r w:rsidR="00FC1DD0" w:rsidRPr="00705667">
              <w:rPr>
                <w:rFonts w:ascii="Times New Roman" w:hAnsi="Times New Roman" w:cs="Times New Roman"/>
              </w:rPr>
              <w:t xml:space="preserve">a </w:t>
            </w:r>
            <w:r w:rsidR="00F2519B" w:rsidRPr="00705667">
              <w:rPr>
                <w:rFonts w:ascii="Times New Roman" w:hAnsi="Times New Roman" w:cs="Times New Roman"/>
              </w:rPr>
              <w:t>propos</w:t>
            </w:r>
            <w:r w:rsidR="00FC1DD0" w:rsidRPr="00705667">
              <w:rPr>
                <w:rFonts w:ascii="Times New Roman" w:hAnsi="Times New Roman" w:cs="Times New Roman"/>
              </w:rPr>
              <w:t>al for</w:t>
            </w:r>
            <w:r w:rsidRPr="00705667">
              <w:rPr>
                <w:rFonts w:ascii="Times New Roman" w:hAnsi="Times New Roman" w:cs="Times New Roman"/>
              </w:rPr>
              <w:t xml:space="preserve"> a European Social Security Pass (ESSPASS)</w:t>
            </w:r>
            <w:r w:rsidR="002B05CE" w:rsidRPr="00705667">
              <w:rPr>
                <w:rFonts w:ascii="Times New Roman" w:hAnsi="Times New Roman" w:cs="Times New Roman"/>
              </w:rPr>
              <w:t xml:space="preserve"> and</w:t>
            </w:r>
            <w:r w:rsidRPr="00705667">
              <w:rPr>
                <w:rFonts w:ascii="Times New Roman" w:hAnsi="Times New Roman" w:cs="Times New Roman"/>
              </w:rPr>
              <w:t xml:space="preserve"> strengthening </w:t>
            </w:r>
            <w:r w:rsidR="00FC1DD0" w:rsidRPr="00705667">
              <w:rPr>
                <w:rFonts w:ascii="Times New Roman" w:hAnsi="Times New Roman" w:cs="Times New Roman"/>
              </w:rPr>
              <w:t xml:space="preserve">of </w:t>
            </w:r>
            <w:r w:rsidRPr="00705667">
              <w:rPr>
                <w:rFonts w:ascii="Times New Roman" w:hAnsi="Times New Roman" w:cs="Times New Roman"/>
              </w:rPr>
              <w:t>the European Labour Authority (ELA).</w:t>
            </w:r>
          </w:p>
          <w:p w14:paraId="2C6CB5A4" w14:textId="7025D1AE" w:rsidR="006D0059" w:rsidRPr="00705667" w:rsidRDefault="006D0059" w:rsidP="001575E0">
            <w:pPr>
              <w:widowControl w:val="0"/>
              <w:spacing w:before="120" w:after="120" w:line="276" w:lineRule="auto"/>
              <w:ind w:left="136" w:right="119"/>
              <w:jc w:val="both"/>
              <w:rPr>
                <w:rFonts w:ascii="Times New Roman" w:hAnsi="Times New Roman" w:cs="Times New Roman"/>
              </w:rPr>
            </w:pPr>
            <w:r w:rsidRPr="00705667">
              <w:rPr>
                <w:rFonts w:ascii="Times New Roman" w:hAnsi="Times New Roman" w:cs="Times New Roman"/>
              </w:rPr>
              <w:t xml:space="preserve">The Commission agrees with the EESC on the importance of realising the full potential </w:t>
            </w:r>
            <w:r w:rsidR="007677F3" w:rsidRPr="00705667">
              <w:rPr>
                <w:rFonts w:ascii="Times New Roman" w:hAnsi="Times New Roman" w:cs="Times New Roman"/>
              </w:rPr>
              <w:t>of unified</w:t>
            </w:r>
            <w:r w:rsidRPr="00705667">
              <w:rPr>
                <w:rFonts w:ascii="Times New Roman" w:hAnsi="Times New Roman" w:cs="Times New Roman"/>
              </w:rPr>
              <w:t xml:space="preserve"> energy and telecommunications market</w:t>
            </w:r>
            <w:r w:rsidR="006E71EE" w:rsidRPr="00705667">
              <w:rPr>
                <w:rFonts w:ascii="Times New Roman" w:hAnsi="Times New Roman" w:cs="Times New Roman"/>
              </w:rPr>
              <w:t>s</w:t>
            </w:r>
            <w:r w:rsidRPr="00705667">
              <w:rPr>
                <w:rFonts w:ascii="Times New Roman" w:hAnsi="Times New Roman" w:cs="Times New Roman"/>
              </w:rPr>
              <w:t>. As part of the Clean Industrial Deal</w:t>
            </w:r>
            <w:r w:rsidRPr="00705667">
              <w:rPr>
                <w:rStyle w:val="FootnoteReference"/>
                <w:rFonts w:ascii="Times New Roman" w:hAnsi="Times New Roman" w:cs="Times New Roman"/>
              </w:rPr>
              <w:footnoteReference w:id="10"/>
            </w:r>
            <w:r w:rsidRPr="00705667">
              <w:rPr>
                <w:rFonts w:ascii="Times New Roman" w:hAnsi="Times New Roman" w:cs="Times New Roman"/>
              </w:rPr>
              <w:t xml:space="preserve">, which is the Commission’s roadmap for competitiveness and decarbonisation, the Commission adopted the Affordable Energy </w:t>
            </w:r>
            <w:r w:rsidRPr="00705667">
              <w:rPr>
                <w:rFonts w:ascii="Times New Roman" w:hAnsi="Times New Roman" w:cs="Times New Roman"/>
              </w:rPr>
              <w:lastRenderedPageBreak/>
              <w:t>Action Plan</w:t>
            </w:r>
            <w:r w:rsidRPr="00705667">
              <w:rPr>
                <w:rStyle w:val="FootnoteReference"/>
                <w:rFonts w:ascii="Times New Roman" w:hAnsi="Times New Roman" w:cs="Times New Roman"/>
              </w:rPr>
              <w:footnoteReference w:id="11"/>
            </w:r>
            <w:r w:rsidRPr="00705667">
              <w:rPr>
                <w:rFonts w:ascii="Times New Roman" w:hAnsi="Times New Roman" w:cs="Times New Roman"/>
              </w:rPr>
              <w:t xml:space="preserve"> that aims</w:t>
            </w:r>
            <w:r w:rsidR="00A1368C">
              <w:rPr>
                <w:rFonts w:ascii="Times New Roman" w:hAnsi="Times New Roman" w:cs="Times New Roman"/>
              </w:rPr>
              <w:t>, among other things,</w:t>
            </w:r>
            <w:r w:rsidRPr="00705667">
              <w:rPr>
                <w:rFonts w:ascii="Times New Roman" w:hAnsi="Times New Roman" w:cs="Times New Roman"/>
              </w:rPr>
              <w:t xml:space="preserve"> to complete the internal energy market with physical interconnections.</w:t>
            </w:r>
            <w:r w:rsidR="006E71EE" w:rsidRPr="00705667">
              <w:rPr>
                <w:rFonts w:ascii="Times New Roman" w:hAnsi="Times New Roman" w:cs="Times New Roman"/>
              </w:rPr>
              <w:t xml:space="preserve"> </w:t>
            </w:r>
            <w:r w:rsidR="00BA4928" w:rsidRPr="00705667">
              <w:rPr>
                <w:rFonts w:ascii="Times New Roman" w:hAnsi="Times New Roman" w:cs="Times New Roman"/>
              </w:rPr>
              <w:t>For telecommunications, t</w:t>
            </w:r>
            <w:r w:rsidR="006E71EE" w:rsidRPr="00705667">
              <w:rPr>
                <w:rFonts w:ascii="Times New Roman" w:hAnsi="Times New Roman" w:cs="Times New Roman"/>
              </w:rPr>
              <w:t xml:space="preserve">he Commission’s planned Digital Networks Act aims to foster a more integrated </w:t>
            </w:r>
            <w:r w:rsidR="006426AB">
              <w:rPr>
                <w:rFonts w:ascii="Times New Roman" w:hAnsi="Times New Roman" w:cs="Times New Roman"/>
              </w:rPr>
              <w:t>S</w:t>
            </w:r>
            <w:r w:rsidR="006E71EE" w:rsidRPr="00705667">
              <w:rPr>
                <w:rFonts w:ascii="Times New Roman" w:hAnsi="Times New Roman" w:cs="Times New Roman"/>
              </w:rPr>
              <w:t xml:space="preserve">ingle </w:t>
            </w:r>
            <w:r w:rsidR="006426AB">
              <w:rPr>
                <w:rFonts w:ascii="Times New Roman" w:hAnsi="Times New Roman" w:cs="Times New Roman"/>
              </w:rPr>
              <w:t>M</w:t>
            </w:r>
            <w:r w:rsidR="006E71EE" w:rsidRPr="00705667">
              <w:rPr>
                <w:rFonts w:ascii="Times New Roman" w:hAnsi="Times New Roman" w:cs="Times New Roman"/>
              </w:rPr>
              <w:t xml:space="preserve">arket in electronic communications </w:t>
            </w:r>
            <w:proofErr w:type="gramStart"/>
            <w:r w:rsidR="006E71EE" w:rsidRPr="00705667">
              <w:rPr>
                <w:rFonts w:ascii="Times New Roman" w:hAnsi="Times New Roman" w:cs="Times New Roman"/>
              </w:rPr>
              <w:t>in order to</w:t>
            </w:r>
            <w:proofErr w:type="gramEnd"/>
            <w:r w:rsidR="006E71EE" w:rsidRPr="00705667">
              <w:rPr>
                <w:rFonts w:ascii="Times New Roman" w:hAnsi="Times New Roman" w:cs="Times New Roman"/>
              </w:rPr>
              <w:t xml:space="preserve"> boost investment and innovation in secure high-speed connectivity and advanced digital infrastructures.</w:t>
            </w:r>
          </w:p>
          <w:p w14:paraId="625264F8" w14:textId="5947E7BA" w:rsidR="009654C4" w:rsidRPr="00CD2737" w:rsidRDefault="009654C4" w:rsidP="001575E0">
            <w:pPr>
              <w:widowControl w:val="0"/>
              <w:spacing w:before="120" w:after="120" w:line="276" w:lineRule="auto"/>
              <w:ind w:left="136" w:right="119"/>
              <w:jc w:val="both"/>
              <w:rPr>
                <w:rFonts w:ascii="Times New Roman" w:hAnsi="Times New Roman" w:cs="Times New Roman"/>
              </w:rPr>
            </w:pPr>
            <w:r w:rsidRPr="00705667">
              <w:rPr>
                <w:rFonts w:ascii="Times New Roman" w:hAnsi="Times New Roman" w:cs="Times New Roman"/>
              </w:rPr>
              <w:t xml:space="preserve">To </w:t>
            </w:r>
            <w:r w:rsidR="00CA0B6D" w:rsidRPr="00705667">
              <w:rPr>
                <w:rFonts w:ascii="Times New Roman" w:hAnsi="Times New Roman" w:cs="Times New Roman"/>
              </w:rPr>
              <w:t xml:space="preserve">determine </w:t>
            </w:r>
            <w:r w:rsidRPr="00705667">
              <w:rPr>
                <w:rFonts w:ascii="Times New Roman" w:hAnsi="Times New Roman" w:cs="Times New Roman"/>
              </w:rPr>
              <w:t>the key housing priorities at the EU level, the Commission is carrying out a major outreach</w:t>
            </w:r>
            <w:r w:rsidR="003169C1" w:rsidRPr="00705667">
              <w:rPr>
                <w:rFonts w:ascii="Times New Roman" w:hAnsi="Times New Roman" w:cs="Times New Roman"/>
              </w:rPr>
              <w:t xml:space="preserve"> exercise</w:t>
            </w:r>
            <w:r w:rsidRPr="00705667">
              <w:rPr>
                <w:rFonts w:ascii="Times New Roman" w:hAnsi="Times New Roman" w:cs="Times New Roman"/>
              </w:rPr>
              <w:t xml:space="preserve"> </w:t>
            </w:r>
            <w:r w:rsidR="003246CC" w:rsidRPr="00705667">
              <w:rPr>
                <w:rFonts w:ascii="Times New Roman" w:hAnsi="Times New Roman" w:cs="Times New Roman"/>
              </w:rPr>
              <w:t xml:space="preserve">throughout 2025, including </w:t>
            </w:r>
            <w:r w:rsidR="003169C1" w:rsidRPr="00705667">
              <w:rPr>
                <w:rFonts w:ascii="Times New Roman" w:hAnsi="Times New Roman" w:cs="Times New Roman"/>
              </w:rPr>
              <w:t xml:space="preserve">a series of </w:t>
            </w:r>
            <w:r w:rsidRPr="00705667">
              <w:rPr>
                <w:rFonts w:ascii="Times New Roman" w:hAnsi="Times New Roman" w:cs="Times New Roman"/>
              </w:rPr>
              <w:t>dialogue</w:t>
            </w:r>
            <w:r w:rsidR="003169C1" w:rsidRPr="00705667">
              <w:rPr>
                <w:rFonts w:ascii="Times New Roman" w:hAnsi="Times New Roman" w:cs="Times New Roman"/>
              </w:rPr>
              <w:t>s</w:t>
            </w:r>
            <w:r w:rsidR="00705667">
              <w:rPr>
                <w:rFonts w:ascii="Times New Roman" w:hAnsi="Times New Roman" w:cs="Times New Roman"/>
              </w:rPr>
              <w:t xml:space="preserve"> </w:t>
            </w:r>
            <w:r w:rsidRPr="00705667">
              <w:rPr>
                <w:rFonts w:ascii="Times New Roman" w:hAnsi="Times New Roman" w:cs="Times New Roman"/>
              </w:rPr>
              <w:t xml:space="preserve">with </w:t>
            </w:r>
            <w:r w:rsidR="003246CC" w:rsidRPr="00705667">
              <w:rPr>
                <w:rFonts w:ascii="Times New Roman" w:hAnsi="Times New Roman" w:cs="Times New Roman"/>
              </w:rPr>
              <w:t xml:space="preserve">the Member States, </w:t>
            </w:r>
            <w:r w:rsidRPr="00705667">
              <w:rPr>
                <w:rFonts w:ascii="Times New Roman" w:hAnsi="Times New Roman" w:cs="Times New Roman"/>
              </w:rPr>
              <w:t xml:space="preserve">the European Parliament, the </w:t>
            </w:r>
            <w:r w:rsidR="003169C1" w:rsidRPr="00705667">
              <w:rPr>
                <w:rFonts w:ascii="Times New Roman" w:hAnsi="Times New Roman" w:cs="Times New Roman"/>
              </w:rPr>
              <w:t xml:space="preserve">European Economic and Social Committee, the </w:t>
            </w:r>
            <w:r w:rsidR="00E85158">
              <w:rPr>
                <w:rFonts w:ascii="Times New Roman" w:hAnsi="Times New Roman" w:cs="Times New Roman"/>
              </w:rPr>
              <w:t xml:space="preserve">European </w:t>
            </w:r>
            <w:r w:rsidR="003169C1" w:rsidRPr="00705667">
              <w:rPr>
                <w:rFonts w:ascii="Times New Roman" w:hAnsi="Times New Roman" w:cs="Times New Roman"/>
              </w:rPr>
              <w:t>Committee of the Regions</w:t>
            </w:r>
            <w:r w:rsidRPr="00705667">
              <w:rPr>
                <w:rFonts w:ascii="Times New Roman" w:hAnsi="Times New Roman" w:cs="Times New Roman"/>
              </w:rPr>
              <w:t xml:space="preserve"> and all relevant stakeholders</w:t>
            </w:r>
            <w:r w:rsidR="003246CC" w:rsidRPr="00705667">
              <w:rPr>
                <w:rStyle w:val="FootnoteReference"/>
                <w:rFonts w:ascii="Times New Roman" w:hAnsi="Times New Roman" w:cs="Times New Roman"/>
              </w:rPr>
              <w:footnoteReference w:id="12"/>
            </w:r>
            <w:r w:rsidRPr="00705667">
              <w:rPr>
                <w:rFonts w:ascii="Times New Roman" w:hAnsi="Times New Roman" w:cs="Times New Roman"/>
              </w:rPr>
              <w:t xml:space="preserve">. This will feed into the </w:t>
            </w:r>
            <w:r w:rsidR="003246CC" w:rsidRPr="00705667">
              <w:rPr>
                <w:rFonts w:ascii="Times New Roman" w:hAnsi="Times New Roman" w:cs="Times New Roman"/>
              </w:rPr>
              <w:t xml:space="preserve">future </w:t>
            </w:r>
            <w:r w:rsidRPr="00705667">
              <w:rPr>
                <w:rFonts w:ascii="Times New Roman" w:hAnsi="Times New Roman" w:cs="Times New Roman"/>
              </w:rPr>
              <w:t xml:space="preserve">European Affordable Housing Plan, which will analyse the </w:t>
            </w:r>
            <w:r w:rsidR="003246CC" w:rsidRPr="00705667">
              <w:rPr>
                <w:rFonts w:ascii="Times New Roman" w:hAnsi="Times New Roman" w:cs="Times New Roman"/>
              </w:rPr>
              <w:t xml:space="preserve">causes </w:t>
            </w:r>
            <w:r w:rsidRPr="00705667">
              <w:rPr>
                <w:rFonts w:ascii="Times New Roman" w:hAnsi="Times New Roman" w:cs="Times New Roman"/>
              </w:rPr>
              <w:t xml:space="preserve">of the housing crisis, assess the effectiveness of various policy measures, and set out how to add European value across Member States. The Commission will also put forward a European Strategy for Housing Construction, focusing on how to increase the productivity of the construction sector by exploring all issues relevant in the housing supply </w:t>
            </w:r>
            <w:r w:rsidR="003169C1" w:rsidRPr="00705667">
              <w:rPr>
                <w:rFonts w:ascii="Times New Roman" w:hAnsi="Times New Roman" w:cs="Times New Roman"/>
              </w:rPr>
              <w:t>crisis</w:t>
            </w:r>
            <w:r w:rsidRPr="00705667">
              <w:rPr>
                <w:rFonts w:ascii="Times New Roman" w:hAnsi="Times New Roman" w:cs="Times New Roman"/>
              </w:rPr>
              <w:t>. Th</w:t>
            </w:r>
            <w:r w:rsidR="003246CC" w:rsidRPr="00705667">
              <w:rPr>
                <w:rFonts w:ascii="Times New Roman" w:hAnsi="Times New Roman" w:cs="Times New Roman"/>
              </w:rPr>
              <w:t>e</w:t>
            </w:r>
            <w:r w:rsidRPr="00705667">
              <w:rPr>
                <w:rFonts w:ascii="Times New Roman" w:hAnsi="Times New Roman" w:cs="Times New Roman"/>
              </w:rPr>
              <w:t xml:space="preserve"> strategy will build on the new Construction Products </w:t>
            </w:r>
            <w:r w:rsidRPr="00CD2737">
              <w:rPr>
                <w:rFonts w:ascii="Times New Roman" w:hAnsi="Times New Roman" w:cs="Times New Roman"/>
              </w:rPr>
              <w:t>Regulation</w:t>
            </w:r>
            <w:r w:rsidR="00C31196" w:rsidRPr="00CD2737">
              <w:rPr>
                <w:rStyle w:val="FootnoteReference"/>
                <w:rFonts w:ascii="Times New Roman" w:hAnsi="Times New Roman" w:cs="Times New Roman"/>
              </w:rPr>
              <w:footnoteReference w:id="13"/>
            </w:r>
            <w:r w:rsidRPr="00CD2737">
              <w:rPr>
                <w:rFonts w:ascii="Times New Roman" w:hAnsi="Times New Roman" w:cs="Times New Roman"/>
              </w:rPr>
              <w:t xml:space="preserve"> and goes hand in hand with </w:t>
            </w:r>
            <w:r w:rsidR="00C31196" w:rsidRPr="00CD2737">
              <w:rPr>
                <w:rFonts w:ascii="Times New Roman" w:hAnsi="Times New Roman" w:cs="Times New Roman"/>
              </w:rPr>
              <w:t xml:space="preserve">EU policies and initiatives on energy performance of </w:t>
            </w:r>
            <w:r w:rsidRPr="00CD2737">
              <w:rPr>
                <w:rFonts w:ascii="Times New Roman" w:hAnsi="Times New Roman" w:cs="Times New Roman"/>
              </w:rPr>
              <w:t xml:space="preserve">buildings. </w:t>
            </w:r>
            <w:r w:rsidR="00933A02" w:rsidRPr="00CD2737">
              <w:rPr>
                <w:rFonts w:ascii="Times New Roman" w:hAnsi="Times New Roman" w:cs="Times New Roman"/>
              </w:rPr>
              <w:t>The Commission is also reviewing the State aid rules for housing to facilitate the public funding of affordable housing projects.</w:t>
            </w:r>
          </w:p>
          <w:p w14:paraId="100BBC55" w14:textId="610456A0" w:rsidR="0072162A" w:rsidRPr="005136CF" w:rsidRDefault="00BA4928" w:rsidP="001575E0">
            <w:pPr>
              <w:widowControl w:val="0"/>
              <w:spacing w:before="120" w:after="120" w:line="276" w:lineRule="auto"/>
              <w:ind w:left="136" w:right="119"/>
              <w:jc w:val="both"/>
              <w:rPr>
                <w:rFonts w:ascii="Times New Roman" w:hAnsi="Times New Roman"/>
                <w:b/>
              </w:rPr>
            </w:pPr>
            <w:r w:rsidRPr="00CD2737">
              <w:rPr>
                <w:rFonts w:ascii="Times New Roman" w:hAnsi="Times New Roman" w:cs="Times New Roman"/>
              </w:rPr>
              <w:t>The Commission recognises the importance of ensuring the free movement of medicines in the Single Market while guaranteeing their affordability. The Commission’s proposal for a Critical Medicines Act</w:t>
            </w:r>
            <w:r w:rsidR="008361EB" w:rsidRPr="00CD2737">
              <w:rPr>
                <w:rStyle w:val="FootnoteReference"/>
                <w:rFonts w:ascii="Times New Roman" w:hAnsi="Times New Roman" w:cs="Times New Roman"/>
              </w:rPr>
              <w:footnoteReference w:id="14"/>
            </w:r>
            <w:r w:rsidRPr="00CD2737">
              <w:rPr>
                <w:rFonts w:ascii="Times New Roman" w:hAnsi="Times New Roman" w:cs="Times New Roman"/>
              </w:rPr>
              <w:t xml:space="preserve"> complements the proposed reform of the general </w:t>
            </w:r>
            <w:r w:rsidR="001236A2" w:rsidRPr="00CD2737">
              <w:rPr>
                <w:rFonts w:ascii="Times New Roman" w:hAnsi="Times New Roman" w:cs="Times New Roman"/>
              </w:rPr>
              <w:t>pharmaceutical legislation</w:t>
            </w:r>
            <w:r w:rsidR="001236A2" w:rsidRPr="00705667">
              <w:rPr>
                <w:rFonts w:ascii="Times New Roman" w:hAnsi="Times New Roman" w:cs="Times New Roman"/>
              </w:rPr>
              <w:t xml:space="preserve"> with industrial policy measures aiming </w:t>
            </w:r>
            <w:r w:rsidR="00582724" w:rsidRPr="00705667">
              <w:rPr>
                <w:rFonts w:ascii="Times New Roman" w:hAnsi="Times New Roman" w:cs="Times New Roman"/>
              </w:rPr>
              <w:t xml:space="preserve">at </w:t>
            </w:r>
            <w:r w:rsidR="001236A2" w:rsidRPr="00705667">
              <w:rPr>
                <w:rFonts w:ascii="Times New Roman" w:hAnsi="Times New Roman" w:cs="Times New Roman"/>
              </w:rPr>
              <w:t>strengthen</w:t>
            </w:r>
            <w:r w:rsidR="00582724" w:rsidRPr="00705667">
              <w:rPr>
                <w:rFonts w:ascii="Times New Roman" w:hAnsi="Times New Roman" w:cs="Times New Roman"/>
              </w:rPr>
              <w:t>ing</w:t>
            </w:r>
            <w:r w:rsidR="001236A2" w:rsidRPr="00705667">
              <w:rPr>
                <w:rFonts w:ascii="Times New Roman" w:hAnsi="Times New Roman" w:cs="Times New Roman"/>
              </w:rPr>
              <w:t xml:space="preserve"> the security of </w:t>
            </w:r>
            <w:r w:rsidR="00A42875" w:rsidRPr="00705667">
              <w:rPr>
                <w:rFonts w:ascii="Times New Roman" w:hAnsi="Times New Roman" w:cs="Times New Roman"/>
              </w:rPr>
              <w:t xml:space="preserve">supply of </w:t>
            </w:r>
            <w:r w:rsidR="001236A2" w:rsidRPr="00705667">
              <w:rPr>
                <w:rFonts w:ascii="Times New Roman" w:hAnsi="Times New Roman" w:cs="Times New Roman"/>
              </w:rPr>
              <w:t>critical medicines</w:t>
            </w:r>
            <w:r w:rsidR="002F66E4" w:rsidRPr="00705667">
              <w:rPr>
                <w:rFonts w:ascii="Times New Roman" w:hAnsi="Times New Roman" w:cs="Times New Roman"/>
              </w:rPr>
              <w:t>,</w:t>
            </w:r>
            <w:r w:rsidR="001236A2" w:rsidRPr="00705667">
              <w:rPr>
                <w:rFonts w:ascii="Times New Roman" w:hAnsi="Times New Roman" w:cs="Times New Roman"/>
              </w:rPr>
              <w:t xml:space="preserve"> as well as the </w:t>
            </w:r>
            <w:r w:rsidR="00582724" w:rsidRPr="00705667">
              <w:rPr>
                <w:rFonts w:ascii="Times New Roman" w:hAnsi="Times New Roman" w:cs="Times New Roman"/>
              </w:rPr>
              <w:t xml:space="preserve">accessibility, </w:t>
            </w:r>
            <w:r w:rsidR="001236A2" w:rsidRPr="00705667">
              <w:rPr>
                <w:rFonts w:ascii="Times New Roman" w:hAnsi="Times New Roman" w:cs="Times New Roman"/>
              </w:rPr>
              <w:t>availability</w:t>
            </w:r>
            <w:r w:rsidR="00E12C16" w:rsidRPr="00705667">
              <w:rPr>
                <w:rFonts w:ascii="Times New Roman" w:hAnsi="Times New Roman" w:cs="Times New Roman"/>
              </w:rPr>
              <w:t>,</w:t>
            </w:r>
            <w:r w:rsidR="001236A2" w:rsidRPr="00705667">
              <w:rPr>
                <w:rFonts w:ascii="Times New Roman" w:hAnsi="Times New Roman" w:cs="Times New Roman"/>
              </w:rPr>
              <w:t xml:space="preserve"> </w:t>
            </w:r>
            <w:r w:rsidR="00582724" w:rsidRPr="00705667">
              <w:rPr>
                <w:rFonts w:ascii="Times New Roman" w:hAnsi="Times New Roman" w:cs="Times New Roman"/>
              </w:rPr>
              <w:t xml:space="preserve">and affordability </w:t>
            </w:r>
            <w:r w:rsidR="001236A2" w:rsidRPr="00705667">
              <w:rPr>
                <w:rFonts w:ascii="Times New Roman" w:hAnsi="Times New Roman" w:cs="Times New Roman"/>
              </w:rPr>
              <w:t>of other medicines of common interest</w:t>
            </w:r>
            <w:r w:rsidR="00F64852" w:rsidRPr="00705667">
              <w:rPr>
                <w:rFonts w:ascii="Times New Roman" w:hAnsi="Times New Roman" w:cs="Times New Roman"/>
              </w:rPr>
              <w:t>.</w:t>
            </w:r>
          </w:p>
        </w:tc>
      </w:tr>
    </w:tbl>
    <w:p w14:paraId="165074C1" w14:textId="77777777" w:rsidR="00187095" w:rsidRPr="001575E0" w:rsidRDefault="00187095" w:rsidP="001575E0">
      <w:pPr>
        <w:widowControl w:val="0"/>
        <w:spacing w:after="0" w:line="240" w:lineRule="auto"/>
        <w:ind w:left="-567"/>
        <w:rPr>
          <w:rFonts w:ascii="Times New Roman" w:hAnsi="Times New Roman" w:cs="Times New Roman"/>
          <w:i/>
          <w:iCs/>
          <w:sz w:val="16"/>
          <w:szCs w:val="16"/>
        </w:rPr>
      </w:pPr>
    </w:p>
    <w:sectPr w:rsidR="00187095" w:rsidRPr="001575E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16B1D" w14:textId="77777777" w:rsidR="00E26F8D" w:rsidRDefault="00E26F8D" w:rsidP="0076236B">
      <w:pPr>
        <w:spacing w:after="0" w:line="240" w:lineRule="auto"/>
      </w:pPr>
      <w:r>
        <w:separator/>
      </w:r>
    </w:p>
  </w:endnote>
  <w:endnote w:type="continuationSeparator" w:id="0">
    <w:p w14:paraId="0CFC256E" w14:textId="77777777" w:rsidR="00E26F8D" w:rsidRDefault="00E26F8D" w:rsidP="0076236B">
      <w:pPr>
        <w:spacing w:after="0" w:line="240" w:lineRule="auto"/>
      </w:pPr>
      <w:r>
        <w:continuationSeparator/>
      </w:r>
    </w:p>
  </w:endnote>
  <w:endnote w:type="continuationNotice" w:id="1">
    <w:p w14:paraId="3F322C64" w14:textId="77777777" w:rsidR="00E26F8D" w:rsidRDefault="00E26F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87B9" w14:textId="77777777" w:rsidR="00A77B75" w:rsidRDefault="00A77B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0589359"/>
      <w:docPartObj>
        <w:docPartGallery w:val="Page Numbers (Bottom of Page)"/>
        <w:docPartUnique/>
      </w:docPartObj>
    </w:sdtPr>
    <w:sdtEndPr>
      <w:rPr>
        <w:noProof/>
      </w:rPr>
    </w:sdtEndPr>
    <w:sdtContent>
      <w:p w14:paraId="53CCB18B" w14:textId="4AD79552" w:rsidR="003246CC" w:rsidRDefault="003246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1026660" w14:textId="77777777" w:rsidR="00A77B75" w:rsidRDefault="00A77B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0343" w14:textId="77777777" w:rsidR="00A77B75" w:rsidRDefault="00A77B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ACAC7" w14:textId="77777777" w:rsidR="00E26F8D" w:rsidRDefault="00E26F8D" w:rsidP="0076236B">
      <w:pPr>
        <w:spacing w:after="0" w:line="240" w:lineRule="auto"/>
      </w:pPr>
      <w:r>
        <w:separator/>
      </w:r>
    </w:p>
  </w:footnote>
  <w:footnote w:type="continuationSeparator" w:id="0">
    <w:p w14:paraId="0E1C7B5F" w14:textId="77777777" w:rsidR="00E26F8D" w:rsidRDefault="00E26F8D" w:rsidP="0076236B">
      <w:pPr>
        <w:spacing w:after="0" w:line="240" w:lineRule="auto"/>
      </w:pPr>
      <w:r>
        <w:continuationSeparator/>
      </w:r>
    </w:p>
  </w:footnote>
  <w:footnote w:type="continuationNotice" w:id="1">
    <w:p w14:paraId="54535990" w14:textId="77777777" w:rsidR="00E26F8D" w:rsidRDefault="00E26F8D">
      <w:pPr>
        <w:spacing w:after="0" w:line="240" w:lineRule="auto"/>
      </w:pPr>
    </w:p>
  </w:footnote>
  <w:footnote w:id="2">
    <w:p w14:paraId="113F33DB" w14:textId="0D2C42F4" w:rsidR="006D0059" w:rsidRPr="00A560BA" w:rsidRDefault="006D0059" w:rsidP="002E4626">
      <w:pPr>
        <w:pStyle w:val="FootnoteText"/>
        <w:widowControl w:val="0"/>
        <w:ind w:left="-142" w:right="-613" w:hanging="284"/>
        <w:jc w:val="both"/>
        <w:rPr>
          <w:rFonts w:ascii="Times New Roman" w:hAnsi="Times New Roman" w:cs="Times New Roman"/>
        </w:rPr>
      </w:pPr>
      <w:r w:rsidRPr="00A560BA">
        <w:rPr>
          <w:rStyle w:val="FootnoteReference"/>
          <w:rFonts w:ascii="Times New Roman" w:hAnsi="Times New Roman" w:cs="Times New Roman"/>
        </w:rPr>
        <w:footnoteRef/>
      </w:r>
      <w:r w:rsidRPr="00A560BA">
        <w:rPr>
          <w:rFonts w:ascii="Times New Roman" w:hAnsi="Times New Roman" w:cs="Times New Roman"/>
        </w:rPr>
        <w:t xml:space="preserve"> </w:t>
      </w:r>
      <w:r w:rsidR="00A560BA" w:rsidRPr="00A560BA">
        <w:rPr>
          <w:rFonts w:ascii="Times New Roman" w:hAnsi="Times New Roman" w:cs="Times New Roman"/>
        </w:rPr>
        <w:tab/>
      </w:r>
      <w:r w:rsidRPr="00A560BA">
        <w:rPr>
          <w:rFonts w:ascii="Times New Roman" w:hAnsi="Times New Roman" w:cs="Times New Roman"/>
        </w:rPr>
        <w:t>The Single Market: our European home market in an uncertain world. A Strategy for making the Single Market simple, seamless and strong</w:t>
      </w:r>
      <w:r w:rsidR="00A560BA">
        <w:rPr>
          <w:rFonts w:ascii="Times New Roman" w:hAnsi="Times New Roman" w:cs="Times New Roman"/>
        </w:rPr>
        <w:t>;</w:t>
      </w:r>
      <w:r w:rsidRPr="00A560BA">
        <w:rPr>
          <w:rFonts w:ascii="Times New Roman" w:hAnsi="Times New Roman" w:cs="Times New Roman"/>
        </w:rPr>
        <w:t xml:space="preserve"> COM(2025) 500</w:t>
      </w:r>
      <w:r w:rsidR="00A560BA">
        <w:rPr>
          <w:rFonts w:ascii="Times New Roman" w:hAnsi="Times New Roman" w:cs="Times New Roman"/>
        </w:rPr>
        <w:t xml:space="preserve"> final (</w:t>
      </w:r>
      <w:hyperlink r:id="rId1" w:history="1">
        <w:r w:rsidR="00A560BA" w:rsidRPr="008265C5">
          <w:rPr>
            <w:rStyle w:val="Hyperlink"/>
            <w:rFonts w:ascii="Times New Roman" w:hAnsi="Times New Roman" w:cs="Times New Roman"/>
          </w:rPr>
          <w:t>EUR-Lex - 52025DC0500 - EN - EUR-Lex</w:t>
        </w:r>
      </w:hyperlink>
      <w:r w:rsidR="00A560BA">
        <w:rPr>
          <w:rFonts w:ascii="Times New Roman" w:hAnsi="Times New Roman" w:cs="Times New Roman"/>
        </w:rPr>
        <w:t>)</w:t>
      </w:r>
      <w:r w:rsidRPr="00A560BA">
        <w:rPr>
          <w:rFonts w:ascii="Times New Roman" w:hAnsi="Times New Roman" w:cs="Times New Roman"/>
        </w:rPr>
        <w:t>.</w:t>
      </w:r>
    </w:p>
  </w:footnote>
  <w:footnote w:id="3">
    <w:p w14:paraId="40B51434" w14:textId="76113C04" w:rsidR="006D0059" w:rsidRPr="00A560BA" w:rsidRDefault="006D0059" w:rsidP="002E4626">
      <w:pPr>
        <w:pStyle w:val="FootnoteText"/>
        <w:widowControl w:val="0"/>
        <w:ind w:left="-142" w:right="-613" w:hanging="284"/>
        <w:jc w:val="both"/>
        <w:rPr>
          <w:rFonts w:ascii="Times New Roman" w:hAnsi="Times New Roman" w:cs="Times New Roman"/>
          <w:sz w:val="18"/>
          <w:szCs w:val="18"/>
        </w:rPr>
      </w:pPr>
      <w:r w:rsidRPr="00A560BA">
        <w:rPr>
          <w:rStyle w:val="FootnoteReference"/>
          <w:rFonts w:ascii="Times New Roman" w:hAnsi="Times New Roman" w:cs="Times New Roman"/>
        </w:rPr>
        <w:footnoteRef/>
      </w:r>
      <w:r w:rsidRPr="00A560BA">
        <w:rPr>
          <w:rFonts w:ascii="Times New Roman" w:hAnsi="Times New Roman" w:cs="Times New Roman"/>
        </w:rPr>
        <w:t xml:space="preserve"> </w:t>
      </w:r>
      <w:r w:rsidR="00A560BA" w:rsidRPr="00A560BA">
        <w:rPr>
          <w:rFonts w:ascii="Times New Roman" w:hAnsi="Times New Roman" w:cs="Times New Roman"/>
        </w:rPr>
        <w:tab/>
      </w:r>
      <w:r w:rsidRPr="00A560BA">
        <w:rPr>
          <w:rFonts w:ascii="Times New Roman" w:hAnsi="Times New Roman" w:cs="Times New Roman"/>
        </w:rPr>
        <w:t>These include overly complex EU rules, lack of Single Market ownership by Member States, complicated business establishment and operations, recognition of professional qualifications, long delays in standard-setting, fragmented rules on packaging, labelling and waste, outdated harmonised product rules and lack of product compliance, restrictive and diverging national services regulation, burdensome procedures for temporary posting of workers, and territorial supply constraints.</w:t>
      </w:r>
    </w:p>
  </w:footnote>
  <w:footnote w:id="4">
    <w:p w14:paraId="0B12570F" w14:textId="0E385A32" w:rsidR="007B305E" w:rsidRPr="00A560BA" w:rsidRDefault="007B305E" w:rsidP="002E4626">
      <w:pPr>
        <w:pStyle w:val="FootnoteText"/>
        <w:widowControl w:val="0"/>
        <w:ind w:left="-142" w:right="-613" w:hanging="284"/>
        <w:jc w:val="both"/>
        <w:rPr>
          <w:rFonts w:ascii="Times New Roman" w:hAnsi="Times New Roman" w:cs="Times New Roman"/>
        </w:rPr>
      </w:pPr>
      <w:r w:rsidRPr="00A560BA">
        <w:rPr>
          <w:rStyle w:val="FootnoteReference"/>
          <w:rFonts w:ascii="Times New Roman" w:hAnsi="Times New Roman" w:cs="Times New Roman"/>
        </w:rPr>
        <w:footnoteRef/>
      </w:r>
      <w:r w:rsidRPr="00A560BA">
        <w:rPr>
          <w:rFonts w:ascii="Times New Roman" w:hAnsi="Times New Roman" w:cs="Times New Roman"/>
        </w:rPr>
        <w:t xml:space="preserve"> </w:t>
      </w:r>
      <w:r w:rsidR="00A560BA" w:rsidRPr="00A560BA">
        <w:rPr>
          <w:rFonts w:ascii="Times New Roman" w:hAnsi="Times New Roman" w:cs="Times New Roman"/>
        </w:rPr>
        <w:tab/>
      </w:r>
      <w:r w:rsidRPr="00A560BA">
        <w:rPr>
          <w:rFonts w:ascii="Times New Roman" w:hAnsi="Times New Roman" w:cs="Times New Roman"/>
        </w:rPr>
        <w:t xml:space="preserve">Latest edition: </w:t>
      </w:r>
      <w:hyperlink r:id="rId2" w:history="1">
        <w:r w:rsidRPr="00A560BA">
          <w:rPr>
            <w:rStyle w:val="Hyperlink"/>
            <w:rFonts w:ascii="Times New Roman" w:hAnsi="Times New Roman" w:cs="Times New Roman"/>
          </w:rPr>
          <w:t>The 2025 Annual Single Market and Competitiveness Report</w:t>
        </w:r>
      </w:hyperlink>
      <w:r w:rsidR="00317BF6" w:rsidRPr="00A560BA">
        <w:rPr>
          <w:rFonts w:ascii="Times New Roman" w:hAnsi="Times New Roman" w:cs="Times New Roman"/>
        </w:rPr>
        <w:t xml:space="preserve"> and Annexes</w:t>
      </w:r>
      <w:r w:rsidR="009F3464">
        <w:rPr>
          <w:rFonts w:ascii="Times New Roman" w:hAnsi="Times New Roman" w:cs="Times New Roman"/>
        </w:rPr>
        <w:t>;</w:t>
      </w:r>
      <w:r w:rsidR="00317BF6" w:rsidRPr="00A560BA">
        <w:rPr>
          <w:rFonts w:ascii="Times New Roman" w:hAnsi="Times New Roman" w:cs="Times New Roman"/>
        </w:rPr>
        <w:t xml:space="preserve"> COM(2025) 26</w:t>
      </w:r>
      <w:r w:rsidR="00A560BA">
        <w:rPr>
          <w:rFonts w:ascii="Times New Roman" w:hAnsi="Times New Roman" w:cs="Times New Roman"/>
        </w:rPr>
        <w:t xml:space="preserve"> final</w:t>
      </w:r>
      <w:r w:rsidR="00317BF6" w:rsidRPr="00A560BA">
        <w:rPr>
          <w:rFonts w:ascii="Times New Roman" w:hAnsi="Times New Roman" w:cs="Times New Roman"/>
        </w:rPr>
        <w:t>, SWD(2025) 11</w:t>
      </w:r>
      <w:r w:rsidR="00A560BA">
        <w:rPr>
          <w:rFonts w:ascii="Times New Roman" w:hAnsi="Times New Roman" w:cs="Times New Roman"/>
        </w:rPr>
        <w:t xml:space="preserve"> final</w:t>
      </w:r>
      <w:r w:rsidR="00317BF6" w:rsidRPr="00A560BA">
        <w:rPr>
          <w:rFonts w:ascii="Times New Roman" w:hAnsi="Times New Roman" w:cs="Times New Roman"/>
        </w:rPr>
        <w:t>, SWD(2025) 12</w:t>
      </w:r>
      <w:r w:rsidR="00A560BA">
        <w:rPr>
          <w:rFonts w:ascii="Times New Roman" w:hAnsi="Times New Roman" w:cs="Times New Roman"/>
        </w:rPr>
        <w:t xml:space="preserve"> final (</w:t>
      </w:r>
      <w:hyperlink r:id="rId3" w:history="1">
        <w:r w:rsidR="00A560BA" w:rsidRPr="008265C5">
          <w:rPr>
            <w:rStyle w:val="Hyperlink"/>
            <w:rFonts w:ascii="Times New Roman" w:hAnsi="Times New Roman" w:cs="Times New Roman"/>
          </w:rPr>
          <w:t>EUR-Lex - 52025DC0026 - EN - EUR-Lex</w:t>
        </w:r>
      </w:hyperlink>
      <w:r w:rsidR="00A560BA">
        <w:rPr>
          <w:rFonts w:ascii="Times New Roman" w:hAnsi="Times New Roman" w:cs="Times New Roman"/>
        </w:rPr>
        <w:t>)</w:t>
      </w:r>
      <w:r w:rsidRPr="00A560BA">
        <w:rPr>
          <w:rFonts w:ascii="Times New Roman" w:hAnsi="Times New Roman" w:cs="Times New Roman"/>
        </w:rPr>
        <w:t>.</w:t>
      </w:r>
    </w:p>
  </w:footnote>
  <w:footnote w:id="5">
    <w:p w14:paraId="698FBB05" w14:textId="7F399532" w:rsidR="006D0059" w:rsidRPr="00A560BA" w:rsidRDefault="006D0059" w:rsidP="002E4626">
      <w:pPr>
        <w:pStyle w:val="FootnoteText"/>
        <w:widowControl w:val="0"/>
        <w:ind w:left="-142" w:right="-613" w:hanging="284"/>
        <w:jc w:val="both"/>
        <w:rPr>
          <w:rFonts w:ascii="Times New Roman" w:hAnsi="Times New Roman" w:cs="Times New Roman"/>
        </w:rPr>
      </w:pPr>
      <w:r w:rsidRPr="00A560BA">
        <w:rPr>
          <w:rStyle w:val="FootnoteReference"/>
          <w:rFonts w:ascii="Times New Roman" w:hAnsi="Times New Roman" w:cs="Times New Roman"/>
        </w:rPr>
        <w:footnoteRef/>
      </w:r>
      <w:r w:rsidRPr="00A560BA">
        <w:rPr>
          <w:rFonts w:ascii="Times New Roman" w:hAnsi="Times New Roman" w:cs="Times New Roman"/>
        </w:rPr>
        <w:t xml:space="preserve"> </w:t>
      </w:r>
      <w:r w:rsidR="00A560BA" w:rsidRPr="00A560BA">
        <w:rPr>
          <w:rFonts w:ascii="Times New Roman" w:hAnsi="Times New Roman" w:cs="Times New Roman"/>
        </w:rPr>
        <w:tab/>
      </w:r>
      <w:r w:rsidRPr="00A560BA">
        <w:rPr>
          <w:rFonts w:ascii="Times New Roman" w:hAnsi="Times New Roman" w:cs="Times New Roman"/>
        </w:rPr>
        <w:t>An independent study carried out for the European Commission in 2020 estimated that if TSCs were removed, consumers could save up to EUR 14.1 billion per year on their purchases for certain products.</w:t>
      </w:r>
    </w:p>
  </w:footnote>
  <w:footnote w:id="6">
    <w:p w14:paraId="4C20E4EF" w14:textId="22E8E3A4" w:rsidR="00611AB6" w:rsidRPr="00A560BA" w:rsidRDefault="00611AB6" w:rsidP="002E4626">
      <w:pPr>
        <w:pStyle w:val="FootnoteText"/>
        <w:widowControl w:val="0"/>
        <w:ind w:left="-142" w:right="-613" w:hanging="284"/>
        <w:jc w:val="both"/>
        <w:rPr>
          <w:rFonts w:ascii="Times New Roman" w:hAnsi="Times New Roman" w:cs="Times New Roman"/>
        </w:rPr>
      </w:pPr>
      <w:r w:rsidRPr="00A560BA">
        <w:rPr>
          <w:rStyle w:val="FootnoteReference"/>
          <w:rFonts w:ascii="Times New Roman" w:hAnsi="Times New Roman" w:cs="Times New Roman"/>
        </w:rPr>
        <w:footnoteRef/>
      </w:r>
      <w:r w:rsidRPr="00A560BA">
        <w:rPr>
          <w:rFonts w:ascii="Times New Roman" w:hAnsi="Times New Roman" w:cs="Times New Roman"/>
        </w:rPr>
        <w:t xml:space="preserve"> </w:t>
      </w:r>
      <w:r w:rsidR="00A560BA">
        <w:rPr>
          <w:rFonts w:ascii="Times New Roman" w:hAnsi="Times New Roman" w:cs="Times New Roman"/>
        </w:rPr>
        <w:tab/>
      </w:r>
      <w:r w:rsidRPr="00A560BA">
        <w:rPr>
          <w:rFonts w:ascii="Times New Roman" w:hAnsi="Times New Roman" w:cs="Times New Roman"/>
        </w:rPr>
        <w:t>Savings and Investments Union: A Strategy to Foster Citizens’ Wealth and Economic Competitiveness in the EU</w:t>
      </w:r>
      <w:r w:rsidR="00A560BA">
        <w:rPr>
          <w:rFonts w:ascii="Times New Roman" w:hAnsi="Times New Roman" w:cs="Times New Roman"/>
        </w:rPr>
        <w:t>;</w:t>
      </w:r>
      <w:r w:rsidRPr="00A560BA">
        <w:rPr>
          <w:rFonts w:ascii="Times New Roman" w:hAnsi="Times New Roman" w:cs="Times New Roman"/>
        </w:rPr>
        <w:t xml:space="preserve"> COM(2025) 124</w:t>
      </w:r>
      <w:r w:rsidR="00A560BA">
        <w:rPr>
          <w:rFonts w:ascii="Times New Roman" w:hAnsi="Times New Roman" w:cs="Times New Roman"/>
        </w:rPr>
        <w:t xml:space="preserve"> </w:t>
      </w:r>
      <w:r w:rsidR="00A560BA" w:rsidRPr="004A45E1">
        <w:rPr>
          <w:rFonts w:ascii="Times New Roman" w:hAnsi="Times New Roman" w:cs="Times New Roman"/>
        </w:rPr>
        <w:t>final (</w:t>
      </w:r>
      <w:hyperlink r:id="rId4" w:history="1">
        <w:r w:rsidR="00A560BA" w:rsidRPr="004A45E1">
          <w:rPr>
            <w:rStyle w:val="Hyperlink"/>
            <w:rFonts w:ascii="Times New Roman" w:hAnsi="Times New Roman" w:cs="Times New Roman"/>
          </w:rPr>
          <w:t>EUR-Lex - 52025DC0124 - EN - EUR-Lex</w:t>
        </w:r>
      </w:hyperlink>
      <w:r w:rsidR="00A560BA" w:rsidRPr="004A45E1">
        <w:rPr>
          <w:rFonts w:ascii="Times New Roman" w:hAnsi="Times New Roman" w:cs="Times New Roman"/>
        </w:rPr>
        <w:t>)</w:t>
      </w:r>
      <w:r w:rsidRPr="00A560BA">
        <w:rPr>
          <w:rFonts w:ascii="Times New Roman" w:hAnsi="Times New Roman" w:cs="Times New Roman"/>
        </w:rPr>
        <w:t>.</w:t>
      </w:r>
    </w:p>
  </w:footnote>
  <w:footnote w:id="7">
    <w:p w14:paraId="3A89F4AB" w14:textId="5B71DC40" w:rsidR="001B0F97" w:rsidRPr="00A560BA" w:rsidRDefault="001B0F97" w:rsidP="002E4626">
      <w:pPr>
        <w:pStyle w:val="FootnoteText"/>
        <w:widowControl w:val="0"/>
        <w:ind w:left="-142" w:right="-613" w:hanging="284"/>
        <w:jc w:val="both"/>
        <w:rPr>
          <w:rFonts w:ascii="Times New Roman" w:hAnsi="Times New Roman" w:cs="Times New Roman"/>
        </w:rPr>
      </w:pPr>
      <w:r w:rsidRPr="002E4626">
        <w:rPr>
          <w:rStyle w:val="FootnoteReference"/>
          <w:rFonts w:ascii="Times New Roman" w:hAnsi="Times New Roman" w:cs="Times New Roman"/>
        </w:rPr>
        <w:footnoteRef/>
      </w:r>
      <w:r w:rsidRPr="002E4626">
        <w:rPr>
          <w:rFonts w:ascii="Times New Roman" w:hAnsi="Times New Roman" w:cs="Times New Roman"/>
        </w:rPr>
        <w:t xml:space="preserve"> </w:t>
      </w:r>
      <w:r w:rsidR="00A560BA" w:rsidRPr="002E4626">
        <w:rPr>
          <w:rFonts w:ascii="Times New Roman" w:hAnsi="Times New Roman" w:cs="Times New Roman"/>
        </w:rPr>
        <w:tab/>
      </w:r>
      <w:r w:rsidRPr="00A560BA">
        <w:rPr>
          <w:rFonts w:ascii="Times New Roman" w:hAnsi="Times New Roman" w:cs="Times New Roman"/>
        </w:rPr>
        <w:t xml:space="preserve">European Tech Champions Initiative </w:t>
      </w:r>
      <w:r w:rsidR="00A52DF7">
        <w:rPr>
          <w:rFonts w:ascii="Times New Roman" w:hAnsi="Times New Roman" w:cs="Times New Roman"/>
        </w:rPr>
        <w:t>(</w:t>
      </w:r>
      <w:hyperlink r:id="rId5" w:history="1">
        <w:r w:rsidR="00A52DF7" w:rsidRPr="00A52DF7">
          <w:rPr>
            <w:rStyle w:val="Hyperlink"/>
            <w:rFonts w:ascii="Times New Roman" w:hAnsi="Times New Roman" w:cs="Times New Roman"/>
          </w:rPr>
          <w:t>https://www.eif.org/etci/about-etci/index.htm</w:t>
        </w:r>
      </w:hyperlink>
      <w:r w:rsidR="00A52DF7">
        <w:rPr>
          <w:rFonts w:ascii="Times New Roman" w:hAnsi="Times New Roman" w:cs="Times New Roman"/>
        </w:rPr>
        <w:t>)</w:t>
      </w:r>
      <w:r w:rsidR="00A560BA">
        <w:rPr>
          <w:rFonts w:ascii="Times New Roman" w:hAnsi="Times New Roman" w:cs="Times New Roman"/>
        </w:rPr>
        <w:t>.</w:t>
      </w:r>
    </w:p>
  </w:footnote>
  <w:footnote w:id="8">
    <w:p w14:paraId="5402A881" w14:textId="089B9383" w:rsidR="000206A7" w:rsidRPr="002E4626" w:rsidRDefault="000206A7" w:rsidP="002E4626">
      <w:pPr>
        <w:pStyle w:val="FootnoteText"/>
        <w:widowControl w:val="0"/>
        <w:ind w:left="-142" w:right="-613" w:hanging="284"/>
        <w:jc w:val="both"/>
        <w:rPr>
          <w:rFonts w:ascii="Times New Roman" w:hAnsi="Times New Roman" w:cs="Times New Roman"/>
        </w:rPr>
      </w:pPr>
      <w:r w:rsidRPr="002E4626">
        <w:rPr>
          <w:rStyle w:val="FootnoteReference"/>
          <w:rFonts w:ascii="Times New Roman" w:hAnsi="Times New Roman" w:cs="Times New Roman"/>
        </w:rPr>
        <w:footnoteRef/>
      </w:r>
      <w:r w:rsidRPr="002E4626">
        <w:rPr>
          <w:rFonts w:ascii="Times New Roman" w:hAnsi="Times New Roman" w:cs="Times New Roman"/>
        </w:rPr>
        <w:t xml:space="preserve"> </w:t>
      </w:r>
      <w:r w:rsidR="00A560BA" w:rsidRPr="002E4626">
        <w:rPr>
          <w:rFonts w:ascii="Times New Roman" w:hAnsi="Times New Roman" w:cs="Times New Roman"/>
        </w:rPr>
        <w:tab/>
      </w:r>
      <w:r w:rsidRPr="00A560BA">
        <w:rPr>
          <w:rFonts w:ascii="Times New Roman" w:hAnsi="Times New Roman" w:cs="Times New Roman"/>
        </w:rPr>
        <w:t>Regulation (EU) No 345/2013 of the European Parliament and of the Council of 17 April 2013 on European venture capital funds</w:t>
      </w:r>
      <w:r w:rsidR="00A560BA">
        <w:rPr>
          <w:rFonts w:ascii="Times New Roman" w:hAnsi="Times New Roman" w:cs="Times New Roman"/>
        </w:rPr>
        <w:t xml:space="preserve"> </w:t>
      </w:r>
      <w:r w:rsidR="00A560BA" w:rsidRPr="004A45E1">
        <w:rPr>
          <w:rFonts w:ascii="Times New Roman" w:hAnsi="Times New Roman" w:cs="Times New Roman"/>
        </w:rPr>
        <w:t>(</w:t>
      </w:r>
      <w:hyperlink r:id="rId6" w:tooltip="Gives access to this document through its ELI URI." w:history="1">
        <w:r w:rsidR="00A560BA" w:rsidRPr="004A45E1">
          <w:rPr>
            <w:rStyle w:val="Hyperlink"/>
            <w:rFonts w:ascii="Times New Roman" w:hAnsi="Times New Roman" w:cs="Times New Roman"/>
          </w:rPr>
          <w:t>http://data.europa.eu/eli/reg/2013/345/oj</w:t>
        </w:r>
      </w:hyperlink>
      <w:r w:rsidR="00A560BA" w:rsidRPr="004A45E1">
        <w:rPr>
          <w:rFonts w:ascii="Times New Roman" w:hAnsi="Times New Roman" w:cs="Times New Roman"/>
        </w:rPr>
        <w:t>).</w:t>
      </w:r>
    </w:p>
  </w:footnote>
  <w:footnote w:id="9">
    <w:p w14:paraId="30F065C2" w14:textId="3A1B5CA4" w:rsidR="005F353A" w:rsidRPr="002E4626" w:rsidRDefault="005F353A" w:rsidP="002E4626">
      <w:pPr>
        <w:pStyle w:val="FootnoteText"/>
        <w:widowControl w:val="0"/>
        <w:ind w:left="-142" w:right="-613" w:hanging="284"/>
        <w:jc w:val="both"/>
        <w:rPr>
          <w:rFonts w:ascii="Times New Roman" w:hAnsi="Times New Roman" w:cs="Times New Roman"/>
        </w:rPr>
      </w:pPr>
      <w:r w:rsidRPr="002E4626">
        <w:rPr>
          <w:rStyle w:val="FootnoteReference"/>
          <w:rFonts w:ascii="Times New Roman" w:hAnsi="Times New Roman" w:cs="Times New Roman"/>
        </w:rPr>
        <w:footnoteRef/>
      </w:r>
      <w:r w:rsidRPr="002E4626">
        <w:rPr>
          <w:rFonts w:ascii="Times New Roman" w:hAnsi="Times New Roman" w:cs="Times New Roman"/>
        </w:rPr>
        <w:t xml:space="preserve"> </w:t>
      </w:r>
      <w:r w:rsidR="00A560BA" w:rsidRPr="002E4626">
        <w:rPr>
          <w:rFonts w:ascii="Times New Roman" w:hAnsi="Times New Roman" w:cs="Times New Roman"/>
        </w:rPr>
        <w:tab/>
      </w:r>
      <w:r w:rsidRPr="00A560BA">
        <w:rPr>
          <w:rFonts w:ascii="Times New Roman" w:hAnsi="Times New Roman" w:cs="Times New Roman"/>
        </w:rPr>
        <w:t xml:space="preserve">Regulations (EC) 883/2004 </w:t>
      </w:r>
      <w:r w:rsidR="00A560BA" w:rsidRPr="002E4626">
        <w:rPr>
          <w:rFonts w:ascii="Times New Roman" w:hAnsi="Times New Roman" w:cs="Times New Roman"/>
        </w:rPr>
        <w:t>of the European Parliament and of the Council of 29 April 2004 on the coordination of social security systems (</w:t>
      </w:r>
      <w:hyperlink r:id="rId7" w:tooltip="Gives access to this document through its ELI URI." w:history="1">
        <w:r w:rsidR="00A560BA" w:rsidRPr="002E4626">
          <w:rPr>
            <w:rStyle w:val="Hyperlink"/>
            <w:rFonts w:ascii="Times New Roman" w:hAnsi="Times New Roman" w:cs="Times New Roman"/>
          </w:rPr>
          <w:t>http://data.europa.eu/eli/reg/2004/883/2019-07-31</w:t>
        </w:r>
      </w:hyperlink>
      <w:r w:rsidR="00A560BA" w:rsidRPr="002E4626">
        <w:rPr>
          <w:rFonts w:ascii="Times New Roman" w:hAnsi="Times New Roman" w:cs="Times New Roman"/>
        </w:rPr>
        <w:t>)</w:t>
      </w:r>
      <w:r w:rsidR="00A560BA">
        <w:rPr>
          <w:rFonts w:ascii="Times New Roman" w:hAnsi="Times New Roman" w:cs="Times New Roman"/>
        </w:rPr>
        <w:t xml:space="preserve"> </w:t>
      </w:r>
      <w:r w:rsidRPr="00A560BA">
        <w:rPr>
          <w:rFonts w:ascii="Times New Roman" w:hAnsi="Times New Roman" w:cs="Times New Roman"/>
        </w:rPr>
        <w:t>and 987/2009</w:t>
      </w:r>
      <w:r w:rsidR="00A560BA">
        <w:rPr>
          <w:rFonts w:ascii="Times New Roman" w:hAnsi="Times New Roman" w:cs="Times New Roman"/>
        </w:rPr>
        <w:t xml:space="preserve"> </w:t>
      </w:r>
      <w:r w:rsidR="00A560BA" w:rsidRPr="002E4626">
        <w:rPr>
          <w:rFonts w:ascii="Times New Roman" w:hAnsi="Times New Roman" w:cs="Times New Roman"/>
        </w:rPr>
        <w:t>of the European Parliament and of the Council of 16 September 2009 laying down the procedure for implementing Regulation (EC) No 883/2004 on the coordination of social security systems (</w:t>
      </w:r>
      <w:hyperlink r:id="rId8" w:tooltip="Gives access to this document through its ELI URI." w:history="1">
        <w:r w:rsidR="00A560BA" w:rsidRPr="002E4626">
          <w:rPr>
            <w:rStyle w:val="Hyperlink"/>
            <w:rFonts w:ascii="Times New Roman" w:hAnsi="Times New Roman" w:cs="Times New Roman"/>
          </w:rPr>
          <w:t>http://data.europa.eu/eli/reg/2009/987/oj</w:t>
        </w:r>
      </w:hyperlink>
      <w:r w:rsidR="00A560BA" w:rsidRPr="002E4626">
        <w:rPr>
          <w:rFonts w:ascii="Times New Roman" w:hAnsi="Times New Roman" w:cs="Times New Roman"/>
        </w:rPr>
        <w:t>)</w:t>
      </w:r>
      <w:r w:rsidRPr="00A560BA">
        <w:rPr>
          <w:rFonts w:ascii="Times New Roman" w:hAnsi="Times New Roman" w:cs="Times New Roman"/>
        </w:rPr>
        <w:t>.</w:t>
      </w:r>
    </w:p>
  </w:footnote>
  <w:footnote w:id="10">
    <w:p w14:paraId="4A06A607" w14:textId="7A8D2396" w:rsidR="006D0059" w:rsidRPr="00A560BA" w:rsidRDefault="006D0059" w:rsidP="002E4626">
      <w:pPr>
        <w:pStyle w:val="FootnoteText"/>
        <w:widowControl w:val="0"/>
        <w:ind w:left="-142" w:right="-613" w:hanging="284"/>
        <w:jc w:val="both"/>
        <w:rPr>
          <w:rFonts w:ascii="Times New Roman" w:hAnsi="Times New Roman" w:cs="Times New Roman"/>
        </w:rPr>
      </w:pPr>
      <w:r w:rsidRPr="00A560BA">
        <w:rPr>
          <w:rStyle w:val="FootnoteReference"/>
          <w:rFonts w:ascii="Times New Roman" w:hAnsi="Times New Roman" w:cs="Times New Roman"/>
        </w:rPr>
        <w:footnoteRef/>
      </w:r>
      <w:r w:rsidRPr="00A560BA">
        <w:rPr>
          <w:rFonts w:ascii="Times New Roman" w:hAnsi="Times New Roman" w:cs="Times New Roman"/>
        </w:rPr>
        <w:t xml:space="preserve"> </w:t>
      </w:r>
      <w:r w:rsidR="00A560BA" w:rsidRPr="00A560BA">
        <w:rPr>
          <w:rFonts w:ascii="Times New Roman" w:hAnsi="Times New Roman" w:cs="Times New Roman"/>
        </w:rPr>
        <w:tab/>
      </w:r>
      <w:r w:rsidRPr="00A560BA">
        <w:rPr>
          <w:rFonts w:ascii="Times New Roman" w:hAnsi="Times New Roman" w:cs="Times New Roman"/>
        </w:rPr>
        <w:t>The Clean Industrial Deal: A joint roadmap for competitiveness and decarbonisation</w:t>
      </w:r>
      <w:r w:rsidR="009F3464">
        <w:rPr>
          <w:rFonts w:ascii="Times New Roman" w:hAnsi="Times New Roman" w:cs="Times New Roman"/>
        </w:rPr>
        <w:t>;</w:t>
      </w:r>
      <w:r w:rsidRPr="00A560BA">
        <w:rPr>
          <w:rFonts w:ascii="Times New Roman" w:hAnsi="Times New Roman" w:cs="Times New Roman"/>
        </w:rPr>
        <w:t xml:space="preserve"> COM(2025) 85</w:t>
      </w:r>
      <w:r w:rsidR="00A560BA">
        <w:rPr>
          <w:rFonts w:ascii="Times New Roman" w:hAnsi="Times New Roman" w:cs="Times New Roman"/>
        </w:rPr>
        <w:t xml:space="preserve"> final (</w:t>
      </w:r>
      <w:hyperlink r:id="rId9" w:history="1">
        <w:r w:rsidR="00A560BA" w:rsidRPr="004A45E1">
          <w:rPr>
            <w:rStyle w:val="Hyperlink"/>
            <w:rFonts w:ascii="Times New Roman" w:hAnsi="Times New Roman" w:cs="Times New Roman"/>
          </w:rPr>
          <w:t>EUR-Lex - 52025DC0085 - EN - EUR-Lex</w:t>
        </w:r>
      </w:hyperlink>
      <w:r w:rsidR="00A560BA">
        <w:rPr>
          <w:rFonts w:ascii="Times New Roman" w:hAnsi="Times New Roman" w:cs="Times New Roman"/>
        </w:rPr>
        <w:t>)</w:t>
      </w:r>
      <w:r w:rsidRPr="00A560BA">
        <w:rPr>
          <w:rFonts w:ascii="Times New Roman" w:hAnsi="Times New Roman" w:cs="Times New Roman"/>
        </w:rPr>
        <w:t>.</w:t>
      </w:r>
    </w:p>
  </w:footnote>
  <w:footnote w:id="11">
    <w:p w14:paraId="7C1C3401" w14:textId="41BA8369" w:rsidR="006D0059" w:rsidRPr="00A560BA" w:rsidRDefault="006D0059" w:rsidP="002E4626">
      <w:pPr>
        <w:pStyle w:val="FootnoteText"/>
        <w:widowControl w:val="0"/>
        <w:ind w:left="-142" w:right="-613" w:hanging="284"/>
        <w:jc w:val="both"/>
        <w:rPr>
          <w:rFonts w:ascii="Times New Roman" w:hAnsi="Times New Roman" w:cs="Times New Roman"/>
        </w:rPr>
      </w:pPr>
      <w:r w:rsidRPr="00A560BA">
        <w:rPr>
          <w:rStyle w:val="FootnoteReference"/>
          <w:rFonts w:ascii="Times New Roman" w:hAnsi="Times New Roman" w:cs="Times New Roman"/>
        </w:rPr>
        <w:footnoteRef/>
      </w:r>
      <w:r w:rsidRPr="00A560BA">
        <w:rPr>
          <w:rFonts w:ascii="Times New Roman" w:hAnsi="Times New Roman" w:cs="Times New Roman"/>
        </w:rPr>
        <w:t xml:space="preserve"> </w:t>
      </w:r>
      <w:r w:rsidR="00A560BA" w:rsidRPr="00A560BA">
        <w:rPr>
          <w:rFonts w:ascii="Times New Roman" w:hAnsi="Times New Roman" w:cs="Times New Roman"/>
        </w:rPr>
        <w:tab/>
      </w:r>
      <w:r w:rsidRPr="00A560BA">
        <w:rPr>
          <w:rFonts w:ascii="Times New Roman" w:hAnsi="Times New Roman" w:cs="Times New Roman"/>
        </w:rPr>
        <w:t>Action Plan for Affordable Energy. Unlocking the true value of our Energy Union to secure affordable, efficient and clean energy for all Europeans</w:t>
      </w:r>
      <w:r w:rsidR="00A560BA">
        <w:rPr>
          <w:rFonts w:ascii="Times New Roman" w:hAnsi="Times New Roman" w:cs="Times New Roman"/>
        </w:rPr>
        <w:t>;</w:t>
      </w:r>
      <w:r w:rsidRPr="00A560BA">
        <w:rPr>
          <w:rFonts w:ascii="Times New Roman" w:hAnsi="Times New Roman" w:cs="Times New Roman"/>
        </w:rPr>
        <w:t xml:space="preserve"> COM(2025) 79</w:t>
      </w:r>
      <w:r w:rsidR="00A560BA" w:rsidRPr="00A560BA">
        <w:rPr>
          <w:rFonts w:ascii="Times New Roman" w:hAnsi="Times New Roman" w:cs="Times New Roman"/>
        </w:rPr>
        <w:t xml:space="preserve"> final ((</w:t>
      </w:r>
      <w:hyperlink r:id="rId10" w:history="1">
        <w:r w:rsidR="00A560BA" w:rsidRPr="00A560BA">
          <w:rPr>
            <w:rStyle w:val="Hyperlink"/>
            <w:rFonts w:ascii="Times New Roman" w:hAnsi="Times New Roman" w:cs="Times New Roman"/>
          </w:rPr>
          <w:t>EUR-Lex - 52025DC0079 - EN - EUR-Lex</w:t>
        </w:r>
      </w:hyperlink>
      <w:r w:rsidR="00A560BA" w:rsidRPr="00A560BA">
        <w:rPr>
          <w:rFonts w:ascii="Times New Roman" w:hAnsi="Times New Roman" w:cs="Times New Roman"/>
        </w:rPr>
        <w:t>)</w:t>
      </w:r>
      <w:r w:rsidRPr="00A560BA">
        <w:rPr>
          <w:rFonts w:ascii="Times New Roman" w:hAnsi="Times New Roman" w:cs="Times New Roman"/>
        </w:rPr>
        <w:t>.</w:t>
      </w:r>
    </w:p>
  </w:footnote>
  <w:footnote w:id="12">
    <w:p w14:paraId="0241CBC4" w14:textId="091EE6B1" w:rsidR="003246CC" w:rsidRPr="00A560BA" w:rsidRDefault="003246CC" w:rsidP="002E4626">
      <w:pPr>
        <w:pStyle w:val="FootnoteText"/>
        <w:widowControl w:val="0"/>
        <w:ind w:left="-142" w:right="-613" w:hanging="284"/>
        <w:jc w:val="both"/>
        <w:rPr>
          <w:rFonts w:ascii="Times New Roman" w:hAnsi="Times New Roman" w:cs="Times New Roman"/>
        </w:rPr>
      </w:pPr>
      <w:r w:rsidRPr="00A560BA">
        <w:rPr>
          <w:rStyle w:val="FootnoteReference"/>
          <w:rFonts w:ascii="Times New Roman" w:hAnsi="Times New Roman" w:cs="Times New Roman"/>
        </w:rPr>
        <w:footnoteRef/>
      </w:r>
      <w:r w:rsidRPr="00A560BA">
        <w:rPr>
          <w:rFonts w:ascii="Times New Roman" w:hAnsi="Times New Roman" w:cs="Times New Roman"/>
        </w:rPr>
        <w:t xml:space="preserve"> </w:t>
      </w:r>
      <w:r w:rsidR="00A560BA" w:rsidRPr="00A560BA">
        <w:rPr>
          <w:rFonts w:ascii="Times New Roman" w:hAnsi="Times New Roman" w:cs="Times New Roman"/>
        </w:rPr>
        <w:tab/>
      </w:r>
      <w:hyperlink r:id="rId11" w:history="1">
        <w:r w:rsidRPr="00A560BA">
          <w:rPr>
            <w:rStyle w:val="Hyperlink"/>
            <w:rFonts w:ascii="Times New Roman" w:hAnsi="Times New Roman" w:cs="Times New Roman"/>
          </w:rPr>
          <w:t>The Affordable Housing Dialogue - European Commission</w:t>
        </w:r>
      </w:hyperlink>
      <w:r w:rsidR="009F3464">
        <w:rPr>
          <w:rFonts w:ascii="Times New Roman" w:hAnsi="Times New Roman" w:cs="Times New Roman"/>
        </w:rPr>
        <w:t>.</w:t>
      </w:r>
    </w:p>
  </w:footnote>
  <w:footnote w:id="13">
    <w:p w14:paraId="3B64744E" w14:textId="7FA3BEE0" w:rsidR="00C31196" w:rsidRPr="00A560BA" w:rsidRDefault="00C31196" w:rsidP="002E4626">
      <w:pPr>
        <w:pStyle w:val="FootnoteText"/>
        <w:widowControl w:val="0"/>
        <w:ind w:left="-142" w:right="-613" w:hanging="284"/>
        <w:jc w:val="both"/>
        <w:rPr>
          <w:rFonts w:ascii="Times New Roman" w:hAnsi="Times New Roman" w:cs="Times New Roman"/>
        </w:rPr>
      </w:pPr>
      <w:r w:rsidRPr="00A560BA">
        <w:rPr>
          <w:rStyle w:val="FootnoteReference"/>
          <w:rFonts w:ascii="Times New Roman" w:hAnsi="Times New Roman" w:cs="Times New Roman"/>
        </w:rPr>
        <w:footnoteRef/>
      </w:r>
      <w:r w:rsidRPr="00A560BA">
        <w:rPr>
          <w:rFonts w:ascii="Times New Roman" w:hAnsi="Times New Roman" w:cs="Times New Roman"/>
        </w:rPr>
        <w:t xml:space="preserve"> </w:t>
      </w:r>
      <w:r w:rsidR="00A560BA" w:rsidRPr="00A560BA">
        <w:rPr>
          <w:rFonts w:ascii="Times New Roman" w:hAnsi="Times New Roman" w:cs="Times New Roman"/>
        </w:rPr>
        <w:tab/>
      </w:r>
      <w:r w:rsidRPr="00A560BA">
        <w:rPr>
          <w:rFonts w:ascii="Times New Roman" w:hAnsi="Times New Roman" w:cs="Times New Roman"/>
        </w:rPr>
        <w:t>Regulation (EU) 2024/3110 of the European Parliament and of the Council laying down harmonised rules for the marketing of construction products and repealing Regulation (EU) No 305/2011</w:t>
      </w:r>
      <w:r w:rsidR="009F3464">
        <w:rPr>
          <w:rFonts w:ascii="Times New Roman" w:hAnsi="Times New Roman" w:cs="Times New Roman"/>
        </w:rPr>
        <w:t xml:space="preserve"> (</w:t>
      </w:r>
      <w:hyperlink r:id="rId12" w:tooltip="Gives access to this document through its ELI URI." w:history="1">
        <w:r w:rsidR="009F3464" w:rsidRPr="00AE05AA">
          <w:rPr>
            <w:rStyle w:val="Hyperlink"/>
            <w:rFonts w:ascii="Times New Roman" w:hAnsi="Times New Roman" w:cs="Times New Roman"/>
          </w:rPr>
          <w:t>http://data.europa.eu/eli/reg/2024/3110/oj</w:t>
        </w:r>
      </w:hyperlink>
      <w:r w:rsidR="009F3464">
        <w:rPr>
          <w:rFonts w:ascii="Times New Roman" w:hAnsi="Times New Roman" w:cs="Times New Roman"/>
        </w:rPr>
        <w:t>).</w:t>
      </w:r>
    </w:p>
  </w:footnote>
  <w:footnote w:id="14">
    <w:p w14:paraId="6C2CEC55" w14:textId="2B50359A" w:rsidR="008361EB" w:rsidRPr="00A560BA" w:rsidRDefault="008361EB" w:rsidP="002E4626">
      <w:pPr>
        <w:pStyle w:val="FootnoteText"/>
        <w:widowControl w:val="0"/>
        <w:ind w:left="-142" w:right="-613" w:hanging="284"/>
        <w:jc w:val="both"/>
        <w:rPr>
          <w:rFonts w:ascii="Times New Roman" w:hAnsi="Times New Roman" w:cs="Times New Roman"/>
        </w:rPr>
      </w:pPr>
      <w:r w:rsidRPr="00A560BA">
        <w:rPr>
          <w:rStyle w:val="FootnoteReference"/>
          <w:rFonts w:ascii="Times New Roman" w:hAnsi="Times New Roman" w:cs="Times New Roman"/>
        </w:rPr>
        <w:footnoteRef/>
      </w:r>
      <w:r w:rsidRPr="00A560BA">
        <w:rPr>
          <w:rFonts w:ascii="Times New Roman" w:hAnsi="Times New Roman" w:cs="Times New Roman"/>
        </w:rPr>
        <w:t xml:space="preserve"> </w:t>
      </w:r>
      <w:r w:rsidR="00A560BA" w:rsidRPr="00A560BA">
        <w:rPr>
          <w:rFonts w:ascii="Times New Roman" w:hAnsi="Times New Roman" w:cs="Times New Roman"/>
        </w:rPr>
        <w:tab/>
      </w:r>
      <w:r w:rsidRPr="00A560BA">
        <w:rPr>
          <w:rFonts w:ascii="Times New Roman" w:hAnsi="Times New Roman" w:cs="Times New Roman"/>
        </w:rPr>
        <w:t>Proposal for a Regulation laying a framework for strengthening the availability and security of supply of critical medicinal products as well as the availability of, and accessibility of, medicinal products of common interest, and amending Regulation (EU) 2024/795</w:t>
      </w:r>
      <w:r w:rsidR="00A560BA">
        <w:rPr>
          <w:rFonts w:ascii="Times New Roman" w:hAnsi="Times New Roman" w:cs="Times New Roman"/>
        </w:rPr>
        <w:t>;</w:t>
      </w:r>
      <w:r w:rsidRPr="00A560BA">
        <w:rPr>
          <w:rFonts w:ascii="Times New Roman" w:hAnsi="Times New Roman" w:cs="Times New Roman"/>
        </w:rPr>
        <w:t xml:space="preserve"> COM(2025) 102</w:t>
      </w:r>
      <w:r w:rsidR="009F3464">
        <w:rPr>
          <w:rFonts w:ascii="Times New Roman" w:hAnsi="Times New Roman" w:cs="Times New Roman"/>
        </w:rPr>
        <w:t xml:space="preserve"> </w:t>
      </w:r>
      <w:r w:rsidR="009F3464" w:rsidRPr="00AE05AA">
        <w:rPr>
          <w:rFonts w:ascii="Times New Roman" w:hAnsi="Times New Roman" w:cs="Times New Roman"/>
        </w:rPr>
        <w:t>final (</w:t>
      </w:r>
      <w:hyperlink r:id="rId13" w:history="1">
        <w:r w:rsidR="009F3464" w:rsidRPr="00AE05AA">
          <w:rPr>
            <w:rStyle w:val="Hyperlink"/>
            <w:rFonts w:ascii="Times New Roman" w:hAnsi="Times New Roman" w:cs="Times New Roman"/>
          </w:rPr>
          <w:t>EUR-Lex - 52025PC0102 - EN - EUR-Lex</w:t>
        </w:r>
      </w:hyperlink>
      <w:r w:rsidR="009F3464" w:rsidRPr="00AE05AA">
        <w:rPr>
          <w:rFonts w:ascii="Times New Roman" w:hAnsi="Times New Roman" w:cs="Times New Roman"/>
        </w:rPr>
        <w:t>)</w:t>
      </w:r>
      <w:r w:rsidRPr="00A560BA">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B022" w14:textId="77777777" w:rsidR="00A77B75" w:rsidRDefault="00A77B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DC939" w14:textId="77777777" w:rsidR="00A77B75" w:rsidRDefault="00A77B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1F9D0" w14:textId="77777777" w:rsidR="00A77B75" w:rsidRDefault="00A77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5645E"/>
    <w:multiLevelType w:val="hybridMultilevel"/>
    <w:tmpl w:val="3B38262C"/>
    <w:lvl w:ilvl="0" w:tplc="F74267C4">
      <w:numFmt w:val="bullet"/>
      <w:lvlText w:val="-"/>
      <w:lvlJc w:val="left"/>
      <w:pPr>
        <w:ind w:left="720" w:hanging="360"/>
      </w:pPr>
      <w:rPr>
        <w:rFonts w:ascii="Aptos" w:eastAsiaTheme="minorHAnsi" w:hAnsi="Aptos" w:cstheme="minorBid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2775714"/>
    <w:multiLevelType w:val="hybridMultilevel"/>
    <w:tmpl w:val="4400357A"/>
    <w:lvl w:ilvl="0" w:tplc="56849EE6">
      <w:start w:val="6"/>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33366735"/>
    <w:multiLevelType w:val="hybridMultilevel"/>
    <w:tmpl w:val="2FD69D5C"/>
    <w:lvl w:ilvl="0" w:tplc="6AD63568">
      <w:start w:val="1"/>
      <w:numFmt w:val="bullet"/>
      <w:lvlText w:val=""/>
      <w:lvlJc w:val="left"/>
      <w:pPr>
        <w:ind w:left="1440" w:hanging="360"/>
      </w:pPr>
      <w:rPr>
        <w:rFonts w:ascii="Symbol" w:hAnsi="Symbol"/>
      </w:rPr>
    </w:lvl>
    <w:lvl w:ilvl="1" w:tplc="34A067DE">
      <w:start w:val="1"/>
      <w:numFmt w:val="bullet"/>
      <w:lvlText w:val=""/>
      <w:lvlJc w:val="left"/>
      <w:pPr>
        <w:ind w:left="1440" w:hanging="360"/>
      </w:pPr>
      <w:rPr>
        <w:rFonts w:ascii="Symbol" w:hAnsi="Symbol"/>
      </w:rPr>
    </w:lvl>
    <w:lvl w:ilvl="2" w:tplc="1340EAB2">
      <w:start w:val="1"/>
      <w:numFmt w:val="bullet"/>
      <w:lvlText w:val=""/>
      <w:lvlJc w:val="left"/>
      <w:pPr>
        <w:ind w:left="1440" w:hanging="360"/>
      </w:pPr>
      <w:rPr>
        <w:rFonts w:ascii="Symbol" w:hAnsi="Symbol"/>
      </w:rPr>
    </w:lvl>
    <w:lvl w:ilvl="3" w:tplc="2D28A766">
      <w:start w:val="1"/>
      <w:numFmt w:val="bullet"/>
      <w:lvlText w:val=""/>
      <w:lvlJc w:val="left"/>
      <w:pPr>
        <w:ind w:left="1440" w:hanging="360"/>
      </w:pPr>
      <w:rPr>
        <w:rFonts w:ascii="Symbol" w:hAnsi="Symbol"/>
      </w:rPr>
    </w:lvl>
    <w:lvl w:ilvl="4" w:tplc="9A3A136A">
      <w:start w:val="1"/>
      <w:numFmt w:val="bullet"/>
      <w:lvlText w:val=""/>
      <w:lvlJc w:val="left"/>
      <w:pPr>
        <w:ind w:left="1440" w:hanging="360"/>
      </w:pPr>
      <w:rPr>
        <w:rFonts w:ascii="Symbol" w:hAnsi="Symbol"/>
      </w:rPr>
    </w:lvl>
    <w:lvl w:ilvl="5" w:tplc="27E0FEE4">
      <w:start w:val="1"/>
      <w:numFmt w:val="bullet"/>
      <w:lvlText w:val=""/>
      <w:lvlJc w:val="left"/>
      <w:pPr>
        <w:ind w:left="1440" w:hanging="360"/>
      </w:pPr>
      <w:rPr>
        <w:rFonts w:ascii="Symbol" w:hAnsi="Symbol"/>
      </w:rPr>
    </w:lvl>
    <w:lvl w:ilvl="6" w:tplc="3AE28092">
      <w:start w:val="1"/>
      <w:numFmt w:val="bullet"/>
      <w:lvlText w:val=""/>
      <w:lvlJc w:val="left"/>
      <w:pPr>
        <w:ind w:left="1440" w:hanging="360"/>
      </w:pPr>
      <w:rPr>
        <w:rFonts w:ascii="Symbol" w:hAnsi="Symbol"/>
      </w:rPr>
    </w:lvl>
    <w:lvl w:ilvl="7" w:tplc="D4FC7AFA">
      <w:start w:val="1"/>
      <w:numFmt w:val="bullet"/>
      <w:lvlText w:val=""/>
      <w:lvlJc w:val="left"/>
      <w:pPr>
        <w:ind w:left="1440" w:hanging="360"/>
      </w:pPr>
      <w:rPr>
        <w:rFonts w:ascii="Symbol" w:hAnsi="Symbol"/>
      </w:rPr>
    </w:lvl>
    <w:lvl w:ilvl="8" w:tplc="6D5CBBEE">
      <w:start w:val="1"/>
      <w:numFmt w:val="bullet"/>
      <w:lvlText w:val=""/>
      <w:lvlJc w:val="left"/>
      <w:pPr>
        <w:ind w:left="1440" w:hanging="360"/>
      </w:pPr>
      <w:rPr>
        <w:rFonts w:ascii="Symbol" w:hAnsi="Symbol"/>
      </w:rPr>
    </w:lvl>
  </w:abstractNum>
  <w:abstractNum w:abstractNumId="3" w15:restartNumberingAfterBreak="0">
    <w:nsid w:val="33AD38B4"/>
    <w:multiLevelType w:val="multilevel"/>
    <w:tmpl w:val="286AD7FC"/>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57498A"/>
    <w:multiLevelType w:val="hybridMultilevel"/>
    <w:tmpl w:val="01D6D4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4775866"/>
    <w:multiLevelType w:val="multilevel"/>
    <w:tmpl w:val="FD74F08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85D5399"/>
    <w:multiLevelType w:val="hybridMultilevel"/>
    <w:tmpl w:val="C8364884"/>
    <w:lvl w:ilvl="0" w:tplc="65BE8CC0">
      <w:start w:val="1"/>
      <w:numFmt w:val="bullet"/>
      <w:lvlText w:val=""/>
      <w:lvlJc w:val="left"/>
      <w:pPr>
        <w:ind w:left="1440" w:hanging="360"/>
      </w:pPr>
      <w:rPr>
        <w:rFonts w:ascii="Symbol" w:hAnsi="Symbol"/>
      </w:rPr>
    </w:lvl>
    <w:lvl w:ilvl="1" w:tplc="44CCA49E">
      <w:start w:val="1"/>
      <w:numFmt w:val="bullet"/>
      <w:lvlText w:val=""/>
      <w:lvlJc w:val="left"/>
      <w:pPr>
        <w:ind w:left="1440" w:hanging="360"/>
      </w:pPr>
      <w:rPr>
        <w:rFonts w:ascii="Symbol" w:hAnsi="Symbol"/>
      </w:rPr>
    </w:lvl>
    <w:lvl w:ilvl="2" w:tplc="F0429A84">
      <w:start w:val="1"/>
      <w:numFmt w:val="bullet"/>
      <w:lvlText w:val=""/>
      <w:lvlJc w:val="left"/>
      <w:pPr>
        <w:ind w:left="1440" w:hanging="360"/>
      </w:pPr>
      <w:rPr>
        <w:rFonts w:ascii="Symbol" w:hAnsi="Symbol"/>
      </w:rPr>
    </w:lvl>
    <w:lvl w:ilvl="3" w:tplc="2732F45A">
      <w:start w:val="1"/>
      <w:numFmt w:val="bullet"/>
      <w:lvlText w:val=""/>
      <w:lvlJc w:val="left"/>
      <w:pPr>
        <w:ind w:left="1440" w:hanging="360"/>
      </w:pPr>
      <w:rPr>
        <w:rFonts w:ascii="Symbol" w:hAnsi="Symbol"/>
      </w:rPr>
    </w:lvl>
    <w:lvl w:ilvl="4" w:tplc="BB90F3B0">
      <w:start w:val="1"/>
      <w:numFmt w:val="bullet"/>
      <w:lvlText w:val=""/>
      <w:lvlJc w:val="left"/>
      <w:pPr>
        <w:ind w:left="1440" w:hanging="360"/>
      </w:pPr>
      <w:rPr>
        <w:rFonts w:ascii="Symbol" w:hAnsi="Symbol"/>
      </w:rPr>
    </w:lvl>
    <w:lvl w:ilvl="5" w:tplc="499073A8">
      <w:start w:val="1"/>
      <w:numFmt w:val="bullet"/>
      <w:lvlText w:val=""/>
      <w:lvlJc w:val="left"/>
      <w:pPr>
        <w:ind w:left="1440" w:hanging="360"/>
      </w:pPr>
      <w:rPr>
        <w:rFonts w:ascii="Symbol" w:hAnsi="Symbol"/>
      </w:rPr>
    </w:lvl>
    <w:lvl w:ilvl="6" w:tplc="80385696">
      <w:start w:val="1"/>
      <w:numFmt w:val="bullet"/>
      <w:lvlText w:val=""/>
      <w:lvlJc w:val="left"/>
      <w:pPr>
        <w:ind w:left="1440" w:hanging="360"/>
      </w:pPr>
      <w:rPr>
        <w:rFonts w:ascii="Symbol" w:hAnsi="Symbol"/>
      </w:rPr>
    </w:lvl>
    <w:lvl w:ilvl="7" w:tplc="463E22BA">
      <w:start w:val="1"/>
      <w:numFmt w:val="bullet"/>
      <w:lvlText w:val=""/>
      <w:lvlJc w:val="left"/>
      <w:pPr>
        <w:ind w:left="1440" w:hanging="360"/>
      </w:pPr>
      <w:rPr>
        <w:rFonts w:ascii="Symbol" w:hAnsi="Symbol"/>
      </w:rPr>
    </w:lvl>
    <w:lvl w:ilvl="8" w:tplc="B2BEA154">
      <w:start w:val="1"/>
      <w:numFmt w:val="bullet"/>
      <w:lvlText w:val=""/>
      <w:lvlJc w:val="left"/>
      <w:pPr>
        <w:ind w:left="1440" w:hanging="360"/>
      </w:pPr>
      <w:rPr>
        <w:rFonts w:ascii="Symbol" w:hAnsi="Symbol"/>
      </w:rPr>
    </w:lvl>
  </w:abstractNum>
  <w:num w:numId="1" w16cid:durableId="435708568">
    <w:abstractNumId w:val="4"/>
  </w:num>
  <w:num w:numId="2" w16cid:durableId="936183000">
    <w:abstractNumId w:val="0"/>
  </w:num>
  <w:num w:numId="3" w16cid:durableId="1907033076">
    <w:abstractNumId w:val="5"/>
  </w:num>
  <w:num w:numId="4" w16cid:durableId="589965465">
    <w:abstractNumId w:val="1"/>
  </w:num>
  <w:num w:numId="5" w16cid:durableId="726564478">
    <w:abstractNumId w:val="3"/>
  </w:num>
  <w:num w:numId="6" w16cid:durableId="1546671156">
    <w:abstractNumId w:val="6"/>
  </w:num>
  <w:num w:numId="7" w16cid:durableId="572853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76236B"/>
    <w:rsid w:val="0000709A"/>
    <w:rsid w:val="000116D5"/>
    <w:rsid w:val="00011888"/>
    <w:rsid w:val="00015BD3"/>
    <w:rsid w:val="000205BF"/>
    <w:rsid w:val="000206A7"/>
    <w:rsid w:val="000216CE"/>
    <w:rsid w:val="000223AC"/>
    <w:rsid w:val="000234B0"/>
    <w:rsid w:val="00023B1F"/>
    <w:rsid w:val="00023CEC"/>
    <w:rsid w:val="00033563"/>
    <w:rsid w:val="000339D7"/>
    <w:rsid w:val="00034D29"/>
    <w:rsid w:val="00047EAD"/>
    <w:rsid w:val="00052086"/>
    <w:rsid w:val="000540D8"/>
    <w:rsid w:val="00061AE4"/>
    <w:rsid w:val="000630C4"/>
    <w:rsid w:val="00067B86"/>
    <w:rsid w:val="00067E44"/>
    <w:rsid w:val="000726B9"/>
    <w:rsid w:val="0007781B"/>
    <w:rsid w:val="00081E23"/>
    <w:rsid w:val="00081FDB"/>
    <w:rsid w:val="000867C2"/>
    <w:rsid w:val="00090C57"/>
    <w:rsid w:val="00092AEE"/>
    <w:rsid w:val="000A08F7"/>
    <w:rsid w:val="000A5240"/>
    <w:rsid w:val="000A6BFF"/>
    <w:rsid w:val="000A7363"/>
    <w:rsid w:val="000A7FC6"/>
    <w:rsid w:val="000B251F"/>
    <w:rsid w:val="000B2763"/>
    <w:rsid w:val="000B2858"/>
    <w:rsid w:val="000B7DC6"/>
    <w:rsid w:val="000C2549"/>
    <w:rsid w:val="000C2567"/>
    <w:rsid w:val="000C7451"/>
    <w:rsid w:val="000D6899"/>
    <w:rsid w:val="000D7881"/>
    <w:rsid w:val="000D790F"/>
    <w:rsid w:val="000E672B"/>
    <w:rsid w:val="000E7E54"/>
    <w:rsid w:val="000F2040"/>
    <w:rsid w:val="000F478B"/>
    <w:rsid w:val="000F4F7D"/>
    <w:rsid w:val="001119C0"/>
    <w:rsid w:val="00112BC6"/>
    <w:rsid w:val="00116263"/>
    <w:rsid w:val="001236A2"/>
    <w:rsid w:val="00123811"/>
    <w:rsid w:val="00133BEA"/>
    <w:rsid w:val="001351C8"/>
    <w:rsid w:val="00140ED3"/>
    <w:rsid w:val="00141059"/>
    <w:rsid w:val="00144FF2"/>
    <w:rsid w:val="00151439"/>
    <w:rsid w:val="0015200B"/>
    <w:rsid w:val="00154A16"/>
    <w:rsid w:val="00155A88"/>
    <w:rsid w:val="001575E0"/>
    <w:rsid w:val="00163C2B"/>
    <w:rsid w:val="001731C4"/>
    <w:rsid w:val="001742B2"/>
    <w:rsid w:val="00176B7A"/>
    <w:rsid w:val="00176F82"/>
    <w:rsid w:val="00180CDF"/>
    <w:rsid w:val="00185DFC"/>
    <w:rsid w:val="00187095"/>
    <w:rsid w:val="00192D8C"/>
    <w:rsid w:val="00197709"/>
    <w:rsid w:val="001A05F6"/>
    <w:rsid w:val="001A62B6"/>
    <w:rsid w:val="001B0F97"/>
    <w:rsid w:val="001C343A"/>
    <w:rsid w:val="001D2459"/>
    <w:rsid w:val="001D2A6E"/>
    <w:rsid w:val="001D2B22"/>
    <w:rsid w:val="001D4741"/>
    <w:rsid w:val="001D5523"/>
    <w:rsid w:val="001E0A24"/>
    <w:rsid w:val="001E39F3"/>
    <w:rsid w:val="001E5E14"/>
    <w:rsid w:val="001F139C"/>
    <w:rsid w:val="001F3FB6"/>
    <w:rsid w:val="00200857"/>
    <w:rsid w:val="002026D1"/>
    <w:rsid w:val="002067FB"/>
    <w:rsid w:val="00210E5A"/>
    <w:rsid w:val="00213F2B"/>
    <w:rsid w:val="00217E1C"/>
    <w:rsid w:val="0022235B"/>
    <w:rsid w:val="00235899"/>
    <w:rsid w:val="0024042D"/>
    <w:rsid w:val="00243234"/>
    <w:rsid w:val="00246A57"/>
    <w:rsid w:val="00250BD5"/>
    <w:rsid w:val="00251820"/>
    <w:rsid w:val="00251FE0"/>
    <w:rsid w:val="00252277"/>
    <w:rsid w:val="0025367C"/>
    <w:rsid w:val="0025746D"/>
    <w:rsid w:val="00257695"/>
    <w:rsid w:val="00263944"/>
    <w:rsid w:val="00270EEE"/>
    <w:rsid w:val="00272315"/>
    <w:rsid w:val="0027441C"/>
    <w:rsid w:val="00276F59"/>
    <w:rsid w:val="00283562"/>
    <w:rsid w:val="0028895F"/>
    <w:rsid w:val="00292117"/>
    <w:rsid w:val="002A656F"/>
    <w:rsid w:val="002B05CE"/>
    <w:rsid w:val="002B7124"/>
    <w:rsid w:val="002C192C"/>
    <w:rsid w:val="002C643D"/>
    <w:rsid w:val="002D3300"/>
    <w:rsid w:val="002E4626"/>
    <w:rsid w:val="002E4781"/>
    <w:rsid w:val="002E59CE"/>
    <w:rsid w:val="002E6C3C"/>
    <w:rsid w:val="002E6F8B"/>
    <w:rsid w:val="002F1A56"/>
    <w:rsid w:val="002F5F63"/>
    <w:rsid w:val="002F6089"/>
    <w:rsid w:val="002F66E4"/>
    <w:rsid w:val="002F6894"/>
    <w:rsid w:val="0030145F"/>
    <w:rsid w:val="00305BCF"/>
    <w:rsid w:val="00307D9F"/>
    <w:rsid w:val="00310578"/>
    <w:rsid w:val="00311B94"/>
    <w:rsid w:val="0031464C"/>
    <w:rsid w:val="003169C1"/>
    <w:rsid w:val="00317BF6"/>
    <w:rsid w:val="003246CC"/>
    <w:rsid w:val="00327815"/>
    <w:rsid w:val="0033748E"/>
    <w:rsid w:val="00340288"/>
    <w:rsid w:val="00340323"/>
    <w:rsid w:val="00346F45"/>
    <w:rsid w:val="00356EB3"/>
    <w:rsid w:val="00361329"/>
    <w:rsid w:val="00361BC5"/>
    <w:rsid w:val="00362685"/>
    <w:rsid w:val="0036360C"/>
    <w:rsid w:val="00370CBA"/>
    <w:rsid w:val="00372C3A"/>
    <w:rsid w:val="003756B2"/>
    <w:rsid w:val="00383B06"/>
    <w:rsid w:val="00383CB1"/>
    <w:rsid w:val="00386268"/>
    <w:rsid w:val="00396EA4"/>
    <w:rsid w:val="003A61AA"/>
    <w:rsid w:val="003C5DEA"/>
    <w:rsid w:val="003C70C9"/>
    <w:rsid w:val="003C797F"/>
    <w:rsid w:val="003D0330"/>
    <w:rsid w:val="003D1311"/>
    <w:rsid w:val="003D157E"/>
    <w:rsid w:val="003D545B"/>
    <w:rsid w:val="003D577D"/>
    <w:rsid w:val="003D7641"/>
    <w:rsid w:val="003E0D34"/>
    <w:rsid w:val="003E36A5"/>
    <w:rsid w:val="003F5CEB"/>
    <w:rsid w:val="003F5DF2"/>
    <w:rsid w:val="004021E3"/>
    <w:rsid w:val="0040347C"/>
    <w:rsid w:val="00411726"/>
    <w:rsid w:val="004219CA"/>
    <w:rsid w:val="00421BE6"/>
    <w:rsid w:val="004251A9"/>
    <w:rsid w:val="0042730C"/>
    <w:rsid w:val="00433342"/>
    <w:rsid w:val="00433629"/>
    <w:rsid w:val="00441397"/>
    <w:rsid w:val="00441E51"/>
    <w:rsid w:val="004442C7"/>
    <w:rsid w:val="00450AFA"/>
    <w:rsid w:val="00452583"/>
    <w:rsid w:val="00456974"/>
    <w:rsid w:val="0046031D"/>
    <w:rsid w:val="00463864"/>
    <w:rsid w:val="00466CA5"/>
    <w:rsid w:val="00470E5D"/>
    <w:rsid w:val="00472B13"/>
    <w:rsid w:val="00477EC4"/>
    <w:rsid w:val="00480E22"/>
    <w:rsid w:val="00491D7D"/>
    <w:rsid w:val="004934BF"/>
    <w:rsid w:val="004A0745"/>
    <w:rsid w:val="004A08A1"/>
    <w:rsid w:val="004A2EFE"/>
    <w:rsid w:val="004B50F6"/>
    <w:rsid w:val="004B5EA3"/>
    <w:rsid w:val="004B72AA"/>
    <w:rsid w:val="004C61B5"/>
    <w:rsid w:val="004C6ABD"/>
    <w:rsid w:val="004D111D"/>
    <w:rsid w:val="004E4234"/>
    <w:rsid w:val="00502D75"/>
    <w:rsid w:val="00503974"/>
    <w:rsid w:val="00504470"/>
    <w:rsid w:val="00505F41"/>
    <w:rsid w:val="00507570"/>
    <w:rsid w:val="005136CF"/>
    <w:rsid w:val="00514AAE"/>
    <w:rsid w:val="00517F8E"/>
    <w:rsid w:val="0052496D"/>
    <w:rsid w:val="00526DD7"/>
    <w:rsid w:val="0053385A"/>
    <w:rsid w:val="00542B5F"/>
    <w:rsid w:val="00543F23"/>
    <w:rsid w:val="005504ED"/>
    <w:rsid w:val="00552AD0"/>
    <w:rsid w:val="00553ED9"/>
    <w:rsid w:val="0055703B"/>
    <w:rsid w:val="005601BA"/>
    <w:rsid w:val="0056095A"/>
    <w:rsid w:val="0056608E"/>
    <w:rsid w:val="005675AC"/>
    <w:rsid w:val="00570143"/>
    <w:rsid w:val="00573869"/>
    <w:rsid w:val="005750B8"/>
    <w:rsid w:val="00575679"/>
    <w:rsid w:val="00582724"/>
    <w:rsid w:val="00583C5E"/>
    <w:rsid w:val="0059029D"/>
    <w:rsid w:val="005A0420"/>
    <w:rsid w:val="005A07EE"/>
    <w:rsid w:val="005A2B3F"/>
    <w:rsid w:val="005A3170"/>
    <w:rsid w:val="005B2CC3"/>
    <w:rsid w:val="005B5147"/>
    <w:rsid w:val="005B686C"/>
    <w:rsid w:val="005C1F09"/>
    <w:rsid w:val="005C20A8"/>
    <w:rsid w:val="005C6E95"/>
    <w:rsid w:val="005D3035"/>
    <w:rsid w:val="005E1B78"/>
    <w:rsid w:val="005E2631"/>
    <w:rsid w:val="005E381F"/>
    <w:rsid w:val="005E772E"/>
    <w:rsid w:val="005E7C4D"/>
    <w:rsid w:val="005F353A"/>
    <w:rsid w:val="005F74E1"/>
    <w:rsid w:val="006033A8"/>
    <w:rsid w:val="0060523B"/>
    <w:rsid w:val="006066DE"/>
    <w:rsid w:val="00610DB2"/>
    <w:rsid w:val="00611AB6"/>
    <w:rsid w:val="00624CF4"/>
    <w:rsid w:val="00631518"/>
    <w:rsid w:val="00633CCB"/>
    <w:rsid w:val="0063660F"/>
    <w:rsid w:val="006407E3"/>
    <w:rsid w:val="006426AB"/>
    <w:rsid w:val="00663698"/>
    <w:rsid w:val="0067153A"/>
    <w:rsid w:val="00671806"/>
    <w:rsid w:val="006722AD"/>
    <w:rsid w:val="0068323F"/>
    <w:rsid w:val="00685B29"/>
    <w:rsid w:val="00685CD0"/>
    <w:rsid w:val="00690E4B"/>
    <w:rsid w:val="006917FE"/>
    <w:rsid w:val="00691BAA"/>
    <w:rsid w:val="00694510"/>
    <w:rsid w:val="006A0F5A"/>
    <w:rsid w:val="006A23EC"/>
    <w:rsid w:val="006A5862"/>
    <w:rsid w:val="006B0782"/>
    <w:rsid w:val="006B3C44"/>
    <w:rsid w:val="006B40E2"/>
    <w:rsid w:val="006C04B4"/>
    <w:rsid w:val="006C19DC"/>
    <w:rsid w:val="006C1D6E"/>
    <w:rsid w:val="006C29F4"/>
    <w:rsid w:val="006C5C66"/>
    <w:rsid w:val="006C6614"/>
    <w:rsid w:val="006D0059"/>
    <w:rsid w:val="006D41E6"/>
    <w:rsid w:val="006D55F5"/>
    <w:rsid w:val="006D644C"/>
    <w:rsid w:val="006E5707"/>
    <w:rsid w:val="006E5E35"/>
    <w:rsid w:val="006E6263"/>
    <w:rsid w:val="006E6479"/>
    <w:rsid w:val="006E71EE"/>
    <w:rsid w:val="0070110E"/>
    <w:rsid w:val="00705667"/>
    <w:rsid w:val="00705AF5"/>
    <w:rsid w:val="0071262F"/>
    <w:rsid w:val="00714240"/>
    <w:rsid w:val="007147AB"/>
    <w:rsid w:val="007157EF"/>
    <w:rsid w:val="00721375"/>
    <w:rsid w:val="0072162A"/>
    <w:rsid w:val="00722665"/>
    <w:rsid w:val="007302B5"/>
    <w:rsid w:val="007325EB"/>
    <w:rsid w:val="00733BB3"/>
    <w:rsid w:val="00750C9C"/>
    <w:rsid w:val="00754359"/>
    <w:rsid w:val="00754C48"/>
    <w:rsid w:val="00760DA8"/>
    <w:rsid w:val="0076236B"/>
    <w:rsid w:val="00762B7A"/>
    <w:rsid w:val="00763368"/>
    <w:rsid w:val="007677F3"/>
    <w:rsid w:val="00767A17"/>
    <w:rsid w:val="00771604"/>
    <w:rsid w:val="007751FF"/>
    <w:rsid w:val="0077549C"/>
    <w:rsid w:val="007823D8"/>
    <w:rsid w:val="00784BC7"/>
    <w:rsid w:val="007856CF"/>
    <w:rsid w:val="00793519"/>
    <w:rsid w:val="0079635B"/>
    <w:rsid w:val="007A0FD9"/>
    <w:rsid w:val="007A68EF"/>
    <w:rsid w:val="007B305E"/>
    <w:rsid w:val="007B57B0"/>
    <w:rsid w:val="007B727E"/>
    <w:rsid w:val="007B72DD"/>
    <w:rsid w:val="007D2341"/>
    <w:rsid w:val="007D6377"/>
    <w:rsid w:val="007E123F"/>
    <w:rsid w:val="007E25F7"/>
    <w:rsid w:val="007E3260"/>
    <w:rsid w:val="007F3B73"/>
    <w:rsid w:val="007F5007"/>
    <w:rsid w:val="00801640"/>
    <w:rsid w:val="008047C1"/>
    <w:rsid w:val="00810EA7"/>
    <w:rsid w:val="0081112C"/>
    <w:rsid w:val="008112CC"/>
    <w:rsid w:val="008124D0"/>
    <w:rsid w:val="00815AD1"/>
    <w:rsid w:val="0081717E"/>
    <w:rsid w:val="0082004B"/>
    <w:rsid w:val="008237EA"/>
    <w:rsid w:val="0082564E"/>
    <w:rsid w:val="008361EB"/>
    <w:rsid w:val="008462B7"/>
    <w:rsid w:val="0084725C"/>
    <w:rsid w:val="008533D3"/>
    <w:rsid w:val="00854047"/>
    <w:rsid w:val="008548FE"/>
    <w:rsid w:val="00863071"/>
    <w:rsid w:val="0086480A"/>
    <w:rsid w:val="00864FDF"/>
    <w:rsid w:val="00866193"/>
    <w:rsid w:val="008663D2"/>
    <w:rsid w:val="00876061"/>
    <w:rsid w:val="00883E79"/>
    <w:rsid w:val="00887F9E"/>
    <w:rsid w:val="008952EC"/>
    <w:rsid w:val="00896774"/>
    <w:rsid w:val="008B08D8"/>
    <w:rsid w:val="008B2780"/>
    <w:rsid w:val="008B3F8A"/>
    <w:rsid w:val="008B429D"/>
    <w:rsid w:val="008B54FC"/>
    <w:rsid w:val="008C4207"/>
    <w:rsid w:val="008C5AD2"/>
    <w:rsid w:val="008C7827"/>
    <w:rsid w:val="008D216D"/>
    <w:rsid w:val="008D5B59"/>
    <w:rsid w:val="008D60A5"/>
    <w:rsid w:val="008E4580"/>
    <w:rsid w:val="008F0936"/>
    <w:rsid w:val="00906C11"/>
    <w:rsid w:val="00906E77"/>
    <w:rsid w:val="009200B5"/>
    <w:rsid w:val="00920569"/>
    <w:rsid w:val="00921850"/>
    <w:rsid w:val="00933A02"/>
    <w:rsid w:val="00943631"/>
    <w:rsid w:val="00946836"/>
    <w:rsid w:val="00952AA3"/>
    <w:rsid w:val="00953720"/>
    <w:rsid w:val="00953CFC"/>
    <w:rsid w:val="009610E9"/>
    <w:rsid w:val="009654C4"/>
    <w:rsid w:val="009654EA"/>
    <w:rsid w:val="0096570B"/>
    <w:rsid w:val="00965D29"/>
    <w:rsid w:val="009666C8"/>
    <w:rsid w:val="0097021D"/>
    <w:rsid w:val="00974DD8"/>
    <w:rsid w:val="00981157"/>
    <w:rsid w:val="00983FB1"/>
    <w:rsid w:val="00984581"/>
    <w:rsid w:val="00992B32"/>
    <w:rsid w:val="00993DDC"/>
    <w:rsid w:val="00993FAB"/>
    <w:rsid w:val="009956AA"/>
    <w:rsid w:val="009A466B"/>
    <w:rsid w:val="009A7542"/>
    <w:rsid w:val="009B4046"/>
    <w:rsid w:val="009B7366"/>
    <w:rsid w:val="009C465A"/>
    <w:rsid w:val="009C5127"/>
    <w:rsid w:val="009C662F"/>
    <w:rsid w:val="009D1A96"/>
    <w:rsid w:val="009E3D9F"/>
    <w:rsid w:val="009E6E2B"/>
    <w:rsid w:val="009E73F8"/>
    <w:rsid w:val="009F3464"/>
    <w:rsid w:val="00A008D8"/>
    <w:rsid w:val="00A079C4"/>
    <w:rsid w:val="00A1368C"/>
    <w:rsid w:val="00A13E97"/>
    <w:rsid w:val="00A14CE1"/>
    <w:rsid w:val="00A16D09"/>
    <w:rsid w:val="00A2263A"/>
    <w:rsid w:val="00A34B9C"/>
    <w:rsid w:val="00A36374"/>
    <w:rsid w:val="00A42875"/>
    <w:rsid w:val="00A458D5"/>
    <w:rsid w:val="00A502CE"/>
    <w:rsid w:val="00A51094"/>
    <w:rsid w:val="00A52DF7"/>
    <w:rsid w:val="00A560BA"/>
    <w:rsid w:val="00A56ED4"/>
    <w:rsid w:val="00A6009D"/>
    <w:rsid w:val="00A60670"/>
    <w:rsid w:val="00A65FDE"/>
    <w:rsid w:val="00A66403"/>
    <w:rsid w:val="00A725C4"/>
    <w:rsid w:val="00A77B75"/>
    <w:rsid w:val="00A81D67"/>
    <w:rsid w:val="00A91776"/>
    <w:rsid w:val="00A96D0E"/>
    <w:rsid w:val="00A9777E"/>
    <w:rsid w:val="00AA1800"/>
    <w:rsid w:val="00AA19F4"/>
    <w:rsid w:val="00AA1F91"/>
    <w:rsid w:val="00AA2A22"/>
    <w:rsid w:val="00AA2BF7"/>
    <w:rsid w:val="00AA4233"/>
    <w:rsid w:val="00AA5833"/>
    <w:rsid w:val="00AA6932"/>
    <w:rsid w:val="00AB25B0"/>
    <w:rsid w:val="00AB3FE1"/>
    <w:rsid w:val="00AB69DA"/>
    <w:rsid w:val="00AD60B8"/>
    <w:rsid w:val="00AD7676"/>
    <w:rsid w:val="00AE1456"/>
    <w:rsid w:val="00AE2945"/>
    <w:rsid w:val="00AF0B62"/>
    <w:rsid w:val="00AF1013"/>
    <w:rsid w:val="00AF4967"/>
    <w:rsid w:val="00AF4A8F"/>
    <w:rsid w:val="00AF5477"/>
    <w:rsid w:val="00B013C0"/>
    <w:rsid w:val="00B01BD2"/>
    <w:rsid w:val="00B01D0C"/>
    <w:rsid w:val="00B05E25"/>
    <w:rsid w:val="00B07D6E"/>
    <w:rsid w:val="00B10550"/>
    <w:rsid w:val="00B170E4"/>
    <w:rsid w:val="00B2203D"/>
    <w:rsid w:val="00B2349D"/>
    <w:rsid w:val="00B24204"/>
    <w:rsid w:val="00B2649A"/>
    <w:rsid w:val="00B376CC"/>
    <w:rsid w:val="00B378B3"/>
    <w:rsid w:val="00B417F6"/>
    <w:rsid w:val="00B41812"/>
    <w:rsid w:val="00B459F7"/>
    <w:rsid w:val="00B4617F"/>
    <w:rsid w:val="00B50CF1"/>
    <w:rsid w:val="00B519FC"/>
    <w:rsid w:val="00B57E83"/>
    <w:rsid w:val="00B67415"/>
    <w:rsid w:val="00B72A3E"/>
    <w:rsid w:val="00B73EA4"/>
    <w:rsid w:val="00B7444D"/>
    <w:rsid w:val="00B75BBE"/>
    <w:rsid w:val="00B7655E"/>
    <w:rsid w:val="00B804CF"/>
    <w:rsid w:val="00B8207F"/>
    <w:rsid w:val="00B82196"/>
    <w:rsid w:val="00B8312C"/>
    <w:rsid w:val="00B84DB7"/>
    <w:rsid w:val="00B86F9C"/>
    <w:rsid w:val="00B901AC"/>
    <w:rsid w:val="00B90C6B"/>
    <w:rsid w:val="00B91705"/>
    <w:rsid w:val="00B91CEA"/>
    <w:rsid w:val="00B94698"/>
    <w:rsid w:val="00B96D3F"/>
    <w:rsid w:val="00B96E69"/>
    <w:rsid w:val="00BA23B6"/>
    <w:rsid w:val="00BA4928"/>
    <w:rsid w:val="00BB092B"/>
    <w:rsid w:val="00BB2BC2"/>
    <w:rsid w:val="00BB2FE1"/>
    <w:rsid w:val="00BB3009"/>
    <w:rsid w:val="00BB3FD8"/>
    <w:rsid w:val="00BB499A"/>
    <w:rsid w:val="00BB51ED"/>
    <w:rsid w:val="00BB7D3F"/>
    <w:rsid w:val="00BC17CA"/>
    <w:rsid w:val="00BC2429"/>
    <w:rsid w:val="00BC4F6B"/>
    <w:rsid w:val="00BC7E52"/>
    <w:rsid w:val="00BD5602"/>
    <w:rsid w:val="00BE0FC4"/>
    <w:rsid w:val="00BE78BA"/>
    <w:rsid w:val="00BF0105"/>
    <w:rsid w:val="00BF5AF6"/>
    <w:rsid w:val="00C15827"/>
    <w:rsid w:val="00C15D09"/>
    <w:rsid w:val="00C16044"/>
    <w:rsid w:val="00C31196"/>
    <w:rsid w:val="00C532F5"/>
    <w:rsid w:val="00C5676A"/>
    <w:rsid w:val="00C61DE9"/>
    <w:rsid w:val="00C6388F"/>
    <w:rsid w:val="00C63DA0"/>
    <w:rsid w:val="00C71A99"/>
    <w:rsid w:val="00C73AC7"/>
    <w:rsid w:val="00C81429"/>
    <w:rsid w:val="00C81A3F"/>
    <w:rsid w:val="00C8308A"/>
    <w:rsid w:val="00C91168"/>
    <w:rsid w:val="00C91C89"/>
    <w:rsid w:val="00C9394B"/>
    <w:rsid w:val="00C93E83"/>
    <w:rsid w:val="00C9407B"/>
    <w:rsid w:val="00C96DB2"/>
    <w:rsid w:val="00CA0B6D"/>
    <w:rsid w:val="00CA63CD"/>
    <w:rsid w:val="00CB01CA"/>
    <w:rsid w:val="00CB3C98"/>
    <w:rsid w:val="00CB3D86"/>
    <w:rsid w:val="00CC1210"/>
    <w:rsid w:val="00CC4922"/>
    <w:rsid w:val="00CC52B0"/>
    <w:rsid w:val="00CD2737"/>
    <w:rsid w:val="00CD5AB0"/>
    <w:rsid w:val="00CE2E8E"/>
    <w:rsid w:val="00CE439F"/>
    <w:rsid w:val="00CF4840"/>
    <w:rsid w:val="00CF56A6"/>
    <w:rsid w:val="00D024E7"/>
    <w:rsid w:val="00D02FC1"/>
    <w:rsid w:val="00D041D9"/>
    <w:rsid w:val="00D14D87"/>
    <w:rsid w:val="00D16112"/>
    <w:rsid w:val="00D24952"/>
    <w:rsid w:val="00D30B03"/>
    <w:rsid w:val="00D3494A"/>
    <w:rsid w:val="00D353FB"/>
    <w:rsid w:val="00D539A1"/>
    <w:rsid w:val="00D53FEC"/>
    <w:rsid w:val="00D54281"/>
    <w:rsid w:val="00D56D7B"/>
    <w:rsid w:val="00D64924"/>
    <w:rsid w:val="00D70880"/>
    <w:rsid w:val="00D712FA"/>
    <w:rsid w:val="00D72030"/>
    <w:rsid w:val="00D72E02"/>
    <w:rsid w:val="00D73602"/>
    <w:rsid w:val="00D8039D"/>
    <w:rsid w:val="00DA2CED"/>
    <w:rsid w:val="00DA3AFB"/>
    <w:rsid w:val="00DA3E6E"/>
    <w:rsid w:val="00DB0E9D"/>
    <w:rsid w:val="00DB5F3F"/>
    <w:rsid w:val="00DB6BA6"/>
    <w:rsid w:val="00DB7D82"/>
    <w:rsid w:val="00DC553A"/>
    <w:rsid w:val="00DC6BD7"/>
    <w:rsid w:val="00DE3AE8"/>
    <w:rsid w:val="00DE4D85"/>
    <w:rsid w:val="00DE5E51"/>
    <w:rsid w:val="00DE7A3C"/>
    <w:rsid w:val="00DF383E"/>
    <w:rsid w:val="00E01B8E"/>
    <w:rsid w:val="00E04048"/>
    <w:rsid w:val="00E12C16"/>
    <w:rsid w:val="00E16B62"/>
    <w:rsid w:val="00E171B5"/>
    <w:rsid w:val="00E20091"/>
    <w:rsid w:val="00E26F8D"/>
    <w:rsid w:val="00E27066"/>
    <w:rsid w:val="00E42F46"/>
    <w:rsid w:val="00E44069"/>
    <w:rsid w:val="00E47B59"/>
    <w:rsid w:val="00E51603"/>
    <w:rsid w:val="00E52CA8"/>
    <w:rsid w:val="00E56280"/>
    <w:rsid w:val="00E570E6"/>
    <w:rsid w:val="00E61253"/>
    <w:rsid w:val="00E6579D"/>
    <w:rsid w:val="00E70A2A"/>
    <w:rsid w:val="00E85158"/>
    <w:rsid w:val="00E87C1F"/>
    <w:rsid w:val="00E90189"/>
    <w:rsid w:val="00E90EDC"/>
    <w:rsid w:val="00E9395E"/>
    <w:rsid w:val="00E95D6C"/>
    <w:rsid w:val="00EA3F12"/>
    <w:rsid w:val="00EA45CD"/>
    <w:rsid w:val="00EB57DB"/>
    <w:rsid w:val="00EC10C0"/>
    <w:rsid w:val="00ED681A"/>
    <w:rsid w:val="00EF00F0"/>
    <w:rsid w:val="00EF22F1"/>
    <w:rsid w:val="00EF25CB"/>
    <w:rsid w:val="00EF3B81"/>
    <w:rsid w:val="00EF5179"/>
    <w:rsid w:val="00EF69D8"/>
    <w:rsid w:val="00EF7F74"/>
    <w:rsid w:val="00F05C8A"/>
    <w:rsid w:val="00F17DBE"/>
    <w:rsid w:val="00F2442F"/>
    <w:rsid w:val="00F2519B"/>
    <w:rsid w:val="00F277E3"/>
    <w:rsid w:val="00F31F40"/>
    <w:rsid w:val="00F33AFD"/>
    <w:rsid w:val="00F33C50"/>
    <w:rsid w:val="00F33FCE"/>
    <w:rsid w:val="00F36457"/>
    <w:rsid w:val="00F37E5C"/>
    <w:rsid w:val="00F40938"/>
    <w:rsid w:val="00F44334"/>
    <w:rsid w:val="00F52C08"/>
    <w:rsid w:val="00F5600C"/>
    <w:rsid w:val="00F6138A"/>
    <w:rsid w:val="00F64852"/>
    <w:rsid w:val="00F675BC"/>
    <w:rsid w:val="00F71673"/>
    <w:rsid w:val="00F72333"/>
    <w:rsid w:val="00F8054D"/>
    <w:rsid w:val="00F80796"/>
    <w:rsid w:val="00F90F52"/>
    <w:rsid w:val="00F91B67"/>
    <w:rsid w:val="00F97895"/>
    <w:rsid w:val="00FA1815"/>
    <w:rsid w:val="00FA4A35"/>
    <w:rsid w:val="00FA4DFD"/>
    <w:rsid w:val="00FA5D31"/>
    <w:rsid w:val="00FB150F"/>
    <w:rsid w:val="00FB2BD9"/>
    <w:rsid w:val="00FB4954"/>
    <w:rsid w:val="00FC1DD0"/>
    <w:rsid w:val="00FD4058"/>
    <w:rsid w:val="00FD7095"/>
    <w:rsid w:val="00FE2E23"/>
    <w:rsid w:val="00FE6533"/>
    <w:rsid w:val="00FE732C"/>
    <w:rsid w:val="00FE7D60"/>
    <w:rsid w:val="00FF5FCD"/>
    <w:rsid w:val="02CDF3C6"/>
    <w:rsid w:val="032F8D92"/>
    <w:rsid w:val="0446ACAD"/>
    <w:rsid w:val="0AB4FE75"/>
    <w:rsid w:val="11071DDB"/>
    <w:rsid w:val="1176A4B9"/>
    <w:rsid w:val="12D708A4"/>
    <w:rsid w:val="160BC4A6"/>
    <w:rsid w:val="169DB0A9"/>
    <w:rsid w:val="1783399A"/>
    <w:rsid w:val="184C5821"/>
    <w:rsid w:val="1B9266F7"/>
    <w:rsid w:val="1C5AC31B"/>
    <w:rsid w:val="1D7A026E"/>
    <w:rsid w:val="1E2C3E7F"/>
    <w:rsid w:val="20A5DEE6"/>
    <w:rsid w:val="2153A67F"/>
    <w:rsid w:val="215C2B7C"/>
    <w:rsid w:val="24A8CC2B"/>
    <w:rsid w:val="2886067F"/>
    <w:rsid w:val="29406222"/>
    <w:rsid w:val="2947FCFE"/>
    <w:rsid w:val="297176B8"/>
    <w:rsid w:val="29B91EFA"/>
    <w:rsid w:val="29FC4EB6"/>
    <w:rsid w:val="2C1F0F3E"/>
    <w:rsid w:val="2C746E09"/>
    <w:rsid w:val="2D3F7AF5"/>
    <w:rsid w:val="2EBB4772"/>
    <w:rsid w:val="30237A48"/>
    <w:rsid w:val="304C65E6"/>
    <w:rsid w:val="31F3F7F4"/>
    <w:rsid w:val="33425649"/>
    <w:rsid w:val="3534A5D0"/>
    <w:rsid w:val="36834996"/>
    <w:rsid w:val="375E2DC0"/>
    <w:rsid w:val="38CCA622"/>
    <w:rsid w:val="3AA01870"/>
    <w:rsid w:val="3BEC1429"/>
    <w:rsid w:val="452DEAF7"/>
    <w:rsid w:val="45E836B1"/>
    <w:rsid w:val="4DFD42D6"/>
    <w:rsid w:val="4E3EE7F4"/>
    <w:rsid w:val="4E6F01E3"/>
    <w:rsid w:val="518D8AE2"/>
    <w:rsid w:val="530E83F3"/>
    <w:rsid w:val="56B38879"/>
    <w:rsid w:val="56CE2275"/>
    <w:rsid w:val="58017783"/>
    <w:rsid w:val="5859186B"/>
    <w:rsid w:val="5D9F3467"/>
    <w:rsid w:val="5DD0C0DC"/>
    <w:rsid w:val="5E573582"/>
    <w:rsid w:val="5E7B29B9"/>
    <w:rsid w:val="5EB76CDC"/>
    <w:rsid w:val="5ED6A314"/>
    <w:rsid w:val="601EDB56"/>
    <w:rsid w:val="60D70E53"/>
    <w:rsid w:val="61081146"/>
    <w:rsid w:val="6189CC36"/>
    <w:rsid w:val="64E465C6"/>
    <w:rsid w:val="664D281F"/>
    <w:rsid w:val="6AA06C6A"/>
    <w:rsid w:val="6DF1415A"/>
    <w:rsid w:val="6EA509E6"/>
    <w:rsid w:val="70BF9677"/>
    <w:rsid w:val="70D1D31C"/>
    <w:rsid w:val="711F2BA7"/>
    <w:rsid w:val="7125B482"/>
    <w:rsid w:val="724A46C0"/>
    <w:rsid w:val="72E718AC"/>
    <w:rsid w:val="7AEFFB21"/>
    <w:rsid w:val="7E489F8A"/>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1B71D"/>
  <w15:chartTrackingRefBased/>
  <w15:docId w15:val="{364D5A2E-2FE8-4E55-BD41-9CC09D0A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623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7623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623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7623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7623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7623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7623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7623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7623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23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7623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3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3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3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3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3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3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36B"/>
    <w:rPr>
      <w:rFonts w:eastAsiaTheme="majorEastAsia" w:cstheme="majorBidi"/>
      <w:color w:val="272727" w:themeColor="text1" w:themeTint="D8"/>
    </w:rPr>
  </w:style>
  <w:style w:type="paragraph" w:styleId="Title">
    <w:name w:val="Title"/>
    <w:basedOn w:val="Normal"/>
    <w:next w:val="Normal"/>
    <w:link w:val="TitleChar"/>
    <w:uiPriority w:val="10"/>
    <w:qFormat/>
    <w:rsid w:val="007623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3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3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3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36B"/>
    <w:pPr>
      <w:spacing w:before="160"/>
      <w:jc w:val="center"/>
    </w:pPr>
    <w:rPr>
      <w:i/>
      <w:iCs/>
      <w:color w:val="404040" w:themeColor="text1" w:themeTint="BF"/>
    </w:rPr>
  </w:style>
  <w:style w:type="character" w:customStyle="1" w:styleId="QuoteChar">
    <w:name w:val="Quote Char"/>
    <w:basedOn w:val="DefaultParagraphFont"/>
    <w:link w:val="Quote"/>
    <w:uiPriority w:val="29"/>
    <w:rsid w:val="0076236B"/>
    <w:rPr>
      <w:i/>
      <w:iCs/>
      <w:color w:val="404040" w:themeColor="text1" w:themeTint="BF"/>
    </w:rPr>
  </w:style>
  <w:style w:type="paragraph" w:styleId="ListParagraph">
    <w:name w:val="List Paragraph"/>
    <w:basedOn w:val="Normal"/>
    <w:uiPriority w:val="34"/>
    <w:qFormat/>
    <w:rsid w:val="0076236B"/>
    <w:pPr>
      <w:ind w:left="720"/>
      <w:contextualSpacing/>
    </w:pPr>
  </w:style>
  <w:style w:type="character" w:styleId="IntenseEmphasis">
    <w:name w:val="Intense Emphasis"/>
    <w:basedOn w:val="DefaultParagraphFont"/>
    <w:uiPriority w:val="21"/>
    <w:qFormat/>
    <w:rsid w:val="0076236B"/>
    <w:rPr>
      <w:i/>
      <w:iCs/>
      <w:color w:val="0F4761" w:themeColor="accent1" w:themeShade="BF"/>
    </w:rPr>
  </w:style>
  <w:style w:type="paragraph" w:styleId="IntenseQuote">
    <w:name w:val="Intense Quote"/>
    <w:basedOn w:val="Normal"/>
    <w:next w:val="Normal"/>
    <w:link w:val="IntenseQuoteChar"/>
    <w:uiPriority w:val="30"/>
    <w:qFormat/>
    <w:rsid w:val="007623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36B"/>
    <w:rPr>
      <w:i/>
      <w:iCs/>
      <w:color w:val="0F4761" w:themeColor="accent1" w:themeShade="BF"/>
    </w:rPr>
  </w:style>
  <w:style w:type="character" w:styleId="IntenseReference">
    <w:name w:val="Intense Reference"/>
    <w:basedOn w:val="DefaultParagraphFont"/>
    <w:uiPriority w:val="32"/>
    <w:qFormat/>
    <w:rsid w:val="0076236B"/>
    <w:rPr>
      <w:b/>
      <w:bCs/>
      <w:smallCaps/>
      <w:color w:val="0F4761" w:themeColor="accent1" w:themeShade="BF"/>
      <w:spacing w:val="5"/>
    </w:r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A,FA Fu,fn"/>
    <w:basedOn w:val="Normal"/>
    <w:link w:val="FootnoteTextChar"/>
    <w:unhideWhenUsed/>
    <w:qFormat/>
    <w:rsid w:val="003D577D"/>
    <w:pPr>
      <w:spacing w:after="0" w:line="240" w:lineRule="auto"/>
    </w:pPr>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A Char"/>
    <w:basedOn w:val="DefaultParagraphFont"/>
    <w:link w:val="FootnoteText"/>
    <w:rsid w:val="003D577D"/>
    <w:rPr>
      <w:sz w:val="20"/>
      <w:szCs w:val="20"/>
    </w:rPr>
  </w:style>
  <w:style w:type="character" w:styleId="FootnoteReference">
    <w:name w:val="footnote reference"/>
    <w:aliases w:val="Footnote symbol"/>
    <w:basedOn w:val="DefaultParagraphFont"/>
    <w:unhideWhenUsed/>
    <w:qFormat/>
    <w:rsid w:val="003D577D"/>
    <w:rPr>
      <w:vertAlign w:val="superscript"/>
    </w:rPr>
  </w:style>
  <w:style w:type="character" w:styleId="CommentReference">
    <w:name w:val="annotation reference"/>
    <w:basedOn w:val="DefaultParagraphFont"/>
    <w:uiPriority w:val="99"/>
    <w:semiHidden/>
    <w:unhideWhenUsed/>
    <w:rsid w:val="00433342"/>
    <w:rPr>
      <w:sz w:val="16"/>
      <w:szCs w:val="16"/>
    </w:rPr>
  </w:style>
  <w:style w:type="paragraph" w:styleId="CommentText">
    <w:name w:val="annotation text"/>
    <w:basedOn w:val="Normal"/>
    <w:link w:val="CommentTextChar"/>
    <w:uiPriority w:val="99"/>
    <w:unhideWhenUsed/>
    <w:rsid w:val="00433342"/>
    <w:pPr>
      <w:spacing w:line="240" w:lineRule="auto"/>
    </w:pPr>
    <w:rPr>
      <w:sz w:val="20"/>
      <w:szCs w:val="20"/>
    </w:rPr>
  </w:style>
  <w:style w:type="character" w:customStyle="1" w:styleId="CommentTextChar">
    <w:name w:val="Comment Text Char"/>
    <w:basedOn w:val="DefaultParagraphFont"/>
    <w:link w:val="CommentText"/>
    <w:uiPriority w:val="99"/>
    <w:rsid w:val="00433342"/>
    <w:rPr>
      <w:sz w:val="20"/>
      <w:szCs w:val="20"/>
    </w:rPr>
  </w:style>
  <w:style w:type="paragraph" w:styleId="CommentSubject">
    <w:name w:val="annotation subject"/>
    <w:basedOn w:val="CommentText"/>
    <w:next w:val="CommentText"/>
    <w:link w:val="CommentSubjectChar"/>
    <w:uiPriority w:val="99"/>
    <w:semiHidden/>
    <w:unhideWhenUsed/>
    <w:rsid w:val="00433342"/>
    <w:rPr>
      <w:b/>
      <w:bCs/>
    </w:rPr>
  </w:style>
  <w:style w:type="character" w:customStyle="1" w:styleId="CommentSubjectChar">
    <w:name w:val="Comment Subject Char"/>
    <w:basedOn w:val="CommentTextChar"/>
    <w:link w:val="CommentSubject"/>
    <w:uiPriority w:val="99"/>
    <w:semiHidden/>
    <w:rsid w:val="00433342"/>
    <w:rPr>
      <w:b/>
      <w:bCs/>
      <w:sz w:val="20"/>
      <w:szCs w:val="20"/>
    </w:rPr>
  </w:style>
  <w:style w:type="character" w:styleId="Hyperlink">
    <w:name w:val="Hyperlink"/>
    <w:basedOn w:val="DefaultParagraphFont"/>
    <w:uiPriority w:val="99"/>
    <w:rsid w:val="00187095"/>
    <w:rPr>
      <w:color w:val="0000FF"/>
      <w:u w:val="single"/>
    </w:rPr>
  </w:style>
  <w:style w:type="paragraph" w:styleId="Revision">
    <w:name w:val="Revision"/>
    <w:hidden/>
    <w:uiPriority w:val="99"/>
    <w:semiHidden/>
    <w:rsid w:val="00722665"/>
    <w:pPr>
      <w:spacing w:after="0" w:line="240" w:lineRule="auto"/>
    </w:pPr>
  </w:style>
  <w:style w:type="paragraph" w:styleId="Header">
    <w:name w:val="header"/>
    <w:basedOn w:val="Normal"/>
    <w:link w:val="HeaderChar"/>
    <w:uiPriority w:val="99"/>
    <w:unhideWhenUsed/>
    <w:rsid w:val="00F277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7E3"/>
  </w:style>
  <w:style w:type="paragraph" w:styleId="Footer">
    <w:name w:val="footer"/>
    <w:basedOn w:val="Normal"/>
    <w:link w:val="FooterChar"/>
    <w:uiPriority w:val="99"/>
    <w:unhideWhenUsed/>
    <w:rsid w:val="00F277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7E3"/>
  </w:style>
  <w:style w:type="character" w:styleId="Mention">
    <w:name w:val="Mention"/>
    <w:basedOn w:val="DefaultParagraphFont"/>
    <w:uiPriority w:val="99"/>
    <w:unhideWhenUsed/>
    <w:rsid w:val="005A3170"/>
    <w:rPr>
      <w:color w:val="2B579A"/>
      <w:shd w:val="clear" w:color="auto" w:fill="E1DFDD"/>
    </w:rPr>
  </w:style>
  <w:style w:type="character" w:styleId="UnresolvedMention">
    <w:name w:val="Unresolved Mention"/>
    <w:basedOn w:val="DefaultParagraphFont"/>
    <w:uiPriority w:val="99"/>
    <w:semiHidden/>
    <w:unhideWhenUsed/>
    <w:rsid w:val="001B0F97"/>
    <w:rPr>
      <w:color w:val="605E5C"/>
      <w:shd w:val="clear" w:color="auto" w:fill="E1DFDD"/>
    </w:rPr>
  </w:style>
  <w:style w:type="character" w:styleId="FollowedHyperlink">
    <w:name w:val="FollowedHyperlink"/>
    <w:basedOn w:val="DefaultParagraphFont"/>
    <w:uiPriority w:val="99"/>
    <w:semiHidden/>
    <w:unhideWhenUsed/>
    <w:rsid w:val="00317BF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670980">
      <w:bodyDiv w:val="1"/>
      <w:marLeft w:val="0"/>
      <w:marRight w:val="0"/>
      <w:marTop w:val="0"/>
      <w:marBottom w:val="0"/>
      <w:divBdr>
        <w:top w:val="none" w:sz="0" w:space="0" w:color="auto"/>
        <w:left w:val="none" w:sz="0" w:space="0" w:color="auto"/>
        <w:bottom w:val="none" w:sz="0" w:space="0" w:color="auto"/>
        <w:right w:val="none" w:sz="0" w:space="0" w:color="auto"/>
      </w:divBdr>
      <w:divsChild>
        <w:div w:id="391582557">
          <w:marLeft w:val="0"/>
          <w:marRight w:val="0"/>
          <w:marTop w:val="0"/>
          <w:marBottom w:val="0"/>
          <w:divBdr>
            <w:top w:val="none" w:sz="0" w:space="0" w:color="auto"/>
            <w:left w:val="none" w:sz="0" w:space="0" w:color="auto"/>
            <w:bottom w:val="none" w:sz="0" w:space="0" w:color="auto"/>
            <w:right w:val="none" w:sz="0" w:space="0" w:color="auto"/>
          </w:divBdr>
        </w:div>
        <w:div w:id="395128346">
          <w:marLeft w:val="0"/>
          <w:marRight w:val="0"/>
          <w:marTop w:val="0"/>
          <w:marBottom w:val="0"/>
          <w:divBdr>
            <w:top w:val="none" w:sz="0" w:space="0" w:color="auto"/>
            <w:left w:val="none" w:sz="0" w:space="0" w:color="auto"/>
            <w:bottom w:val="none" w:sz="0" w:space="0" w:color="auto"/>
            <w:right w:val="none" w:sz="0" w:space="0" w:color="auto"/>
          </w:divBdr>
        </w:div>
        <w:div w:id="1205168439">
          <w:marLeft w:val="0"/>
          <w:marRight w:val="0"/>
          <w:marTop w:val="0"/>
          <w:marBottom w:val="0"/>
          <w:divBdr>
            <w:top w:val="none" w:sz="0" w:space="0" w:color="auto"/>
            <w:left w:val="none" w:sz="0" w:space="0" w:color="auto"/>
            <w:bottom w:val="none" w:sz="0" w:space="0" w:color="auto"/>
            <w:right w:val="none" w:sz="0" w:space="0" w:color="auto"/>
          </w:divBdr>
          <w:divsChild>
            <w:div w:id="1956862237">
              <w:marLeft w:val="-75"/>
              <w:marRight w:val="0"/>
              <w:marTop w:val="30"/>
              <w:marBottom w:val="30"/>
              <w:divBdr>
                <w:top w:val="none" w:sz="0" w:space="0" w:color="auto"/>
                <w:left w:val="none" w:sz="0" w:space="0" w:color="auto"/>
                <w:bottom w:val="none" w:sz="0" w:space="0" w:color="auto"/>
                <w:right w:val="none" w:sz="0" w:space="0" w:color="auto"/>
              </w:divBdr>
              <w:divsChild>
                <w:div w:id="250051013">
                  <w:marLeft w:val="0"/>
                  <w:marRight w:val="0"/>
                  <w:marTop w:val="0"/>
                  <w:marBottom w:val="0"/>
                  <w:divBdr>
                    <w:top w:val="none" w:sz="0" w:space="0" w:color="auto"/>
                    <w:left w:val="none" w:sz="0" w:space="0" w:color="auto"/>
                    <w:bottom w:val="none" w:sz="0" w:space="0" w:color="auto"/>
                    <w:right w:val="none" w:sz="0" w:space="0" w:color="auto"/>
                  </w:divBdr>
                  <w:divsChild>
                    <w:div w:id="902252639">
                      <w:marLeft w:val="0"/>
                      <w:marRight w:val="0"/>
                      <w:marTop w:val="0"/>
                      <w:marBottom w:val="0"/>
                      <w:divBdr>
                        <w:top w:val="none" w:sz="0" w:space="0" w:color="auto"/>
                        <w:left w:val="none" w:sz="0" w:space="0" w:color="auto"/>
                        <w:bottom w:val="none" w:sz="0" w:space="0" w:color="auto"/>
                        <w:right w:val="none" w:sz="0" w:space="0" w:color="auto"/>
                      </w:divBdr>
                    </w:div>
                  </w:divsChild>
                </w:div>
                <w:div w:id="389505078">
                  <w:marLeft w:val="0"/>
                  <w:marRight w:val="0"/>
                  <w:marTop w:val="0"/>
                  <w:marBottom w:val="0"/>
                  <w:divBdr>
                    <w:top w:val="none" w:sz="0" w:space="0" w:color="auto"/>
                    <w:left w:val="none" w:sz="0" w:space="0" w:color="auto"/>
                    <w:bottom w:val="none" w:sz="0" w:space="0" w:color="auto"/>
                    <w:right w:val="none" w:sz="0" w:space="0" w:color="auto"/>
                  </w:divBdr>
                  <w:divsChild>
                    <w:div w:id="895893516">
                      <w:marLeft w:val="0"/>
                      <w:marRight w:val="0"/>
                      <w:marTop w:val="0"/>
                      <w:marBottom w:val="0"/>
                      <w:divBdr>
                        <w:top w:val="none" w:sz="0" w:space="0" w:color="auto"/>
                        <w:left w:val="none" w:sz="0" w:space="0" w:color="auto"/>
                        <w:bottom w:val="none" w:sz="0" w:space="0" w:color="auto"/>
                        <w:right w:val="none" w:sz="0" w:space="0" w:color="auto"/>
                      </w:divBdr>
                    </w:div>
                  </w:divsChild>
                </w:div>
                <w:div w:id="869876678">
                  <w:marLeft w:val="0"/>
                  <w:marRight w:val="0"/>
                  <w:marTop w:val="0"/>
                  <w:marBottom w:val="0"/>
                  <w:divBdr>
                    <w:top w:val="none" w:sz="0" w:space="0" w:color="auto"/>
                    <w:left w:val="none" w:sz="0" w:space="0" w:color="auto"/>
                    <w:bottom w:val="none" w:sz="0" w:space="0" w:color="auto"/>
                    <w:right w:val="none" w:sz="0" w:space="0" w:color="auto"/>
                  </w:divBdr>
                  <w:divsChild>
                    <w:div w:id="459112150">
                      <w:marLeft w:val="0"/>
                      <w:marRight w:val="0"/>
                      <w:marTop w:val="0"/>
                      <w:marBottom w:val="0"/>
                      <w:divBdr>
                        <w:top w:val="none" w:sz="0" w:space="0" w:color="auto"/>
                        <w:left w:val="none" w:sz="0" w:space="0" w:color="auto"/>
                        <w:bottom w:val="none" w:sz="0" w:space="0" w:color="auto"/>
                        <w:right w:val="none" w:sz="0" w:space="0" w:color="auto"/>
                      </w:divBdr>
                    </w:div>
                    <w:div w:id="1085882103">
                      <w:marLeft w:val="0"/>
                      <w:marRight w:val="0"/>
                      <w:marTop w:val="0"/>
                      <w:marBottom w:val="0"/>
                      <w:divBdr>
                        <w:top w:val="none" w:sz="0" w:space="0" w:color="auto"/>
                        <w:left w:val="none" w:sz="0" w:space="0" w:color="auto"/>
                        <w:bottom w:val="none" w:sz="0" w:space="0" w:color="auto"/>
                        <w:right w:val="none" w:sz="0" w:space="0" w:color="auto"/>
                      </w:divBdr>
                    </w:div>
                    <w:div w:id="20916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44512">
          <w:marLeft w:val="0"/>
          <w:marRight w:val="0"/>
          <w:marTop w:val="0"/>
          <w:marBottom w:val="0"/>
          <w:divBdr>
            <w:top w:val="none" w:sz="0" w:space="0" w:color="auto"/>
            <w:left w:val="none" w:sz="0" w:space="0" w:color="auto"/>
            <w:bottom w:val="none" w:sz="0" w:space="0" w:color="auto"/>
            <w:right w:val="none" w:sz="0" w:space="0" w:color="auto"/>
          </w:divBdr>
        </w:div>
      </w:divsChild>
    </w:div>
    <w:div w:id="941762958">
      <w:bodyDiv w:val="1"/>
      <w:marLeft w:val="0"/>
      <w:marRight w:val="0"/>
      <w:marTop w:val="0"/>
      <w:marBottom w:val="0"/>
      <w:divBdr>
        <w:top w:val="none" w:sz="0" w:space="0" w:color="auto"/>
        <w:left w:val="none" w:sz="0" w:space="0" w:color="auto"/>
        <w:bottom w:val="none" w:sz="0" w:space="0" w:color="auto"/>
        <w:right w:val="none" w:sz="0" w:space="0" w:color="auto"/>
      </w:divBdr>
      <w:divsChild>
        <w:div w:id="30692395">
          <w:marLeft w:val="0"/>
          <w:marRight w:val="0"/>
          <w:marTop w:val="0"/>
          <w:marBottom w:val="0"/>
          <w:divBdr>
            <w:top w:val="none" w:sz="0" w:space="0" w:color="auto"/>
            <w:left w:val="none" w:sz="0" w:space="0" w:color="auto"/>
            <w:bottom w:val="none" w:sz="0" w:space="0" w:color="auto"/>
            <w:right w:val="none" w:sz="0" w:space="0" w:color="auto"/>
          </w:divBdr>
          <w:divsChild>
            <w:div w:id="1104574813">
              <w:marLeft w:val="-75"/>
              <w:marRight w:val="0"/>
              <w:marTop w:val="30"/>
              <w:marBottom w:val="30"/>
              <w:divBdr>
                <w:top w:val="none" w:sz="0" w:space="0" w:color="auto"/>
                <w:left w:val="none" w:sz="0" w:space="0" w:color="auto"/>
                <w:bottom w:val="none" w:sz="0" w:space="0" w:color="auto"/>
                <w:right w:val="none" w:sz="0" w:space="0" w:color="auto"/>
              </w:divBdr>
              <w:divsChild>
                <w:div w:id="1111779947">
                  <w:marLeft w:val="0"/>
                  <w:marRight w:val="0"/>
                  <w:marTop w:val="0"/>
                  <w:marBottom w:val="0"/>
                  <w:divBdr>
                    <w:top w:val="none" w:sz="0" w:space="0" w:color="auto"/>
                    <w:left w:val="none" w:sz="0" w:space="0" w:color="auto"/>
                    <w:bottom w:val="none" w:sz="0" w:space="0" w:color="auto"/>
                    <w:right w:val="none" w:sz="0" w:space="0" w:color="auto"/>
                  </w:divBdr>
                  <w:divsChild>
                    <w:div w:id="7634662">
                      <w:marLeft w:val="0"/>
                      <w:marRight w:val="0"/>
                      <w:marTop w:val="0"/>
                      <w:marBottom w:val="0"/>
                      <w:divBdr>
                        <w:top w:val="none" w:sz="0" w:space="0" w:color="auto"/>
                        <w:left w:val="none" w:sz="0" w:space="0" w:color="auto"/>
                        <w:bottom w:val="none" w:sz="0" w:space="0" w:color="auto"/>
                        <w:right w:val="none" w:sz="0" w:space="0" w:color="auto"/>
                      </w:divBdr>
                    </w:div>
                    <w:div w:id="404642108">
                      <w:marLeft w:val="0"/>
                      <w:marRight w:val="0"/>
                      <w:marTop w:val="0"/>
                      <w:marBottom w:val="0"/>
                      <w:divBdr>
                        <w:top w:val="none" w:sz="0" w:space="0" w:color="auto"/>
                        <w:left w:val="none" w:sz="0" w:space="0" w:color="auto"/>
                        <w:bottom w:val="none" w:sz="0" w:space="0" w:color="auto"/>
                        <w:right w:val="none" w:sz="0" w:space="0" w:color="auto"/>
                      </w:divBdr>
                    </w:div>
                    <w:div w:id="1805272951">
                      <w:marLeft w:val="0"/>
                      <w:marRight w:val="0"/>
                      <w:marTop w:val="0"/>
                      <w:marBottom w:val="0"/>
                      <w:divBdr>
                        <w:top w:val="none" w:sz="0" w:space="0" w:color="auto"/>
                        <w:left w:val="none" w:sz="0" w:space="0" w:color="auto"/>
                        <w:bottom w:val="none" w:sz="0" w:space="0" w:color="auto"/>
                        <w:right w:val="none" w:sz="0" w:space="0" w:color="auto"/>
                      </w:divBdr>
                    </w:div>
                  </w:divsChild>
                </w:div>
                <w:div w:id="1345858473">
                  <w:marLeft w:val="0"/>
                  <w:marRight w:val="0"/>
                  <w:marTop w:val="0"/>
                  <w:marBottom w:val="0"/>
                  <w:divBdr>
                    <w:top w:val="none" w:sz="0" w:space="0" w:color="auto"/>
                    <w:left w:val="none" w:sz="0" w:space="0" w:color="auto"/>
                    <w:bottom w:val="none" w:sz="0" w:space="0" w:color="auto"/>
                    <w:right w:val="none" w:sz="0" w:space="0" w:color="auto"/>
                  </w:divBdr>
                  <w:divsChild>
                    <w:div w:id="1850749924">
                      <w:marLeft w:val="0"/>
                      <w:marRight w:val="0"/>
                      <w:marTop w:val="0"/>
                      <w:marBottom w:val="0"/>
                      <w:divBdr>
                        <w:top w:val="none" w:sz="0" w:space="0" w:color="auto"/>
                        <w:left w:val="none" w:sz="0" w:space="0" w:color="auto"/>
                        <w:bottom w:val="none" w:sz="0" w:space="0" w:color="auto"/>
                        <w:right w:val="none" w:sz="0" w:space="0" w:color="auto"/>
                      </w:divBdr>
                    </w:div>
                  </w:divsChild>
                </w:div>
                <w:div w:id="1362172136">
                  <w:marLeft w:val="0"/>
                  <w:marRight w:val="0"/>
                  <w:marTop w:val="0"/>
                  <w:marBottom w:val="0"/>
                  <w:divBdr>
                    <w:top w:val="none" w:sz="0" w:space="0" w:color="auto"/>
                    <w:left w:val="none" w:sz="0" w:space="0" w:color="auto"/>
                    <w:bottom w:val="none" w:sz="0" w:space="0" w:color="auto"/>
                    <w:right w:val="none" w:sz="0" w:space="0" w:color="auto"/>
                  </w:divBdr>
                  <w:divsChild>
                    <w:div w:id="29972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531069">
          <w:marLeft w:val="0"/>
          <w:marRight w:val="0"/>
          <w:marTop w:val="0"/>
          <w:marBottom w:val="0"/>
          <w:divBdr>
            <w:top w:val="none" w:sz="0" w:space="0" w:color="auto"/>
            <w:left w:val="none" w:sz="0" w:space="0" w:color="auto"/>
            <w:bottom w:val="none" w:sz="0" w:space="0" w:color="auto"/>
            <w:right w:val="none" w:sz="0" w:space="0" w:color="auto"/>
          </w:divBdr>
        </w:div>
        <w:div w:id="1286085632">
          <w:marLeft w:val="0"/>
          <w:marRight w:val="0"/>
          <w:marTop w:val="0"/>
          <w:marBottom w:val="0"/>
          <w:divBdr>
            <w:top w:val="none" w:sz="0" w:space="0" w:color="auto"/>
            <w:left w:val="none" w:sz="0" w:space="0" w:color="auto"/>
            <w:bottom w:val="none" w:sz="0" w:space="0" w:color="auto"/>
            <w:right w:val="none" w:sz="0" w:space="0" w:color="auto"/>
          </w:divBdr>
        </w:div>
        <w:div w:id="190278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reg/2009/987/oj" TargetMode="External"/><Relationship Id="rId13" Type="http://schemas.openxmlformats.org/officeDocument/2006/relationships/hyperlink" Target="https://eur-lex.europa.eu/legal-content/EN/TXT/?uri=celex:52025PC0102" TargetMode="External"/><Relationship Id="rId3" Type="http://schemas.openxmlformats.org/officeDocument/2006/relationships/hyperlink" Target="https://eur-lex.europa.eu/legal-content/EN/TXT/?uri=celex:52025DC0026" TargetMode="External"/><Relationship Id="rId7" Type="http://schemas.openxmlformats.org/officeDocument/2006/relationships/hyperlink" Target="http://data.europa.eu/eli/reg/2004/883/2019-07-31" TargetMode="External"/><Relationship Id="rId12" Type="http://schemas.openxmlformats.org/officeDocument/2006/relationships/hyperlink" Target="http://data.europa.eu/eli/reg/2024/3110/oj" TargetMode="External"/><Relationship Id="rId2" Type="http://schemas.openxmlformats.org/officeDocument/2006/relationships/hyperlink" Target="https://single-market-economy.ec.europa.eu/publications/2025-annual-single-market-and-competitiveness-report_en" TargetMode="External"/><Relationship Id="rId1" Type="http://schemas.openxmlformats.org/officeDocument/2006/relationships/hyperlink" Target="https://eur-lex.europa.eu/legal-content/EN/TXT/?uri=celex:52025DC0500" TargetMode="External"/><Relationship Id="rId6" Type="http://schemas.openxmlformats.org/officeDocument/2006/relationships/hyperlink" Target="http://data.europa.eu/eli/reg/2013/345/oj" TargetMode="External"/><Relationship Id="rId11" Type="http://schemas.openxmlformats.org/officeDocument/2006/relationships/hyperlink" Target="https://housing.ec.europa.eu/affordable-housing-dialogue_en" TargetMode="External"/><Relationship Id="rId5" Type="http://schemas.openxmlformats.org/officeDocument/2006/relationships/hyperlink" Target="https://www.eif.org/etci/about-etci/index.htm" TargetMode="External"/><Relationship Id="rId10" Type="http://schemas.openxmlformats.org/officeDocument/2006/relationships/hyperlink" Target="https://eur-lex.europa.eu/legal-content/EN/TXT/?uri=celex:52025DC0079" TargetMode="External"/><Relationship Id="rId4" Type="http://schemas.openxmlformats.org/officeDocument/2006/relationships/hyperlink" Target="https://eur-lex.europa.eu/legal-content/EN/TXT/?uri=celex:52025DC0124" TargetMode="External"/><Relationship Id="rId9" Type="http://schemas.openxmlformats.org/officeDocument/2006/relationships/hyperlink" Target="https://eur-lex.europa.eu/legal-content/EN/TXT/?uri=celex:52025DC00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8A4568134BA1D242BA51C0AB0F94DDE1002EE74B54189EC9458F141C2A134012C4" ma:contentTypeVersion="20" ma:contentTypeDescription="Create a new document in this library." ma:contentTypeScope="" ma:versionID="c25aaf71fb1e0e89e37bc5dd4c76b3ef">
  <xsd:schema xmlns:xsd="http://www.w3.org/2001/XMLSchema" xmlns:xs="http://www.w3.org/2001/XMLSchema" xmlns:p="http://schemas.microsoft.com/office/2006/metadata/properties" xmlns:ns2="http://schemas.microsoft.com/sharepoint/v3/fields" xmlns:ns3="4f146c6c-37bf-4d7b-b20f-c8fddc392ac2" xmlns:ns4="2ff8962f-e612-4c7a-a5c6-38d8df891d4d" targetNamespace="http://schemas.microsoft.com/office/2006/metadata/properties" ma:root="true" ma:fieldsID="22d725b117363965dc6e5725ad2e63d9" ns2:_="" ns3:_="" ns4:_="">
    <xsd:import namespace="http://schemas.microsoft.com/sharepoint/v3/fields"/>
    <xsd:import namespace="4f146c6c-37bf-4d7b-b20f-c8fddc392ac2"/>
    <xsd:import namespace="2ff8962f-e612-4c7a-a5c6-38d8df891d4d"/>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3:SharedWithUsers" minOccurs="0"/>
                <xsd:element ref="ns3:SharedWithDetails"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f146c6c-37bf-4d7b-b20f-c8fddc392ac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f8962f-e612-4c7a-a5c6-38d8df891d4d"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4f146c6c-37bf-4d7b-b20f-c8fddc392ac2">EN</EC_Collab_DocumentLanguage>
    <_Status xmlns="http://schemas.microsoft.com/sharepoint/v3/fields">Not Started</_Status>
    <EC_Collab_Reference xmlns="4f146c6c-37bf-4d7b-b20f-c8fddc392ac2" xsi:nil="true"/>
    <EC_Collab_Status xmlns="4f146c6c-37bf-4d7b-b20f-c8fddc392ac2">Not Started</EC_Collab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CA0449-2686-44C6-A6AC-2E68BA125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4f146c6c-37bf-4d7b-b20f-c8fddc392ac2"/>
    <ds:schemaRef ds:uri="2ff8962f-e612-4c7a-a5c6-38d8df891d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7B8440-6687-441E-A874-204AAC2E66E6}">
  <ds:schemaRefs>
    <ds:schemaRef ds:uri="http://schemas.microsoft.com/office/2006/metadata/properties"/>
    <ds:schemaRef ds:uri="http://schemas.microsoft.com/office/infopath/2007/PartnerControls"/>
    <ds:schemaRef ds:uri="4f146c6c-37bf-4d7b-b20f-c8fddc392ac2"/>
    <ds:schemaRef ds:uri="http://schemas.microsoft.com/sharepoint/v3/fields"/>
  </ds:schemaRefs>
</ds:datastoreItem>
</file>

<file path=customXml/itemProps3.xml><?xml version="1.0" encoding="utf-8"?>
<ds:datastoreItem xmlns:ds="http://schemas.openxmlformats.org/officeDocument/2006/customXml" ds:itemID="{90EBA8D1-1817-4C10-9FF0-A607920C3844}">
  <ds:schemaRefs>
    <ds:schemaRef ds:uri="http://schemas.microsoft.com/sharepoint/v3/contenttype/forms"/>
  </ds:schemaRefs>
</ds:datastoreItem>
</file>

<file path=customXml/itemProps4.xml><?xml version="1.0" encoding="utf-8"?>
<ds:datastoreItem xmlns:ds="http://schemas.openxmlformats.org/officeDocument/2006/customXml" ds:itemID="{D3C0F16C-8DAC-4B07-9018-6408C0282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1070</Words>
  <Characters>6337</Characters>
  <Application>Microsoft Office Word</Application>
  <DocSecurity>0</DocSecurity>
  <Lines>84</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ARROYO Jane (GROW)</dc:creator>
  <cp:keywords/>
  <dc:description/>
  <cp:lastModifiedBy>ROSSI Simona (SG-EXT)</cp:lastModifiedBy>
  <cp:revision>2</cp:revision>
  <dcterms:created xsi:type="dcterms:W3CDTF">2025-12-16T14:08:00Z</dcterms:created>
  <dcterms:modified xsi:type="dcterms:W3CDTF">2025-12-16T14:08:00Z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2025-05-23T09:42:29Z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d25433f8-a832-461a-aaef-57099738a616</vt:lpwstr>
  </property>
  <property fmtid="{D5CDD505-2E9C-101B-9397-08002B2CF9AE}" pid="8" name="MSIP_Label_6bd9ddd1-4d20-43f6-abfa-fc3c07406f94_ContentBits">
    <vt:lpwstr>0</vt:lpwstr>
  </property>
  <property fmtid="{D5CDD505-2E9C-101B-9397-08002B2CF9AE}" pid="9" name="ContentTypeId">
    <vt:lpwstr>0x0101008A4568134BA1D242BA51C0AB0F94DDE1002EE74B54189EC9458F141C2A134012C4</vt:lpwstr>
  </property>
</Properties>
</file>