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4A6B59" w:rsidRPr="00442552" w14:paraId="62632EB8" w14:textId="77777777" w:rsidTr="009A651D">
        <w:trPr>
          <w:jc w:val="center"/>
        </w:trPr>
        <w:tc>
          <w:tcPr>
            <w:tcW w:w="9711" w:type="dxa"/>
          </w:tcPr>
          <w:p w14:paraId="4B2EEDBC" w14:textId="4FDC8C6C" w:rsidR="004A6B59" w:rsidRPr="004F6117" w:rsidRDefault="00E76A2B" w:rsidP="00C10852">
            <w:pPr>
              <w:spacing w:before="120" w:after="120"/>
              <w:rPr>
                <w:rFonts w:ascii="Times New Roman" w:hAnsi="Times New Roman"/>
                <w:b/>
                <w:sz w:val="24"/>
                <w:szCs w:val="24"/>
              </w:rPr>
            </w:pPr>
            <w:r w:rsidRPr="00E76A2B">
              <w:rPr>
                <w:rFonts w:ascii="Times New Roman" w:hAnsi="Times New Roman"/>
                <w:b/>
                <w:sz w:val="24"/>
                <w:szCs w:val="24"/>
              </w:rPr>
              <w:t>Deforestation of the Amazon rainforest</w:t>
            </w:r>
            <w:r w:rsidR="004A6B59" w:rsidRPr="004A6B59">
              <w:rPr>
                <w:rFonts w:ascii="Times New Roman" w:hAnsi="Times New Roman"/>
                <w:b/>
                <w:sz w:val="24"/>
                <w:szCs w:val="24"/>
              </w:rPr>
              <w:br/>
              <w:t>(own-initiative opinion)</w:t>
            </w:r>
            <w:r w:rsidR="004A6B59">
              <w:rPr>
                <w:rFonts w:ascii="Times New Roman" w:hAnsi="Times New Roman"/>
                <w:b/>
                <w:sz w:val="24"/>
                <w:szCs w:val="24"/>
              </w:rPr>
              <w:br/>
              <w:t>EESC</w:t>
            </w:r>
            <w:r w:rsidR="00C10852">
              <w:rPr>
                <w:rFonts w:ascii="Times New Roman" w:hAnsi="Times New Roman"/>
                <w:b/>
                <w:sz w:val="24"/>
                <w:szCs w:val="24"/>
              </w:rPr>
              <w:t>-</w:t>
            </w:r>
            <w:r w:rsidR="004A6B59">
              <w:rPr>
                <w:rFonts w:ascii="Times New Roman" w:hAnsi="Times New Roman"/>
                <w:b/>
                <w:sz w:val="24"/>
                <w:szCs w:val="24"/>
              </w:rPr>
              <w:t xml:space="preserve">2024-1183 </w:t>
            </w:r>
            <w:r w:rsidR="004A6B59" w:rsidRPr="004A6B59">
              <w:rPr>
                <w:rFonts w:ascii="Times New Roman" w:hAnsi="Times New Roman"/>
                <w:b/>
                <w:sz w:val="24"/>
                <w:szCs w:val="24"/>
              </w:rPr>
              <w:t>–</w:t>
            </w:r>
            <w:r w:rsidR="004A6B59">
              <w:rPr>
                <w:rFonts w:ascii="Times New Roman" w:hAnsi="Times New Roman"/>
                <w:b/>
                <w:sz w:val="24"/>
                <w:szCs w:val="24"/>
              </w:rPr>
              <w:t xml:space="preserve"> REX/586</w:t>
            </w:r>
            <w:r w:rsidR="004A6B59" w:rsidRPr="004A6B59">
              <w:rPr>
                <w:rFonts w:ascii="Times New Roman" w:hAnsi="Times New Roman"/>
                <w:b/>
                <w:sz w:val="24"/>
                <w:szCs w:val="24"/>
              </w:rPr>
              <w:br/>
              <w:t>590th Plenary Session – September 2024</w:t>
            </w:r>
            <w:r w:rsidR="004A6B59" w:rsidRPr="004A6B59">
              <w:rPr>
                <w:rFonts w:ascii="Times New Roman" w:hAnsi="Times New Roman"/>
                <w:b/>
                <w:sz w:val="24"/>
                <w:szCs w:val="24"/>
              </w:rPr>
              <w:br/>
              <w:t>Rapporteurs: Josep PUXEU ROCAMORA (ES-I), Carlos Manuel SIMÕES DA SILVA (PT-II) and John COMER (IE-III)</w:t>
            </w:r>
            <w:r w:rsidR="004A6B59" w:rsidRPr="004A6B59">
              <w:rPr>
                <w:rFonts w:ascii="Times New Roman" w:hAnsi="Times New Roman"/>
                <w:b/>
                <w:sz w:val="24"/>
                <w:szCs w:val="24"/>
              </w:rPr>
              <w:br/>
              <w:t xml:space="preserve">DG ENV – </w:t>
            </w:r>
            <w:r w:rsidR="004D0B95">
              <w:rPr>
                <w:rFonts w:ascii="Times New Roman" w:hAnsi="Times New Roman"/>
                <w:b/>
                <w:sz w:val="24"/>
                <w:szCs w:val="24"/>
              </w:rPr>
              <w:t>Commissioner ROSWALL</w:t>
            </w:r>
          </w:p>
        </w:tc>
      </w:tr>
      <w:tr w:rsidR="004A6B59" w:rsidRPr="00442552" w14:paraId="46F7DF9D" w14:textId="77777777" w:rsidTr="009A651D">
        <w:trPr>
          <w:jc w:val="center"/>
        </w:trPr>
        <w:tc>
          <w:tcPr>
            <w:tcW w:w="9711" w:type="dxa"/>
          </w:tcPr>
          <w:p w14:paraId="1204387D" w14:textId="55AEBFE1" w:rsidR="004A6B59" w:rsidRPr="00695797" w:rsidRDefault="004A6B59" w:rsidP="00C10852">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25692F">
              <w:rPr>
                <w:rFonts w:ascii="Times New Roman" w:hAnsi="Times New Roman"/>
                <w:b/>
                <w:sz w:val="24"/>
                <w:szCs w:val="24"/>
              </w:rPr>
              <w:t xml:space="preserve">(EESC) </w:t>
            </w:r>
            <w:r w:rsidRPr="004F6117">
              <w:rPr>
                <w:rFonts w:ascii="Times New Roman" w:hAnsi="Times New Roman"/>
                <w:b/>
                <w:sz w:val="24"/>
                <w:szCs w:val="24"/>
              </w:rPr>
              <w:t>opinion</w:t>
            </w:r>
            <w:r>
              <w:rPr>
                <w:rFonts w:ascii="Times New Roman" w:hAnsi="Times New Roman"/>
                <w:b/>
                <w:sz w:val="24"/>
                <w:szCs w:val="24"/>
              </w:rPr>
              <w:t xml:space="preserve"> </w:t>
            </w:r>
            <w:r w:rsidRPr="00E83C12">
              <w:rPr>
                <w:rFonts w:ascii="Times New Roman" w:hAnsi="Times New Roman"/>
                <w:b/>
                <w:sz w:val="24"/>
                <w:szCs w:val="24"/>
              </w:rPr>
              <w:t>considered as essential</w:t>
            </w:r>
          </w:p>
        </w:tc>
      </w:tr>
      <w:tr w:rsidR="004A6B59" w:rsidRPr="004F6117" w14:paraId="62D8A2F0" w14:textId="77777777" w:rsidTr="009A651D">
        <w:trPr>
          <w:jc w:val="center"/>
        </w:trPr>
        <w:tc>
          <w:tcPr>
            <w:tcW w:w="9711" w:type="dxa"/>
          </w:tcPr>
          <w:p w14:paraId="4BA005CF" w14:textId="4331804A" w:rsidR="004A6B5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The Commission thanks the </w:t>
            </w:r>
            <w:r w:rsidR="0025692F">
              <w:rPr>
                <w:rFonts w:ascii="Times New Roman" w:hAnsi="Times New Roman"/>
                <w:bCs/>
                <w:sz w:val="24"/>
                <w:szCs w:val="24"/>
              </w:rPr>
              <w:t xml:space="preserve">Committee </w:t>
            </w:r>
            <w:r w:rsidRPr="0025692F">
              <w:rPr>
                <w:rFonts w:ascii="Times New Roman" w:hAnsi="Times New Roman"/>
                <w:bCs/>
                <w:sz w:val="24"/>
                <w:szCs w:val="24"/>
              </w:rPr>
              <w:t xml:space="preserve">for its comprehensive opinion on the Deforestation of the Amazon rainforest. The Commission welcomes the </w:t>
            </w:r>
            <w:r w:rsidR="00C10852" w:rsidRPr="0025692F">
              <w:rPr>
                <w:rFonts w:ascii="Times New Roman" w:hAnsi="Times New Roman"/>
                <w:bCs/>
                <w:sz w:val="24"/>
                <w:szCs w:val="24"/>
              </w:rPr>
              <w:t xml:space="preserve">Committee’s </w:t>
            </w:r>
            <w:r w:rsidRPr="0025692F">
              <w:rPr>
                <w:rFonts w:ascii="Times New Roman" w:hAnsi="Times New Roman"/>
                <w:bCs/>
                <w:sz w:val="24"/>
                <w:szCs w:val="24"/>
              </w:rPr>
              <w:t>support for the Deforestation Free Products Regulation (EUDR) concerning the placing on the EU market and the export from the EU of products associated with deforestation and forest degradation</w:t>
            </w:r>
            <w:r w:rsidR="00615671" w:rsidRPr="0025692F">
              <w:rPr>
                <w:rFonts w:ascii="Times New Roman" w:hAnsi="Times New Roman"/>
                <w:bCs/>
                <w:sz w:val="24"/>
                <w:szCs w:val="24"/>
              </w:rPr>
              <w:t xml:space="preserve">. It equally </w:t>
            </w:r>
            <w:r w:rsidRPr="0025692F">
              <w:rPr>
                <w:rFonts w:ascii="Times New Roman" w:hAnsi="Times New Roman"/>
                <w:bCs/>
                <w:sz w:val="24"/>
                <w:szCs w:val="24"/>
              </w:rPr>
              <w:t>recalls the need for appropriate enabling policies and for action in view of continued high deforestation rates. The Commission shares the urgency of halting and reversing forest loss, and the understanding that preserving forests should not be seen as giving up economic growth and food security.</w:t>
            </w:r>
          </w:p>
          <w:p w14:paraId="550BB01D" w14:textId="40C26CB4" w:rsidR="004A6B5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The Commission welcomes the </w:t>
            </w:r>
            <w:r w:rsidR="00C10852" w:rsidRPr="0025692F">
              <w:rPr>
                <w:rFonts w:ascii="Times New Roman" w:hAnsi="Times New Roman"/>
                <w:bCs/>
                <w:sz w:val="24"/>
                <w:szCs w:val="24"/>
              </w:rPr>
              <w:t xml:space="preserve">Committee’s </w:t>
            </w:r>
            <w:r w:rsidRPr="0025692F">
              <w:rPr>
                <w:rFonts w:ascii="Times New Roman" w:hAnsi="Times New Roman"/>
                <w:bCs/>
                <w:sz w:val="24"/>
                <w:szCs w:val="24"/>
              </w:rPr>
              <w:t xml:space="preserve">emphasis on: </w:t>
            </w:r>
          </w:p>
          <w:p w14:paraId="3C70212D" w14:textId="11E0F616" w:rsidR="004A6B59" w:rsidRPr="0025692F" w:rsidRDefault="004A6B59" w:rsidP="0025692F">
            <w:pPr>
              <w:widowControl w:val="0"/>
              <w:numPr>
                <w:ilvl w:val="0"/>
                <w:numId w:val="1"/>
              </w:numPr>
              <w:spacing w:before="120" w:after="120"/>
              <w:ind w:left="0"/>
              <w:jc w:val="both"/>
              <w:rPr>
                <w:rFonts w:ascii="Times New Roman" w:hAnsi="Times New Roman"/>
                <w:bCs/>
                <w:sz w:val="24"/>
                <w:szCs w:val="24"/>
              </w:rPr>
            </w:pPr>
            <w:r w:rsidRPr="0025692F">
              <w:rPr>
                <w:rFonts w:ascii="Times New Roman" w:hAnsi="Times New Roman"/>
                <w:bCs/>
                <w:sz w:val="24"/>
                <w:szCs w:val="24"/>
              </w:rPr>
              <w:t xml:space="preserve">the importance of mobilising private finance through the predictability and consistency of the regulatory </w:t>
            </w:r>
            <w:proofErr w:type="gramStart"/>
            <w:r w:rsidRPr="0025692F">
              <w:rPr>
                <w:rFonts w:ascii="Times New Roman" w:hAnsi="Times New Roman"/>
                <w:bCs/>
                <w:sz w:val="24"/>
                <w:szCs w:val="24"/>
              </w:rPr>
              <w:t>environment</w:t>
            </w:r>
            <w:r w:rsidR="0025692F">
              <w:rPr>
                <w:rFonts w:ascii="Times New Roman" w:hAnsi="Times New Roman"/>
                <w:bCs/>
                <w:sz w:val="24"/>
                <w:szCs w:val="24"/>
              </w:rPr>
              <w:t>;</w:t>
            </w:r>
            <w:proofErr w:type="gramEnd"/>
          </w:p>
          <w:p w14:paraId="34B5909E" w14:textId="77777777" w:rsidR="004A6B59" w:rsidRPr="0025692F" w:rsidRDefault="004A6B59" w:rsidP="0025692F">
            <w:pPr>
              <w:widowControl w:val="0"/>
              <w:numPr>
                <w:ilvl w:val="0"/>
                <w:numId w:val="1"/>
              </w:numPr>
              <w:spacing w:before="120" w:after="120"/>
              <w:ind w:left="0"/>
              <w:jc w:val="both"/>
              <w:rPr>
                <w:rFonts w:ascii="Times New Roman" w:hAnsi="Times New Roman"/>
                <w:bCs/>
                <w:sz w:val="24"/>
                <w:szCs w:val="24"/>
              </w:rPr>
            </w:pPr>
            <w:r w:rsidRPr="0025692F">
              <w:rPr>
                <w:rFonts w:ascii="Times New Roman" w:hAnsi="Times New Roman"/>
                <w:bCs/>
                <w:sz w:val="24"/>
                <w:szCs w:val="24"/>
              </w:rPr>
              <w:t>the role that EU programmes and funds, such as the Global Gateway, can play in halting and reversing forest loss and degradation in that context, and</w:t>
            </w:r>
          </w:p>
          <w:p w14:paraId="3479CC00" w14:textId="77777777" w:rsidR="004A6B59" w:rsidRPr="0025692F" w:rsidRDefault="004A6B59" w:rsidP="0025692F">
            <w:pPr>
              <w:widowControl w:val="0"/>
              <w:numPr>
                <w:ilvl w:val="0"/>
                <w:numId w:val="1"/>
              </w:numPr>
              <w:spacing w:before="120" w:after="120"/>
              <w:ind w:left="0"/>
              <w:jc w:val="both"/>
              <w:rPr>
                <w:rFonts w:ascii="Times New Roman" w:hAnsi="Times New Roman"/>
                <w:bCs/>
                <w:sz w:val="24"/>
                <w:szCs w:val="24"/>
              </w:rPr>
            </w:pPr>
            <w:r w:rsidRPr="0025692F">
              <w:rPr>
                <w:rFonts w:ascii="Times New Roman" w:hAnsi="Times New Roman"/>
                <w:bCs/>
                <w:sz w:val="24"/>
                <w:szCs w:val="24"/>
              </w:rPr>
              <w:t>the importance of not leaving anyone behind, including indigenous peoples, but ensuring fair prices and stable employment while preserving the Amazon rainforest.</w:t>
            </w:r>
          </w:p>
          <w:p w14:paraId="1C096415" w14:textId="7DD10137" w:rsidR="006C527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Finally, the Commission welcomes the </w:t>
            </w:r>
            <w:r w:rsidR="00C10852" w:rsidRPr="0025692F">
              <w:rPr>
                <w:rFonts w:ascii="Times New Roman" w:hAnsi="Times New Roman"/>
                <w:bCs/>
                <w:sz w:val="24"/>
                <w:szCs w:val="24"/>
              </w:rPr>
              <w:t xml:space="preserve">Committee’s </w:t>
            </w:r>
            <w:r w:rsidR="00A55C2E" w:rsidRPr="0025692F">
              <w:rPr>
                <w:rFonts w:ascii="Times New Roman" w:hAnsi="Times New Roman"/>
                <w:bCs/>
                <w:sz w:val="24"/>
                <w:szCs w:val="24"/>
              </w:rPr>
              <w:t>work,</w:t>
            </w:r>
            <w:r w:rsidRPr="0025692F">
              <w:rPr>
                <w:rFonts w:ascii="Times New Roman" w:hAnsi="Times New Roman"/>
                <w:bCs/>
                <w:sz w:val="24"/>
                <w:szCs w:val="24"/>
              </w:rPr>
              <w:t xml:space="preserve"> and the development of this opinion given the great importance of engaging in a broad public debate on how to halt the deforestation of the Amazon rainforest.</w:t>
            </w:r>
            <w:r w:rsidR="00615671" w:rsidRPr="0025692F">
              <w:rPr>
                <w:rFonts w:ascii="Times New Roman" w:hAnsi="Times New Roman"/>
                <w:bCs/>
                <w:sz w:val="24"/>
                <w:szCs w:val="24"/>
              </w:rPr>
              <w:t xml:space="preserve">      </w:t>
            </w:r>
            <w:r w:rsidR="00A55C2E" w:rsidRPr="0025692F">
              <w:rPr>
                <w:rFonts w:ascii="Times New Roman" w:hAnsi="Times New Roman"/>
                <w:bCs/>
                <w:sz w:val="24"/>
                <w:szCs w:val="24"/>
              </w:rPr>
              <w:t xml:space="preserve"> </w:t>
            </w:r>
          </w:p>
          <w:p w14:paraId="0E2B6413" w14:textId="77777777" w:rsidR="004A6B5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The impact assessment underpinning the EUDR estimated that the costs of compliance for companies are significantly lower than the expected benefits. One of these expected economic benefits would be that operators sourcing deforestation-free commodities and products would benefit from higher demand for these commodities and products and are therefore expected to gain share in the EU market.</w:t>
            </w:r>
          </w:p>
          <w:p w14:paraId="31AAF270" w14:textId="77777777" w:rsidR="004A6B5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Moreover, several smallholder associations from Member States and third countries have pointed out that the EUDR could be an opportunity for them, whereby they can achieve a stronger position in supply chains, leading to fairer prices and enabling them to enter new markets. </w:t>
            </w:r>
          </w:p>
          <w:p w14:paraId="3DBAABC1" w14:textId="3AF36D40" w:rsidR="004A62E0" w:rsidRPr="0025692F" w:rsidRDefault="004A62E0"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On 6 December 2024, the European Union and Mercosur finalised negotiations for a Partnership agreement. This is a milestone in bilateral relations between two of the world’s largest trading blocs. The agreement will help the promotion of the green transition and deforestation prevention as anchored in the Trade and Sustainability Chapter and the Additional Protocol. The EU-Mercosur Partnership Agreement is complementary to the EUDR, which will apply in full to Mercosur countries. As a binding EU regulation, the EUDR applies the same rules for all covered products and will ensure that products placed on the EU market are deforestation free, irrespective of where they are produced. The deforestation-related provisions in the Mercosur agreement are </w:t>
            </w:r>
            <w:r w:rsidRPr="0025692F">
              <w:rPr>
                <w:rFonts w:ascii="Times New Roman" w:hAnsi="Times New Roman"/>
                <w:bCs/>
                <w:sz w:val="24"/>
                <w:szCs w:val="24"/>
              </w:rPr>
              <w:lastRenderedPageBreak/>
              <w:t xml:space="preserve">consistent with this cooperative approach with partner countries envisaged under the EUDR. </w:t>
            </w:r>
          </w:p>
          <w:p w14:paraId="6B7620E9" w14:textId="5628944A" w:rsidR="00F73166" w:rsidRPr="0025692F" w:rsidRDefault="00F73166"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The Commission is committed to implementing the EUDR in a spirit of partnership, transparency and open dialogue with all stakeholders and partner countries.</w:t>
            </w:r>
          </w:p>
          <w:p w14:paraId="3570D2E9" w14:textId="25D09D9D" w:rsidR="00E91A04" w:rsidRPr="0025692F" w:rsidRDefault="00E91A04"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A simplification package was adopted on 15 </w:t>
            </w:r>
            <w:r w:rsidR="00165DAF" w:rsidRPr="0025692F">
              <w:rPr>
                <w:rFonts w:ascii="Times New Roman" w:hAnsi="Times New Roman"/>
                <w:bCs/>
                <w:sz w:val="24"/>
                <w:szCs w:val="24"/>
              </w:rPr>
              <w:t>April 2025</w:t>
            </w:r>
            <w:r w:rsidRPr="0025692F">
              <w:rPr>
                <w:rFonts w:ascii="Times New Roman" w:hAnsi="Times New Roman"/>
                <w:bCs/>
                <w:sz w:val="24"/>
                <w:szCs w:val="24"/>
              </w:rPr>
              <w:t xml:space="preserve"> including a fourth edition of the Frequently Asked Questions (FAQs), and an updated version of the guidance document. These measures are based on the input from stakeholders and respond to the concerns that have been collected from industry associations, producers, operators and traders. A small and medium-sized enterprise (SME)</w:t>
            </w:r>
            <w:r w:rsidRPr="0025692F">
              <w:rPr>
                <w:rFonts w:ascii="Times New Roman" w:hAnsi="Times New Roman"/>
                <w:sz w:val="24"/>
                <w:szCs w:val="24"/>
                <w:vertAlign w:val="superscript"/>
              </w:rPr>
              <w:footnoteReference w:id="1"/>
            </w:r>
            <w:r w:rsidRPr="0025692F">
              <w:rPr>
                <w:rFonts w:ascii="Times New Roman" w:hAnsi="Times New Roman"/>
                <w:bCs/>
                <w:sz w:val="24"/>
                <w:szCs w:val="24"/>
              </w:rPr>
              <w:t xml:space="preserve"> Factsheet, and a ‘myth buster’</w:t>
            </w:r>
            <w:r w:rsidRPr="0025692F">
              <w:rPr>
                <w:rFonts w:ascii="Times New Roman" w:hAnsi="Times New Roman"/>
                <w:sz w:val="24"/>
                <w:szCs w:val="24"/>
                <w:vertAlign w:val="superscript"/>
              </w:rPr>
              <w:footnoteReference w:id="2"/>
            </w:r>
            <w:r w:rsidRPr="0025692F">
              <w:rPr>
                <w:rFonts w:ascii="Times New Roman" w:hAnsi="Times New Roman"/>
                <w:bCs/>
                <w:sz w:val="24"/>
                <w:szCs w:val="24"/>
              </w:rPr>
              <w:t xml:space="preserve"> document have also been published. These documents provide clarification on the application of the rules and promote a pragmatic and consistent interpretation of the regulation</w:t>
            </w:r>
          </w:p>
          <w:p w14:paraId="6CB3663E" w14:textId="7F810803" w:rsidR="00BC1AC8" w:rsidRPr="0025692F" w:rsidRDefault="00BC1AC8" w:rsidP="0025692F">
            <w:pPr>
              <w:pStyle w:val="ListParagraph"/>
              <w:widowControl w:val="0"/>
              <w:spacing w:before="120" w:after="120" w:line="276" w:lineRule="auto"/>
              <w:ind w:left="0"/>
              <w:contextualSpacing/>
              <w:jc w:val="both"/>
              <w:rPr>
                <w:rFonts w:ascii="Times New Roman" w:hAnsi="Times New Roman" w:cs="Times New Roman"/>
                <w:bCs/>
                <w:sz w:val="24"/>
                <w:szCs w:val="24"/>
                <w:lang w:val="en-GB"/>
              </w:rPr>
            </w:pPr>
            <w:r w:rsidRPr="0025692F">
              <w:rPr>
                <w:rFonts w:ascii="Times New Roman" w:hAnsi="Times New Roman" w:cs="Times New Roman"/>
                <w:bCs/>
                <w:sz w:val="24"/>
                <w:szCs w:val="24"/>
                <w:lang w:val="en-GB"/>
              </w:rPr>
              <w:t>The EU Observatory on deforestation and forest degradation (EUFO)</w:t>
            </w:r>
            <w:r w:rsidRPr="0025692F">
              <w:rPr>
                <w:rFonts w:ascii="Times New Roman" w:hAnsi="Times New Roman" w:cs="Times New Roman"/>
                <w:bCs/>
                <w:sz w:val="24"/>
                <w:szCs w:val="24"/>
                <w:vertAlign w:val="superscript"/>
                <w:lang w:val="en-GB"/>
              </w:rPr>
              <w:footnoteReference w:id="3"/>
            </w:r>
            <w:r w:rsidRPr="0025692F">
              <w:rPr>
                <w:rFonts w:ascii="Times New Roman" w:hAnsi="Times New Roman" w:cs="Times New Roman"/>
                <w:bCs/>
                <w:sz w:val="24"/>
                <w:szCs w:val="24"/>
                <w:lang w:val="en-GB"/>
              </w:rPr>
              <w:t>, developed by the Commission, aims to monitor changes in the world’s forest cover and related drivers. Besides providing access to global forest maps and spatial forest and forestry-related information, this Observatory will facilitate access to scientific information on supply chains, linking deforestation, forest degradation and changes in the world’s forest cover to Union demand for commodities and products. Hosted on the EU Observatory, the Global Forest Cover map for year 2020 (GFC 2020)</w:t>
            </w:r>
            <w:r w:rsidRPr="0025692F">
              <w:rPr>
                <w:rFonts w:ascii="Times New Roman" w:hAnsi="Times New Roman" w:cs="Times New Roman"/>
                <w:bCs/>
                <w:sz w:val="24"/>
                <w:szCs w:val="24"/>
                <w:vertAlign w:val="superscript"/>
                <w:lang w:val="en-GB"/>
              </w:rPr>
              <w:footnoteReference w:id="4"/>
            </w:r>
            <w:r w:rsidRPr="0025692F">
              <w:rPr>
                <w:rFonts w:ascii="Times New Roman" w:hAnsi="Times New Roman" w:cs="Times New Roman"/>
                <w:bCs/>
                <w:sz w:val="24"/>
                <w:szCs w:val="24"/>
                <w:lang w:val="en-GB"/>
              </w:rPr>
              <w:t xml:space="preserve"> indicates global forest cover presence/absence at 10 meters spatial resolution. The map is one of the support tools provided by the European Commission to implement the EUDR.</w:t>
            </w:r>
          </w:p>
          <w:p w14:paraId="0F8974D2" w14:textId="141D5A52" w:rsidR="00165DAF" w:rsidRPr="0025692F" w:rsidRDefault="00BC1AC8"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In addition, the Commission has published a strategic framework for international cooperation to promote deforestation-free supply chains globally. This framework identifies five priority action areas, such as support for smallholders, and several implementation tools, such as dialogue and financing mechanisms.</w:t>
            </w:r>
            <w:r w:rsidR="00165DAF" w:rsidRPr="0025692F">
              <w:rPr>
                <w:rFonts w:ascii="Times New Roman" w:hAnsi="Times New Roman"/>
                <w:bCs/>
                <w:sz w:val="24"/>
                <w:szCs w:val="24"/>
              </w:rPr>
              <w:t xml:space="preserve"> </w:t>
            </w:r>
          </w:p>
          <w:p w14:paraId="2A195106" w14:textId="446AEF31" w:rsidR="00165DAF" w:rsidRPr="0025692F" w:rsidRDefault="00165DAF" w:rsidP="0025692F">
            <w:pPr>
              <w:pStyle w:val="ListParagraph"/>
              <w:widowControl w:val="0"/>
              <w:spacing w:before="120" w:after="120" w:line="276" w:lineRule="auto"/>
              <w:ind w:left="0"/>
              <w:contextualSpacing/>
              <w:jc w:val="both"/>
              <w:rPr>
                <w:rFonts w:ascii="Times New Roman" w:hAnsi="Times New Roman" w:cs="Times New Roman"/>
                <w:bCs/>
                <w:sz w:val="24"/>
                <w:szCs w:val="24"/>
              </w:rPr>
            </w:pPr>
            <w:r w:rsidRPr="0025692F">
              <w:rPr>
                <w:rFonts w:ascii="Times New Roman" w:hAnsi="Times New Roman" w:cs="Times New Roman"/>
                <w:bCs/>
                <w:sz w:val="24"/>
                <w:szCs w:val="24"/>
                <w:lang w:val="en-GB"/>
              </w:rPr>
              <w:t>On 21 October 2025, the Commission adopted a proposal to amend the EUDR. The amendments aim to reduce the load on the EUDR IT system and ease the administrative burden for economic operators, while maintaining the Regulation’s environmental integrity and its objective of fighting global deforestation. It introduces targeted simplifications and transition periods to ensure a</w:t>
            </w:r>
            <w:r w:rsidR="0025692F">
              <w:rPr>
                <w:rFonts w:ascii="Times New Roman" w:hAnsi="Times New Roman" w:cs="Times New Roman"/>
                <w:bCs/>
                <w:sz w:val="24"/>
                <w:szCs w:val="24"/>
                <w:lang w:val="en-GB"/>
              </w:rPr>
              <w:t> </w:t>
            </w:r>
            <w:r w:rsidRPr="0025692F">
              <w:rPr>
                <w:rFonts w:ascii="Times New Roman" w:hAnsi="Times New Roman" w:cs="Times New Roman"/>
                <w:bCs/>
                <w:sz w:val="24"/>
                <w:szCs w:val="24"/>
                <w:lang w:val="en-GB"/>
              </w:rPr>
              <w:t>smooth and effective entry into application. The EU co-legislators, the European Parliament and the Council, are currently discussing the Commission's proposal. They need to formally adopt the targeted amendments of the EUDR before it can come into effect.</w:t>
            </w:r>
          </w:p>
          <w:p w14:paraId="475DDA39" w14:textId="441348F0" w:rsidR="00A55C2E"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The EU acknowledges the importance of addressing smallholders’ needs and it is committed to provide necessary support for achieving deforestation-free supply chains through its cooperation and development programmes at national, regional and global level, including as part of the dedicated global Team Europe Initiative (TEI) on Deforestation-free Value Chains</w:t>
            </w:r>
            <w:r w:rsidR="007C5F71" w:rsidRPr="0025692F">
              <w:rPr>
                <w:rFonts w:ascii="Times New Roman" w:hAnsi="Times New Roman"/>
                <w:sz w:val="24"/>
                <w:szCs w:val="24"/>
                <w:vertAlign w:val="superscript"/>
              </w:rPr>
              <w:footnoteReference w:id="5"/>
            </w:r>
            <w:r w:rsidRPr="0025692F">
              <w:rPr>
                <w:rFonts w:ascii="Times New Roman" w:hAnsi="Times New Roman"/>
                <w:bCs/>
                <w:sz w:val="24"/>
                <w:szCs w:val="24"/>
              </w:rPr>
              <w:t xml:space="preserve"> launched</w:t>
            </w:r>
            <w:r w:rsidR="00C660D5" w:rsidRPr="0025692F">
              <w:rPr>
                <w:rFonts w:ascii="Times New Roman" w:hAnsi="Times New Roman"/>
                <w:bCs/>
                <w:sz w:val="24"/>
                <w:szCs w:val="24"/>
              </w:rPr>
              <w:t xml:space="preserve"> during the 28th</w:t>
            </w:r>
            <w:r w:rsidR="00F73166" w:rsidRPr="0025692F">
              <w:rPr>
                <w:rFonts w:ascii="Times New Roman" w:hAnsi="Times New Roman"/>
                <w:bCs/>
                <w:sz w:val="24"/>
                <w:szCs w:val="24"/>
              </w:rPr>
              <w:t xml:space="preserve"> </w:t>
            </w:r>
            <w:r w:rsidR="00C660D5" w:rsidRPr="0025692F">
              <w:rPr>
                <w:rFonts w:ascii="Times New Roman" w:hAnsi="Times New Roman"/>
                <w:bCs/>
                <w:sz w:val="24"/>
                <w:szCs w:val="24"/>
              </w:rPr>
              <w:t>Conference of the Parties to the United Nations Framework Convention on Climate Change in 2023</w:t>
            </w:r>
            <w:r w:rsidRPr="0025692F">
              <w:rPr>
                <w:rFonts w:ascii="Times New Roman" w:hAnsi="Times New Roman"/>
                <w:bCs/>
                <w:sz w:val="24"/>
                <w:szCs w:val="24"/>
              </w:rPr>
              <w:t>.</w:t>
            </w:r>
          </w:p>
          <w:p w14:paraId="18DC0954" w14:textId="2B665FBA" w:rsidR="00BC1AC8" w:rsidRPr="0025692F" w:rsidRDefault="00BC1AC8"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The funding by the European Commission and Members States dedicated to the Team Europe Initiative on Deforestation-free Value Chains has increased from an initial EUR 70 million at launch to currently EUR 86 million. These dedicated funds are going directly towards support activities and projects in close to 30 countries in Latin America, Africa and Asia, realized through the main implementation pillars of the TEI: The Sustainable Agriculture for Forest Ecosystems (SAFE) programme and the Zero Deforestation Hub (both implemented by GIZ) as well as the </w:t>
            </w:r>
            <w:r w:rsidRPr="0025692F">
              <w:rPr>
                <w:rFonts w:ascii="Times New Roman" w:hAnsi="Times New Roman"/>
                <w:bCs/>
                <w:sz w:val="24"/>
                <w:szCs w:val="24"/>
              </w:rPr>
              <w:lastRenderedPageBreak/>
              <w:t>Technical Facility on Deforestation-free Value Chains</w:t>
            </w:r>
            <w:r w:rsidR="0047050A" w:rsidRPr="0025692F">
              <w:rPr>
                <w:rFonts w:ascii="Times New Roman" w:hAnsi="Times New Roman"/>
                <w:bCs/>
                <w:sz w:val="24"/>
                <w:szCs w:val="24"/>
              </w:rPr>
              <w:t>.</w:t>
            </w:r>
          </w:p>
          <w:p w14:paraId="4C5E888C" w14:textId="77777777" w:rsidR="00BC1AC8" w:rsidRPr="0025692F" w:rsidRDefault="00BC1AC8"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In addition to these three central TEI elements, the initiative also seeks to increase coordination and synergies with relevant pre-existing programmes (so-called TEI flagships) financed by the EU and/or Member States in partner countries (e.g. the Sustainable Cocoa Initiative, AL INVEST Verde, </w:t>
            </w:r>
            <w:proofErr w:type="spellStart"/>
            <w:r w:rsidRPr="0025692F">
              <w:rPr>
                <w:rFonts w:ascii="Times New Roman" w:hAnsi="Times New Roman"/>
                <w:bCs/>
                <w:sz w:val="24"/>
                <w:szCs w:val="24"/>
              </w:rPr>
              <w:t>AgriChains</w:t>
            </w:r>
            <w:proofErr w:type="spellEnd"/>
            <w:r w:rsidRPr="0025692F">
              <w:rPr>
                <w:rFonts w:ascii="Times New Roman" w:hAnsi="Times New Roman"/>
                <w:bCs/>
                <w:sz w:val="24"/>
                <w:szCs w:val="24"/>
              </w:rPr>
              <w:t>, NI-SCOPS etc.). Since these projects are much broader in scope but include certain components on deforestation-free value chains and EUDR preparedness, they are not counted in the official TEI funding numbers mentioned above. Nevertheless, they contribute to the TEI’s objectives and increase its geographical coverage and impact on the ground.</w:t>
            </w:r>
          </w:p>
          <w:p w14:paraId="018652D3" w14:textId="66CDB56D" w:rsidR="004A6B5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At </w:t>
            </w:r>
            <w:r w:rsidR="00320074" w:rsidRPr="0025692F">
              <w:rPr>
                <w:rFonts w:ascii="Times New Roman" w:hAnsi="Times New Roman"/>
                <w:bCs/>
                <w:sz w:val="24"/>
                <w:szCs w:val="24"/>
              </w:rPr>
              <w:t xml:space="preserve">the </w:t>
            </w:r>
            <w:r w:rsidRPr="0025692F">
              <w:rPr>
                <w:rFonts w:ascii="Times New Roman" w:hAnsi="Times New Roman"/>
                <w:bCs/>
                <w:sz w:val="24"/>
                <w:szCs w:val="24"/>
              </w:rPr>
              <w:t xml:space="preserve">26th Conference of the Parties to the United Nations Framework Convention on Climate Change in 2021, the EU pledged EUR 1 billion to support the restoration, conservation and sustainable use of forests worldwide. This pledge is the EU contribution </w:t>
            </w:r>
            <w:r w:rsidR="00B06325" w:rsidRPr="0025692F">
              <w:rPr>
                <w:rFonts w:ascii="Times New Roman" w:hAnsi="Times New Roman"/>
                <w:bCs/>
                <w:sz w:val="24"/>
                <w:szCs w:val="24"/>
              </w:rPr>
              <w:t xml:space="preserve">to </w:t>
            </w:r>
            <w:r w:rsidRPr="0025692F">
              <w:rPr>
                <w:rFonts w:ascii="Times New Roman" w:hAnsi="Times New Roman"/>
                <w:bCs/>
                <w:sz w:val="24"/>
                <w:szCs w:val="24"/>
              </w:rPr>
              <w:t xml:space="preserve">the Glasgow Declaration on forests and land </w:t>
            </w:r>
            <w:r w:rsidR="00A87DB2" w:rsidRPr="0025692F">
              <w:rPr>
                <w:rFonts w:ascii="Times New Roman" w:hAnsi="Times New Roman"/>
                <w:bCs/>
                <w:sz w:val="24"/>
                <w:szCs w:val="24"/>
              </w:rPr>
              <w:t>use and</w:t>
            </w:r>
            <w:r w:rsidRPr="0025692F">
              <w:rPr>
                <w:rFonts w:ascii="Times New Roman" w:hAnsi="Times New Roman"/>
                <w:bCs/>
                <w:sz w:val="24"/>
                <w:szCs w:val="24"/>
              </w:rPr>
              <w:t xml:space="preserve"> corresponds to the planned actions included into the Multi-annual Indicative Programmes of each country. </w:t>
            </w:r>
          </w:p>
          <w:p w14:paraId="1DDDD8F3" w14:textId="0430A874" w:rsidR="004A6B59" w:rsidRPr="0025692F" w:rsidRDefault="004A6B59" w:rsidP="0025692F">
            <w:pPr>
              <w:widowControl w:val="0"/>
              <w:spacing w:before="120" w:after="120"/>
              <w:jc w:val="both"/>
              <w:rPr>
                <w:rFonts w:ascii="Times New Roman" w:hAnsi="Times New Roman"/>
                <w:bCs/>
                <w:sz w:val="24"/>
                <w:szCs w:val="24"/>
              </w:rPr>
            </w:pPr>
            <w:r w:rsidRPr="0025692F">
              <w:rPr>
                <w:rFonts w:ascii="Times New Roman" w:hAnsi="Times New Roman"/>
                <w:bCs/>
                <w:sz w:val="24"/>
                <w:szCs w:val="24"/>
              </w:rPr>
              <w:t xml:space="preserve">Ahead of </w:t>
            </w:r>
            <w:r w:rsidR="00B06325" w:rsidRPr="0025692F">
              <w:rPr>
                <w:rFonts w:ascii="Times New Roman" w:hAnsi="Times New Roman"/>
                <w:bCs/>
                <w:sz w:val="24"/>
                <w:szCs w:val="24"/>
              </w:rPr>
              <w:t xml:space="preserve">the </w:t>
            </w:r>
            <w:r w:rsidRPr="0025692F">
              <w:rPr>
                <w:rFonts w:ascii="Times New Roman" w:hAnsi="Times New Roman"/>
                <w:bCs/>
                <w:sz w:val="24"/>
                <w:szCs w:val="24"/>
              </w:rPr>
              <w:t xml:space="preserve">15th Conference of the Parties to the UN Convention on Biological Diversity in December 2022 in Montreal, Canada, where the Kunming-Montreal Global Biodiversity Framework was adopted, the Commission committed to double its international financing for biodiversity, </w:t>
            </w:r>
            <w:proofErr w:type="gramStart"/>
            <w:r w:rsidRPr="0025692F">
              <w:rPr>
                <w:rFonts w:ascii="Times New Roman" w:hAnsi="Times New Roman"/>
                <w:bCs/>
                <w:sz w:val="24"/>
                <w:szCs w:val="24"/>
              </w:rPr>
              <w:t>in particular to</w:t>
            </w:r>
            <w:proofErr w:type="gramEnd"/>
            <w:r w:rsidRPr="0025692F">
              <w:rPr>
                <w:rFonts w:ascii="Times New Roman" w:hAnsi="Times New Roman"/>
                <w:bCs/>
                <w:sz w:val="24"/>
                <w:szCs w:val="24"/>
              </w:rPr>
              <w:t xml:space="preserve"> the most vulnerable. This corresponds to an amount of EUR 7 billion for the period until 2027.</w:t>
            </w:r>
          </w:p>
        </w:tc>
      </w:tr>
    </w:tbl>
    <w:p w14:paraId="5C99F742" w14:textId="77777777" w:rsidR="002E2FAB" w:rsidRPr="004A6B59" w:rsidRDefault="002E2FAB" w:rsidP="00C10852">
      <w:pPr>
        <w:spacing w:before="120" w:after="120"/>
        <w:jc w:val="both"/>
        <w:rPr>
          <w:rFonts w:ascii="Times New Roman" w:hAnsi="Times New Roman"/>
          <w:bCs/>
          <w:sz w:val="24"/>
          <w:szCs w:val="24"/>
        </w:rPr>
      </w:pPr>
    </w:p>
    <w:sectPr w:rsidR="002E2FAB" w:rsidRPr="004A6B59" w:rsidSect="00B24DA5">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972C" w14:textId="77777777" w:rsidR="008229DA" w:rsidRDefault="008229DA" w:rsidP="00FF63EA">
      <w:pPr>
        <w:spacing w:after="0" w:line="240" w:lineRule="auto"/>
      </w:pPr>
      <w:r>
        <w:separator/>
      </w:r>
    </w:p>
  </w:endnote>
  <w:endnote w:type="continuationSeparator" w:id="0">
    <w:p w14:paraId="5EF42315" w14:textId="77777777" w:rsidR="008229DA" w:rsidRDefault="008229DA"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356D" w14:textId="77777777" w:rsidR="008229DA" w:rsidRDefault="008229DA" w:rsidP="00FF63EA">
      <w:pPr>
        <w:spacing w:after="0" w:line="240" w:lineRule="auto"/>
      </w:pPr>
      <w:r>
        <w:separator/>
      </w:r>
    </w:p>
  </w:footnote>
  <w:footnote w:type="continuationSeparator" w:id="0">
    <w:p w14:paraId="5C52C5C2" w14:textId="77777777" w:rsidR="008229DA" w:rsidRDefault="008229DA" w:rsidP="00FF63EA">
      <w:pPr>
        <w:spacing w:after="0" w:line="240" w:lineRule="auto"/>
      </w:pPr>
      <w:r>
        <w:continuationSeparator/>
      </w:r>
    </w:p>
  </w:footnote>
  <w:footnote w:id="1">
    <w:p w14:paraId="36DCE593" w14:textId="1860A01F" w:rsidR="00E91A04" w:rsidRPr="0025692F" w:rsidRDefault="00E91A04" w:rsidP="0025692F">
      <w:pPr>
        <w:pStyle w:val="FootnoteText"/>
        <w:widowControl w:val="0"/>
        <w:spacing w:after="0" w:line="240" w:lineRule="auto"/>
        <w:ind w:left="851" w:hanging="283"/>
        <w:jc w:val="both"/>
        <w:rPr>
          <w:rFonts w:ascii="Times New Roman" w:hAnsi="Times New Roman"/>
          <w:lang w:val="ca-ES"/>
        </w:rPr>
      </w:pPr>
      <w:r w:rsidRPr="0025692F">
        <w:rPr>
          <w:rStyle w:val="FootnoteReference"/>
          <w:rFonts w:ascii="Times New Roman" w:hAnsi="Times New Roman"/>
        </w:rPr>
        <w:footnoteRef/>
      </w:r>
      <w:r w:rsidRPr="0025692F">
        <w:rPr>
          <w:rFonts w:ascii="Times New Roman" w:hAnsi="Times New Roman"/>
          <w:lang w:val="ca-ES"/>
        </w:rPr>
        <w:t xml:space="preserve"> </w:t>
      </w:r>
      <w:r w:rsidRPr="0025692F">
        <w:rPr>
          <w:rFonts w:ascii="Times New Roman" w:hAnsi="Times New Roman"/>
          <w:lang w:val="ca-ES"/>
        </w:rPr>
        <w:tab/>
      </w:r>
      <w:hyperlink r:id="rId1" w:history="1">
        <w:r w:rsidR="0025692F" w:rsidRPr="003F2078">
          <w:rPr>
            <w:rStyle w:val="Hyperlink"/>
            <w:rFonts w:ascii="Times New Roman" w:hAnsi="Times New Roman"/>
            <w:lang w:val="ca-ES"/>
          </w:rPr>
          <w:t>https://green-business.ec.europa.eu/deforestation-regulation-implementation/factsheet-smes_en</w:t>
        </w:r>
      </w:hyperlink>
      <w:r w:rsidR="0025692F">
        <w:rPr>
          <w:rFonts w:ascii="Times New Roman" w:hAnsi="Times New Roman"/>
          <w:lang w:val="ca-ES"/>
        </w:rPr>
        <w:t>.</w:t>
      </w:r>
    </w:p>
  </w:footnote>
  <w:footnote w:id="2">
    <w:p w14:paraId="53601038" w14:textId="16BF599B" w:rsidR="00E91A04" w:rsidRPr="0025692F" w:rsidRDefault="00E91A04" w:rsidP="0025692F">
      <w:pPr>
        <w:pStyle w:val="FootnoteText"/>
        <w:widowControl w:val="0"/>
        <w:spacing w:after="0" w:line="240" w:lineRule="auto"/>
        <w:ind w:left="851" w:hanging="283"/>
        <w:jc w:val="both"/>
        <w:rPr>
          <w:rFonts w:ascii="Times New Roman" w:hAnsi="Times New Roman"/>
          <w:lang w:val="ca-ES"/>
        </w:rPr>
      </w:pPr>
      <w:r w:rsidRPr="0025692F">
        <w:rPr>
          <w:rStyle w:val="FootnoteReference"/>
          <w:rFonts w:ascii="Times New Roman" w:hAnsi="Times New Roman"/>
        </w:rPr>
        <w:footnoteRef/>
      </w:r>
      <w:r w:rsidRPr="0025692F">
        <w:rPr>
          <w:rFonts w:ascii="Times New Roman" w:hAnsi="Times New Roman"/>
          <w:lang w:val="ca-ES"/>
        </w:rPr>
        <w:t xml:space="preserve"> </w:t>
      </w:r>
      <w:r w:rsidRPr="0025692F">
        <w:rPr>
          <w:rFonts w:ascii="Times New Roman" w:hAnsi="Times New Roman"/>
          <w:lang w:val="ca-ES"/>
        </w:rPr>
        <w:tab/>
      </w:r>
      <w:hyperlink r:id="rId2" w:history="1">
        <w:r w:rsidR="0025692F" w:rsidRPr="003F2078">
          <w:rPr>
            <w:rStyle w:val="Hyperlink"/>
            <w:rFonts w:ascii="Times New Roman" w:hAnsi="Times New Roman"/>
            <w:lang w:val="ca-ES"/>
          </w:rPr>
          <w:t>https://green-business.ec.europa.eu/eudr-myth-buster_en</w:t>
        </w:r>
      </w:hyperlink>
      <w:r w:rsidR="0025692F">
        <w:rPr>
          <w:rFonts w:ascii="Times New Roman" w:hAnsi="Times New Roman"/>
          <w:lang w:val="ca-ES"/>
        </w:rPr>
        <w:t>.</w:t>
      </w:r>
    </w:p>
  </w:footnote>
  <w:footnote w:id="3">
    <w:p w14:paraId="2480BDCC" w14:textId="63A668F5" w:rsidR="00BC1AC8" w:rsidRPr="00610BCC" w:rsidRDefault="00BC1AC8" w:rsidP="0025692F">
      <w:pPr>
        <w:pStyle w:val="FootnoteText"/>
        <w:widowControl w:val="0"/>
        <w:spacing w:after="0" w:line="240" w:lineRule="auto"/>
        <w:ind w:left="851" w:hanging="283"/>
        <w:jc w:val="both"/>
        <w:rPr>
          <w:rFonts w:ascii="Times New Roman" w:hAnsi="Times New Roman"/>
          <w:lang w:val="fr-BE"/>
        </w:rPr>
      </w:pPr>
      <w:r w:rsidRPr="0025692F">
        <w:rPr>
          <w:rFonts w:ascii="Times New Roman" w:hAnsi="Times New Roman"/>
          <w:lang w:val="ca-ES"/>
        </w:rPr>
        <w:footnoteRef/>
      </w:r>
      <w:r w:rsidRPr="0025692F">
        <w:rPr>
          <w:rFonts w:ascii="Times New Roman" w:hAnsi="Times New Roman"/>
          <w:lang w:val="ca-ES"/>
        </w:rPr>
        <w:t xml:space="preserve"> </w:t>
      </w:r>
      <w:r w:rsidRPr="0025692F">
        <w:rPr>
          <w:rFonts w:ascii="Times New Roman" w:hAnsi="Times New Roman"/>
          <w:lang w:val="ca-ES"/>
        </w:rPr>
        <w:tab/>
      </w:r>
      <w:hyperlink r:id="rId3" w:history="1">
        <w:r w:rsidRPr="0025692F">
          <w:rPr>
            <w:rFonts w:ascii="Times New Roman" w:hAnsi="Times New Roman"/>
            <w:lang w:val="ca-ES"/>
          </w:rPr>
          <w:t>EU Forest Observatory</w:t>
        </w:r>
      </w:hyperlink>
      <w:r w:rsidR="00610BCC" w:rsidRPr="00610BCC">
        <w:rPr>
          <w:rFonts w:ascii="Times New Roman" w:hAnsi="Times New Roman"/>
          <w:lang w:val="fr-BE"/>
        </w:rPr>
        <w:t xml:space="preserve"> </w:t>
      </w:r>
      <w:r w:rsidR="00610BCC">
        <w:rPr>
          <w:rFonts w:ascii="Times New Roman" w:hAnsi="Times New Roman"/>
          <w:lang w:val="fr-BE"/>
        </w:rPr>
        <w:t>(</w:t>
      </w:r>
      <w:hyperlink r:id="rId4" w:history="1">
        <w:r w:rsidR="00610BCC" w:rsidRPr="00610BCC">
          <w:rPr>
            <w:rStyle w:val="Hyperlink"/>
            <w:rFonts w:ascii="Times New Roman" w:hAnsi="Times New Roman"/>
            <w:lang w:val="fr-BE"/>
          </w:rPr>
          <w:t xml:space="preserve">EU Forest </w:t>
        </w:r>
        <w:proofErr w:type="spellStart"/>
        <w:r w:rsidR="00610BCC" w:rsidRPr="00610BCC">
          <w:rPr>
            <w:rStyle w:val="Hyperlink"/>
            <w:rFonts w:ascii="Times New Roman" w:hAnsi="Times New Roman"/>
            <w:lang w:val="fr-BE"/>
          </w:rPr>
          <w:t>Observatory</w:t>
        </w:r>
        <w:proofErr w:type="spellEnd"/>
      </w:hyperlink>
      <w:r w:rsidR="00610BCC">
        <w:rPr>
          <w:rFonts w:ascii="Times New Roman" w:hAnsi="Times New Roman"/>
          <w:lang w:val="fr-BE"/>
        </w:rPr>
        <w:t>).</w:t>
      </w:r>
    </w:p>
  </w:footnote>
  <w:footnote w:id="4">
    <w:p w14:paraId="79FDFEC4" w14:textId="594FF83A" w:rsidR="00BC1AC8" w:rsidRPr="0025692F" w:rsidRDefault="00BC1AC8" w:rsidP="0025692F">
      <w:pPr>
        <w:pStyle w:val="FootnoteText"/>
        <w:widowControl w:val="0"/>
        <w:spacing w:after="0" w:line="240" w:lineRule="auto"/>
        <w:ind w:left="851" w:hanging="283"/>
        <w:jc w:val="both"/>
        <w:rPr>
          <w:rFonts w:ascii="Times New Roman" w:hAnsi="Times New Roman"/>
          <w:lang w:val="ca-ES"/>
        </w:rPr>
      </w:pPr>
      <w:r w:rsidRPr="0025692F">
        <w:rPr>
          <w:rFonts w:ascii="Times New Roman" w:hAnsi="Times New Roman"/>
          <w:lang w:val="ca-ES"/>
        </w:rPr>
        <w:footnoteRef/>
      </w:r>
      <w:r w:rsidRPr="0025692F">
        <w:rPr>
          <w:rFonts w:ascii="Times New Roman" w:hAnsi="Times New Roman"/>
          <w:lang w:val="ca-ES"/>
        </w:rPr>
        <w:t xml:space="preserve">  </w:t>
      </w:r>
      <w:r w:rsidRPr="0025692F">
        <w:rPr>
          <w:rFonts w:ascii="Times New Roman" w:hAnsi="Times New Roman"/>
          <w:lang w:val="ca-ES"/>
        </w:rPr>
        <w:tab/>
      </w:r>
      <w:hyperlink r:id="rId5" w:history="1">
        <w:r w:rsidR="0025692F" w:rsidRPr="003F2078">
          <w:rPr>
            <w:rStyle w:val="Hyperlink"/>
            <w:rFonts w:ascii="Times New Roman" w:hAnsi="Times New Roman"/>
            <w:lang w:val="ca-ES"/>
          </w:rPr>
          <w:t>https://forest-observatory.ec.europa.eu/forest/rmap</w:t>
        </w:r>
      </w:hyperlink>
      <w:r w:rsidR="0025692F">
        <w:rPr>
          <w:rFonts w:ascii="Times New Roman" w:hAnsi="Times New Roman"/>
          <w:lang w:val="ca-ES"/>
        </w:rPr>
        <w:t xml:space="preserve">.  </w:t>
      </w:r>
    </w:p>
    <w:p w14:paraId="2023A63B" w14:textId="77777777" w:rsidR="00BC1AC8" w:rsidRPr="0025692F" w:rsidRDefault="00BC1AC8" w:rsidP="0025692F">
      <w:pPr>
        <w:pStyle w:val="FootnoteText"/>
        <w:widowControl w:val="0"/>
        <w:spacing w:after="0" w:line="240" w:lineRule="auto"/>
        <w:ind w:left="851" w:hanging="283"/>
        <w:jc w:val="both"/>
        <w:rPr>
          <w:rFonts w:ascii="Times New Roman" w:hAnsi="Times New Roman"/>
          <w:sz w:val="2"/>
          <w:szCs w:val="2"/>
          <w:lang w:val="ca-ES"/>
        </w:rPr>
      </w:pPr>
    </w:p>
  </w:footnote>
  <w:footnote w:id="5">
    <w:p w14:paraId="7DD0EF6E" w14:textId="4132EF63" w:rsidR="007C5F71" w:rsidRPr="00060A5A" w:rsidRDefault="007C5F71" w:rsidP="0025692F">
      <w:pPr>
        <w:pStyle w:val="FootnoteText"/>
        <w:widowControl w:val="0"/>
        <w:spacing w:after="0" w:line="240" w:lineRule="auto"/>
        <w:ind w:left="851" w:hanging="283"/>
        <w:jc w:val="both"/>
        <w:rPr>
          <w:rFonts w:ascii="Times New Roman" w:hAnsi="Times New Roman"/>
          <w:lang w:val="ca-ES"/>
        </w:rPr>
      </w:pPr>
      <w:r w:rsidRPr="0025692F">
        <w:rPr>
          <w:rFonts w:ascii="Times New Roman" w:hAnsi="Times New Roman"/>
          <w:lang w:val="ca-ES"/>
        </w:rPr>
        <w:footnoteRef/>
      </w:r>
      <w:r w:rsidRPr="0025692F">
        <w:rPr>
          <w:rFonts w:ascii="Times New Roman" w:hAnsi="Times New Roman"/>
          <w:lang w:val="ca-ES"/>
        </w:rPr>
        <w:t xml:space="preserve"> </w:t>
      </w:r>
      <w:r w:rsidR="00C10852" w:rsidRPr="0025692F">
        <w:rPr>
          <w:rFonts w:ascii="Times New Roman" w:hAnsi="Times New Roman"/>
          <w:lang w:val="ca-ES"/>
        </w:rPr>
        <w:tab/>
      </w:r>
      <w:hyperlink r:id="rId6" w:history="1">
        <w:r w:rsidR="0025692F" w:rsidRPr="003F2078">
          <w:rPr>
            <w:rStyle w:val="Hyperlink"/>
            <w:rFonts w:ascii="Times New Roman" w:hAnsi="Times New Roman"/>
            <w:lang w:val="ca-ES"/>
          </w:rPr>
          <w:t>https://zerodeforestationhub.eu/</w:t>
        </w:r>
      </w:hyperlink>
      <w:r w:rsidR="0025692F">
        <w:rPr>
          <w:rFonts w:ascii="Times New Roman" w:hAnsi="Times New Roman"/>
          <w:lang w:val="ca-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642B2D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2E762FB"/>
    <w:multiLevelType w:val="hybridMultilevel"/>
    <w:tmpl w:val="0AA48A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1D296008"/>
    <w:multiLevelType w:val="hybridMultilevel"/>
    <w:tmpl w:val="03A65D40"/>
    <w:lvl w:ilvl="0" w:tplc="F3D4980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C7784"/>
    <w:multiLevelType w:val="multilevel"/>
    <w:tmpl w:val="918E9A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E41A75"/>
    <w:multiLevelType w:val="hybridMultilevel"/>
    <w:tmpl w:val="C4C8C0A4"/>
    <w:lvl w:ilvl="0" w:tplc="7EBECE30">
      <w:start w:val="1"/>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59E3F45"/>
    <w:multiLevelType w:val="hybridMultilevel"/>
    <w:tmpl w:val="90548EF4"/>
    <w:lvl w:ilvl="0" w:tplc="993E8D54">
      <w:start w:val="1"/>
      <w:numFmt w:val="bullet"/>
      <w:lvlText w:val="-"/>
      <w:lvlJc w:val="left"/>
      <w:pPr>
        <w:ind w:left="720" w:hanging="360"/>
      </w:pPr>
      <w:rPr>
        <w:rFonts w:ascii="Symbol" w:hAnsi="Symbol" w:hint="default"/>
      </w:rPr>
    </w:lvl>
    <w:lvl w:ilvl="1" w:tplc="3A58AFCC">
      <w:start w:val="1"/>
      <w:numFmt w:val="bullet"/>
      <w:lvlText w:val="o"/>
      <w:lvlJc w:val="left"/>
      <w:pPr>
        <w:ind w:left="1159" w:hanging="360"/>
      </w:pPr>
      <w:rPr>
        <w:rFonts w:ascii="Courier New" w:hAnsi="Courier New" w:hint="default"/>
      </w:rPr>
    </w:lvl>
    <w:lvl w:ilvl="2" w:tplc="BA7845C0">
      <w:start w:val="1"/>
      <w:numFmt w:val="bullet"/>
      <w:lvlText w:val=""/>
      <w:lvlJc w:val="left"/>
      <w:pPr>
        <w:ind w:left="1879" w:hanging="360"/>
      </w:pPr>
      <w:rPr>
        <w:rFonts w:ascii="Wingdings" w:hAnsi="Wingdings" w:hint="default"/>
      </w:rPr>
    </w:lvl>
    <w:lvl w:ilvl="3" w:tplc="59AA3DB2">
      <w:start w:val="1"/>
      <w:numFmt w:val="bullet"/>
      <w:lvlText w:val=""/>
      <w:lvlJc w:val="left"/>
      <w:pPr>
        <w:ind w:left="2599" w:hanging="360"/>
      </w:pPr>
      <w:rPr>
        <w:rFonts w:ascii="Symbol" w:hAnsi="Symbol" w:hint="default"/>
      </w:rPr>
    </w:lvl>
    <w:lvl w:ilvl="4" w:tplc="3014C65A">
      <w:start w:val="1"/>
      <w:numFmt w:val="bullet"/>
      <w:lvlText w:val="o"/>
      <w:lvlJc w:val="left"/>
      <w:pPr>
        <w:ind w:left="3319" w:hanging="360"/>
      </w:pPr>
      <w:rPr>
        <w:rFonts w:ascii="Courier New" w:hAnsi="Courier New" w:hint="default"/>
      </w:rPr>
    </w:lvl>
    <w:lvl w:ilvl="5" w:tplc="0608A510">
      <w:start w:val="1"/>
      <w:numFmt w:val="bullet"/>
      <w:lvlText w:val=""/>
      <w:lvlJc w:val="left"/>
      <w:pPr>
        <w:ind w:left="4039" w:hanging="360"/>
      </w:pPr>
      <w:rPr>
        <w:rFonts w:ascii="Wingdings" w:hAnsi="Wingdings" w:hint="default"/>
      </w:rPr>
    </w:lvl>
    <w:lvl w:ilvl="6" w:tplc="FE024F52">
      <w:start w:val="1"/>
      <w:numFmt w:val="bullet"/>
      <w:lvlText w:val=""/>
      <w:lvlJc w:val="left"/>
      <w:pPr>
        <w:ind w:left="4759" w:hanging="360"/>
      </w:pPr>
      <w:rPr>
        <w:rFonts w:ascii="Symbol" w:hAnsi="Symbol" w:hint="default"/>
      </w:rPr>
    </w:lvl>
    <w:lvl w:ilvl="7" w:tplc="5CA0D8D8">
      <w:start w:val="1"/>
      <w:numFmt w:val="bullet"/>
      <w:lvlText w:val="o"/>
      <w:lvlJc w:val="left"/>
      <w:pPr>
        <w:ind w:left="5479" w:hanging="360"/>
      </w:pPr>
      <w:rPr>
        <w:rFonts w:ascii="Courier New" w:hAnsi="Courier New" w:hint="default"/>
      </w:rPr>
    </w:lvl>
    <w:lvl w:ilvl="8" w:tplc="57EC58A6">
      <w:start w:val="1"/>
      <w:numFmt w:val="bullet"/>
      <w:lvlText w:val=""/>
      <w:lvlJc w:val="left"/>
      <w:pPr>
        <w:ind w:left="6199" w:hanging="360"/>
      </w:pPr>
      <w:rPr>
        <w:rFonts w:ascii="Wingdings" w:hAnsi="Wingdings" w:hint="default"/>
      </w:rPr>
    </w:lvl>
  </w:abstractNum>
  <w:num w:numId="1" w16cid:durableId="848301481">
    <w:abstractNumId w:val="4"/>
  </w:num>
  <w:num w:numId="2" w16cid:durableId="2007397448">
    <w:abstractNumId w:val="0"/>
  </w:num>
  <w:num w:numId="3" w16cid:durableId="1909338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1559218">
    <w:abstractNumId w:val="3"/>
  </w:num>
  <w:num w:numId="5" w16cid:durableId="1157264913">
    <w:abstractNumId w:val="1"/>
  </w:num>
  <w:num w:numId="6" w16cid:durableId="925193514">
    <w:abstractNumId w:val="2"/>
  </w:num>
  <w:num w:numId="7" w16cid:durableId="217936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5864"/>
    <w:rsid w:val="00012A37"/>
    <w:rsid w:val="00020DF5"/>
    <w:rsid w:val="00027FC9"/>
    <w:rsid w:val="00042CAF"/>
    <w:rsid w:val="00046B15"/>
    <w:rsid w:val="000500DD"/>
    <w:rsid w:val="00050DC7"/>
    <w:rsid w:val="00060A5A"/>
    <w:rsid w:val="00066C8A"/>
    <w:rsid w:val="00076109"/>
    <w:rsid w:val="00077C4F"/>
    <w:rsid w:val="00095CD9"/>
    <w:rsid w:val="000D1531"/>
    <w:rsid w:val="000F5FD8"/>
    <w:rsid w:val="000F6849"/>
    <w:rsid w:val="000F7CE0"/>
    <w:rsid w:val="0010688D"/>
    <w:rsid w:val="001167C0"/>
    <w:rsid w:val="0011710A"/>
    <w:rsid w:val="00120A3D"/>
    <w:rsid w:val="00127895"/>
    <w:rsid w:val="00135C2A"/>
    <w:rsid w:val="0014593E"/>
    <w:rsid w:val="00157567"/>
    <w:rsid w:val="00157EE3"/>
    <w:rsid w:val="001607CC"/>
    <w:rsid w:val="00165DAF"/>
    <w:rsid w:val="001B0453"/>
    <w:rsid w:val="001B06DE"/>
    <w:rsid w:val="001B0E0B"/>
    <w:rsid w:val="001C4138"/>
    <w:rsid w:val="001D0C31"/>
    <w:rsid w:val="001E12F8"/>
    <w:rsid w:val="001E6ED3"/>
    <w:rsid w:val="001F2853"/>
    <w:rsid w:val="001F2EC6"/>
    <w:rsid w:val="001F4FD5"/>
    <w:rsid w:val="001F65D0"/>
    <w:rsid w:val="00217E59"/>
    <w:rsid w:val="00221392"/>
    <w:rsid w:val="0022602B"/>
    <w:rsid w:val="002507E1"/>
    <w:rsid w:val="0025692F"/>
    <w:rsid w:val="002604EF"/>
    <w:rsid w:val="002625F3"/>
    <w:rsid w:val="002B13EA"/>
    <w:rsid w:val="002E0FA4"/>
    <w:rsid w:val="002E2FAB"/>
    <w:rsid w:val="002F03FA"/>
    <w:rsid w:val="003004D2"/>
    <w:rsid w:val="00305C7C"/>
    <w:rsid w:val="00320074"/>
    <w:rsid w:val="003349A3"/>
    <w:rsid w:val="003349D7"/>
    <w:rsid w:val="00355010"/>
    <w:rsid w:val="00377967"/>
    <w:rsid w:val="00380FDD"/>
    <w:rsid w:val="00386143"/>
    <w:rsid w:val="003B58DC"/>
    <w:rsid w:val="003C5C6B"/>
    <w:rsid w:val="003F3F2C"/>
    <w:rsid w:val="003F686E"/>
    <w:rsid w:val="00442552"/>
    <w:rsid w:val="00444E97"/>
    <w:rsid w:val="00455A1C"/>
    <w:rsid w:val="004604D5"/>
    <w:rsid w:val="004675B5"/>
    <w:rsid w:val="0047050A"/>
    <w:rsid w:val="004731FB"/>
    <w:rsid w:val="004770D6"/>
    <w:rsid w:val="0049246C"/>
    <w:rsid w:val="0049251D"/>
    <w:rsid w:val="00497C79"/>
    <w:rsid w:val="004A62E0"/>
    <w:rsid w:val="004A6B59"/>
    <w:rsid w:val="004A71F5"/>
    <w:rsid w:val="004B1FC4"/>
    <w:rsid w:val="004C02B8"/>
    <w:rsid w:val="004D0B95"/>
    <w:rsid w:val="004E40A7"/>
    <w:rsid w:val="004F6117"/>
    <w:rsid w:val="004F63F1"/>
    <w:rsid w:val="004F651E"/>
    <w:rsid w:val="00507F1D"/>
    <w:rsid w:val="00515BCE"/>
    <w:rsid w:val="0052596B"/>
    <w:rsid w:val="005428A1"/>
    <w:rsid w:val="00554D8D"/>
    <w:rsid w:val="00573835"/>
    <w:rsid w:val="00581306"/>
    <w:rsid w:val="005919FB"/>
    <w:rsid w:val="005A381F"/>
    <w:rsid w:val="005C3105"/>
    <w:rsid w:val="005D18F7"/>
    <w:rsid w:val="0060486C"/>
    <w:rsid w:val="00610BCC"/>
    <w:rsid w:val="00615671"/>
    <w:rsid w:val="00673DE8"/>
    <w:rsid w:val="00692C2F"/>
    <w:rsid w:val="00695797"/>
    <w:rsid w:val="00695C15"/>
    <w:rsid w:val="00696A5E"/>
    <w:rsid w:val="006B031A"/>
    <w:rsid w:val="006B3B69"/>
    <w:rsid w:val="006C1181"/>
    <w:rsid w:val="006C5279"/>
    <w:rsid w:val="006F3EE4"/>
    <w:rsid w:val="00734613"/>
    <w:rsid w:val="00751910"/>
    <w:rsid w:val="00751E60"/>
    <w:rsid w:val="00753F02"/>
    <w:rsid w:val="007547B5"/>
    <w:rsid w:val="007607C6"/>
    <w:rsid w:val="00767692"/>
    <w:rsid w:val="00795A9E"/>
    <w:rsid w:val="007A5F9C"/>
    <w:rsid w:val="007A606D"/>
    <w:rsid w:val="007B22FF"/>
    <w:rsid w:val="007B2738"/>
    <w:rsid w:val="007C2214"/>
    <w:rsid w:val="007C5F71"/>
    <w:rsid w:val="007C616C"/>
    <w:rsid w:val="007E4C69"/>
    <w:rsid w:val="007F050D"/>
    <w:rsid w:val="007F4AC5"/>
    <w:rsid w:val="00807B48"/>
    <w:rsid w:val="008135CA"/>
    <w:rsid w:val="00814937"/>
    <w:rsid w:val="0081584F"/>
    <w:rsid w:val="008229DA"/>
    <w:rsid w:val="0082359E"/>
    <w:rsid w:val="00840F59"/>
    <w:rsid w:val="00843444"/>
    <w:rsid w:val="00853DCC"/>
    <w:rsid w:val="00865D18"/>
    <w:rsid w:val="008703BF"/>
    <w:rsid w:val="008925CE"/>
    <w:rsid w:val="008C4D41"/>
    <w:rsid w:val="008E4E7D"/>
    <w:rsid w:val="00933A60"/>
    <w:rsid w:val="00981F45"/>
    <w:rsid w:val="00994D12"/>
    <w:rsid w:val="009968DD"/>
    <w:rsid w:val="009A71F5"/>
    <w:rsid w:val="009B128B"/>
    <w:rsid w:val="009E58C9"/>
    <w:rsid w:val="00A058D8"/>
    <w:rsid w:val="00A15EE8"/>
    <w:rsid w:val="00A16F07"/>
    <w:rsid w:val="00A240FC"/>
    <w:rsid w:val="00A353AB"/>
    <w:rsid w:val="00A41328"/>
    <w:rsid w:val="00A55BBE"/>
    <w:rsid w:val="00A55C2E"/>
    <w:rsid w:val="00A62C7B"/>
    <w:rsid w:val="00A66710"/>
    <w:rsid w:val="00A722FB"/>
    <w:rsid w:val="00A75EA5"/>
    <w:rsid w:val="00A7709A"/>
    <w:rsid w:val="00A87DB2"/>
    <w:rsid w:val="00AD6386"/>
    <w:rsid w:val="00AE1842"/>
    <w:rsid w:val="00AE3C7C"/>
    <w:rsid w:val="00B06325"/>
    <w:rsid w:val="00B1255D"/>
    <w:rsid w:val="00B24DA5"/>
    <w:rsid w:val="00B31306"/>
    <w:rsid w:val="00B40F12"/>
    <w:rsid w:val="00B42478"/>
    <w:rsid w:val="00B42814"/>
    <w:rsid w:val="00B626FB"/>
    <w:rsid w:val="00B829FD"/>
    <w:rsid w:val="00B83936"/>
    <w:rsid w:val="00B93AF4"/>
    <w:rsid w:val="00BB3A7B"/>
    <w:rsid w:val="00BC1AC8"/>
    <w:rsid w:val="00BC5332"/>
    <w:rsid w:val="00BC5486"/>
    <w:rsid w:val="00BD69D3"/>
    <w:rsid w:val="00BD6EB7"/>
    <w:rsid w:val="00C10852"/>
    <w:rsid w:val="00C128B6"/>
    <w:rsid w:val="00C23E53"/>
    <w:rsid w:val="00C352D6"/>
    <w:rsid w:val="00C37FE1"/>
    <w:rsid w:val="00C4006C"/>
    <w:rsid w:val="00C54D27"/>
    <w:rsid w:val="00C660D5"/>
    <w:rsid w:val="00C73514"/>
    <w:rsid w:val="00C76EEB"/>
    <w:rsid w:val="00C7786D"/>
    <w:rsid w:val="00C970CC"/>
    <w:rsid w:val="00CA12BF"/>
    <w:rsid w:val="00CB28C1"/>
    <w:rsid w:val="00CD517F"/>
    <w:rsid w:val="00CF4B92"/>
    <w:rsid w:val="00CF5BB8"/>
    <w:rsid w:val="00D01F5A"/>
    <w:rsid w:val="00D116EE"/>
    <w:rsid w:val="00D1716E"/>
    <w:rsid w:val="00D2326F"/>
    <w:rsid w:val="00D6391B"/>
    <w:rsid w:val="00D64E05"/>
    <w:rsid w:val="00D83954"/>
    <w:rsid w:val="00D92FD3"/>
    <w:rsid w:val="00DA3B6E"/>
    <w:rsid w:val="00DA4146"/>
    <w:rsid w:val="00DB03B2"/>
    <w:rsid w:val="00DB7581"/>
    <w:rsid w:val="00DC70C1"/>
    <w:rsid w:val="00DF2E6A"/>
    <w:rsid w:val="00DF5392"/>
    <w:rsid w:val="00E271DC"/>
    <w:rsid w:val="00E36D03"/>
    <w:rsid w:val="00E50798"/>
    <w:rsid w:val="00E76A2B"/>
    <w:rsid w:val="00E76AC6"/>
    <w:rsid w:val="00E83C12"/>
    <w:rsid w:val="00E904C8"/>
    <w:rsid w:val="00E91A04"/>
    <w:rsid w:val="00EA1BBF"/>
    <w:rsid w:val="00EB29A9"/>
    <w:rsid w:val="00EB633C"/>
    <w:rsid w:val="00EB77D2"/>
    <w:rsid w:val="00EC0C65"/>
    <w:rsid w:val="00EC20A4"/>
    <w:rsid w:val="00ED0DFA"/>
    <w:rsid w:val="00EE0DC0"/>
    <w:rsid w:val="00F04D77"/>
    <w:rsid w:val="00F316C8"/>
    <w:rsid w:val="00F426D8"/>
    <w:rsid w:val="00F632DE"/>
    <w:rsid w:val="00F73166"/>
    <w:rsid w:val="00F735E4"/>
    <w:rsid w:val="00FA083C"/>
    <w:rsid w:val="00FA3E4D"/>
    <w:rsid w:val="00FB7834"/>
    <w:rsid w:val="00FD4B6A"/>
    <w:rsid w:val="00FF03A8"/>
    <w:rsid w:val="00FF6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7607C6"/>
    <w:pPr>
      <w:numPr>
        <w:numId w:val="2"/>
      </w:numPr>
      <w:spacing w:after="0" w:line="288" w:lineRule="auto"/>
      <w:ind w:left="567" w:hanging="567"/>
      <w:jc w:val="both"/>
      <w:outlineLvl w:val="0"/>
    </w:pPr>
    <w:rPr>
      <w:rFonts w:ascii="Times New Roman" w:eastAsia="Times New Roman" w:hAnsi="Times New Roman"/>
      <w:b/>
      <w:bCs/>
      <w:kern w:val="28"/>
      <w:lang w:val="en-US"/>
    </w:rPr>
  </w:style>
  <w:style w:type="paragraph" w:styleId="Heading2">
    <w:name w:val="heading 2"/>
    <w:basedOn w:val="Normal"/>
    <w:next w:val="Normal"/>
    <w:link w:val="Heading2Char"/>
    <w:qFormat/>
    <w:rsid w:val="007607C6"/>
    <w:pPr>
      <w:numPr>
        <w:ilvl w:val="1"/>
        <w:numId w:val="2"/>
      </w:numPr>
      <w:spacing w:after="0" w:line="288" w:lineRule="auto"/>
      <w:ind w:left="567" w:hanging="567"/>
      <w:jc w:val="both"/>
      <w:outlineLvl w:val="1"/>
    </w:pPr>
    <w:rPr>
      <w:rFonts w:ascii="Times New Roman" w:eastAsia="Times New Roman" w:hAnsi="Times New Roman"/>
      <w:lang w:val="en-US"/>
    </w:rPr>
  </w:style>
  <w:style w:type="paragraph" w:styleId="Heading3">
    <w:name w:val="heading 3"/>
    <w:basedOn w:val="Normal"/>
    <w:next w:val="Normal"/>
    <w:link w:val="Heading3Char"/>
    <w:qFormat/>
    <w:rsid w:val="007607C6"/>
    <w:pPr>
      <w:numPr>
        <w:ilvl w:val="2"/>
        <w:numId w:val="2"/>
      </w:numPr>
      <w:spacing w:after="0" w:line="288" w:lineRule="auto"/>
      <w:ind w:left="567" w:hanging="567"/>
      <w:jc w:val="both"/>
      <w:outlineLvl w:val="2"/>
    </w:pPr>
    <w:rPr>
      <w:rFonts w:ascii="Times New Roman" w:eastAsia="Times New Roman" w:hAnsi="Times New Roman"/>
      <w:lang w:val="en-US"/>
    </w:rPr>
  </w:style>
  <w:style w:type="paragraph" w:styleId="Heading4">
    <w:name w:val="heading 4"/>
    <w:basedOn w:val="Normal"/>
    <w:next w:val="Normal"/>
    <w:link w:val="Heading4Char"/>
    <w:qFormat/>
    <w:rsid w:val="007607C6"/>
    <w:pPr>
      <w:numPr>
        <w:ilvl w:val="3"/>
        <w:numId w:val="2"/>
      </w:numPr>
      <w:spacing w:after="0" w:line="288" w:lineRule="auto"/>
      <w:ind w:left="567" w:hanging="567"/>
      <w:jc w:val="both"/>
      <w:outlineLvl w:val="3"/>
    </w:pPr>
    <w:rPr>
      <w:rFonts w:ascii="Times New Roman" w:eastAsia="Times New Roman" w:hAnsi="Times New Roman"/>
      <w:lang w:val="en-US"/>
    </w:rPr>
  </w:style>
  <w:style w:type="paragraph" w:styleId="Heading5">
    <w:name w:val="heading 5"/>
    <w:basedOn w:val="Normal"/>
    <w:next w:val="Normal"/>
    <w:link w:val="Heading5Char"/>
    <w:qFormat/>
    <w:rsid w:val="007607C6"/>
    <w:pPr>
      <w:numPr>
        <w:ilvl w:val="4"/>
        <w:numId w:val="2"/>
      </w:numPr>
      <w:spacing w:after="0" w:line="288" w:lineRule="auto"/>
      <w:ind w:left="567" w:hanging="567"/>
      <w:jc w:val="both"/>
      <w:outlineLvl w:val="4"/>
    </w:pPr>
    <w:rPr>
      <w:rFonts w:ascii="Times New Roman" w:eastAsia="Times New Roman" w:hAnsi="Times New Roman"/>
      <w:lang w:val="en-US"/>
    </w:rPr>
  </w:style>
  <w:style w:type="paragraph" w:styleId="Heading6">
    <w:name w:val="heading 6"/>
    <w:basedOn w:val="Normal"/>
    <w:next w:val="Normal"/>
    <w:link w:val="Heading6Char"/>
    <w:qFormat/>
    <w:rsid w:val="007607C6"/>
    <w:pPr>
      <w:numPr>
        <w:ilvl w:val="5"/>
        <w:numId w:val="2"/>
      </w:numPr>
      <w:spacing w:after="0" w:line="288" w:lineRule="auto"/>
      <w:ind w:left="567" w:hanging="567"/>
      <w:jc w:val="both"/>
      <w:outlineLvl w:val="5"/>
    </w:pPr>
    <w:rPr>
      <w:rFonts w:ascii="Times New Roman" w:eastAsia="Times New Roman" w:hAnsi="Times New Roman"/>
      <w:lang w:val="en-US"/>
    </w:rPr>
  </w:style>
  <w:style w:type="paragraph" w:styleId="Heading7">
    <w:name w:val="heading 7"/>
    <w:basedOn w:val="Normal"/>
    <w:next w:val="Normal"/>
    <w:link w:val="Heading7Char"/>
    <w:qFormat/>
    <w:rsid w:val="007607C6"/>
    <w:pPr>
      <w:numPr>
        <w:ilvl w:val="6"/>
        <w:numId w:val="2"/>
      </w:numPr>
      <w:spacing w:after="0" w:line="288" w:lineRule="auto"/>
      <w:ind w:left="567" w:hanging="567"/>
      <w:jc w:val="both"/>
      <w:outlineLvl w:val="6"/>
    </w:pPr>
    <w:rPr>
      <w:rFonts w:ascii="Times New Roman" w:eastAsia="Times New Roman" w:hAnsi="Times New Roman"/>
      <w:lang w:val="en-US"/>
    </w:rPr>
  </w:style>
  <w:style w:type="paragraph" w:styleId="Heading8">
    <w:name w:val="heading 8"/>
    <w:basedOn w:val="Normal"/>
    <w:next w:val="Normal"/>
    <w:link w:val="Heading8Char"/>
    <w:qFormat/>
    <w:rsid w:val="007607C6"/>
    <w:pPr>
      <w:numPr>
        <w:ilvl w:val="7"/>
        <w:numId w:val="2"/>
      </w:numPr>
      <w:spacing w:after="0" w:line="288" w:lineRule="auto"/>
      <w:ind w:left="567" w:hanging="567"/>
      <w:jc w:val="both"/>
      <w:outlineLvl w:val="7"/>
    </w:pPr>
    <w:rPr>
      <w:rFonts w:ascii="Times New Roman" w:eastAsia="Times New Roman" w:hAnsi="Times New Roman"/>
      <w:lang w:val="en-US"/>
    </w:rPr>
  </w:style>
  <w:style w:type="paragraph" w:styleId="Heading9">
    <w:name w:val="heading 9"/>
    <w:basedOn w:val="Normal"/>
    <w:next w:val="Normal"/>
    <w:link w:val="Heading9Char"/>
    <w:qFormat/>
    <w:rsid w:val="007607C6"/>
    <w:pPr>
      <w:numPr>
        <w:ilvl w:val="8"/>
        <w:numId w:val="2"/>
      </w:numPr>
      <w:spacing w:after="0" w:line="288" w:lineRule="auto"/>
      <w:ind w:left="567" w:hanging="567"/>
      <w:jc w:val="both"/>
      <w:outlineLvl w:val="8"/>
    </w:pPr>
    <w:rPr>
      <w:rFonts w:ascii="Times New Roman" w:eastAsia="Times New Roman" w:hAnsi="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FAB"/>
    <w:rPr>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616C"/>
    <w:rPr>
      <w:sz w:val="16"/>
      <w:szCs w:val="16"/>
    </w:rPr>
  </w:style>
  <w:style w:type="paragraph" w:styleId="CommentText">
    <w:name w:val="annotation text"/>
    <w:basedOn w:val="Normal"/>
    <w:link w:val="CommentTextChar"/>
    <w:uiPriority w:val="99"/>
    <w:unhideWhenUsed/>
    <w:rsid w:val="007C616C"/>
    <w:rPr>
      <w:sz w:val="20"/>
      <w:szCs w:val="20"/>
    </w:rPr>
  </w:style>
  <w:style w:type="character" w:customStyle="1" w:styleId="CommentTextChar">
    <w:name w:val="Comment Text Char"/>
    <w:link w:val="CommentText"/>
    <w:uiPriority w:val="99"/>
    <w:rsid w:val="007C616C"/>
    <w:rPr>
      <w:lang w:eastAsia="en-US"/>
    </w:rPr>
  </w:style>
  <w:style w:type="character" w:customStyle="1" w:styleId="Heading1Char">
    <w:name w:val="Heading 1 Char"/>
    <w:link w:val="Heading1"/>
    <w:rsid w:val="007607C6"/>
    <w:rPr>
      <w:rFonts w:ascii="Times New Roman" w:eastAsia="Times New Roman" w:hAnsi="Times New Roman"/>
      <w:b/>
      <w:bCs/>
      <w:kern w:val="28"/>
      <w:sz w:val="22"/>
      <w:szCs w:val="22"/>
      <w:lang w:val="en-US" w:eastAsia="en-US"/>
    </w:rPr>
  </w:style>
  <w:style w:type="character" w:customStyle="1" w:styleId="Heading2Char">
    <w:name w:val="Heading 2 Char"/>
    <w:link w:val="Heading2"/>
    <w:rsid w:val="007607C6"/>
    <w:rPr>
      <w:rFonts w:ascii="Times New Roman" w:eastAsia="Times New Roman" w:hAnsi="Times New Roman"/>
      <w:sz w:val="22"/>
      <w:szCs w:val="22"/>
      <w:lang w:val="en-US" w:eastAsia="en-US"/>
    </w:rPr>
  </w:style>
  <w:style w:type="character" w:customStyle="1" w:styleId="Heading3Char">
    <w:name w:val="Heading 3 Char"/>
    <w:link w:val="Heading3"/>
    <w:rsid w:val="007607C6"/>
    <w:rPr>
      <w:rFonts w:ascii="Times New Roman" w:eastAsia="Times New Roman" w:hAnsi="Times New Roman"/>
      <w:sz w:val="22"/>
      <w:szCs w:val="22"/>
      <w:lang w:val="en-US" w:eastAsia="en-US"/>
    </w:rPr>
  </w:style>
  <w:style w:type="character" w:customStyle="1" w:styleId="Heading4Char">
    <w:name w:val="Heading 4 Char"/>
    <w:link w:val="Heading4"/>
    <w:rsid w:val="007607C6"/>
    <w:rPr>
      <w:rFonts w:ascii="Times New Roman" w:eastAsia="Times New Roman" w:hAnsi="Times New Roman"/>
      <w:sz w:val="22"/>
      <w:szCs w:val="22"/>
      <w:lang w:val="en-US" w:eastAsia="en-US"/>
    </w:rPr>
  </w:style>
  <w:style w:type="character" w:customStyle="1" w:styleId="Heading5Char">
    <w:name w:val="Heading 5 Char"/>
    <w:link w:val="Heading5"/>
    <w:rsid w:val="007607C6"/>
    <w:rPr>
      <w:rFonts w:ascii="Times New Roman" w:eastAsia="Times New Roman" w:hAnsi="Times New Roman"/>
      <w:sz w:val="22"/>
      <w:szCs w:val="22"/>
      <w:lang w:val="en-US" w:eastAsia="en-US"/>
    </w:rPr>
  </w:style>
  <w:style w:type="character" w:customStyle="1" w:styleId="Heading6Char">
    <w:name w:val="Heading 6 Char"/>
    <w:link w:val="Heading6"/>
    <w:rsid w:val="007607C6"/>
    <w:rPr>
      <w:rFonts w:ascii="Times New Roman" w:eastAsia="Times New Roman" w:hAnsi="Times New Roman"/>
      <w:sz w:val="22"/>
      <w:szCs w:val="22"/>
      <w:lang w:val="en-US" w:eastAsia="en-US"/>
    </w:rPr>
  </w:style>
  <w:style w:type="character" w:customStyle="1" w:styleId="Heading7Char">
    <w:name w:val="Heading 7 Char"/>
    <w:link w:val="Heading7"/>
    <w:rsid w:val="007607C6"/>
    <w:rPr>
      <w:rFonts w:ascii="Times New Roman" w:eastAsia="Times New Roman" w:hAnsi="Times New Roman"/>
      <w:sz w:val="22"/>
      <w:szCs w:val="22"/>
      <w:lang w:val="en-US" w:eastAsia="en-US"/>
    </w:rPr>
  </w:style>
  <w:style w:type="character" w:customStyle="1" w:styleId="Heading8Char">
    <w:name w:val="Heading 8 Char"/>
    <w:link w:val="Heading8"/>
    <w:rsid w:val="007607C6"/>
    <w:rPr>
      <w:rFonts w:ascii="Times New Roman" w:eastAsia="Times New Roman" w:hAnsi="Times New Roman"/>
      <w:sz w:val="22"/>
      <w:szCs w:val="22"/>
      <w:lang w:val="en-US" w:eastAsia="en-US"/>
    </w:rPr>
  </w:style>
  <w:style w:type="character" w:customStyle="1" w:styleId="Heading9Char">
    <w:name w:val="Heading 9 Char"/>
    <w:link w:val="Heading9"/>
    <w:rsid w:val="007607C6"/>
    <w:rPr>
      <w:rFonts w:ascii="Times New Roman" w:eastAsia="Times New Roman" w:hAnsi="Times New Roman"/>
      <w:sz w:val="22"/>
      <w:szCs w:val="22"/>
      <w:lang w:val="en-US" w:eastAsia="en-US"/>
    </w:rPr>
  </w:style>
  <w:style w:type="paragraph" w:styleId="ListParagraph">
    <w:name w:val="List Paragraph"/>
    <w:aliases w:val="Heading 2_sj,Report Para,Dot pt,Numbered Para 1,No Spacing1,List Paragraph Char Char Char,Indicator Text,List Paragraph1,Bullet Points,MAIN CONTENT,List Paragraph12,F5 List Paragraph,1st level - Bullet List Paragraph,Lettre d'introduction"/>
    <w:basedOn w:val="Normal"/>
    <w:link w:val="ListParagraphChar"/>
    <w:uiPriority w:val="34"/>
    <w:qFormat/>
    <w:rsid w:val="00853DCC"/>
    <w:pPr>
      <w:spacing w:after="0" w:line="240" w:lineRule="auto"/>
      <w:ind w:left="720"/>
    </w:pPr>
    <w:rPr>
      <w:rFonts w:cs="Calibri"/>
      <w:lang w:val="en-IE"/>
    </w:rPr>
  </w:style>
  <w:style w:type="character" w:styleId="Hyperlink">
    <w:name w:val="Hyperlink"/>
    <w:uiPriority w:val="99"/>
    <w:unhideWhenUsed/>
    <w:rsid w:val="00E50798"/>
    <w:rPr>
      <w:color w:val="0563C1"/>
      <w:u w:val="single"/>
    </w:rPr>
  </w:style>
  <w:style w:type="character" w:styleId="UnresolvedMention">
    <w:name w:val="Unresolved Mention"/>
    <w:uiPriority w:val="99"/>
    <w:semiHidden/>
    <w:unhideWhenUsed/>
    <w:rsid w:val="00E5079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2326F"/>
    <w:rPr>
      <w:b/>
      <w:bCs/>
    </w:rPr>
  </w:style>
  <w:style w:type="character" w:customStyle="1" w:styleId="CommentSubjectChar">
    <w:name w:val="Comment Subject Char"/>
    <w:link w:val="CommentSubject"/>
    <w:uiPriority w:val="99"/>
    <w:semiHidden/>
    <w:rsid w:val="00D2326F"/>
    <w:rPr>
      <w:b/>
      <w:bCs/>
      <w:lang w:eastAsia="en-US"/>
    </w:rPr>
  </w:style>
  <w:style w:type="paragraph" w:styleId="Revision">
    <w:name w:val="Revision"/>
    <w:hidden/>
    <w:uiPriority w:val="99"/>
    <w:semiHidden/>
    <w:rsid w:val="00C970CC"/>
    <w:rPr>
      <w:sz w:val="22"/>
      <w:szCs w:val="22"/>
      <w:lang w:val="en-GB" w:eastAsia="en-US"/>
    </w:rPr>
  </w:style>
  <w:style w:type="paragraph" w:styleId="FootnoteText">
    <w:name w:val="footnote text"/>
    <w:basedOn w:val="Normal"/>
    <w:link w:val="FootnoteTextChar"/>
    <w:uiPriority w:val="99"/>
    <w:semiHidden/>
    <w:unhideWhenUsed/>
    <w:rsid w:val="00157567"/>
    <w:rPr>
      <w:sz w:val="20"/>
      <w:szCs w:val="20"/>
    </w:rPr>
  </w:style>
  <w:style w:type="character" w:customStyle="1" w:styleId="FootnoteTextChar">
    <w:name w:val="Footnote Text Char"/>
    <w:link w:val="FootnoteText"/>
    <w:uiPriority w:val="99"/>
    <w:semiHidden/>
    <w:rsid w:val="00157567"/>
    <w:rPr>
      <w:lang w:val="en-GB" w:eastAsia="en-US"/>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R, Exposant 3 Point"/>
    <w:link w:val="SUPERSCharCharCharCharCharCharCharChar"/>
    <w:uiPriority w:val="99"/>
    <w:unhideWhenUsed/>
    <w:rsid w:val="00157567"/>
    <w:rPr>
      <w:vertAlign w:val="superscript"/>
    </w:rPr>
  </w:style>
  <w:style w:type="paragraph" w:styleId="EndnoteText">
    <w:name w:val="endnote text"/>
    <w:basedOn w:val="Normal"/>
    <w:link w:val="EndnoteTextChar"/>
    <w:uiPriority w:val="99"/>
    <w:semiHidden/>
    <w:unhideWhenUsed/>
    <w:rsid w:val="00FA3E4D"/>
    <w:rPr>
      <w:sz w:val="20"/>
      <w:szCs w:val="20"/>
    </w:rPr>
  </w:style>
  <w:style w:type="character" w:customStyle="1" w:styleId="EndnoteTextChar">
    <w:name w:val="Endnote Text Char"/>
    <w:link w:val="EndnoteText"/>
    <w:uiPriority w:val="99"/>
    <w:semiHidden/>
    <w:rsid w:val="00FA3E4D"/>
    <w:rPr>
      <w:lang w:val="en-GB" w:eastAsia="en-US"/>
    </w:rPr>
  </w:style>
  <w:style w:type="character" w:styleId="EndnoteReference">
    <w:name w:val="endnote reference"/>
    <w:uiPriority w:val="99"/>
    <w:semiHidden/>
    <w:unhideWhenUsed/>
    <w:rsid w:val="00FA3E4D"/>
    <w:rPr>
      <w:vertAlign w:val="superscript"/>
    </w:rPr>
  </w:style>
  <w:style w:type="paragraph" w:customStyle="1" w:styleId="LTTSoundbite">
    <w:name w:val="LTT Sound bite"/>
    <w:basedOn w:val="Normal"/>
    <w:qFormat/>
    <w:rsid w:val="00A55C2E"/>
    <w:pPr>
      <w:spacing w:after="0" w:line="240" w:lineRule="auto"/>
    </w:pPr>
    <w:rPr>
      <w:rFonts w:eastAsia="Times New Roman" w:cs="Calibri"/>
      <w:b/>
      <w:sz w:val="28"/>
      <w:szCs w:val="28"/>
      <w:lang w:eastAsia="en-GB"/>
    </w:rPr>
  </w:style>
  <w:style w:type="character" w:customStyle="1" w:styleId="ListParagraphChar">
    <w:name w:val="List Paragraph Char"/>
    <w:aliases w:val="Heading 2_sj Char,Report Para Char,Dot pt Char,Numbered Para 1 Char,No Spacing1 Char,List Paragraph Char Char Char Char,Indicator Text Char,List Paragraph1 Char,Bullet Points Char,MAIN CONTENT Char,List Paragraph12 Char"/>
    <w:link w:val="ListParagraph"/>
    <w:uiPriority w:val="34"/>
    <w:qFormat/>
    <w:rsid w:val="00BC1AC8"/>
    <w:rPr>
      <w:rFonts w:cs="Calibri"/>
      <w:sz w:val="22"/>
      <w:szCs w:val="22"/>
      <w:lang w:val="en-IE"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C1AC8"/>
    <w:pPr>
      <w:spacing w:after="160" w:line="240" w:lineRule="exact"/>
    </w:pPr>
    <w:rPr>
      <w:sz w:val="20"/>
      <w:szCs w:val="20"/>
      <w:vertAlign w:val="superscript"/>
      <w:lang w:val="ca-ES" w:eastAsia="ca-ES"/>
    </w:rPr>
  </w:style>
  <w:style w:type="character" w:styleId="FollowedHyperlink">
    <w:name w:val="FollowedHyperlink"/>
    <w:basedOn w:val="DefaultParagraphFont"/>
    <w:uiPriority w:val="99"/>
    <w:semiHidden/>
    <w:unhideWhenUsed/>
    <w:rsid w:val="009968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61011">
      <w:bodyDiv w:val="1"/>
      <w:marLeft w:val="0"/>
      <w:marRight w:val="0"/>
      <w:marTop w:val="0"/>
      <w:marBottom w:val="0"/>
      <w:divBdr>
        <w:top w:val="none" w:sz="0" w:space="0" w:color="auto"/>
        <w:left w:val="none" w:sz="0" w:space="0" w:color="auto"/>
        <w:bottom w:val="none" w:sz="0" w:space="0" w:color="auto"/>
        <w:right w:val="none" w:sz="0" w:space="0" w:color="auto"/>
      </w:divBdr>
    </w:div>
    <w:div w:id="768352167">
      <w:bodyDiv w:val="1"/>
      <w:marLeft w:val="0"/>
      <w:marRight w:val="0"/>
      <w:marTop w:val="0"/>
      <w:marBottom w:val="0"/>
      <w:divBdr>
        <w:top w:val="none" w:sz="0" w:space="0" w:color="auto"/>
        <w:left w:val="none" w:sz="0" w:space="0" w:color="auto"/>
        <w:bottom w:val="none" w:sz="0" w:space="0" w:color="auto"/>
        <w:right w:val="none" w:sz="0" w:space="0" w:color="auto"/>
      </w:divBdr>
    </w:div>
    <w:div w:id="20834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orest-observatory.ec.europa.eu/" TargetMode="External"/><Relationship Id="rId2" Type="http://schemas.openxmlformats.org/officeDocument/2006/relationships/hyperlink" Target="https://green-business.ec.europa.eu/eudr-myth-buster_en" TargetMode="External"/><Relationship Id="rId1" Type="http://schemas.openxmlformats.org/officeDocument/2006/relationships/hyperlink" Target="https://green-business.ec.europa.eu/deforestation-regulation-implementation/factsheet-smes_en" TargetMode="External"/><Relationship Id="rId6" Type="http://schemas.openxmlformats.org/officeDocument/2006/relationships/hyperlink" Target="https://zerodeforestationhub.eu/" TargetMode="External"/><Relationship Id="rId5" Type="http://schemas.openxmlformats.org/officeDocument/2006/relationships/hyperlink" Target="https://forest-observatory.ec.europa.eu/forest/rmap" TargetMode="External"/><Relationship Id="rId4" Type="http://schemas.openxmlformats.org/officeDocument/2006/relationships/hyperlink" Target="https://forest-observatory.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5CC0-C54C-4480-B84F-CF2D70D8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1215</Words>
  <Characters>7053</Characters>
  <Application>Microsoft Office Word</Application>
  <DocSecurity>0</DocSecurity>
  <Lines>102</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4</cp:revision>
  <cp:lastPrinted>2013-02-27T18:02:00Z</cp:lastPrinted>
  <dcterms:created xsi:type="dcterms:W3CDTF">2025-12-19T12:37:00Z</dcterms:created>
  <dcterms:modified xsi:type="dcterms:W3CDTF">2025-12-19T12:57:00Z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