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9C4BDC" w:rsidRDefault="00077C4F" w:rsidP="00442552">
      <w:pPr>
        <w:rPr>
          <w:rFonts w:ascii="Times New Roman" w:hAnsi="Times New Roman"/>
          <w:b/>
          <w:sz w:val="2"/>
          <w:szCs w:val="2"/>
          <w:u w:val="single"/>
        </w:rPr>
      </w:pPr>
    </w:p>
    <w:tbl>
      <w:tblPr>
        <w:tblW w:w="981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818"/>
      </w:tblGrid>
      <w:tr w:rsidR="001C4138" w:rsidRPr="00E12F8E" w14:paraId="7E6372DC" w14:textId="77777777" w:rsidTr="009C4BDC">
        <w:trPr>
          <w:jc w:val="center"/>
        </w:trPr>
        <w:tc>
          <w:tcPr>
            <w:tcW w:w="9818" w:type="dxa"/>
          </w:tcPr>
          <w:p w14:paraId="3A4EDC3A" w14:textId="392EC5C4" w:rsidR="001C4138" w:rsidRPr="00E12F8E" w:rsidRDefault="00962D84" w:rsidP="00E12F8E">
            <w:pPr>
              <w:spacing w:before="120" w:after="120"/>
              <w:rPr>
                <w:rFonts w:ascii="Times New Roman" w:hAnsi="Times New Roman"/>
                <w:b/>
                <w:sz w:val="24"/>
                <w:szCs w:val="24"/>
              </w:rPr>
            </w:pPr>
            <w:r w:rsidRPr="00E12F8E">
              <w:rPr>
                <w:rFonts w:ascii="Times New Roman" w:hAnsi="Times New Roman"/>
                <w:b/>
                <w:sz w:val="24"/>
                <w:szCs w:val="24"/>
              </w:rPr>
              <w:t xml:space="preserve">Water Politics: </w:t>
            </w:r>
            <w:r w:rsidR="008E06CC" w:rsidRPr="00E12F8E">
              <w:rPr>
                <w:rFonts w:ascii="Times New Roman" w:hAnsi="Times New Roman"/>
                <w:b/>
                <w:sz w:val="24"/>
                <w:szCs w:val="24"/>
              </w:rPr>
              <w:t>Empowering Youth, Women, and Indigenous and Local Communities</w:t>
            </w:r>
            <w:r w:rsidR="001C4138" w:rsidRPr="00E12F8E">
              <w:rPr>
                <w:rFonts w:ascii="Times New Roman" w:hAnsi="Times New Roman"/>
                <w:b/>
                <w:sz w:val="24"/>
                <w:szCs w:val="24"/>
                <w:lang w:val="en-IE"/>
              </w:rPr>
              <w:br/>
              <w:t>EESC</w:t>
            </w:r>
            <w:r w:rsidR="003335A4" w:rsidRPr="00E12F8E">
              <w:rPr>
                <w:rFonts w:ascii="Times New Roman" w:hAnsi="Times New Roman"/>
                <w:b/>
                <w:sz w:val="24"/>
                <w:szCs w:val="24"/>
                <w:lang w:val="en-IE"/>
              </w:rPr>
              <w:t xml:space="preserve"> </w:t>
            </w:r>
            <w:r w:rsidR="001C4138" w:rsidRPr="00E12F8E">
              <w:rPr>
                <w:rFonts w:ascii="Times New Roman" w:hAnsi="Times New Roman"/>
                <w:b/>
                <w:sz w:val="24"/>
                <w:szCs w:val="24"/>
                <w:lang w:val="en-IE"/>
              </w:rPr>
              <w:t>202</w:t>
            </w:r>
            <w:r w:rsidR="008E06CC" w:rsidRPr="00E12F8E">
              <w:rPr>
                <w:rFonts w:ascii="Times New Roman" w:hAnsi="Times New Roman"/>
                <w:b/>
                <w:sz w:val="24"/>
                <w:szCs w:val="24"/>
                <w:lang w:val="en-IE"/>
              </w:rPr>
              <w:t>4/874</w:t>
            </w:r>
            <w:r w:rsidR="001C4138" w:rsidRPr="00E12F8E">
              <w:rPr>
                <w:rFonts w:ascii="Times New Roman" w:hAnsi="Times New Roman"/>
                <w:b/>
                <w:sz w:val="24"/>
                <w:szCs w:val="24"/>
                <w:lang w:val="en-IE"/>
              </w:rPr>
              <w:t xml:space="preserve"> </w:t>
            </w:r>
            <w:r w:rsidR="001C4138" w:rsidRPr="00E12F8E">
              <w:rPr>
                <w:rFonts w:ascii="Times New Roman" w:hAnsi="Times New Roman"/>
                <w:b/>
                <w:sz w:val="24"/>
                <w:szCs w:val="24"/>
              </w:rPr>
              <w:t>‒ REX/5</w:t>
            </w:r>
            <w:r w:rsidR="008E06CC" w:rsidRPr="00E12F8E">
              <w:rPr>
                <w:rFonts w:ascii="Times New Roman" w:hAnsi="Times New Roman"/>
                <w:b/>
                <w:sz w:val="24"/>
                <w:szCs w:val="24"/>
              </w:rPr>
              <w:t>85</w:t>
            </w:r>
            <w:r w:rsidR="001C4138" w:rsidRPr="00E12F8E">
              <w:rPr>
                <w:rFonts w:ascii="Times New Roman" w:hAnsi="Times New Roman"/>
                <w:b/>
                <w:sz w:val="24"/>
                <w:szCs w:val="24"/>
              </w:rPr>
              <w:br/>
            </w:r>
            <w:r w:rsidR="003335A4" w:rsidRPr="00E12F8E">
              <w:rPr>
                <w:rFonts w:ascii="Times New Roman" w:hAnsi="Times New Roman"/>
                <w:b/>
                <w:sz w:val="24"/>
                <w:szCs w:val="24"/>
              </w:rPr>
              <w:t>592</w:t>
            </w:r>
            <w:r w:rsidR="003335A4" w:rsidRPr="00E12F8E">
              <w:rPr>
                <w:rFonts w:ascii="Times New Roman" w:hAnsi="Times New Roman"/>
                <w:b/>
                <w:sz w:val="24"/>
                <w:szCs w:val="24"/>
                <w:vertAlign w:val="superscript"/>
              </w:rPr>
              <w:t>nd</w:t>
            </w:r>
            <w:r w:rsidR="003335A4" w:rsidRPr="00E12F8E">
              <w:rPr>
                <w:rFonts w:ascii="Times New Roman" w:hAnsi="Times New Roman"/>
                <w:b/>
                <w:sz w:val="24"/>
                <w:szCs w:val="24"/>
              </w:rPr>
              <w:t xml:space="preserve"> </w:t>
            </w:r>
            <w:r w:rsidR="001C4138" w:rsidRPr="00E12F8E">
              <w:rPr>
                <w:rFonts w:ascii="Times New Roman" w:hAnsi="Times New Roman"/>
                <w:b/>
                <w:sz w:val="24"/>
                <w:szCs w:val="24"/>
              </w:rPr>
              <w:t xml:space="preserve">Plenary Session </w:t>
            </w:r>
            <w:r w:rsidR="003335A4" w:rsidRPr="00E12F8E">
              <w:rPr>
                <w:rFonts w:ascii="Times New Roman" w:hAnsi="Times New Roman"/>
                <w:b/>
                <w:sz w:val="24"/>
                <w:szCs w:val="24"/>
              </w:rPr>
              <w:t>– December 2024</w:t>
            </w:r>
            <w:r w:rsidR="001C4138" w:rsidRPr="00E12F8E">
              <w:rPr>
                <w:rFonts w:ascii="Times New Roman" w:hAnsi="Times New Roman"/>
                <w:b/>
                <w:sz w:val="24"/>
                <w:szCs w:val="24"/>
              </w:rPr>
              <w:br/>
              <w:t xml:space="preserve">Rapporteur: </w:t>
            </w:r>
            <w:r w:rsidR="003335A4" w:rsidRPr="00E12F8E">
              <w:rPr>
                <w:rFonts w:ascii="Times New Roman" w:hAnsi="Times New Roman"/>
                <w:b/>
                <w:sz w:val="24"/>
                <w:szCs w:val="24"/>
              </w:rPr>
              <w:t>Milena ANGELOVA (BG-I)</w:t>
            </w:r>
            <w:r w:rsidR="003335A4" w:rsidRPr="00E12F8E">
              <w:rPr>
                <w:rFonts w:ascii="Times New Roman" w:hAnsi="Times New Roman"/>
                <w:b/>
                <w:sz w:val="24"/>
                <w:szCs w:val="24"/>
              </w:rPr>
              <w:br/>
              <w:t>Co-rapporteur: Ioannis VARDAKASTANIS (EL-III)</w:t>
            </w:r>
            <w:r w:rsidR="001C4138" w:rsidRPr="00E12F8E">
              <w:rPr>
                <w:rFonts w:ascii="Times New Roman" w:hAnsi="Times New Roman"/>
                <w:b/>
                <w:sz w:val="24"/>
                <w:szCs w:val="24"/>
              </w:rPr>
              <w:br/>
              <w:t xml:space="preserve">DG </w:t>
            </w:r>
            <w:r w:rsidR="008E06CC" w:rsidRPr="00E12F8E">
              <w:rPr>
                <w:rFonts w:ascii="Times New Roman" w:hAnsi="Times New Roman"/>
                <w:b/>
                <w:sz w:val="24"/>
                <w:szCs w:val="24"/>
              </w:rPr>
              <w:t>ENV</w:t>
            </w:r>
            <w:r w:rsidR="001C4138" w:rsidRPr="00E12F8E">
              <w:rPr>
                <w:rFonts w:ascii="Times New Roman" w:hAnsi="Times New Roman"/>
                <w:b/>
                <w:sz w:val="24"/>
                <w:szCs w:val="24"/>
              </w:rPr>
              <w:t xml:space="preserve"> – Commissioner </w:t>
            </w:r>
            <w:r w:rsidR="008E06CC" w:rsidRPr="00E12F8E">
              <w:rPr>
                <w:rFonts w:ascii="Times New Roman" w:hAnsi="Times New Roman"/>
                <w:b/>
                <w:sz w:val="24"/>
                <w:szCs w:val="24"/>
              </w:rPr>
              <w:t>ROSWALL</w:t>
            </w:r>
          </w:p>
        </w:tc>
      </w:tr>
      <w:tr w:rsidR="00734613" w:rsidRPr="00E12F8E" w14:paraId="1937071F" w14:textId="77777777" w:rsidTr="009C4BDC">
        <w:trPr>
          <w:jc w:val="center"/>
        </w:trPr>
        <w:tc>
          <w:tcPr>
            <w:tcW w:w="9818" w:type="dxa"/>
          </w:tcPr>
          <w:p w14:paraId="1E50B4DB" w14:textId="7929296A" w:rsidR="00734613" w:rsidRPr="00E12F8E" w:rsidRDefault="004F6117" w:rsidP="00E12F8E">
            <w:pPr>
              <w:spacing w:before="120" w:after="120"/>
              <w:jc w:val="center"/>
              <w:rPr>
                <w:rFonts w:ascii="Times New Roman" w:hAnsi="Times New Roman"/>
                <w:b/>
                <w:sz w:val="24"/>
                <w:szCs w:val="24"/>
              </w:rPr>
            </w:pPr>
            <w:r w:rsidRPr="00E12F8E">
              <w:rPr>
                <w:rFonts w:ascii="Times New Roman" w:hAnsi="Times New Roman"/>
                <w:b/>
                <w:sz w:val="24"/>
                <w:szCs w:val="24"/>
              </w:rPr>
              <w:t xml:space="preserve">European Commission position on points </w:t>
            </w:r>
            <w:r w:rsidRPr="00E12F8E">
              <w:rPr>
                <w:rFonts w:ascii="Times New Roman" w:hAnsi="Times New Roman"/>
                <w:b/>
                <w:sz w:val="24"/>
                <w:szCs w:val="24"/>
              </w:rPr>
              <w:br/>
              <w:t xml:space="preserve">of the European Economic and Social Committee </w:t>
            </w:r>
            <w:r w:rsidR="009C4BDC">
              <w:rPr>
                <w:rFonts w:ascii="Times New Roman" w:hAnsi="Times New Roman"/>
                <w:b/>
                <w:sz w:val="24"/>
                <w:szCs w:val="24"/>
              </w:rPr>
              <w:t>(EESC)</w:t>
            </w:r>
            <w:r w:rsidR="006B6BF9">
              <w:rPr>
                <w:rFonts w:ascii="Times New Roman" w:hAnsi="Times New Roman"/>
                <w:b/>
                <w:sz w:val="24"/>
                <w:szCs w:val="24"/>
              </w:rPr>
              <w:t xml:space="preserve"> </w:t>
            </w:r>
            <w:r w:rsidRPr="00E12F8E">
              <w:rPr>
                <w:rFonts w:ascii="Times New Roman" w:hAnsi="Times New Roman"/>
                <w:b/>
                <w:sz w:val="24"/>
                <w:szCs w:val="24"/>
              </w:rPr>
              <w:t>opinion</w:t>
            </w:r>
            <w:r w:rsidR="00E83C12" w:rsidRPr="00E12F8E">
              <w:rPr>
                <w:rFonts w:ascii="Times New Roman" w:hAnsi="Times New Roman"/>
                <w:b/>
                <w:sz w:val="24"/>
                <w:szCs w:val="24"/>
              </w:rPr>
              <w:t xml:space="preserve"> considered as essential</w:t>
            </w:r>
          </w:p>
        </w:tc>
      </w:tr>
      <w:tr w:rsidR="00734613" w:rsidRPr="00E12F8E" w14:paraId="673DDC1B" w14:textId="77777777" w:rsidTr="009C4BDC">
        <w:trPr>
          <w:jc w:val="center"/>
        </w:trPr>
        <w:tc>
          <w:tcPr>
            <w:tcW w:w="9818" w:type="dxa"/>
          </w:tcPr>
          <w:p w14:paraId="6ACD9233" w14:textId="5DAF14D3" w:rsidR="008A0788" w:rsidRPr="00E12F8E" w:rsidRDefault="00720677" w:rsidP="00E12F8E">
            <w:pPr>
              <w:spacing w:before="120" w:after="120"/>
              <w:contextualSpacing/>
              <w:jc w:val="both"/>
              <w:rPr>
                <w:rFonts w:ascii="Times New Roman" w:hAnsi="Times New Roman"/>
                <w:sz w:val="24"/>
                <w:szCs w:val="24"/>
              </w:rPr>
            </w:pPr>
            <w:r w:rsidRPr="00E12F8E">
              <w:rPr>
                <w:rFonts w:ascii="Times New Roman" w:hAnsi="Times New Roman"/>
                <w:sz w:val="24"/>
                <w:szCs w:val="24"/>
              </w:rPr>
              <w:t>A</w:t>
            </w:r>
            <w:r w:rsidR="00FD1D20" w:rsidRPr="00E12F8E">
              <w:rPr>
                <w:rFonts w:ascii="Times New Roman" w:hAnsi="Times New Roman"/>
                <w:sz w:val="24"/>
                <w:szCs w:val="24"/>
              </w:rPr>
              <w:t>ccess to water, sanitation and hygiene</w:t>
            </w:r>
            <w:r w:rsidR="00532B0F" w:rsidRPr="00E12F8E">
              <w:rPr>
                <w:rFonts w:ascii="Times New Roman" w:hAnsi="Times New Roman"/>
                <w:sz w:val="24"/>
                <w:szCs w:val="24"/>
              </w:rPr>
              <w:t xml:space="preserve"> (WASH)</w:t>
            </w:r>
            <w:r w:rsidR="00D934E5" w:rsidRPr="00E12F8E">
              <w:rPr>
                <w:rFonts w:ascii="Times New Roman" w:hAnsi="Times New Roman"/>
                <w:sz w:val="24"/>
                <w:szCs w:val="24"/>
              </w:rPr>
              <w:t>, including menstrual hygiene,</w:t>
            </w:r>
            <w:r w:rsidR="00FD1D20" w:rsidRPr="00E12F8E">
              <w:rPr>
                <w:rFonts w:ascii="Times New Roman" w:hAnsi="Times New Roman"/>
                <w:sz w:val="24"/>
                <w:szCs w:val="24"/>
              </w:rPr>
              <w:t xml:space="preserve"> for women and girls, </w:t>
            </w:r>
            <w:r w:rsidR="008A0788" w:rsidRPr="00E12F8E">
              <w:rPr>
                <w:rFonts w:ascii="Times New Roman" w:hAnsi="Times New Roman"/>
                <w:sz w:val="24"/>
                <w:szCs w:val="24"/>
              </w:rPr>
              <w:t xml:space="preserve">indigenous people and other vulnerable groups is a crucial part of </w:t>
            </w:r>
            <w:r w:rsidR="00FD1D20" w:rsidRPr="00E12F8E">
              <w:rPr>
                <w:rFonts w:ascii="Times New Roman" w:hAnsi="Times New Roman"/>
                <w:sz w:val="24"/>
                <w:szCs w:val="24"/>
              </w:rPr>
              <w:t>promoting universal access to healthcare.</w:t>
            </w:r>
            <w:r w:rsidRPr="00E12F8E">
              <w:rPr>
                <w:rFonts w:ascii="Times New Roman" w:hAnsi="Times New Roman"/>
                <w:sz w:val="24"/>
                <w:szCs w:val="24"/>
              </w:rPr>
              <w:t xml:space="preserve"> </w:t>
            </w:r>
            <w:r w:rsidR="00FD1D20" w:rsidRPr="00E12F8E">
              <w:rPr>
                <w:rFonts w:ascii="Times New Roman" w:hAnsi="Times New Roman"/>
                <w:sz w:val="24"/>
                <w:szCs w:val="24"/>
              </w:rPr>
              <w:t>Without WASH services, women and girls are more vulnerable to abuse, attack and ill-health, affecting their ability to study, work and live in dignity.</w:t>
            </w:r>
            <w:r w:rsidRPr="00E12F8E">
              <w:rPr>
                <w:rFonts w:ascii="Times New Roman" w:hAnsi="Times New Roman"/>
                <w:sz w:val="24"/>
                <w:szCs w:val="24"/>
              </w:rPr>
              <w:t xml:space="preserve"> </w:t>
            </w:r>
            <w:r w:rsidR="00FD1D20" w:rsidRPr="00E12F8E">
              <w:rPr>
                <w:rFonts w:ascii="Times New Roman" w:hAnsi="Times New Roman"/>
                <w:sz w:val="24"/>
                <w:szCs w:val="24"/>
              </w:rPr>
              <w:t xml:space="preserve">Improvements to WASH at home, school, work and in public spaces support gender equity. </w:t>
            </w:r>
          </w:p>
          <w:p w14:paraId="1218DA25" w14:textId="654839D6" w:rsidR="00720677" w:rsidRPr="00E12F8E" w:rsidRDefault="008A0788" w:rsidP="00E12F8E">
            <w:pPr>
              <w:spacing w:before="120" w:after="120"/>
              <w:contextualSpacing/>
              <w:jc w:val="both"/>
              <w:rPr>
                <w:rFonts w:ascii="Times New Roman" w:hAnsi="Times New Roman"/>
                <w:sz w:val="24"/>
                <w:szCs w:val="24"/>
                <w:lang w:val="en-IE"/>
              </w:rPr>
            </w:pPr>
            <w:r w:rsidRPr="00E12F8E">
              <w:rPr>
                <w:rFonts w:ascii="Times New Roman" w:hAnsi="Times New Roman"/>
                <w:sz w:val="24"/>
                <w:szCs w:val="24"/>
              </w:rPr>
              <w:t xml:space="preserve">Regarding the point of the European Economic and Social Committee </w:t>
            </w:r>
            <w:r w:rsidR="00127F86">
              <w:rPr>
                <w:rFonts w:ascii="Times New Roman" w:hAnsi="Times New Roman"/>
                <w:sz w:val="24"/>
                <w:szCs w:val="24"/>
              </w:rPr>
              <w:t xml:space="preserve">(EESC) </w:t>
            </w:r>
            <w:r w:rsidRPr="00E12F8E">
              <w:rPr>
                <w:rFonts w:ascii="Times New Roman" w:hAnsi="Times New Roman"/>
                <w:sz w:val="24"/>
                <w:szCs w:val="24"/>
              </w:rPr>
              <w:t xml:space="preserve">opinion where it </w:t>
            </w:r>
            <w:r w:rsidRPr="00E12F8E">
              <w:rPr>
                <w:rFonts w:ascii="Times New Roman" w:hAnsi="Times New Roman"/>
                <w:bCs/>
                <w:iCs/>
                <w:sz w:val="24"/>
                <w:szCs w:val="24"/>
              </w:rPr>
              <w:t xml:space="preserve">calls on the EU to pay due </w:t>
            </w:r>
            <w:r w:rsidRPr="00E12F8E">
              <w:rPr>
                <w:rFonts w:ascii="Times New Roman" w:hAnsi="Times New Roman"/>
                <w:b/>
                <w:iCs/>
                <w:sz w:val="24"/>
                <w:szCs w:val="24"/>
              </w:rPr>
              <w:t>attention to these groups in its external relations and international cooperation</w:t>
            </w:r>
            <w:r w:rsidRPr="00E12F8E">
              <w:rPr>
                <w:rFonts w:ascii="Times New Roman" w:hAnsi="Times New Roman"/>
                <w:bCs/>
                <w:iCs/>
                <w:sz w:val="24"/>
                <w:szCs w:val="24"/>
              </w:rPr>
              <w:t xml:space="preserve"> and suggests a </w:t>
            </w:r>
            <w:r w:rsidRPr="00E12F8E">
              <w:rPr>
                <w:rFonts w:ascii="Times New Roman" w:hAnsi="Times New Roman"/>
                <w:b/>
                <w:iCs/>
                <w:sz w:val="24"/>
                <w:szCs w:val="24"/>
              </w:rPr>
              <w:t>lighthouse partnership programme related to water stress for addressing how to empower them</w:t>
            </w:r>
            <w:r w:rsidRPr="00E12F8E">
              <w:rPr>
                <w:rFonts w:ascii="Times New Roman" w:hAnsi="Times New Roman"/>
                <w:bCs/>
                <w:iCs/>
                <w:sz w:val="24"/>
                <w:szCs w:val="24"/>
              </w:rPr>
              <w:t xml:space="preserve"> in an integrated manner, the Commission would like to draw the attention to </w:t>
            </w:r>
            <w:r w:rsidRPr="00E12F8E">
              <w:rPr>
                <w:rFonts w:ascii="Times New Roman" w:hAnsi="Times New Roman"/>
                <w:sz w:val="24"/>
                <w:szCs w:val="24"/>
              </w:rPr>
              <w:t>t</w:t>
            </w:r>
            <w:r w:rsidR="00720677" w:rsidRPr="00E12F8E">
              <w:rPr>
                <w:rFonts w:ascii="Times New Roman" w:hAnsi="Times New Roman"/>
                <w:sz w:val="24"/>
                <w:szCs w:val="24"/>
              </w:rPr>
              <w:t>he EU</w:t>
            </w:r>
            <w:r w:rsidR="00CD5153" w:rsidRPr="00E12F8E">
              <w:rPr>
                <w:rFonts w:ascii="Times New Roman" w:hAnsi="Times New Roman"/>
                <w:sz w:val="24"/>
                <w:szCs w:val="24"/>
              </w:rPr>
              <w:t>’</w:t>
            </w:r>
            <w:r w:rsidR="00720677" w:rsidRPr="00E12F8E">
              <w:rPr>
                <w:rFonts w:ascii="Times New Roman" w:hAnsi="Times New Roman"/>
                <w:sz w:val="24"/>
                <w:szCs w:val="24"/>
              </w:rPr>
              <w:t xml:space="preserve">s </w:t>
            </w:r>
            <w:r w:rsidR="00CD5153" w:rsidRPr="00E12F8E">
              <w:rPr>
                <w:rFonts w:ascii="Times New Roman" w:hAnsi="Times New Roman"/>
                <w:sz w:val="24"/>
                <w:szCs w:val="24"/>
              </w:rPr>
              <w:t xml:space="preserve">commitments to the </w:t>
            </w:r>
            <w:r w:rsidR="00720677" w:rsidRPr="00E12F8E">
              <w:rPr>
                <w:rFonts w:ascii="Times New Roman" w:hAnsi="Times New Roman"/>
                <w:sz w:val="24"/>
                <w:szCs w:val="24"/>
                <w:lang w:val="en-IE"/>
              </w:rPr>
              <w:t>Water Action Agenda</w:t>
            </w:r>
            <w:r w:rsidR="00104B29" w:rsidRPr="00E12F8E">
              <w:rPr>
                <w:rFonts w:ascii="Times New Roman" w:hAnsi="Times New Roman"/>
                <w:sz w:val="24"/>
                <w:szCs w:val="24"/>
                <w:lang w:val="en-IE"/>
              </w:rPr>
              <w:t xml:space="preserve"> (WAA)</w:t>
            </w:r>
            <w:r w:rsidR="00532B0F" w:rsidRPr="00E12F8E">
              <w:rPr>
                <w:rFonts w:ascii="Times New Roman" w:hAnsi="Times New Roman"/>
                <w:sz w:val="24"/>
                <w:szCs w:val="24"/>
                <w:lang w:val="en-IE"/>
              </w:rPr>
              <w:t xml:space="preserve"> presented at the 2023 UN Water Conference</w:t>
            </w:r>
            <w:r w:rsidRPr="00E12F8E">
              <w:rPr>
                <w:rFonts w:ascii="Times New Roman" w:hAnsi="Times New Roman"/>
                <w:sz w:val="24"/>
                <w:szCs w:val="24"/>
                <w:lang w:val="en-IE"/>
              </w:rPr>
              <w:t>, which</w:t>
            </w:r>
            <w:r w:rsidR="00720677" w:rsidRPr="00E12F8E">
              <w:rPr>
                <w:rFonts w:ascii="Times New Roman" w:hAnsi="Times New Roman"/>
                <w:sz w:val="24"/>
                <w:szCs w:val="24"/>
                <w:lang w:val="en-IE"/>
              </w:rPr>
              <w:t xml:space="preserve"> outlines 3 strategic orientations</w:t>
            </w:r>
            <w:r w:rsidRPr="00E12F8E">
              <w:rPr>
                <w:rFonts w:ascii="Times New Roman" w:hAnsi="Times New Roman"/>
                <w:sz w:val="24"/>
                <w:szCs w:val="24"/>
                <w:lang w:val="en-IE"/>
              </w:rPr>
              <w:t>:</w:t>
            </w:r>
          </w:p>
          <w:p w14:paraId="44FBB7DE" w14:textId="7AEBCC47" w:rsidR="00720677" w:rsidRPr="00E12F8E" w:rsidRDefault="00720677" w:rsidP="00E12F8E">
            <w:pPr>
              <w:numPr>
                <w:ilvl w:val="0"/>
                <w:numId w:val="4"/>
              </w:numPr>
              <w:spacing w:before="120" w:after="120"/>
              <w:ind w:left="0"/>
              <w:jc w:val="both"/>
              <w:rPr>
                <w:rFonts w:ascii="Times New Roman" w:hAnsi="Times New Roman"/>
                <w:sz w:val="24"/>
                <w:szCs w:val="24"/>
                <w:lang w:val="en-IE"/>
              </w:rPr>
            </w:pPr>
            <w:r w:rsidRPr="00E12F8E">
              <w:rPr>
                <w:rFonts w:ascii="Times New Roman" w:hAnsi="Times New Roman"/>
                <w:sz w:val="24"/>
                <w:szCs w:val="24"/>
                <w:lang w:val="en-IE"/>
              </w:rPr>
              <w:t xml:space="preserve">Commitment on access to WASH </w:t>
            </w:r>
          </w:p>
          <w:p w14:paraId="3D1BB6B4" w14:textId="07518029" w:rsidR="00720677" w:rsidRPr="00E12F8E" w:rsidRDefault="00720677" w:rsidP="00E12F8E">
            <w:pPr>
              <w:numPr>
                <w:ilvl w:val="0"/>
                <w:numId w:val="4"/>
              </w:numPr>
              <w:spacing w:before="120" w:after="120"/>
              <w:ind w:left="0"/>
              <w:jc w:val="both"/>
              <w:rPr>
                <w:rFonts w:ascii="Times New Roman" w:hAnsi="Times New Roman"/>
                <w:sz w:val="24"/>
                <w:szCs w:val="24"/>
                <w:lang w:val="en-IE"/>
              </w:rPr>
            </w:pPr>
            <w:r w:rsidRPr="00E12F8E">
              <w:rPr>
                <w:rFonts w:ascii="Times New Roman" w:hAnsi="Times New Roman"/>
                <w:sz w:val="24"/>
                <w:szCs w:val="24"/>
                <w:lang w:val="en-IE"/>
              </w:rPr>
              <w:t>Water cooperation and transboundary water management</w:t>
            </w:r>
          </w:p>
          <w:p w14:paraId="55996FED" w14:textId="06A6C235" w:rsidR="00720677" w:rsidRPr="00E12F8E" w:rsidRDefault="00720677" w:rsidP="00E12F8E">
            <w:pPr>
              <w:numPr>
                <w:ilvl w:val="0"/>
                <w:numId w:val="4"/>
              </w:numPr>
              <w:spacing w:before="120" w:after="120"/>
              <w:ind w:left="0"/>
              <w:jc w:val="both"/>
              <w:rPr>
                <w:rFonts w:ascii="Times New Roman" w:hAnsi="Times New Roman"/>
                <w:sz w:val="24"/>
                <w:szCs w:val="24"/>
                <w:lang w:val="en-IE"/>
              </w:rPr>
            </w:pPr>
            <w:r w:rsidRPr="00E12F8E">
              <w:rPr>
                <w:rFonts w:ascii="Times New Roman" w:hAnsi="Times New Roman"/>
                <w:sz w:val="24"/>
                <w:szCs w:val="24"/>
                <w:lang w:val="en-IE"/>
              </w:rPr>
              <w:t>Global Governance: support Multilateralism with UN at its core</w:t>
            </w:r>
          </w:p>
          <w:p w14:paraId="42EF6E5E" w14:textId="20BECEB4" w:rsidR="00104B29" w:rsidRPr="00E12F8E" w:rsidRDefault="00104B29" w:rsidP="00E12F8E">
            <w:pPr>
              <w:spacing w:before="120" w:after="120"/>
              <w:jc w:val="both"/>
              <w:rPr>
                <w:rFonts w:ascii="Times New Roman" w:eastAsia="Times New Roman" w:hAnsi="Times New Roman"/>
                <w:sz w:val="24"/>
                <w:szCs w:val="24"/>
              </w:rPr>
            </w:pPr>
            <w:r w:rsidRPr="00E12F8E">
              <w:rPr>
                <w:rFonts w:ascii="Times New Roman" w:hAnsi="Times New Roman"/>
                <w:sz w:val="24"/>
                <w:szCs w:val="24"/>
              </w:rPr>
              <w:t>As part of the implementation of the WAA</w:t>
            </w:r>
            <w:r w:rsidR="00CD5153" w:rsidRPr="00E12F8E">
              <w:rPr>
                <w:rFonts w:ascii="Times New Roman" w:hAnsi="Times New Roman"/>
                <w:sz w:val="24"/>
                <w:szCs w:val="24"/>
              </w:rPr>
              <w:t>,</w:t>
            </w:r>
            <w:r w:rsidRPr="00E12F8E">
              <w:rPr>
                <w:rFonts w:ascii="Times New Roman" w:hAnsi="Times New Roman"/>
                <w:sz w:val="24"/>
                <w:szCs w:val="24"/>
              </w:rPr>
              <w:t xml:space="preserve"> </w:t>
            </w:r>
            <w:r w:rsidRPr="00E12F8E">
              <w:rPr>
                <w:rFonts w:ascii="Times New Roman" w:eastAsia="Times New Roman" w:hAnsi="Times New Roman"/>
                <w:sz w:val="24"/>
                <w:szCs w:val="24"/>
              </w:rPr>
              <w:t>the EU actively promotes universal access to drinking water and sanitation, and water resource management, as a priority in its international partnerships.</w:t>
            </w:r>
          </w:p>
          <w:p w14:paraId="56E8553F" w14:textId="530C8005" w:rsidR="00104B29" w:rsidRPr="00E12F8E" w:rsidRDefault="00104B29" w:rsidP="00E12F8E">
            <w:pPr>
              <w:spacing w:before="120" w:after="120"/>
              <w:contextualSpacing/>
              <w:jc w:val="both"/>
              <w:rPr>
                <w:rFonts w:ascii="Times New Roman" w:eastAsia="Times New Roman" w:hAnsi="Times New Roman"/>
                <w:sz w:val="24"/>
                <w:szCs w:val="24"/>
              </w:rPr>
            </w:pPr>
            <w:r w:rsidRPr="00E12F8E">
              <w:rPr>
                <w:rFonts w:ascii="Times New Roman" w:eastAsia="Times New Roman" w:hAnsi="Times New Roman"/>
                <w:b/>
                <w:bCs/>
                <w:sz w:val="24"/>
                <w:szCs w:val="24"/>
              </w:rPr>
              <w:t>By 2030, the EU targets to support the access of 70 million individuals</w:t>
            </w:r>
            <w:r w:rsidRPr="00E12F8E">
              <w:rPr>
                <w:rFonts w:ascii="Times New Roman" w:eastAsia="Times New Roman" w:hAnsi="Times New Roman"/>
                <w:sz w:val="24"/>
                <w:szCs w:val="24"/>
              </w:rPr>
              <w:t xml:space="preserve"> to an improved drinking water source and/or sanitation facility and commits to develop its work to mobilise the private sector with innovative financing under the European Fund for Sustainable Development (EFSD+), to further increase its reach.</w:t>
            </w:r>
          </w:p>
          <w:p w14:paraId="2A1B32EC" w14:textId="2D0264E1" w:rsidR="00104B29" w:rsidRPr="00E12F8E" w:rsidRDefault="00104B29" w:rsidP="00E12F8E">
            <w:pPr>
              <w:spacing w:before="120" w:after="120"/>
              <w:contextualSpacing/>
              <w:jc w:val="both"/>
              <w:rPr>
                <w:rFonts w:ascii="Times New Roman" w:eastAsia="Times New Roman" w:hAnsi="Times New Roman"/>
                <w:sz w:val="24"/>
                <w:szCs w:val="24"/>
              </w:rPr>
            </w:pPr>
            <w:r w:rsidRPr="00E12F8E">
              <w:rPr>
                <w:rFonts w:ascii="Times New Roman" w:eastAsia="Times New Roman" w:hAnsi="Times New Roman"/>
                <w:sz w:val="24"/>
                <w:szCs w:val="24"/>
              </w:rPr>
              <w:t xml:space="preserve">EUR 3.69 billion were disbursed so far under the </w:t>
            </w:r>
            <w:r w:rsidR="00127F86">
              <w:rPr>
                <w:rFonts w:ascii="Times New Roman" w:eastAsia="Times New Roman" w:hAnsi="Times New Roman"/>
                <w:sz w:val="24"/>
                <w:szCs w:val="24"/>
              </w:rPr>
              <w:t>Multiannual Financial Framework</w:t>
            </w:r>
            <w:r w:rsidR="00127F86" w:rsidRPr="00E12F8E">
              <w:rPr>
                <w:rFonts w:ascii="Times New Roman" w:eastAsia="Times New Roman" w:hAnsi="Times New Roman"/>
                <w:sz w:val="24"/>
                <w:szCs w:val="24"/>
              </w:rPr>
              <w:t xml:space="preserve"> </w:t>
            </w:r>
            <w:r w:rsidRPr="00E12F8E">
              <w:rPr>
                <w:rFonts w:ascii="Times New Roman" w:eastAsia="Times New Roman" w:hAnsi="Times New Roman"/>
                <w:sz w:val="24"/>
                <w:szCs w:val="24"/>
              </w:rPr>
              <w:t xml:space="preserve">2014-2020 by EU institutions, on water, </w:t>
            </w:r>
            <w:r w:rsidR="00BF15DD" w:rsidRPr="00E12F8E">
              <w:rPr>
                <w:rFonts w:ascii="Times New Roman" w:eastAsia="Times New Roman" w:hAnsi="Times New Roman"/>
                <w:sz w:val="24"/>
                <w:szCs w:val="24"/>
              </w:rPr>
              <w:t xml:space="preserve">EUR </w:t>
            </w:r>
            <w:r w:rsidRPr="00E12F8E">
              <w:rPr>
                <w:rFonts w:ascii="Times New Roman" w:eastAsia="Times New Roman" w:hAnsi="Times New Roman"/>
                <w:sz w:val="24"/>
                <w:szCs w:val="24"/>
              </w:rPr>
              <w:t xml:space="preserve">1.12 billion being under </w:t>
            </w:r>
            <w:r w:rsidR="00127F86">
              <w:rPr>
                <w:rFonts w:ascii="Times New Roman" w:eastAsia="Times New Roman" w:hAnsi="Times New Roman"/>
                <w:sz w:val="24"/>
                <w:szCs w:val="24"/>
              </w:rPr>
              <w:t xml:space="preserve">the </w:t>
            </w:r>
            <w:r w:rsidRPr="00E12F8E">
              <w:rPr>
                <w:rFonts w:ascii="Times New Roman" w:eastAsia="Times New Roman" w:hAnsi="Times New Roman"/>
                <w:sz w:val="24"/>
                <w:szCs w:val="24"/>
              </w:rPr>
              <w:t>E</w:t>
            </w:r>
            <w:r w:rsidR="00127F86">
              <w:rPr>
                <w:rFonts w:ascii="Times New Roman" w:eastAsia="Times New Roman" w:hAnsi="Times New Roman"/>
                <w:sz w:val="24"/>
                <w:szCs w:val="24"/>
              </w:rPr>
              <w:t xml:space="preserve">uropean </w:t>
            </w:r>
            <w:r w:rsidRPr="00E12F8E">
              <w:rPr>
                <w:rFonts w:ascii="Times New Roman" w:eastAsia="Times New Roman" w:hAnsi="Times New Roman"/>
                <w:sz w:val="24"/>
                <w:szCs w:val="24"/>
              </w:rPr>
              <w:t>I</w:t>
            </w:r>
            <w:r w:rsidR="00127F86">
              <w:rPr>
                <w:rFonts w:ascii="Times New Roman" w:eastAsia="Times New Roman" w:hAnsi="Times New Roman"/>
                <w:sz w:val="24"/>
                <w:szCs w:val="24"/>
              </w:rPr>
              <w:t xml:space="preserve">nvestment </w:t>
            </w:r>
            <w:r w:rsidRPr="00E12F8E">
              <w:rPr>
                <w:rFonts w:ascii="Times New Roman" w:eastAsia="Times New Roman" w:hAnsi="Times New Roman"/>
                <w:sz w:val="24"/>
                <w:szCs w:val="24"/>
              </w:rPr>
              <w:t>B</w:t>
            </w:r>
            <w:r w:rsidR="00127F86">
              <w:rPr>
                <w:rFonts w:ascii="Times New Roman" w:eastAsia="Times New Roman" w:hAnsi="Times New Roman"/>
                <w:sz w:val="24"/>
                <w:szCs w:val="24"/>
              </w:rPr>
              <w:t>ank (EIB)</w:t>
            </w:r>
            <w:r w:rsidRPr="00E12F8E">
              <w:rPr>
                <w:rFonts w:ascii="Times New Roman" w:eastAsia="Times New Roman" w:hAnsi="Times New Roman"/>
                <w:sz w:val="24"/>
                <w:szCs w:val="24"/>
              </w:rPr>
              <w:t>. The EIB is the world’s biggest lender on water, before the World Bank.</w:t>
            </w:r>
          </w:p>
          <w:p w14:paraId="6EADCDE6" w14:textId="2198153D" w:rsidR="005C5EB6" w:rsidRPr="00E12F8E" w:rsidRDefault="00104B29" w:rsidP="00E12F8E">
            <w:pPr>
              <w:spacing w:before="120" w:after="120"/>
              <w:contextualSpacing/>
              <w:jc w:val="both"/>
              <w:rPr>
                <w:rFonts w:ascii="Times New Roman" w:eastAsia="Times New Roman" w:hAnsi="Times New Roman"/>
                <w:sz w:val="24"/>
                <w:szCs w:val="24"/>
              </w:rPr>
            </w:pPr>
            <w:r w:rsidRPr="00E12F8E">
              <w:rPr>
                <w:rFonts w:ascii="Times New Roman" w:eastAsia="Times New Roman" w:hAnsi="Times New Roman"/>
                <w:bCs/>
                <w:sz w:val="24"/>
                <w:szCs w:val="24"/>
              </w:rPr>
              <w:t>In the context of programming 2021-2027, the importance of the water sector continues to be clear</w:t>
            </w:r>
            <w:r w:rsidR="002673C4" w:rsidRPr="00E12F8E">
              <w:rPr>
                <w:rFonts w:ascii="Times New Roman" w:eastAsia="Times New Roman" w:hAnsi="Times New Roman"/>
                <w:bCs/>
                <w:sz w:val="24"/>
                <w:szCs w:val="24"/>
              </w:rPr>
              <w:t xml:space="preserve">, where </w:t>
            </w:r>
            <w:r w:rsidRPr="00E12F8E">
              <w:rPr>
                <w:rFonts w:ascii="Times New Roman" w:eastAsia="Times New Roman" w:hAnsi="Times New Roman"/>
                <w:bCs/>
                <w:sz w:val="24"/>
                <w:szCs w:val="24"/>
              </w:rPr>
              <w:t xml:space="preserve">71 countries have planned significant activities (including in blending) </w:t>
            </w:r>
            <w:r w:rsidR="00AF7B81" w:rsidRPr="00E12F8E">
              <w:rPr>
                <w:rFonts w:ascii="Times New Roman" w:eastAsia="Times New Roman" w:hAnsi="Times New Roman"/>
                <w:bCs/>
                <w:sz w:val="24"/>
                <w:szCs w:val="24"/>
              </w:rPr>
              <w:t xml:space="preserve">to be supported by the EU </w:t>
            </w:r>
            <w:r w:rsidRPr="00E12F8E">
              <w:rPr>
                <w:rFonts w:ascii="Times New Roman" w:eastAsia="Times New Roman" w:hAnsi="Times New Roman"/>
                <w:bCs/>
                <w:sz w:val="24"/>
                <w:szCs w:val="24"/>
              </w:rPr>
              <w:t>in the water sector and EUR 1.</w:t>
            </w:r>
            <w:r w:rsidR="005C5EB6" w:rsidRPr="00E12F8E">
              <w:rPr>
                <w:rFonts w:ascii="Times New Roman" w:eastAsia="Times New Roman" w:hAnsi="Times New Roman"/>
                <w:bCs/>
                <w:sz w:val="24"/>
                <w:szCs w:val="24"/>
              </w:rPr>
              <w:t>9</w:t>
            </w:r>
            <w:r w:rsidRPr="00E12F8E">
              <w:rPr>
                <w:rFonts w:ascii="Times New Roman" w:eastAsia="Times New Roman" w:hAnsi="Times New Roman"/>
                <w:bCs/>
                <w:sz w:val="24"/>
                <w:szCs w:val="24"/>
              </w:rPr>
              <w:t xml:space="preserve"> billion </w:t>
            </w:r>
            <w:r w:rsidR="005C5EB6" w:rsidRPr="00E12F8E">
              <w:rPr>
                <w:rFonts w:ascii="Times New Roman" w:eastAsia="Times New Roman" w:hAnsi="Times New Roman"/>
                <w:bCs/>
                <w:sz w:val="24"/>
                <w:szCs w:val="24"/>
              </w:rPr>
              <w:t xml:space="preserve">of Official Development Assistance </w:t>
            </w:r>
            <w:r w:rsidRPr="00E12F8E">
              <w:rPr>
                <w:rFonts w:ascii="Times New Roman" w:eastAsia="Times New Roman" w:hAnsi="Times New Roman"/>
                <w:bCs/>
                <w:sz w:val="24"/>
                <w:szCs w:val="24"/>
              </w:rPr>
              <w:t>was committed in the period 2021-202</w:t>
            </w:r>
            <w:r w:rsidR="005C5EB6" w:rsidRPr="00E12F8E">
              <w:rPr>
                <w:rFonts w:ascii="Times New Roman" w:eastAsia="Times New Roman" w:hAnsi="Times New Roman"/>
                <w:bCs/>
                <w:sz w:val="24"/>
                <w:szCs w:val="24"/>
              </w:rPr>
              <w:t>4</w:t>
            </w:r>
            <w:r w:rsidRPr="00E12F8E">
              <w:rPr>
                <w:rFonts w:ascii="Times New Roman" w:eastAsia="Times New Roman" w:hAnsi="Times New Roman"/>
                <w:bCs/>
                <w:sz w:val="24"/>
                <w:szCs w:val="24"/>
              </w:rPr>
              <w:t>. This</w:t>
            </w:r>
            <w:r w:rsidRPr="00E12F8E">
              <w:rPr>
                <w:rFonts w:ascii="Times New Roman" w:eastAsia="Times New Roman" w:hAnsi="Times New Roman"/>
                <w:sz w:val="24"/>
                <w:szCs w:val="24"/>
              </w:rPr>
              <w:t xml:space="preserve"> </w:t>
            </w:r>
            <w:r w:rsidR="005C5EB6" w:rsidRPr="00E12F8E">
              <w:rPr>
                <w:rFonts w:ascii="Times New Roman" w:eastAsia="Times New Roman" w:hAnsi="Times New Roman"/>
                <w:sz w:val="24"/>
                <w:szCs w:val="24"/>
              </w:rPr>
              <w:t>confirms an upwards trend compared to the previous MFF.</w:t>
            </w:r>
          </w:p>
          <w:p w14:paraId="274E9968" w14:textId="16712FEA" w:rsidR="00165DCA" w:rsidRPr="00E12F8E" w:rsidRDefault="00720677" w:rsidP="00E12F8E">
            <w:pPr>
              <w:spacing w:before="120" w:after="120"/>
              <w:jc w:val="both"/>
              <w:rPr>
                <w:rFonts w:ascii="Times New Roman" w:hAnsi="Times New Roman"/>
                <w:sz w:val="24"/>
                <w:szCs w:val="24"/>
              </w:rPr>
            </w:pPr>
            <w:r w:rsidRPr="00E12F8E">
              <w:rPr>
                <w:rFonts w:ascii="Times New Roman" w:hAnsi="Times New Roman"/>
                <w:sz w:val="24"/>
                <w:szCs w:val="24"/>
              </w:rPr>
              <w:t xml:space="preserve">The Global Gateway (GG) is the </w:t>
            </w:r>
            <w:r w:rsidR="00165DCA" w:rsidRPr="00E12F8E">
              <w:rPr>
                <w:rFonts w:ascii="Times New Roman" w:hAnsi="Times New Roman"/>
                <w:sz w:val="24"/>
                <w:szCs w:val="24"/>
              </w:rPr>
              <w:t xml:space="preserve">EU’s </w:t>
            </w:r>
            <w:r w:rsidRPr="00E12F8E">
              <w:rPr>
                <w:rFonts w:ascii="Times New Roman" w:hAnsi="Times New Roman"/>
                <w:sz w:val="24"/>
                <w:szCs w:val="24"/>
              </w:rPr>
              <w:t xml:space="preserve">strategic initiative </w:t>
            </w:r>
            <w:r w:rsidR="00165DCA" w:rsidRPr="00E12F8E">
              <w:rPr>
                <w:rFonts w:ascii="Times New Roman" w:hAnsi="Times New Roman"/>
                <w:sz w:val="24"/>
                <w:szCs w:val="24"/>
              </w:rPr>
              <w:t xml:space="preserve">to narrow the global infrastructure investment gap and accelerate progress towards the UN’s 2030 Agenda and </w:t>
            </w:r>
            <w:r w:rsidR="00047E19" w:rsidRPr="00E12F8E">
              <w:rPr>
                <w:rFonts w:ascii="Times New Roman" w:hAnsi="Times New Roman"/>
                <w:sz w:val="24"/>
                <w:szCs w:val="24"/>
              </w:rPr>
              <w:t>the</w:t>
            </w:r>
            <w:r w:rsidR="00165DCA" w:rsidRPr="00E12F8E">
              <w:rPr>
                <w:rFonts w:ascii="Times New Roman" w:hAnsi="Times New Roman"/>
                <w:sz w:val="24"/>
                <w:szCs w:val="24"/>
              </w:rPr>
              <w:t xml:space="preserve"> Sustainable </w:t>
            </w:r>
            <w:r w:rsidR="00165DCA" w:rsidRPr="00E12F8E">
              <w:rPr>
                <w:rFonts w:ascii="Times New Roman" w:hAnsi="Times New Roman"/>
                <w:sz w:val="24"/>
                <w:szCs w:val="24"/>
              </w:rPr>
              <w:lastRenderedPageBreak/>
              <w:t>Development Goals, and includes investment in WASH. Global Gateway is implemented in a</w:t>
            </w:r>
            <w:r w:rsidR="009C4BDC">
              <w:rPr>
                <w:rFonts w:ascii="Times New Roman" w:hAnsi="Times New Roman"/>
                <w:sz w:val="24"/>
                <w:szCs w:val="24"/>
              </w:rPr>
              <w:t> </w:t>
            </w:r>
            <w:r w:rsidR="00165DCA" w:rsidRPr="00E12F8E">
              <w:rPr>
                <w:rFonts w:ascii="Times New Roman" w:hAnsi="Times New Roman"/>
                <w:sz w:val="24"/>
                <w:szCs w:val="24"/>
              </w:rPr>
              <w:t xml:space="preserve">Team Europe </w:t>
            </w:r>
            <w:r w:rsidR="00A440EF" w:rsidRPr="00E12F8E">
              <w:rPr>
                <w:rFonts w:ascii="Times New Roman" w:hAnsi="Times New Roman"/>
                <w:sz w:val="24"/>
                <w:szCs w:val="24"/>
              </w:rPr>
              <w:t>a</w:t>
            </w:r>
            <w:r w:rsidR="00165DCA" w:rsidRPr="00E12F8E">
              <w:rPr>
                <w:rFonts w:ascii="Times New Roman" w:hAnsi="Times New Roman"/>
                <w:sz w:val="24"/>
                <w:szCs w:val="24"/>
              </w:rPr>
              <w:t xml:space="preserve">pproach </w:t>
            </w:r>
            <w:r w:rsidRPr="00E12F8E">
              <w:rPr>
                <w:rFonts w:ascii="Times New Roman" w:hAnsi="Times New Roman"/>
                <w:sz w:val="24"/>
                <w:szCs w:val="24"/>
              </w:rPr>
              <w:t>by the EU</w:t>
            </w:r>
            <w:r w:rsidR="00165DCA" w:rsidRPr="00E12F8E">
              <w:rPr>
                <w:rFonts w:ascii="Times New Roman" w:hAnsi="Times New Roman"/>
                <w:sz w:val="24"/>
                <w:szCs w:val="24"/>
              </w:rPr>
              <w:t xml:space="preserve">, </w:t>
            </w:r>
            <w:r w:rsidR="00A440EF" w:rsidRPr="00E12F8E">
              <w:rPr>
                <w:rFonts w:ascii="Times New Roman" w:hAnsi="Times New Roman"/>
                <w:sz w:val="24"/>
                <w:szCs w:val="24"/>
              </w:rPr>
              <w:t xml:space="preserve">Member States, </w:t>
            </w:r>
            <w:r w:rsidR="00165DCA" w:rsidRPr="00E12F8E">
              <w:rPr>
                <w:rFonts w:ascii="Times New Roman" w:hAnsi="Times New Roman"/>
                <w:sz w:val="24"/>
                <w:szCs w:val="24"/>
              </w:rPr>
              <w:t>the European Investment Bank and the European Bank for Reconstruction and Development</w:t>
            </w:r>
            <w:r w:rsidRPr="00E12F8E">
              <w:rPr>
                <w:rFonts w:ascii="Times New Roman" w:hAnsi="Times New Roman"/>
                <w:sz w:val="24"/>
                <w:szCs w:val="24"/>
              </w:rPr>
              <w:t xml:space="preserve"> </w:t>
            </w:r>
            <w:r w:rsidR="00A440EF" w:rsidRPr="00E12F8E">
              <w:rPr>
                <w:rFonts w:ascii="Times New Roman" w:hAnsi="Times New Roman"/>
                <w:sz w:val="24"/>
                <w:szCs w:val="24"/>
              </w:rPr>
              <w:t>and the private sector.</w:t>
            </w:r>
            <w:r w:rsidR="00165DCA" w:rsidRPr="00E12F8E">
              <w:rPr>
                <w:rFonts w:ascii="Times New Roman" w:hAnsi="Times New Roman"/>
                <w:sz w:val="24"/>
                <w:szCs w:val="24"/>
              </w:rPr>
              <w:t xml:space="preserve"> Global Gateway investments are guided by 6 principles: 1) democratic values and high standards; 2) good governance and transparency which commits to ensuring that investments notably benefits women and girls and those at risk of disadvantage or exclusion; 3) equal partnerships, 4) green and clean, 5) security-focused and 6) catalysing private sector investment.</w:t>
            </w:r>
          </w:p>
          <w:p w14:paraId="70A5834A" w14:textId="034F523C" w:rsidR="002723C1" w:rsidRPr="00E12F8E" w:rsidRDefault="00DE7ADE" w:rsidP="00E12F8E">
            <w:pPr>
              <w:spacing w:before="120" w:after="120"/>
              <w:jc w:val="both"/>
              <w:rPr>
                <w:rFonts w:ascii="Times New Roman" w:hAnsi="Times New Roman"/>
                <w:sz w:val="24"/>
                <w:szCs w:val="24"/>
              </w:rPr>
            </w:pPr>
            <w:r w:rsidRPr="00E12F8E">
              <w:rPr>
                <w:rFonts w:ascii="Times New Roman" w:hAnsi="Times New Roman"/>
                <w:sz w:val="24"/>
                <w:szCs w:val="24"/>
              </w:rPr>
              <w:t xml:space="preserve">In a 360-degree approach, </w:t>
            </w:r>
            <w:r w:rsidR="005C5EB6" w:rsidRPr="00E12F8E">
              <w:rPr>
                <w:rFonts w:ascii="Times New Roman" w:hAnsi="Times New Roman"/>
                <w:sz w:val="24"/>
                <w:szCs w:val="24"/>
              </w:rPr>
              <w:t xml:space="preserve">Global Gateway helps deliver on the </w:t>
            </w:r>
            <w:r w:rsidR="00A440EF" w:rsidRPr="00E12F8E">
              <w:rPr>
                <w:rFonts w:ascii="Times New Roman" w:hAnsi="Times New Roman"/>
                <w:sz w:val="24"/>
                <w:szCs w:val="24"/>
              </w:rPr>
              <w:t>r</w:t>
            </w:r>
            <w:r w:rsidR="005C5EB6" w:rsidRPr="00E12F8E">
              <w:rPr>
                <w:rFonts w:ascii="Times New Roman" w:hAnsi="Times New Roman"/>
                <w:sz w:val="24"/>
                <w:szCs w:val="24"/>
              </w:rPr>
              <w:t xml:space="preserve">ight to water </w:t>
            </w:r>
            <w:r w:rsidR="00532B0F" w:rsidRPr="00E12F8E">
              <w:rPr>
                <w:rFonts w:ascii="Times New Roman" w:hAnsi="Times New Roman"/>
                <w:sz w:val="24"/>
                <w:szCs w:val="24"/>
              </w:rPr>
              <w:t xml:space="preserve">and sanitation, </w:t>
            </w:r>
            <w:r w:rsidR="005C5EB6" w:rsidRPr="00E12F8E">
              <w:rPr>
                <w:rFonts w:ascii="Times New Roman" w:hAnsi="Times New Roman"/>
                <w:sz w:val="24"/>
                <w:szCs w:val="24"/>
              </w:rPr>
              <w:t>and on</w:t>
            </w:r>
            <w:r w:rsidR="0063493F" w:rsidRPr="00E12F8E">
              <w:rPr>
                <w:rFonts w:ascii="Times New Roman" w:hAnsi="Times New Roman"/>
                <w:sz w:val="24"/>
                <w:szCs w:val="24"/>
              </w:rPr>
              <w:t xml:space="preserve"> the</w:t>
            </w:r>
            <w:r w:rsidR="005C5EB6" w:rsidRPr="00E12F8E">
              <w:rPr>
                <w:rFonts w:ascii="Times New Roman" w:hAnsi="Times New Roman"/>
                <w:sz w:val="24"/>
                <w:szCs w:val="24"/>
              </w:rPr>
              <w:t xml:space="preserve"> </w:t>
            </w:r>
            <w:r w:rsidR="008A7231" w:rsidRPr="00E12F8E">
              <w:rPr>
                <w:rFonts w:ascii="Times New Roman" w:hAnsi="Times New Roman"/>
                <w:sz w:val="24"/>
                <w:szCs w:val="24"/>
              </w:rPr>
              <w:t xml:space="preserve">EU </w:t>
            </w:r>
            <w:r w:rsidR="005C5EB6" w:rsidRPr="00E12F8E">
              <w:rPr>
                <w:rFonts w:ascii="Times New Roman" w:hAnsi="Times New Roman"/>
                <w:sz w:val="24"/>
                <w:szCs w:val="24"/>
              </w:rPr>
              <w:t>commitment to improve the access for 70 million individuals</w:t>
            </w:r>
            <w:r w:rsidR="003C177B" w:rsidRPr="00E12F8E">
              <w:rPr>
                <w:rFonts w:ascii="Times New Roman" w:hAnsi="Times New Roman"/>
                <w:sz w:val="24"/>
                <w:szCs w:val="24"/>
              </w:rPr>
              <w:t xml:space="preserve"> </w:t>
            </w:r>
            <w:r w:rsidR="003C177B" w:rsidRPr="00E12F8E">
              <w:rPr>
                <w:rFonts w:ascii="Times New Roman" w:eastAsia="Times New Roman" w:hAnsi="Times New Roman"/>
                <w:sz w:val="24"/>
                <w:szCs w:val="24"/>
              </w:rPr>
              <w:t>to an improved drinking water source and/or sanitation facility</w:t>
            </w:r>
            <w:r w:rsidR="005C5EB6" w:rsidRPr="00E12F8E">
              <w:rPr>
                <w:rFonts w:ascii="Times New Roman" w:hAnsi="Times New Roman"/>
                <w:sz w:val="24"/>
                <w:szCs w:val="24"/>
              </w:rPr>
              <w:t>.</w:t>
            </w:r>
            <w:r w:rsidR="00165DCA" w:rsidRPr="00E12F8E">
              <w:rPr>
                <w:rFonts w:ascii="Times New Roman" w:hAnsi="Times New Roman"/>
                <w:sz w:val="24"/>
                <w:szCs w:val="24"/>
              </w:rPr>
              <w:t xml:space="preserve"> Examples of Water projects include investments in WASH infrastructure covering both environmental and health aspects, wastewater plants, and desalination facilities.</w:t>
            </w:r>
          </w:p>
          <w:p w14:paraId="332F4CA4" w14:textId="15127FEC" w:rsidR="009E2419" w:rsidRPr="00E12F8E" w:rsidRDefault="002723C1" w:rsidP="00E12F8E">
            <w:pPr>
              <w:spacing w:before="120" w:after="120"/>
              <w:jc w:val="both"/>
              <w:rPr>
                <w:rFonts w:ascii="Times New Roman" w:hAnsi="Times New Roman"/>
                <w:sz w:val="24"/>
                <w:szCs w:val="24"/>
              </w:rPr>
            </w:pPr>
            <w:r w:rsidRPr="00E12F8E">
              <w:rPr>
                <w:rFonts w:ascii="Times New Roman" w:hAnsi="Times New Roman"/>
                <w:sz w:val="24"/>
                <w:szCs w:val="24"/>
              </w:rPr>
              <w:t>The NEWZA (Nexus Energy and Water Programme for Zambia) is one example of a flagship action under the Global Gateway.</w:t>
            </w:r>
            <w:r w:rsidRPr="00E12F8E">
              <w:rPr>
                <w:rFonts w:ascii="Times New Roman" w:hAnsi="Times New Roman"/>
                <w:color w:val="616161"/>
                <w:sz w:val="24"/>
                <w:szCs w:val="24"/>
                <w:shd w:val="clear" w:color="auto" w:fill="FFFFFF"/>
              </w:rPr>
              <w:t xml:space="preserve"> </w:t>
            </w:r>
            <w:r w:rsidRPr="00E12F8E">
              <w:rPr>
                <w:rFonts w:ascii="Times New Roman" w:hAnsi="Times New Roman"/>
                <w:sz w:val="24"/>
                <w:szCs w:val="24"/>
              </w:rPr>
              <w:t xml:space="preserve">The </w:t>
            </w:r>
            <w:r w:rsidR="003C442B" w:rsidRPr="00E12F8E">
              <w:rPr>
                <w:rFonts w:ascii="Times New Roman" w:hAnsi="Times New Roman"/>
                <w:sz w:val="24"/>
                <w:szCs w:val="24"/>
              </w:rPr>
              <w:t xml:space="preserve">EUR 118.1 million </w:t>
            </w:r>
            <w:r w:rsidRPr="00E12F8E">
              <w:rPr>
                <w:rFonts w:ascii="Times New Roman" w:hAnsi="Times New Roman"/>
                <w:sz w:val="24"/>
                <w:szCs w:val="24"/>
              </w:rPr>
              <w:t>program</w:t>
            </w:r>
            <w:r w:rsidR="003C442B" w:rsidRPr="00E12F8E">
              <w:rPr>
                <w:rFonts w:ascii="Times New Roman" w:hAnsi="Times New Roman"/>
                <w:sz w:val="24"/>
                <w:szCs w:val="24"/>
              </w:rPr>
              <w:t>me</w:t>
            </w:r>
            <w:r w:rsidRPr="00E12F8E">
              <w:rPr>
                <w:rFonts w:ascii="Times New Roman" w:hAnsi="Times New Roman"/>
                <w:sz w:val="24"/>
                <w:szCs w:val="24"/>
              </w:rPr>
              <w:t xml:space="preserve"> focuses on enhancing the operational and financial performance of water utilities across several provinces in Zambia, integrating renewable energy solutions and digital technologies to ensure more efficient and sustainable water and energy management. This initiative not only aims to improve local infrastructures but also supports Zambia's resilience against climate change, contributes to economic growth, and addresses social inclusion by focusing on vulnerable groups.</w:t>
            </w:r>
          </w:p>
          <w:p w14:paraId="54CECD2F" w14:textId="01C23617" w:rsidR="006F72E0" w:rsidRPr="00E12F8E" w:rsidRDefault="002723C1" w:rsidP="00E12F8E">
            <w:pPr>
              <w:spacing w:before="120" w:after="120"/>
              <w:jc w:val="both"/>
              <w:rPr>
                <w:rFonts w:ascii="Times New Roman" w:hAnsi="Times New Roman"/>
                <w:sz w:val="24"/>
                <w:szCs w:val="24"/>
              </w:rPr>
            </w:pPr>
            <w:r w:rsidRPr="00E12F8E">
              <w:rPr>
                <w:rFonts w:ascii="Times New Roman" w:hAnsi="Times New Roman"/>
                <w:sz w:val="24"/>
                <w:szCs w:val="24"/>
              </w:rPr>
              <w:t>T</w:t>
            </w:r>
            <w:r w:rsidR="009E2419" w:rsidRPr="00E12F8E">
              <w:rPr>
                <w:rFonts w:ascii="Times New Roman" w:hAnsi="Times New Roman"/>
                <w:sz w:val="24"/>
                <w:szCs w:val="24"/>
              </w:rPr>
              <w:t xml:space="preserve">hrough </w:t>
            </w:r>
            <w:r w:rsidR="005C5EB6" w:rsidRPr="00E12F8E">
              <w:rPr>
                <w:rFonts w:ascii="Times New Roman" w:hAnsi="Times New Roman"/>
                <w:sz w:val="24"/>
                <w:szCs w:val="24"/>
              </w:rPr>
              <w:t>Climate Investor 2</w:t>
            </w:r>
            <w:r w:rsidR="009E2419" w:rsidRPr="00E12F8E">
              <w:rPr>
                <w:rFonts w:ascii="Times New Roman" w:hAnsi="Times New Roman"/>
                <w:sz w:val="24"/>
                <w:szCs w:val="24"/>
              </w:rPr>
              <w:t xml:space="preserve">, a </w:t>
            </w:r>
            <w:r w:rsidR="001F6539" w:rsidRPr="00E12F8E">
              <w:rPr>
                <w:rFonts w:ascii="Times New Roman" w:hAnsi="Times New Roman"/>
                <w:sz w:val="24"/>
                <w:szCs w:val="24"/>
              </w:rPr>
              <w:t xml:space="preserve">blended finance facility, </w:t>
            </w:r>
            <w:r w:rsidR="009E2419" w:rsidRPr="00E12F8E">
              <w:rPr>
                <w:rFonts w:ascii="Times New Roman" w:hAnsi="Times New Roman"/>
                <w:sz w:val="24"/>
                <w:szCs w:val="24"/>
              </w:rPr>
              <w:t xml:space="preserve">the EU </w:t>
            </w:r>
            <w:r w:rsidRPr="00E12F8E">
              <w:rPr>
                <w:rFonts w:ascii="Times New Roman" w:hAnsi="Times New Roman"/>
                <w:sz w:val="24"/>
                <w:szCs w:val="24"/>
              </w:rPr>
              <w:t xml:space="preserve">further </w:t>
            </w:r>
            <w:r w:rsidR="009E2419" w:rsidRPr="00E12F8E">
              <w:rPr>
                <w:rFonts w:ascii="Times New Roman" w:hAnsi="Times New Roman"/>
                <w:sz w:val="24"/>
                <w:szCs w:val="24"/>
              </w:rPr>
              <w:t>contributes</w:t>
            </w:r>
            <w:r w:rsidR="005C5EB6" w:rsidRPr="00E12F8E">
              <w:rPr>
                <w:rFonts w:ascii="Times New Roman" w:hAnsi="Times New Roman"/>
                <w:sz w:val="24"/>
                <w:szCs w:val="24"/>
              </w:rPr>
              <w:t xml:space="preserve"> with </w:t>
            </w:r>
            <w:r w:rsidR="003C177B" w:rsidRPr="00E12F8E">
              <w:rPr>
                <w:rFonts w:ascii="Times New Roman" w:hAnsi="Times New Roman"/>
                <w:sz w:val="24"/>
                <w:szCs w:val="24"/>
              </w:rPr>
              <w:t xml:space="preserve">EUR </w:t>
            </w:r>
            <w:r w:rsidR="005C5EB6" w:rsidRPr="00E12F8E">
              <w:rPr>
                <w:rFonts w:ascii="Times New Roman" w:hAnsi="Times New Roman"/>
                <w:sz w:val="24"/>
                <w:szCs w:val="24"/>
              </w:rPr>
              <w:t>30.1</w:t>
            </w:r>
            <w:r w:rsidR="003C177B" w:rsidRPr="00E12F8E">
              <w:rPr>
                <w:rFonts w:ascii="Times New Roman" w:hAnsi="Times New Roman"/>
                <w:sz w:val="24"/>
                <w:szCs w:val="24"/>
              </w:rPr>
              <w:t xml:space="preserve"> million</w:t>
            </w:r>
            <w:r w:rsidR="009E2419" w:rsidRPr="00E12F8E">
              <w:rPr>
                <w:rFonts w:ascii="Times New Roman" w:hAnsi="Times New Roman"/>
                <w:sz w:val="24"/>
                <w:szCs w:val="24"/>
              </w:rPr>
              <w:t xml:space="preserve"> to leverag</w:t>
            </w:r>
            <w:r w:rsidRPr="00E12F8E">
              <w:rPr>
                <w:rFonts w:ascii="Times New Roman" w:hAnsi="Times New Roman"/>
                <w:sz w:val="24"/>
                <w:szCs w:val="24"/>
              </w:rPr>
              <w:t>e</w:t>
            </w:r>
            <w:r w:rsidR="005C5EB6" w:rsidRPr="00E12F8E">
              <w:rPr>
                <w:rFonts w:ascii="Times New Roman" w:hAnsi="Times New Roman"/>
                <w:sz w:val="24"/>
                <w:szCs w:val="24"/>
              </w:rPr>
              <w:t xml:space="preserve"> up to </w:t>
            </w:r>
            <w:r w:rsidR="003C177B" w:rsidRPr="00E12F8E">
              <w:rPr>
                <w:rFonts w:ascii="Times New Roman" w:hAnsi="Times New Roman"/>
                <w:sz w:val="24"/>
                <w:szCs w:val="24"/>
              </w:rPr>
              <w:t xml:space="preserve">EUR </w:t>
            </w:r>
            <w:r w:rsidR="005C5EB6" w:rsidRPr="00E12F8E">
              <w:rPr>
                <w:rFonts w:ascii="Times New Roman" w:hAnsi="Times New Roman"/>
                <w:sz w:val="24"/>
                <w:szCs w:val="24"/>
              </w:rPr>
              <w:t>2.2</w:t>
            </w:r>
            <w:r w:rsidR="003C177B" w:rsidRPr="00E12F8E">
              <w:rPr>
                <w:rFonts w:ascii="Times New Roman" w:hAnsi="Times New Roman"/>
                <w:sz w:val="24"/>
                <w:szCs w:val="24"/>
              </w:rPr>
              <w:t xml:space="preserve"> billion</w:t>
            </w:r>
            <w:r w:rsidR="005C5EB6" w:rsidRPr="00E12F8E">
              <w:rPr>
                <w:rFonts w:ascii="Times New Roman" w:hAnsi="Times New Roman"/>
                <w:sz w:val="24"/>
                <w:szCs w:val="24"/>
              </w:rPr>
              <w:t xml:space="preserve"> in investments</w:t>
            </w:r>
            <w:r w:rsidR="009E2419" w:rsidRPr="00E12F8E">
              <w:rPr>
                <w:rFonts w:ascii="Times New Roman" w:hAnsi="Times New Roman"/>
                <w:sz w:val="24"/>
                <w:szCs w:val="24"/>
              </w:rPr>
              <w:t xml:space="preserve"> </w:t>
            </w:r>
            <w:r w:rsidR="006F72E0" w:rsidRPr="00E12F8E">
              <w:rPr>
                <w:rFonts w:ascii="Times New Roman" w:hAnsi="Times New Roman"/>
                <w:sz w:val="24"/>
                <w:szCs w:val="24"/>
              </w:rPr>
              <w:t xml:space="preserve">in water, sanitation and oceans infrastructure </w:t>
            </w:r>
            <w:r w:rsidR="009E2419" w:rsidRPr="00E12F8E">
              <w:rPr>
                <w:rFonts w:ascii="Times New Roman" w:hAnsi="Times New Roman"/>
                <w:sz w:val="24"/>
                <w:szCs w:val="24"/>
              </w:rPr>
              <w:t>and the EU’s ongoing Water Operators Partnerships improve water and sanitation services in 22 countries (targeting 30 countries in 2026) by enabling operators to systematically communicate amongst themselves and to share their experience and learn from each other’s practices for the benefit of all</w:t>
            </w:r>
            <w:r w:rsidRPr="00E12F8E">
              <w:rPr>
                <w:rFonts w:ascii="Times New Roman" w:hAnsi="Times New Roman"/>
                <w:sz w:val="24"/>
                <w:szCs w:val="24"/>
              </w:rPr>
              <w:t xml:space="preserve"> and reliable and sustainable service delivery</w:t>
            </w:r>
            <w:r w:rsidR="009E2419" w:rsidRPr="00E12F8E">
              <w:rPr>
                <w:rFonts w:ascii="Times New Roman" w:hAnsi="Times New Roman"/>
                <w:sz w:val="24"/>
                <w:szCs w:val="24"/>
              </w:rPr>
              <w:t>.</w:t>
            </w:r>
          </w:p>
          <w:p w14:paraId="08BC727A" w14:textId="12A1C110" w:rsidR="009E2419" w:rsidRPr="00E12F8E" w:rsidRDefault="00B5426C" w:rsidP="00E12F8E">
            <w:pPr>
              <w:spacing w:before="120" w:after="120"/>
              <w:jc w:val="both"/>
              <w:rPr>
                <w:rFonts w:ascii="Times New Roman" w:hAnsi="Times New Roman"/>
                <w:sz w:val="24"/>
                <w:szCs w:val="24"/>
              </w:rPr>
            </w:pPr>
            <w:r w:rsidRPr="00E12F8E">
              <w:rPr>
                <w:rFonts w:ascii="Times New Roman" w:hAnsi="Times New Roman"/>
                <w:sz w:val="24"/>
                <w:szCs w:val="24"/>
              </w:rPr>
              <w:t>The EU</w:t>
            </w:r>
            <w:r w:rsidR="006F72E0" w:rsidRPr="00E12F8E">
              <w:rPr>
                <w:rFonts w:ascii="Times New Roman" w:hAnsi="Times New Roman"/>
                <w:sz w:val="24"/>
                <w:szCs w:val="24"/>
              </w:rPr>
              <w:t xml:space="preserve"> is</w:t>
            </w:r>
            <w:r w:rsidRPr="00E12F8E">
              <w:rPr>
                <w:rFonts w:ascii="Times New Roman" w:hAnsi="Times New Roman"/>
                <w:sz w:val="24"/>
                <w:szCs w:val="24"/>
              </w:rPr>
              <w:t xml:space="preserve"> also </w:t>
            </w:r>
            <w:r w:rsidR="006F72E0" w:rsidRPr="00E12F8E">
              <w:rPr>
                <w:rFonts w:ascii="Times New Roman" w:hAnsi="Times New Roman"/>
                <w:sz w:val="24"/>
                <w:szCs w:val="24"/>
              </w:rPr>
              <w:t xml:space="preserve">committed to play a leading role as </w:t>
            </w:r>
            <w:r w:rsidR="00E1201D">
              <w:rPr>
                <w:rFonts w:ascii="Times New Roman" w:hAnsi="Times New Roman"/>
                <w:sz w:val="24"/>
                <w:szCs w:val="24"/>
              </w:rPr>
              <w:t xml:space="preserve">a </w:t>
            </w:r>
            <w:r w:rsidR="006F72E0" w:rsidRPr="00E12F8E">
              <w:rPr>
                <w:rFonts w:ascii="Times New Roman" w:hAnsi="Times New Roman"/>
                <w:sz w:val="24"/>
                <w:szCs w:val="24"/>
              </w:rPr>
              <w:t xml:space="preserve">facilitator and promoter of sustainable transboundary water management, both at political and technical level notably with the UN Water Convention. At regional level, </w:t>
            </w:r>
            <w:r w:rsidR="00E1201D">
              <w:rPr>
                <w:rFonts w:ascii="Times New Roman" w:hAnsi="Times New Roman"/>
                <w:sz w:val="24"/>
                <w:szCs w:val="24"/>
              </w:rPr>
              <w:t>the EU has</w:t>
            </w:r>
            <w:r w:rsidR="006F72E0" w:rsidRPr="00E12F8E">
              <w:rPr>
                <w:rFonts w:ascii="Times New Roman" w:hAnsi="Times New Roman"/>
                <w:sz w:val="24"/>
                <w:szCs w:val="24"/>
              </w:rPr>
              <w:t xml:space="preserve"> two major Team Europe Initiatives making available over EUR 1.1 billion for transboundary water cooperation</w:t>
            </w:r>
            <w:r w:rsidR="00B41147" w:rsidRPr="00E12F8E">
              <w:rPr>
                <w:rFonts w:ascii="Times New Roman" w:hAnsi="Times New Roman"/>
                <w:sz w:val="24"/>
                <w:szCs w:val="24"/>
              </w:rPr>
              <w:t xml:space="preserve"> (Africa and Central Asia)</w:t>
            </w:r>
            <w:r w:rsidR="006F72E0" w:rsidRPr="00E12F8E">
              <w:rPr>
                <w:rFonts w:ascii="Times New Roman" w:hAnsi="Times New Roman"/>
                <w:sz w:val="24"/>
                <w:szCs w:val="24"/>
              </w:rPr>
              <w:t>. This serves to improve governance, knowledge, and investments covering at least 47 countries in 18 major transboundary water basins</w:t>
            </w:r>
            <w:r w:rsidR="00B41147" w:rsidRPr="00E12F8E">
              <w:rPr>
                <w:rFonts w:ascii="Times New Roman" w:hAnsi="Times New Roman"/>
                <w:sz w:val="24"/>
                <w:szCs w:val="24"/>
              </w:rPr>
              <w:t xml:space="preserve">, helping establish fair and effective allocation of water resources and enhance the availability of safe water for communities. </w:t>
            </w:r>
          </w:p>
          <w:p w14:paraId="7817CEE6" w14:textId="0D961282" w:rsidR="00720677" w:rsidRPr="00E12F8E" w:rsidRDefault="009E2419" w:rsidP="00E12F8E">
            <w:pPr>
              <w:spacing w:before="120" w:after="120"/>
              <w:jc w:val="both"/>
              <w:rPr>
                <w:rFonts w:ascii="Times New Roman" w:hAnsi="Times New Roman"/>
                <w:sz w:val="24"/>
                <w:szCs w:val="24"/>
              </w:rPr>
            </w:pPr>
            <w:r w:rsidRPr="00E12F8E">
              <w:rPr>
                <w:rFonts w:ascii="Times New Roman" w:hAnsi="Times New Roman"/>
                <w:sz w:val="24"/>
                <w:szCs w:val="24"/>
              </w:rPr>
              <w:t>At the global level, the EU further support multilateralism with the UN at its core, notably through a contract with UN</w:t>
            </w:r>
            <w:r w:rsidR="00532B0F" w:rsidRPr="00E12F8E">
              <w:rPr>
                <w:rFonts w:ascii="Times New Roman" w:hAnsi="Times New Roman"/>
                <w:sz w:val="24"/>
                <w:szCs w:val="24"/>
              </w:rPr>
              <w:t>-Water</w:t>
            </w:r>
            <w:r w:rsidRPr="00E12F8E">
              <w:rPr>
                <w:rFonts w:ascii="Times New Roman" w:hAnsi="Times New Roman"/>
                <w:sz w:val="24"/>
                <w:szCs w:val="24"/>
              </w:rPr>
              <w:t xml:space="preserve"> to support the implementation of the outcome of the UN 2023 </w:t>
            </w:r>
            <w:r w:rsidR="00B41147" w:rsidRPr="00E12F8E">
              <w:rPr>
                <w:rFonts w:ascii="Times New Roman" w:hAnsi="Times New Roman"/>
                <w:sz w:val="24"/>
                <w:szCs w:val="24"/>
              </w:rPr>
              <w:t>W</w:t>
            </w:r>
            <w:r w:rsidRPr="00E12F8E">
              <w:rPr>
                <w:rFonts w:ascii="Times New Roman" w:hAnsi="Times New Roman"/>
                <w:sz w:val="24"/>
                <w:szCs w:val="24"/>
              </w:rPr>
              <w:t xml:space="preserve">ater </w:t>
            </w:r>
            <w:r w:rsidR="00B41147" w:rsidRPr="00E12F8E">
              <w:rPr>
                <w:rFonts w:ascii="Times New Roman" w:hAnsi="Times New Roman"/>
                <w:sz w:val="24"/>
                <w:szCs w:val="24"/>
              </w:rPr>
              <w:t>C</w:t>
            </w:r>
            <w:r w:rsidRPr="00E12F8E">
              <w:rPr>
                <w:rFonts w:ascii="Times New Roman" w:hAnsi="Times New Roman"/>
                <w:sz w:val="24"/>
                <w:szCs w:val="24"/>
              </w:rPr>
              <w:t>onference (</w:t>
            </w:r>
            <w:r w:rsidR="003C177B" w:rsidRPr="00E12F8E">
              <w:rPr>
                <w:rFonts w:ascii="Times New Roman" w:hAnsi="Times New Roman"/>
                <w:sz w:val="24"/>
                <w:szCs w:val="24"/>
              </w:rPr>
              <w:t xml:space="preserve">EUR 5 million </w:t>
            </w:r>
            <w:r w:rsidRPr="00E12F8E">
              <w:rPr>
                <w:rFonts w:ascii="Times New Roman" w:hAnsi="Times New Roman"/>
                <w:sz w:val="24"/>
                <w:szCs w:val="24"/>
              </w:rPr>
              <w:t>from 2023), to accelerate progress on water-related Sustainable Development Goals</w:t>
            </w:r>
            <w:r w:rsidR="00D90B8B" w:rsidRPr="00E12F8E">
              <w:rPr>
                <w:rFonts w:ascii="Times New Roman" w:hAnsi="Times New Roman"/>
                <w:sz w:val="24"/>
                <w:szCs w:val="24"/>
              </w:rPr>
              <w:t>. T</w:t>
            </w:r>
            <w:r w:rsidRPr="00E12F8E">
              <w:rPr>
                <w:rFonts w:ascii="Times New Roman" w:hAnsi="Times New Roman"/>
                <w:sz w:val="24"/>
                <w:szCs w:val="24"/>
              </w:rPr>
              <w:t xml:space="preserve">he EU further supports WASH advocacy and country coordination with Finance </w:t>
            </w:r>
            <w:r w:rsidR="00D90B8B" w:rsidRPr="00E12F8E">
              <w:rPr>
                <w:rFonts w:ascii="Times New Roman" w:hAnsi="Times New Roman"/>
                <w:sz w:val="24"/>
                <w:szCs w:val="24"/>
              </w:rPr>
              <w:t>M</w:t>
            </w:r>
            <w:r w:rsidRPr="00E12F8E">
              <w:rPr>
                <w:rFonts w:ascii="Times New Roman" w:hAnsi="Times New Roman"/>
                <w:sz w:val="24"/>
                <w:szCs w:val="24"/>
              </w:rPr>
              <w:t xml:space="preserve">inister and Presidential </w:t>
            </w:r>
            <w:r w:rsidR="00D90B8B" w:rsidRPr="00E12F8E">
              <w:rPr>
                <w:rFonts w:ascii="Times New Roman" w:hAnsi="Times New Roman"/>
                <w:sz w:val="24"/>
                <w:szCs w:val="24"/>
              </w:rPr>
              <w:t>C</w:t>
            </w:r>
            <w:r w:rsidRPr="00E12F8E">
              <w:rPr>
                <w:rFonts w:ascii="Times New Roman" w:hAnsi="Times New Roman"/>
                <w:sz w:val="24"/>
                <w:szCs w:val="24"/>
              </w:rPr>
              <w:t>ompacts through UNICEF and Sanitation and Water for all (</w:t>
            </w:r>
            <w:r w:rsidR="003C177B" w:rsidRPr="00E12F8E">
              <w:rPr>
                <w:rFonts w:ascii="Times New Roman" w:hAnsi="Times New Roman"/>
                <w:sz w:val="24"/>
                <w:szCs w:val="24"/>
              </w:rPr>
              <w:t xml:space="preserve">EUR </w:t>
            </w:r>
            <w:r w:rsidRPr="00E12F8E">
              <w:rPr>
                <w:rFonts w:ascii="Times New Roman" w:hAnsi="Times New Roman"/>
                <w:sz w:val="24"/>
                <w:szCs w:val="24"/>
              </w:rPr>
              <w:t xml:space="preserve">4.4 </w:t>
            </w:r>
            <w:r w:rsidR="003C177B" w:rsidRPr="00E12F8E">
              <w:rPr>
                <w:rFonts w:ascii="Times New Roman" w:hAnsi="Times New Roman"/>
                <w:sz w:val="24"/>
                <w:szCs w:val="24"/>
              </w:rPr>
              <w:t>million</w:t>
            </w:r>
            <w:r w:rsidRPr="00E12F8E">
              <w:rPr>
                <w:rFonts w:ascii="Times New Roman" w:hAnsi="Times New Roman"/>
                <w:sz w:val="24"/>
                <w:szCs w:val="24"/>
              </w:rPr>
              <w:t xml:space="preserve"> from 2023).</w:t>
            </w:r>
          </w:p>
          <w:p w14:paraId="30D14481" w14:textId="34B3FDAF" w:rsidR="0049246C" w:rsidRPr="00E12F8E" w:rsidRDefault="00104B29" w:rsidP="00E12F8E">
            <w:pPr>
              <w:spacing w:before="120" w:after="120"/>
              <w:jc w:val="both"/>
              <w:rPr>
                <w:rFonts w:ascii="Times New Roman" w:hAnsi="Times New Roman"/>
                <w:b/>
                <w:sz w:val="24"/>
                <w:szCs w:val="24"/>
              </w:rPr>
            </w:pPr>
            <w:r w:rsidRPr="00E12F8E">
              <w:rPr>
                <w:rFonts w:ascii="Times New Roman" w:hAnsi="Times New Roman"/>
                <w:sz w:val="24"/>
                <w:szCs w:val="24"/>
              </w:rPr>
              <w:t>In conclusion, the Commission considers that WASH is adequately addressed at present, including for vulnerable groups.</w:t>
            </w:r>
          </w:p>
        </w:tc>
      </w:tr>
    </w:tbl>
    <w:p w14:paraId="6AF07B14" w14:textId="26AEAB66" w:rsidR="004F6117" w:rsidRPr="009C4BDC" w:rsidRDefault="004F6117" w:rsidP="00E12F8E">
      <w:pPr>
        <w:spacing w:before="120" w:after="120"/>
        <w:jc w:val="both"/>
        <w:rPr>
          <w:rFonts w:ascii="Times New Roman" w:hAnsi="Times New Roman"/>
          <w:b/>
          <w:strike/>
          <w:sz w:val="2"/>
          <w:szCs w:val="2"/>
          <w:u w:val="single"/>
        </w:rPr>
      </w:pPr>
    </w:p>
    <w:sectPr w:rsidR="004F6117" w:rsidRPr="009C4B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BE46" w14:textId="77777777" w:rsidR="003E2E49" w:rsidRDefault="003E2E49" w:rsidP="00FF63EA">
      <w:pPr>
        <w:spacing w:after="0" w:line="240" w:lineRule="auto"/>
      </w:pPr>
      <w:r>
        <w:separator/>
      </w:r>
    </w:p>
  </w:endnote>
  <w:endnote w:type="continuationSeparator" w:id="0">
    <w:p w14:paraId="27641A34" w14:textId="77777777" w:rsidR="003E2E49" w:rsidRDefault="003E2E49"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3BED5" w14:textId="77777777" w:rsidR="003E2E49" w:rsidRDefault="003E2E49" w:rsidP="00FF63EA">
      <w:pPr>
        <w:spacing w:after="0" w:line="240" w:lineRule="auto"/>
      </w:pPr>
      <w:r>
        <w:separator/>
      </w:r>
    </w:p>
  </w:footnote>
  <w:footnote w:type="continuationSeparator" w:id="0">
    <w:p w14:paraId="153899DC" w14:textId="77777777" w:rsidR="003E2E49" w:rsidRDefault="003E2E49" w:rsidP="00FF6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DE088C8"/>
    <w:lvl w:ilvl="0">
      <w:numFmt w:val="decimal"/>
      <w:lvlText w:val="*"/>
      <w:lvlJc w:val="left"/>
    </w:lvl>
  </w:abstractNum>
  <w:abstractNum w:abstractNumId="1" w15:restartNumberingAfterBreak="0">
    <w:nsid w:val="0B0E40C1"/>
    <w:multiLevelType w:val="hybridMultilevel"/>
    <w:tmpl w:val="844CE53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4A7076"/>
    <w:multiLevelType w:val="hybridMultilevel"/>
    <w:tmpl w:val="98F80264"/>
    <w:lvl w:ilvl="0" w:tplc="18090001">
      <w:start w:val="1"/>
      <w:numFmt w:val="bullet"/>
      <w:lvlText w:val=""/>
      <w:lvlJc w:val="left"/>
      <w:pPr>
        <w:ind w:left="360" w:hanging="360"/>
      </w:pPr>
      <w:rPr>
        <w:rFonts w:ascii="Symbol" w:hAnsi="Symbol" w:hint="default"/>
      </w:rPr>
    </w:lvl>
    <w:lvl w:ilvl="1" w:tplc="390C125E">
      <w:start w:val="1"/>
      <w:numFmt w:val="bullet"/>
      <w:lvlText w:val="o"/>
      <w:lvlJc w:val="left"/>
      <w:pPr>
        <w:ind w:left="1080" w:hanging="360"/>
      </w:pPr>
      <w:rPr>
        <w:rFonts w:ascii="Courier New" w:hAnsi="Courier New" w:cs="Courier New" w:hint="default"/>
        <w:lang w:val="en-GB"/>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E153A6F"/>
    <w:multiLevelType w:val="hybridMultilevel"/>
    <w:tmpl w:val="CB561B9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25E167EB"/>
    <w:multiLevelType w:val="multilevel"/>
    <w:tmpl w:val="E32A52F6"/>
    <w:lvl w:ilvl="0">
      <w:start w:val="4"/>
      <w:numFmt w:val="decimal"/>
      <w:lvlText w:val="%1."/>
      <w:lvlJc w:val="left"/>
      <w:pPr>
        <w:ind w:left="450" w:hanging="450"/>
      </w:pPr>
      <w:rPr>
        <w:rFonts w:hint="default"/>
        <w:sz w:val="32"/>
        <w:szCs w:val="32"/>
      </w:rPr>
    </w:lvl>
    <w:lvl w:ilvl="1">
      <w:start w:val="3"/>
      <w:numFmt w:val="decimal"/>
      <w:lvlText w:val="%1.%2."/>
      <w:lvlJc w:val="left"/>
      <w:pPr>
        <w:ind w:left="1080" w:hanging="720"/>
      </w:pPr>
      <w:rPr>
        <w:rFonts w:hint="default"/>
      </w:rPr>
    </w:lvl>
    <w:lvl w:ilvl="2">
      <w:start w:val="1"/>
      <w:numFmt w:val="decimal"/>
      <w:pStyle w:val="Heading3"/>
      <w:lvlText w:val="%1.%2.%3."/>
      <w:lvlJc w:val="left"/>
      <w:pPr>
        <w:ind w:left="1440" w:hanging="720"/>
      </w:pPr>
      <w:rPr>
        <w:rFonts w:hint="default"/>
        <w:b/>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E2570FF"/>
    <w:multiLevelType w:val="multilevel"/>
    <w:tmpl w:val="F432BAE4"/>
    <w:lvl w:ilvl="0">
      <w:start w:val="1"/>
      <w:numFmt w:val="decimal"/>
      <w:lvlText w:val="%1."/>
      <w:lvlJc w:val="left"/>
      <w:pPr>
        <w:ind w:left="450" w:hanging="450"/>
      </w:pPr>
      <w:rPr>
        <w:rFonts w:hint="default"/>
        <w:sz w:val="2"/>
        <w:szCs w:val="2"/>
      </w:rPr>
    </w:lvl>
    <w:lvl w:ilvl="1">
      <w:start w:val="1"/>
      <w:numFmt w:val="decimal"/>
      <w:pStyle w:val="Heading2"/>
      <w:lvlText w:val="%1.%2."/>
      <w:lvlJc w:val="left"/>
      <w:pPr>
        <w:ind w:left="720" w:hanging="720"/>
      </w:pPr>
      <w:rPr>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D06850"/>
    <w:multiLevelType w:val="hybridMultilevel"/>
    <w:tmpl w:val="26D878D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E2F2FC7"/>
    <w:multiLevelType w:val="hybridMultilevel"/>
    <w:tmpl w:val="DBF25CDA"/>
    <w:lvl w:ilvl="0" w:tplc="FFFFFFFF">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69121384">
    <w:abstractNumId w:val="3"/>
  </w:num>
  <w:num w:numId="2" w16cid:durableId="164634956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16cid:durableId="1560435052">
    <w:abstractNumId w:val="2"/>
  </w:num>
  <w:num w:numId="4" w16cid:durableId="2134446163">
    <w:abstractNumId w:val="1"/>
  </w:num>
  <w:num w:numId="5" w16cid:durableId="1323050096">
    <w:abstractNumId w:val="6"/>
  </w:num>
  <w:num w:numId="6" w16cid:durableId="478495353">
    <w:abstractNumId w:val="5"/>
  </w:num>
  <w:num w:numId="7" w16cid:durableId="1491479287">
    <w:abstractNumId w:val="5"/>
    <w:lvlOverride w:ilvl="0">
      <w:startOverride w:val="2"/>
    </w:lvlOverride>
    <w:lvlOverride w:ilvl="1">
      <w:startOverride w:val="1"/>
    </w:lvlOverride>
  </w:num>
  <w:num w:numId="8" w16cid:durableId="426771720">
    <w:abstractNumId w:val="4"/>
  </w:num>
  <w:num w:numId="9" w16cid:durableId="2055693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2A37"/>
    <w:rsid w:val="00046B15"/>
    <w:rsid w:val="00047E19"/>
    <w:rsid w:val="00050DC7"/>
    <w:rsid w:val="00076109"/>
    <w:rsid w:val="00077C4F"/>
    <w:rsid w:val="000B107E"/>
    <w:rsid w:val="000F5FD8"/>
    <w:rsid w:val="00104B29"/>
    <w:rsid w:val="00111642"/>
    <w:rsid w:val="00111664"/>
    <w:rsid w:val="001167C0"/>
    <w:rsid w:val="00127F86"/>
    <w:rsid w:val="00135C2A"/>
    <w:rsid w:val="00160A74"/>
    <w:rsid w:val="00165DCA"/>
    <w:rsid w:val="00177C57"/>
    <w:rsid w:val="001B0E0B"/>
    <w:rsid w:val="001C4138"/>
    <w:rsid w:val="001F2EC6"/>
    <w:rsid w:val="001F6539"/>
    <w:rsid w:val="001F65D0"/>
    <w:rsid w:val="00217E59"/>
    <w:rsid w:val="0022554A"/>
    <w:rsid w:val="00232750"/>
    <w:rsid w:val="00232AC2"/>
    <w:rsid w:val="0024219B"/>
    <w:rsid w:val="00266306"/>
    <w:rsid w:val="002673C4"/>
    <w:rsid w:val="002723C1"/>
    <w:rsid w:val="00275DFA"/>
    <w:rsid w:val="00292762"/>
    <w:rsid w:val="002D5742"/>
    <w:rsid w:val="002F03FA"/>
    <w:rsid w:val="003004D2"/>
    <w:rsid w:val="00303E0D"/>
    <w:rsid w:val="00327943"/>
    <w:rsid w:val="003335A4"/>
    <w:rsid w:val="003349A3"/>
    <w:rsid w:val="003469E1"/>
    <w:rsid w:val="00354457"/>
    <w:rsid w:val="00377967"/>
    <w:rsid w:val="00386143"/>
    <w:rsid w:val="003A5B85"/>
    <w:rsid w:val="003B58DC"/>
    <w:rsid w:val="003C177B"/>
    <w:rsid w:val="003C442B"/>
    <w:rsid w:val="003D396A"/>
    <w:rsid w:val="003E2E49"/>
    <w:rsid w:val="003E584D"/>
    <w:rsid w:val="003F686E"/>
    <w:rsid w:val="00442552"/>
    <w:rsid w:val="00455A1C"/>
    <w:rsid w:val="004675B5"/>
    <w:rsid w:val="004770D6"/>
    <w:rsid w:val="0049246C"/>
    <w:rsid w:val="004C66E3"/>
    <w:rsid w:val="004F6117"/>
    <w:rsid w:val="004F63F1"/>
    <w:rsid w:val="004F651E"/>
    <w:rsid w:val="0052596B"/>
    <w:rsid w:val="00532B0F"/>
    <w:rsid w:val="00554D8D"/>
    <w:rsid w:val="00573835"/>
    <w:rsid w:val="00581306"/>
    <w:rsid w:val="00586EB8"/>
    <w:rsid w:val="0059380B"/>
    <w:rsid w:val="005C3105"/>
    <w:rsid w:val="005C5EB6"/>
    <w:rsid w:val="005E1131"/>
    <w:rsid w:val="00625AD5"/>
    <w:rsid w:val="0063493F"/>
    <w:rsid w:val="0064681C"/>
    <w:rsid w:val="00692C2F"/>
    <w:rsid w:val="00695797"/>
    <w:rsid w:val="00696A5E"/>
    <w:rsid w:val="006A6A60"/>
    <w:rsid w:val="006B3B69"/>
    <w:rsid w:val="006B4F13"/>
    <w:rsid w:val="006B6BF9"/>
    <w:rsid w:val="006F72E0"/>
    <w:rsid w:val="00720677"/>
    <w:rsid w:val="00734613"/>
    <w:rsid w:val="00751910"/>
    <w:rsid w:val="00751E60"/>
    <w:rsid w:val="007547B5"/>
    <w:rsid w:val="00795A9E"/>
    <w:rsid w:val="007A606D"/>
    <w:rsid w:val="007C2214"/>
    <w:rsid w:val="007D1591"/>
    <w:rsid w:val="00803CC1"/>
    <w:rsid w:val="00807B48"/>
    <w:rsid w:val="008135CA"/>
    <w:rsid w:val="0081584F"/>
    <w:rsid w:val="00822C64"/>
    <w:rsid w:val="008420B7"/>
    <w:rsid w:val="008703BF"/>
    <w:rsid w:val="00875C26"/>
    <w:rsid w:val="008925CE"/>
    <w:rsid w:val="008A0788"/>
    <w:rsid w:val="008A5A08"/>
    <w:rsid w:val="008A7231"/>
    <w:rsid w:val="008B2641"/>
    <w:rsid w:val="008C4D41"/>
    <w:rsid w:val="008E06CC"/>
    <w:rsid w:val="00962D84"/>
    <w:rsid w:val="009770E4"/>
    <w:rsid w:val="00981F45"/>
    <w:rsid w:val="00994D12"/>
    <w:rsid w:val="009B128B"/>
    <w:rsid w:val="009C4BDC"/>
    <w:rsid w:val="009E2419"/>
    <w:rsid w:val="00A1312E"/>
    <w:rsid w:val="00A16F07"/>
    <w:rsid w:val="00A440EF"/>
    <w:rsid w:val="00A5598C"/>
    <w:rsid w:val="00A62C7B"/>
    <w:rsid w:val="00A7709A"/>
    <w:rsid w:val="00AE1842"/>
    <w:rsid w:val="00AE3C7C"/>
    <w:rsid w:val="00AF7B81"/>
    <w:rsid w:val="00B16BE8"/>
    <w:rsid w:val="00B22A59"/>
    <w:rsid w:val="00B31306"/>
    <w:rsid w:val="00B41147"/>
    <w:rsid w:val="00B42478"/>
    <w:rsid w:val="00B42814"/>
    <w:rsid w:val="00B5426C"/>
    <w:rsid w:val="00B5669F"/>
    <w:rsid w:val="00B83936"/>
    <w:rsid w:val="00B9782B"/>
    <w:rsid w:val="00BD6EB7"/>
    <w:rsid w:val="00BF15DD"/>
    <w:rsid w:val="00BF1FA0"/>
    <w:rsid w:val="00C54D27"/>
    <w:rsid w:val="00C567BB"/>
    <w:rsid w:val="00C72DA7"/>
    <w:rsid w:val="00C76EEB"/>
    <w:rsid w:val="00C82DFB"/>
    <w:rsid w:val="00CD5153"/>
    <w:rsid w:val="00D01F5A"/>
    <w:rsid w:val="00D1716E"/>
    <w:rsid w:val="00D4133D"/>
    <w:rsid w:val="00D64E05"/>
    <w:rsid w:val="00D90B8B"/>
    <w:rsid w:val="00D92FD3"/>
    <w:rsid w:val="00D934E5"/>
    <w:rsid w:val="00DA3B6E"/>
    <w:rsid w:val="00DB7581"/>
    <w:rsid w:val="00DC70C1"/>
    <w:rsid w:val="00DE7ADE"/>
    <w:rsid w:val="00DF2FB1"/>
    <w:rsid w:val="00E03962"/>
    <w:rsid w:val="00E1054F"/>
    <w:rsid w:val="00E1201D"/>
    <w:rsid w:val="00E12F8E"/>
    <w:rsid w:val="00E326DE"/>
    <w:rsid w:val="00E41EB0"/>
    <w:rsid w:val="00E83C12"/>
    <w:rsid w:val="00E904C8"/>
    <w:rsid w:val="00EA1945"/>
    <w:rsid w:val="00EA1BBF"/>
    <w:rsid w:val="00EB29A9"/>
    <w:rsid w:val="00EB77D2"/>
    <w:rsid w:val="00EF104C"/>
    <w:rsid w:val="00F316C8"/>
    <w:rsid w:val="00F61F70"/>
    <w:rsid w:val="00F632DE"/>
    <w:rsid w:val="00F728DD"/>
    <w:rsid w:val="00F735E4"/>
    <w:rsid w:val="00F82D4C"/>
    <w:rsid w:val="00F9357E"/>
    <w:rsid w:val="00FB7834"/>
    <w:rsid w:val="00FC5BB8"/>
    <w:rsid w:val="00FD1D20"/>
    <w:rsid w:val="00FD4B6A"/>
    <w:rsid w:val="00FF03A8"/>
    <w:rsid w:val="00FF2340"/>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2">
    <w:name w:val="heading 2"/>
    <w:basedOn w:val="Normal"/>
    <w:link w:val="Heading2Char"/>
    <w:uiPriority w:val="9"/>
    <w:qFormat/>
    <w:rsid w:val="00720677"/>
    <w:pPr>
      <w:numPr>
        <w:ilvl w:val="1"/>
        <w:numId w:val="6"/>
      </w:numPr>
      <w:spacing w:after="0" w:line="240" w:lineRule="auto"/>
      <w:jc w:val="both"/>
      <w:outlineLvl w:val="1"/>
    </w:pPr>
    <w:rPr>
      <w:rFonts w:ascii="Times New Roman" w:eastAsia="Times New Roman" w:hAnsi="Times New Roman"/>
      <w:bCs/>
      <w:sz w:val="28"/>
      <w:szCs w:val="28"/>
      <w:u w:val="single"/>
      <w:lang w:val="en-IE" w:eastAsia="en-IE"/>
    </w:rPr>
  </w:style>
  <w:style w:type="paragraph" w:styleId="Heading3">
    <w:name w:val="heading 3"/>
    <w:basedOn w:val="Normal"/>
    <w:next w:val="Normal"/>
    <w:link w:val="Heading3Char"/>
    <w:uiPriority w:val="9"/>
    <w:unhideWhenUsed/>
    <w:qFormat/>
    <w:rsid w:val="00720677"/>
    <w:pPr>
      <w:keepNext/>
      <w:keepLines/>
      <w:numPr>
        <w:ilvl w:val="2"/>
        <w:numId w:val="8"/>
      </w:numPr>
      <w:spacing w:after="0" w:line="240" w:lineRule="auto"/>
      <w:jc w:val="both"/>
      <w:outlineLvl w:val="2"/>
    </w:pPr>
    <w:rPr>
      <w:rFonts w:ascii="Times New Roman" w:eastAsia="Yu Gothic Light" w:hAnsi="Times New Roman"/>
      <w:b/>
      <w:kern w:val="2"/>
      <w:sz w:val="24"/>
      <w:szCs w:val="24"/>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20677"/>
    <w:rPr>
      <w:rFonts w:ascii="Times New Roman" w:eastAsia="Times New Roman" w:hAnsi="Times New Roman"/>
      <w:bCs/>
      <w:sz w:val="28"/>
      <w:szCs w:val="28"/>
      <w:u w:val="single"/>
      <w:lang w:val="en-IE" w:eastAsia="en-IE"/>
    </w:rPr>
  </w:style>
  <w:style w:type="character" w:customStyle="1" w:styleId="Heading3Char">
    <w:name w:val="Heading 3 Char"/>
    <w:link w:val="Heading3"/>
    <w:uiPriority w:val="9"/>
    <w:rsid w:val="00720677"/>
    <w:rPr>
      <w:rFonts w:ascii="Times New Roman" w:eastAsia="Yu Gothic Light" w:hAnsi="Times New Roman"/>
      <w:b/>
      <w:kern w:val="2"/>
      <w:sz w:val="24"/>
      <w:szCs w:val="24"/>
      <w:lang w:val="en-IE" w:eastAsia="en-US"/>
    </w:rPr>
  </w:style>
  <w:style w:type="paragraph" w:styleId="ListParagraph">
    <w:name w:val="List Paragraph"/>
    <w:aliases w:val="List Paragraph1,Recommendation,List Paragraph11,L,CV text,Table text,F5 List Paragraph,Dot pt,Bullet point,Colorful List - Accent 11,No Spacing1,List Paragraph Char Char Char,Indicator Text,Numbered Para 1,Bullet 1,Bullet Points,OBC Bulle"/>
    <w:basedOn w:val="Normal"/>
    <w:link w:val="ListParagraphChar"/>
    <w:uiPriority w:val="34"/>
    <w:qFormat/>
    <w:rsid w:val="00720677"/>
    <w:pPr>
      <w:spacing w:after="160" w:line="259" w:lineRule="auto"/>
      <w:ind w:left="720"/>
      <w:contextualSpacing/>
    </w:pPr>
    <w:rPr>
      <w:rFonts w:ascii="Times New Roman" w:hAnsi="Times New Roman" w:cs="Arial"/>
      <w:kern w:val="2"/>
      <w:lang w:val="en-IE"/>
    </w:rPr>
  </w:style>
  <w:style w:type="character" w:customStyle="1" w:styleId="ListParagraphChar">
    <w:name w:val="List Paragraph Char"/>
    <w:aliases w:val="List Paragraph1 Char,Recommendation Char,List Paragraph11 Char,L Char,CV text Char,Table text Char,F5 List Paragraph Char,Dot pt Char,Bullet point Char,Colorful List - Accent 11 Char,No Spacing1 Char,Indicator Text Char,Bullet 1 Char"/>
    <w:link w:val="ListParagraph"/>
    <w:uiPriority w:val="34"/>
    <w:qFormat/>
    <w:locked/>
    <w:rsid w:val="00720677"/>
    <w:rPr>
      <w:rFonts w:ascii="Times New Roman" w:hAnsi="Times New Roman" w:cs="Arial"/>
      <w:kern w:val="2"/>
      <w:sz w:val="22"/>
      <w:szCs w:val="22"/>
      <w:lang w:val="en-IE" w:eastAsia="en-US"/>
    </w:rPr>
  </w:style>
  <w:style w:type="paragraph" w:styleId="Revision">
    <w:name w:val="Revision"/>
    <w:hidden/>
    <w:uiPriority w:val="99"/>
    <w:semiHidden/>
    <w:rsid w:val="00CD5153"/>
    <w:rPr>
      <w:sz w:val="22"/>
      <w:szCs w:val="22"/>
      <w:lang w:val="en-GB" w:eastAsia="en-US"/>
    </w:rPr>
  </w:style>
  <w:style w:type="character" w:styleId="CommentReference">
    <w:name w:val="annotation reference"/>
    <w:uiPriority w:val="99"/>
    <w:semiHidden/>
    <w:unhideWhenUsed/>
    <w:rsid w:val="00CD5153"/>
    <w:rPr>
      <w:sz w:val="16"/>
      <w:szCs w:val="16"/>
    </w:rPr>
  </w:style>
  <w:style w:type="paragraph" w:styleId="CommentText">
    <w:name w:val="annotation text"/>
    <w:basedOn w:val="Normal"/>
    <w:link w:val="CommentTextChar"/>
    <w:uiPriority w:val="99"/>
    <w:unhideWhenUsed/>
    <w:rsid w:val="00CD5153"/>
    <w:rPr>
      <w:sz w:val="20"/>
      <w:szCs w:val="20"/>
    </w:rPr>
  </w:style>
  <w:style w:type="character" w:customStyle="1" w:styleId="CommentTextChar">
    <w:name w:val="Comment Text Char"/>
    <w:link w:val="CommentText"/>
    <w:uiPriority w:val="99"/>
    <w:rsid w:val="00CD5153"/>
    <w:rPr>
      <w:lang w:eastAsia="en-US"/>
    </w:rPr>
  </w:style>
  <w:style w:type="paragraph" w:styleId="CommentSubject">
    <w:name w:val="annotation subject"/>
    <w:basedOn w:val="CommentText"/>
    <w:next w:val="CommentText"/>
    <w:link w:val="CommentSubjectChar"/>
    <w:uiPriority w:val="99"/>
    <w:semiHidden/>
    <w:unhideWhenUsed/>
    <w:rsid w:val="00CD5153"/>
    <w:rPr>
      <w:b/>
      <w:bCs/>
    </w:rPr>
  </w:style>
  <w:style w:type="character" w:customStyle="1" w:styleId="CommentSubjectChar">
    <w:name w:val="Comment Subject Char"/>
    <w:link w:val="CommentSubject"/>
    <w:uiPriority w:val="99"/>
    <w:semiHidden/>
    <w:rsid w:val="00CD51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61566">
      <w:bodyDiv w:val="1"/>
      <w:marLeft w:val="0"/>
      <w:marRight w:val="0"/>
      <w:marTop w:val="0"/>
      <w:marBottom w:val="0"/>
      <w:divBdr>
        <w:top w:val="none" w:sz="0" w:space="0" w:color="auto"/>
        <w:left w:val="none" w:sz="0" w:space="0" w:color="auto"/>
        <w:bottom w:val="none" w:sz="0" w:space="0" w:color="auto"/>
        <w:right w:val="none" w:sz="0" w:space="0" w:color="auto"/>
      </w:divBdr>
    </w:div>
    <w:div w:id="83761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3C5B-C4DD-4243-89CA-337E0D08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929</Words>
  <Characters>5309</Characters>
  <Application>Microsoft Office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4</cp:revision>
  <cp:lastPrinted>2013-02-27T18:02:00Z</cp:lastPrinted>
  <dcterms:created xsi:type="dcterms:W3CDTF">2025-12-19T11:05:00Z</dcterms:created>
  <dcterms:modified xsi:type="dcterms:W3CDTF">2025-12-19T11:08:00Z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ies>
</file>