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09AD18F1">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37736" w:rsidRDefault="00737736" w14:paraId="54E25D69" w14:textId="77777777">
                      <w:pPr>
                        <w:jc w:val="center"/>
                        <w:rPr>
                          <w:b/>
                          <w:bCs/>
                          <w:sz w:val="48"/>
                          <w:rFonts w:ascii="Arial" w:hAnsi="Arial" w:cs="Arial"/>
                        </w:rPr>
                      </w:pPr>
                      <w:r>
                        <w:rPr>
                          <w:b/>
                          <w:sz w:val="48"/>
                          <w:rFonts w:ascii="Arial" w:hAnsi="Arial"/>
                        </w:rPr>
                        <w:t xml:space="preserve">SV</w:t>
                      </w:r>
                    </w:p>
                  </w:txbxContent>
                </v:textbox>
                <w10:wrap anchorx="page" anchory="page"/>
              </v:shape>
            </w:pict>
          </mc:Fallback>
        </mc:AlternateContent>
      </w:r>
    </w:p>
    <w:p w14:paraId="6B9CE980" w14:textId="7CAD7C83" w:rsidR="00333CCD" w:rsidRDefault="56C07819" w:rsidP="00737736">
      <w:pPr>
        <w:spacing w:after="0" w:line="288" w:lineRule="auto"/>
        <w:rPr>
          <w:rFonts w:asciiTheme="majorHAnsi" w:hAnsiTheme="majorHAnsi" w:cstheme="majorBidi"/>
          <w:b/>
          <w:bCs/>
          <w:sz w:val="24"/>
          <w:szCs w:val="24"/>
        </w:rPr>
      </w:pPr>
      <w:r>
        <w:rPr>
          <w:rFonts w:asciiTheme="majorHAnsi" w:hAnsiTheme="majorHAnsi"/>
          <w:b/>
          <w:sz w:val="24"/>
        </w:rPr>
        <w:t>Ditt Europa, din mening! 2026 – konceptdokument</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13F6D70B" w:rsidR="001A4A3E" w:rsidRDefault="56C07819" w:rsidP="00737736">
      <w:pPr>
        <w:spacing w:after="0" w:line="288" w:lineRule="auto"/>
        <w:jc w:val="both"/>
        <w:rPr>
          <w:rFonts w:asciiTheme="majorHAnsi" w:hAnsiTheme="majorHAnsi" w:cstheme="majorBidi"/>
        </w:rPr>
      </w:pPr>
      <w:r>
        <w:rPr>
          <w:rFonts w:asciiTheme="majorHAnsi" w:hAnsiTheme="majorHAnsi"/>
        </w:rPr>
        <w:t>Varje vår blir Bryssel en mötesplats för ungdomar från hela Europa. Sedan 2010 har Europeiska ekonomiska och sociala kommittén (EESK) öppnat sina dörrar för ungdomar från EU:s medlemsstater, kandidatländerna och Förenade kungariket och bjudit in dem till den europeiska dialogens medelpunkt.</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 xml:space="preserve">Evenemanget Ditt Europa, din mening är mer än en sammankomst – det är ett levande laboratorium för deltagandedemokrati, en plats där idéer inte bara utbyts utan också omsätts i rekommendationer som gör avtryck i </w:t>
      </w:r>
      <w:proofErr w:type="spellStart"/>
      <w:r>
        <w:rPr>
          <w:rFonts w:asciiTheme="majorHAnsi" w:hAnsiTheme="majorHAnsi"/>
        </w:rPr>
        <w:t>EESK:s</w:t>
      </w:r>
      <w:proofErr w:type="spellEnd"/>
      <w:r>
        <w:rPr>
          <w:rFonts w:asciiTheme="majorHAnsi" w:hAnsiTheme="majorHAnsi"/>
        </w:rPr>
        <w:t xml:space="preserve"> rådgivande och politiska arbete.</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Under 2026 kommer Ditt Europa, din mening att ha 137 deltagare – gymnasieelever, medföljande lärare och unga vuxna med anknytning till ungdomsorganisationer. De väljs alla ut på grundval av motivation, mångfald och samhällsengagemang.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 xml:space="preserve">Evenemanget anordnas under två dagar – den 19–20 mars – uteslutande på engelska, i </w:t>
      </w:r>
      <w:proofErr w:type="spellStart"/>
      <w:r>
        <w:rPr>
          <w:rFonts w:asciiTheme="majorHAnsi" w:hAnsiTheme="majorHAnsi"/>
        </w:rPr>
        <w:t>EESK:s</w:t>
      </w:r>
      <w:proofErr w:type="spellEnd"/>
      <w:r>
        <w:rPr>
          <w:rFonts w:asciiTheme="majorHAnsi" w:hAnsiTheme="majorHAnsi"/>
        </w:rPr>
        <w:t xml:space="preserve"> lokaler i Bryssel. Man kommer inte att kunna delta på distans. Genom den fysiska närvaron främjas personliga förbindelser och en konstruktiv energi.</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För många inleds färden mot deltagande i Ditt Europa, din mening med en öppen ansökningsomgång. Skolor i hela Europa samlar sina mest engagerade elever och unga ledare och uppmuntrar dem att motivera varför de vill delta i denna upplevelse. Även unga som är medlemmar i en ungdomsorganisation eller ett nationellt ungdomsråd eller är verksamma som volontärer uppmanas att beskriva sin motivation och skicka in en ansökan. Urvalet handlar inte om att bocka av punkter, utan om att hitta kandidater som inte bara har rätt ålder eller bakgrund, utan som också är motiverade och vill involvera sina lokalsamhällen. Processen är utformad för att vara rättvis och inkluderande och garantera lika möjligheter för studerande med funktionsnedsättning, kandidater i yrkesutbildning och studerande från Europas alla hörn.</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Ditt Europa, din mening är uppbyggt kring plenarsessioner och interaktiva workshoppar, men den verkliga magin uppstår i de samtal som äger rum däremellan. </w:t>
      </w:r>
      <w:r>
        <w:t xml:space="preserve">Moderatorerna använder sig av deltagandebaserat ledarskap och </w:t>
      </w:r>
      <w:hyperlink r:id="rId11">
        <w:r>
          <w:rPr>
            <w:rStyle w:val="Hyperlink"/>
            <w:rFonts w:asciiTheme="majorHAnsi" w:hAnsiTheme="majorHAnsi"/>
          </w:rPr>
          <w:t xml:space="preserve">”Art </w:t>
        </w:r>
        <w:proofErr w:type="spellStart"/>
        <w:r>
          <w:rPr>
            <w:rStyle w:val="Hyperlink"/>
            <w:rFonts w:asciiTheme="majorHAnsi" w:hAnsiTheme="majorHAnsi"/>
          </w:rPr>
          <w:t>of</w:t>
        </w:r>
        <w:proofErr w:type="spellEnd"/>
        <w:r>
          <w:rPr>
            <w:rStyle w:val="Hyperlink"/>
            <w:rFonts w:asciiTheme="majorHAnsi" w:hAnsiTheme="majorHAnsi"/>
          </w:rPr>
          <w:t xml:space="preserve"> </w:t>
        </w:r>
        <w:proofErr w:type="spellStart"/>
        <w:r>
          <w:rPr>
            <w:rStyle w:val="Hyperlink"/>
            <w:rFonts w:asciiTheme="majorHAnsi" w:hAnsiTheme="majorHAnsi"/>
          </w:rPr>
          <w:t>Hosting</w:t>
        </w:r>
        <w:proofErr w:type="spellEnd"/>
        <w:r>
          <w:rPr>
            <w:rStyle w:val="Hyperlink"/>
            <w:rFonts w:asciiTheme="majorHAnsi" w:hAnsiTheme="majorHAnsi"/>
          </w:rPr>
          <w:t>”-metoder</w:t>
        </w:r>
      </w:hyperlink>
      <w:r>
        <w:t xml:space="preserve"> för att skapa miljöer där alla kan komma till tals.</w:t>
      </w:r>
      <w:r>
        <w:rPr>
          <w:rFonts w:asciiTheme="majorHAnsi" w:hAnsiTheme="majorHAnsi"/>
        </w:rPr>
        <w:t xml:space="preserve"> Detta är ett mycket effektivt sätt att utnyttja den kollektiva visdomen hos grupper och deras förmåga att organisera sig oavsett storlek. Utifrån antagandet att människor lägger sin energi och sina resurser på det som är viktigast för dem innehåller metoderna en blandning av robusta konversationsprocesser för att få deltagarna att ta itu med de utmaningar som de står inför.</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Den tematiska inriktningen för 2026 – som snart ska fastställas – kommer att struktureras utifrån följande hörnstenar, som förblir aktuella och tidlösa:</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Forma morgondagen &gt;</w:t>
      </w:r>
      <w:r>
        <w:rPr>
          <w:rFonts w:asciiTheme="majorHAnsi" w:hAnsiTheme="majorHAnsi"/>
        </w:rPr>
        <w:t xml:space="preserve"> Vilket slags Europa vill ungdomar leva i? Hur kan deras perspektiv forma politiken och samhället?</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lastRenderedPageBreak/>
        <w:t>Medborgarengagemang och deltagandedemokrati &gt;</w:t>
      </w:r>
      <w:r>
        <w:rPr>
          <w:rFonts w:asciiTheme="majorHAnsi" w:hAnsiTheme="majorHAnsi"/>
        </w:rPr>
        <w:t xml:space="preserve"> Vad innebär det att vara en aktiv medborgare? Hur kan unga påverka beslutsfattandet på alla nivåer?</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Digital omställning, AI och ungdomar &gt;</w:t>
      </w:r>
      <w:r>
        <w:rPr>
          <w:rFonts w:asciiTheme="majorHAnsi" w:hAnsiTheme="majorHAnsi"/>
        </w:rPr>
        <w:t xml:space="preserve"> Vilka möjligheter och utmaningar medför digitalt deltagande?</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Social sammanhållning och inkludering &gt;</w:t>
      </w:r>
      <w:r>
        <w:rPr>
          <w:rFonts w:asciiTheme="majorHAnsi" w:hAnsiTheme="majorHAnsi"/>
        </w:rPr>
        <w:t xml:space="preserve"> Hur hanterar vi polariseringen och ser till att alla får vara med i diskussionen?</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Klimatåtgärder och hållbarhet &gt;</w:t>
      </w:r>
      <w:r>
        <w:rPr>
          <w:rFonts w:asciiTheme="majorHAnsi" w:hAnsiTheme="majorHAnsi"/>
        </w:rPr>
        <w:t xml:space="preserve"> Vilken roll kan ungdomar spela när det gäller att driva förändringar på miljöområdet framåt?</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Psykisk hälsa och välbefinnande &gt;</w:t>
      </w:r>
      <w:r>
        <w:rPr>
          <w:rFonts w:asciiTheme="majorHAnsi" w:hAnsiTheme="majorHAnsi"/>
        </w:rPr>
        <w:t xml:space="preserve"> Hur stöder vi varandra på vägen mot medborgardeltagande?</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Deltagarna kommer att uppmuntras att fundera närmare på sina övertygelser, förväntningar och prioriteringar och på hur de kan bidra till att förverkliga dem. Workshopparna är utformade för att stimulera debatt, inspirera till nytt tänkande och uppmuntra deltagarna att tänka ut konkreta åtgärder för samarbete och förändring. Evenemanget kulminerar i en plenarsession där rekommendationer utarbetas, inte som abstrakta uttalanden, utan som genomförbara förslag som återspeglar förhoppningarna och prioriteringarna hos Europas ungdom.</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Uppföljning av Ditt Europa, din mening 202</w:t>
      </w:r>
      <w:bookmarkEnd w:id="0"/>
      <w:r>
        <w:rPr>
          <w:b/>
        </w:rPr>
        <w:t>6</w:t>
      </w:r>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Ditt Europa, din mening tar inte slut när den sista workshoppen avslutas. Uppföljningen är en del av evenemanget. Varje skola och deltagare åtar sig att efter hemkomsten dela med sig av sina erfarenheter från Ditt Europa, din mening genom presentationer, lokala evenemang eller sociala medier. Eleverna ska beskriva 1–3 konkreta åtgärder för att främja samhällsengagemang och EU-engagemang, som stöds av deras skolor och främjas av EESK. De unga vuxna uppmanas likaledes att undersöka hur evenemangets resultat kan spridas på bästa sätt. Dessa berättelser delas med hjälp av #YEYS2026, vilket skapar ett digitalt avtryck av ungdomsaktivism i hela Europa.</w:t>
      </w:r>
    </w:p>
    <w:p w14:paraId="30C5A598" w14:textId="160D49DC" w:rsidR="008949C5" w:rsidRPr="008949C5" w:rsidRDefault="0084182A"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hyperlink r:id="rId12">
        <w:proofErr w:type="spellStart"/>
        <w:r w:rsidR="2BF75223">
          <w:rPr>
            <w:rStyle w:val="Hyperlink"/>
            <w:rFonts w:asciiTheme="majorHAnsi" w:hAnsiTheme="majorHAnsi"/>
          </w:rPr>
          <w:t>EESK:s</w:t>
        </w:r>
        <w:proofErr w:type="spellEnd"/>
        <w:r w:rsidR="2BF75223">
          <w:rPr>
            <w:rStyle w:val="Hyperlink"/>
            <w:rFonts w:asciiTheme="majorHAnsi" w:hAnsiTheme="majorHAnsi"/>
          </w:rPr>
          <w:t xml:space="preserve"> ungdomsgrupp</w:t>
        </w:r>
      </w:hyperlink>
      <w:r w:rsidR="2BF75223">
        <w:t xml:space="preserve"> kommer att följa upp detta genom att dela med sig av rekommendationerna som ett potentiellt bidrag till </w:t>
      </w:r>
      <w:proofErr w:type="spellStart"/>
      <w:r w:rsidR="2BF75223">
        <w:t>EESK:s</w:t>
      </w:r>
      <w:proofErr w:type="spellEnd"/>
      <w:r w:rsidR="2BF75223">
        <w:t xml:space="preserve"> rådgivande och politiska arbete.</w:t>
      </w:r>
      <w:r w:rsidR="2BF75223">
        <w:rPr>
          <w:rFonts w:asciiTheme="majorHAnsi" w:hAnsiTheme="majorHAnsi"/>
        </w:rPr>
        <w:t xml:space="preserve"> Ungdomsgruppen kommer också i mån av möjlighet att ta upp rekommendationerna vid externa evenemang och titta på hur de kan bakas in i de utvalda yttranden som genomgår EU:s </w:t>
      </w:r>
      <w:proofErr w:type="spellStart"/>
      <w:r w:rsidR="2BF75223">
        <w:rPr>
          <w:rFonts w:asciiTheme="majorHAnsi" w:hAnsiTheme="majorHAnsi"/>
        </w:rPr>
        <w:t>ungdomstest</w:t>
      </w:r>
      <w:proofErr w:type="spellEnd"/>
      <w:r w:rsidR="2BF75223">
        <w:rPr>
          <w:rFonts w:asciiTheme="majorHAnsi" w:hAnsiTheme="majorHAnsi"/>
        </w:rPr>
        <w:t xml:space="preserve"> vid EESK.</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EESK ordnar resa och logi, vilket gör att deltagarna kan fokusera på upplevelsen snarare än på logistiken. Utbildningsmaterial tillhandahålls i förväg och EESK-ledamöter besöker utvalda skolor för att förbereda elever och lärare för resan.</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Ditt Europa, din mening 2026 är mer än ett evenemang – det är en chans att träffa likasinnade från hela kontinenten för att tillsammans lära sig, diskutera och drömma. Och viktigast av allt – det innebär ett åtagande att föra andan i Bryssel tillbaka till lokalsamhällena, omsätta idéer i handling och säkerställa att ungdomar fortsatt kommer till tals i EU:s beslutsfattande.</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84182A">
      <w:fldChar w:fldCharType="begin"/>
    </w:r>
    <w:r w:rsidR="0084182A">
      <w:instrText xml:space="preserve"> NUMPAGES </w:instrText>
    </w:r>
    <w:r w:rsidR="0084182A">
      <w:fldChar w:fldCharType="separate"/>
    </w:r>
    <w:r w:rsidR="00351DC6">
      <w:t>2</w:t>
    </w:r>
    <w:r w:rsidR="008418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E16AC"/>
    <w:rsid w:val="002F7294"/>
    <w:rsid w:val="00326F90"/>
    <w:rsid w:val="00333CCD"/>
    <w:rsid w:val="00351DC6"/>
    <w:rsid w:val="003A0918"/>
    <w:rsid w:val="003F37A8"/>
    <w:rsid w:val="004C4CD9"/>
    <w:rsid w:val="004D3A1D"/>
    <w:rsid w:val="00737736"/>
    <w:rsid w:val="007E4777"/>
    <w:rsid w:val="0084182A"/>
    <w:rsid w:val="008949C5"/>
    <w:rsid w:val="0099308A"/>
    <w:rsid w:val="00A32784"/>
    <w:rsid w:val="00A80AC3"/>
    <w:rsid w:val="00AA1D8D"/>
    <w:rsid w:val="00B47730"/>
    <w:rsid w:val="00CB0664"/>
    <w:rsid w:val="00CC2D24"/>
    <w:rsid w:val="00CE44BA"/>
    <w:rsid w:val="00DB5892"/>
    <w:rsid w:val="00E75B3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sv-SE"/>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sv-SE"/>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sv/sections-other-bodies/other/eesc-youth-group"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2.xml><?xml version="1.0" encoding="utf-8"?>
<ds:datastoreItem xmlns:ds="http://schemas.openxmlformats.org/officeDocument/2006/customXml" ds:itemID="{A9FFE8A8-6DFB-49A4-B6D1-5BFD99403C76}"/>
</file>

<file path=customXml/itemProps3.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4.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5.xml><?xml version="1.0" encoding="utf-8"?>
<ds:datastoreItem xmlns:ds="http://schemas.openxmlformats.org/officeDocument/2006/customXml" ds:itemID="{EA96E8B0-77D5-4F4B-8161-34E2F9AB9121}"/>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4904</Characters>
  <Application>Microsoft Office Word</Application>
  <DocSecurity>0</DocSecurity>
  <Lines>40</Lines>
  <Paragraphs>11</Paragraphs>
  <ScaleCrop>false</ScaleCrop>
  <Manager/>
  <Company/>
  <LinksUpToDate>false</LinksUpToDate>
  <CharactersWithSpaces>5753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Ditt Europa, din mening! 2026 - konceptdokument</dc:title>
  <dc:subject/>
  <dc:creator/>
  <cp:keywords/>
  <dc:description>generated by python-docx</dc:description>
  <cp:lastModifiedBy/>
  <cp:revision>8</cp:revision>
  <dcterms:created xsi:type="dcterms:W3CDTF">2025-11-07T11:11:00Z</dcterms:created>
  <dcterms:modified xsi:type="dcterms:W3CDTF">2025-11-14T13:28:00Z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af95788f-916b-4394-9e93-6459a239f49b</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HR|2f555653-ed1a-4fe6-8362-9082d95989e5;FR|d2afafd3-4c81-4f60-8f52-ee33f2f54ff3;FI|87606a43-d45f-42d6-b8c9-e1a3457db5b7;CS|72f9705b-0217-4fd3-bea2-cbc7ed80e26e;RO|feb747a2-64cd-4299-af12-4833ddc30497;SL|98a412ae-eb01-49e9-ae3d-585a81724cfc;EN|f2175f21-25d7-44a3-96da-d6a61b075e1b;NL|55c6556c-b4f4-441d-9acf-c498d4f838bd;ES|e7a6b05b-ae16-40c8-add9-68b64b03aeba;BG|1a1b3951-7821-4e6a-85f5-5673fc08bd2c;GA|762d2456-c427-4ecb-b312-af3dad8e258c;DA|5d49c027-8956-412b-aa16-e85a0f96ad0e;HU|6b229040-c589-4408-b4c1-4285663d20a8</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RO|feb747a2-64cd-4299-af12-4833ddc30497;#35;#FI|87606a43-d45f-42d6-b8c9-e1a3457db5b7;#34;#IT|0774613c-01ed-4e5d-a25d-11d2388de825;#33;#PT|50ccc04a-eadd-42ae-a0cb-acaf45f812ba;#13;#TRA|150d2a88-1431-44e6-a8ca-0bb753ab8672;#31;#SL|98a412ae-eb01-49e9-ae3d-585a81724cfc;#29;#CS|72f9705b-0217-4fd3-bea2-cbc7ed80e26e;#27;#NL|55c6556c-b4f4-441d-9acf-c498d4f838bd;#24;#PL|1e03da61-4678-4e07-b136-b5024ca9197b;#23;#DE|f6b31e5a-26fa-4935-b661-318e46daf27e;#43;#GA|762d2456-c427-4ecb-b312-af3dad8e258c;#16;#ES|e7a6b05b-ae16-40c8-add9-68b64b03aeba;#50;#HR|2f555653-ed1a-4fe6-8362-9082d95989e5;#12;#FR|d2afafd3-4c81-4f60-8f52-ee33f2f54ff3;#47;#BG|1a1b3951-7821-4e6a-85f5-5673fc08bd2c;#9;#INFO|d9136e7c-93a9-4c42-9d28-92b61e85f80c;#8;#Final|ea5e6674-7b27-4bac-b091-73adbb394efe;#6;#Internal|2451815e-8241-4bbf-a22e-1ab710712bf2;#5;#EN|f2175f21-25d7-44a3-96da-d6a61b075e1b;#40;#DA|5d49c027-8956-412b-aa16-e85a0f96ad0e;#1;#EESC|422833ec-8d7e-4e65-8e4e-8bed07ffb729;#37;#HU|6b229040-c589-4408-b4c1-4285663d20a8</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28;#SV|c2ed69e7-a339-43d7-8f22-d93680a92aa0</vt:lpwstr>
  </property>
  <property fmtid="{D5CDD505-2E9C-101B-9397-08002B2CF9AE}" pid="39" name="Order">
    <vt:r8>28300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