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E980" w14:textId="5C461777" w:rsidR="00333CCD" w:rsidRDefault="00737736" w:rsidP="00737736">
      <w:pPr>
        <w:spacing w:after="0" w:line="288" w:lineRule="auto"/>
        <w:rPr>
          <w:rFonts w:asciiTheme="majorHAnsi" w:hAnsiTheme="majorHAnsi" w:cstheme="majorBidi"/>
          <w:b/>
          <w:bCs/>
          <w:sz w:val="24"/>
          <w:szCs w:val="24"/>
        </w:rPr>
      </w:pPr>
      <w:r>
        <w:rPr>
          <w:rFonts w:asciiTheme="majorHAnsi" w:hAnsiTheme="majorHAnsi"/>
          <w:b/>
          <w:noProof/>
          <w:sz w:val="20"/>
        </w:rPr>
        <mc:AlternateContent>
          <mc:Choice Requires="wps">
            <w:drawing>
              <wp:anchor distT="0" distB="0" distL="114300" distR="114300" simplePos="0" relativeHeight="251659264" behindDoc="1" locked="0" layoutInCell="0" allowOverlap="1" wp14:anchorId="09AD18F1" wp14:editId="50A291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5D69" w14:textId="77777777" w:rsidR="00737736" w:rsidRPr="00260E65" w:rsidRDefault="00737736">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18F1"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54E25D69" w14:textId="77777777" w:rsidR="00737736" w:rsidRPr="00260E65" w:rsidRDefault="00737736">
                      <w:pPr>
                        <w:jc w:val="center"/>
                        <w:rPr>
                          <w:rFonts w:ascii="Arial" w:hAnsi="Arial" w:cs="Arial"/>
                          <w:b/>
                          <w:bCs/>
                          <w:sz w:val="48"/>
                        </w:rPr>
                      </w:pPr>
                      <w:r>
                        <w:rPr>
                          <w:rFonts w:ascii="Arial" w:hAnsi="Arial"/>
                          <w:b/>
                          <w:sz w:val="48"/>
                        </w:rPr>
                        <w:t>RO</w:t>
                      </w:r>
                    </w:p>
                  </w:txbxContent>
                </v:textbox>
                <w10:wrap anchorx="page" anchory="page"/>
              </v:shape>
            </w:pict>
          </mc:Fallback>
        </mc:AlternateContent>
      </w:r>
      <w:r w:rsidR="56C07819">
        <w:rPr>
          <w:rFonts w:asciiTheme="majorHAnsi" w:hAnsiTheme="majorHAnsi"/>
          <w:b/>
          <w:sz w:val="24"/>
        </w:rPr>
        <w:t>Europa ta, părerea ta! 2026 – document de reflecție</w:t>
      </w:r>
    </w:p>
    <w:p w14:paraId="02CAE187" w14:textId="77777777" w:rsidR="00737736" w:rsidRPr="008949C5" w:rsidRDefault="00737736" w:rsidP="00737736">
      <w:pPr>
        <w:spacing w:after="0" w:line="288" w:lineRule="auto"/>
        <w:rPr>
          <w:rFonts w:asciiTheme="majorHAnsi" w:hAnsiTheme="majorHAnsi" w:cstheme="majorBidi"/>
          <w:b/>
          <w:bCs/>
          <w:sz w:val="24"/>
          <w:szCs w:val="24"/>
        </w:rPr>
      </w:pPr>
    </w:p>
    <w:p w14:paraId="0AE05097" w14:textId="58CEC910" w:rsidR="001A4A3E" w:rsidRDefault="56C07819" w:rsidP="00737736">
      <w:pPr>
        <w:spacing w:after="0" w:line="288" w:lineRule="auto"/>
        <w:jc w:val="both"/>
        <w:rPr>
          <w:rFonts w:asciiTheme="majorHAnsi" w:hAnsiTheme="majorHAnsi" w:cstheme="majorBidi"/>
        </w:rPr>
      </w:pPr>
      <w:r>
        <w:rPr>
          <w:rFonts w:asciiTheme="majorHAnsi" w:hAnsiTheme="majorHAnsi"/>
        </w:rPr>
        <w:t>În fiecare primăvară, Bruxelles devine punctul de răscruce în care se întâlnesc vocile tinerilor. Începând din</w:t>
      </w:r>
      <w:r w:rsidR="0068202F">
        <w:rPr>
          <w:rFonts w:asciiTheme="majorHAnsi" w:hAnsiTheme="majorHAnsi"/>
        </w:rPr>
        <w:t> </w:t>
      </w:r>
      <w:r>
        <w:rPr>
          <w:rFonts w:asciiTheme="majorHAnsi" w:hAnsiTheme="majorHAnsi"/>
        </w:rPr>
        <w:t>2010, Comitetul Economic și Social European (CESE) și-a deschis porțile tinerilor din statele membre ale UE, din țările candidate și din Regatul Unit, invitându-i în forul central al dialogului european.</w:t>
      </w:r>
    </w:p>
    <w:p w14:paraId="494DF424" w14:textId="77777777" w:rsidR="00737736" w:rsidRDefault="00737736" w:rsidP="00737736">
      <w:pPr>
        <w:spacing w:after="0" w:line="288" w:lineRule="auto"/>
        <w:jc w:val="both"/>
        <w:rPr>
          <w:rFonts w:asciiTheme="majorHAnsi" w:hAnsiTheme="majorHAnsi" w:cstheme="majorBidi"/>
        </w:rPr>
      </w:pPr>
    </w:p>
    <w:p w14:paraId="7DB6CBFB" w14:textId="331BFAC3"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Manifestarea „Europa ta, părerea ta!” nu este doar un loc de întâlnire, ci un laborator viu al democrației participative, un loc unde ideile nu sunt doar împărtășite, ci transformate în recomandări care influențează activitatea consultativă și politică a CESE.</w:t>
      </w:r>
    </w:p>
    <w:p w14:paraId="0443544E" w14:textId="77777777" w:rsidR="001A4A3E" w:rsidRDefault="001A4A3E" w:rsidP="00737736">
      <w:pPr>
        <w:spacing w:after="0" w:line="288" w:lineRule="auto"/>
        <w:jc w:val="both"/>
        <w:rPr>
          <w:rFonts w:asciiTheme="majorHAnsi" w:hAnsiTheme="majorHAnsi" w:cstheme="majorBidi"/>
        </w:rPr>
      </w:pPr>
    </w:p>
    <w:p w14:paraId="7357C6A1" w14:textId="5178DDAF" w:rsidR="00A32784" w:rsidRDefault="56C07819" w:rsidP="00737736">
      <w:pPr>
        <w:spacing w:after="0" w:line="288" w:lineRule="auto"/>
        <w:jc w:val="both"/>
        <w:rPr>
          <w:rFonts w:asciiTheme="majorHAnsi" w:hAnsiTheme="majorHAnsi" w:cstheme="majorBidi"/>
        </w:rPr>
      </w:pPr>
      <w:r>
        <w:rPr>
          <w:rFonts w:asciiTheme="majorHAnsi" w:hAnsiTheme="majorHAnsi"/>
        </w:rPr>
        <w:t xml:space="preserve">În 2026, manifestarea va reuni 137 de participanți: elevi din învățământul secundar, profesori însoțitori și tineri adulți, precum și organizații de tineret, criteriile de selecție fiind: motivația, diversitatea și angajamentul civic. </w:t>
      </w:r>
    </w:p>
    <w:p w14:paraId="68BC5F62" w14:textId="559963DF" w:rsidR="00333CCD" w:rsidRDefault="56C07819" w:rsidP="00737736">
      <w:pPr>
        <w:spacing w:after="0" w:line="288" w:lineRule="auto"/>
        <w:jc w:val="both"/>
        <w:rPr>
          <w:rFonts w:asciiTheme="majorHAnsi" w:hAnsiTheme="majorHAnsi" w:cstheme="majorBidi"/>
        </w:rPr>
      </w:pPr>
      <w:r>
        <w:rPr>
          <w:rFonts w:asciiTheme="majorHAnsi" w:hAnsiTheme="majorHAnsi"/>
        </w:rPr>
        <w:t>Ea se va desfășura pe parcursul a două zile – 19 și 20 martie – în limba engleză, la sediul CESE din Bruxelles. Participarea online este rezervată dialogurilor restrânse, menite să consolideze legăturile interpersonale și colaborarea.</w:t>
      </w:r>
    </w:p>
    <w:p w14:paraId="6A496035" w14:textId="77777777" w:rsidR="00A32784" w:rsidRPr="004C4CD9" w:rsidRDefault="00A32784" w:rsidP="00737736">
      <w:pPr>
        <w:spacing w:after="0" w:line="288" w:lineRule="auto"/>
        <w:jc w:val="both"/>
        <w:rPr>
          <w:rFonts w:asciiTheme="majorHAnsi" w:hAnsiTheme="majorHAnsi" w:cstheme="majorBidi"/>
        </w:rPr>
      </w:pPr>
    </w:p>
    <w:p w14:paraId="1DA40E8A" w14:textId="3422C97A" w:rsidR="00333CCD" w:rsidRDefault="56C07819" w:rsidP="00737736">
      <w:pPr>
        <w:spacing w:after="0" w:line="288" w:lineRule="auto"/>
        <w:jc w:val="both"/>
        <w:rPr>
          <w:rFonts w:asciiTheme="majorHAnsi" w:hAnsiTheme="majorHAnsi" w:cstheme="majorBidi"/>
        </w:rPr>
      </w:pPr>
      <w:r>
        <w:rPr>
          <w:rFonts w:asciiTheme="majorHAnsi" w:hAnsiTheme="majorHAnsi"/>
        </w:rPr>
        <w:t xml:space="preserve">Pentru mulți, primul pas către „Europa ta, părerea ta!” este înscrierea la o cerere deschisă de candidaturi. Școli din întreaga </w:t>
      </w:r>
      <w:proofErr w:type="spellStart"/>
      <w:r>
        <w:rPr>
          <w:rFonts w:asciiTheme="majorHAnsi" w:hAnsiTheme="majorHAnsi"/>
        </w:rPr>
        <w:t>Europă</w:t>
      </w:r>
      <w:proofErr w:type="spellEnd"/>
      <w:r>
        <w:rPr>
          <w:rFonts w:asciiTheme="majorHAnsi" w:hAnsiTheme="majorHAnsi"/>
        </w:rPr>
        <w:t xml:space="preserve"> își mobilizează elevii cei mai angajați și cu vocație de lideri, încurajându-i să expună motivele pentru care doresc să participe la această experiență. De asemenea, tinerii – fie că vin din rândurile unei organizații de tineret, ale unui consiliu național de tineret sau al voluntarilor – sunt invitați să-și expună motivația și să-și depună candidatura. Selecția nu înseamnă doar bifarea unor căsuțe, ci și alegerea celor care, pe lângă vârsta sau pregătirea potrivite, sunt și dornici și motivați să-și promoveze comunitățile. Procesul este conceput astfel încât să fie echitabil și favorabil incluziunii, asigurând egalitatea de șanse pentru elevii cu handicap, candidații din învățământul profesional și tineri din toate colțurile Europei.</w:t>
      </w:r>
    </w:p>
    <w:p w14:paraId="04D98E32" w14:textId="77777777" w:rsidR="00A32784" w:rsidRPr="004C4CD9" w:rsidRDefault="00A32784" w:rsidP="00737736">
      <w:pPr>
        <w:spacing w:after="0" w:line="288" w:lineRule="auto"/>
        <w:jc w:val="both"/>
        <w:rPr>
          <w:rFonts w:asciiTheme="majorHAnsi" w:hAnsiTheme="majorHAnsi" w:cstheme="majorBidi"/>
        </w:rPr>
      </w:pPr>
    </w:p>
    <w:p w14:paraId="55397687" w14:textId="4B204780" w:rsidR="008949C5" w:rsidRPr="008949C5" w:rsidRDefault="56C07819" w:rsidP="00737736">
      <w:pPr>
        <w:spacing w:after="0" w:line="288" w:lineRule="auto"/>
        <w:jc w:val="both"/>
        <w:rPr>
          <w:rFonts w:asciiTheme="majorHAnsi" w:hAnsiTheme="majorHAnsi" w:cstheme="majorBidi"/>
        </w:rPr>
      </w:pPr>
      <w:r>
        <w:rPr>
          <w:rFonts w:asciiTheme="majorHAnsi" w:hAnsiTheme="majorHAnsi"/>
        </w:rPr>
        <w:t>„Europa ta, părerea ta!” este structurat în sesiuni plenare și ateliere interactive, dar magia operează în cadrul interacțiunilor dintre aceste activități. Facilitatorii utilizează metode de leadership participativ și de</w:t>
      </w:r>
      <w:r>
        <w:t xml:space="preserve"> </w:t>
      </w:r>
      <w:hyperlink r:id="rId11">
        <w:r>
          <w:rPr>
            <w:rStyle w:val="Hyperlink"/>
            <w:rFonts w:asciiTheme="majorHAnsi" w:hAnsiTheme="majorHAnsi"/>
          </w:rPr>
          <w:t>„</w:t>
        </w:r>
        <w:proofErr w:type="spellStart"/>
        <w:r>
          <w:rPr>
            <w:rStyle w:val="Hyperlink"/>
            <w:rFonts w:asciiTheme="majorHAnsi" w:hAnsiTheme="majorHAnsi"/>
          </w:rPr>
          <w:t>Art</w:t>
        </w:r>
        <w:proofErr w:type="spellEnd"/>
        <w:r>
          <w:rPr>
            <w:rStyle w:val="Hyperlink"/>
            <w:rFonts w:asciiTheme="majorHAnsi" w:hAnsiTheme="majorHAnsi"/>
          </w:rPr>
          <w:t xml:space="preserve"> of </w:t>
        </w:r>
        <w:proofErr w:type="spellStart"/>
        <w:r>
          <w:rPr>
            <w:rStyle w:val="Hyperlink"/>
            <w:rFonts w:asciiTheme="majorHAnsi" w:hAnsiTheme="majorHAnsi"/>
          </w:rPr>
          <w:t>Hosting</w:t>
        </w:r>
        <w:proofErr w:type="spellEnd"/>
        <w:r>
          <w:rPr>
            <w:rStyle w:val="Hyperlink"/>
            <w:rFonts w:asciiTheme="majorHAnsi" w:hAnsiTheme="majorHAnsi"/>
          </w:rPr>
          <w:t>”</w:t>
        </w:r>
      </w:hyperlink>
      <w:r>
        <w:t xml:space="preserve"> (arta moderării) </w:t>
      </w:r>
      <w:r>
        <w:rPr>
          <w:rFonts w:asciiTheme="majorHAnsi" w:hAnsiTheme="majorHAnsi"/>
        </w:rPr>
        <w:t>pentru ca fiecare participant să aibă un cuvânt de spus. Este o modalitate foarte eficientă de a valorifica înțelepciunea colectivă și capacitatea de autoorganizare a grupurilor de orice dimensiune. Pornind de la premisa că fiecare dintre noi își oferă energia și își alocă resursele pentru ceea ce contează cel mai mult, metodele combină procedee conversaționale eficace pentru a-i stimula pe oameni să ia poziție în fața provocărilor cu care se confruntă.</w:t>
      </w:r>
    </w:p>
    <w:p w14:paraId="4EBDBB59" w14:textId="1884EDDD" w:rsidR="00A32784" w:rsidRPr="008949C5" w:rsidRDefault="00A32784" w:rsidP="00737736">
      <w:pPr>
        <w:spacing w:after="0" w:line="288" w:lineRule="auto"/>
        <w:jc w:val="both"/>
        <w:rPr>
          <w:rFonts w:asciiTheme="majorHAnsi" w:hAnsiTheme="majorHAnsi" w:cstheme="majorBidi"/>
        </w:rPr>
      </w:pPr>
    </w:p>
    <w:p w14:paraId="39CE991A" w14:textId="3EC4D934"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Tema pe care se va pune accentul în 2026 – care urmează să fie stabilită în curând – va fi structurată de importanța următorilor piloni principali, care rămân de actualitate și de interes permanent:</w:t>
      </w:r>
    </w:p>
    <w:p w14:paraId="45D45389" w14:textId="5971E541"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Proiectarea viitorului &gt;</w:t>
      </w:r>
      <w:r>
        <w:rPr>
          <w:rFonts w:asciiTheme="majorHAnsi" w:hAnsiTheme="majorHAnsi"/>
        </w:rPr>
        <w:t xml:space="preserve"> În ce fel de </w:t>
      </w:r>
      <w:proofErr w:type="spellStart"/>
      <w:r>
        <w:rPr>
          <w:rFonts w:asciiTheme="majorHAnsi" w:hAnsiTheme="majorHAnsi"/>
        </w:rPr>
        <w:t>Europă</w:t>
      </w:r>
      <w:proofErr w:type="spellEnd"/>
      <w:r>
        <w:rPr>
          <w:rFonts w:asciiTheme="majorHAnsi" w:hAnsiTheme="majorHAnsi"/>
        </w:rPr>
        <w:t xml:space="preserve"> doresc tinerii să trăiască? Cum poate influența punctul lor de vedere politica și societatea?</w:t>
      </w:r>
    </w:p>
    <w:p w14:paraId="7D95877B" w14:textId="38D2AB43"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lastRenderedPageBreak/>
        <w:t>Angajamentul civic și democrația participativă &gt;</w:t>
      </w:r>
      <w:r>
        <w:rPr>
          <w:rFonts w:asciiTheme="majorHAnsi" w:hAnsiTheme="majorHAnsi"/>
        </w:rPr>
        <w:t xml:space="preserve"> Ce înseamnă să fii cetățean activ? Cum pot influența tinerii procesul decizional la toate nivelurile?</w:t>
      </w:r>
    </w:p>
    <w:p w14:paraId="585BC712" w14:textId="27DF8192"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Transformarea digitală, IA și tinerii &gt;</w:t>
      </w:r>
      <w:r>
        <w:rPr>
          <w:rFonts w:asciiTheme="majorHAnsi" w:hAnsiTheme="majorHAnsi"/>
        </w:rPr>
        <w:t xml:space="preserve"> Care sunt oportunitățile și provocările participării pe cale digitală?</w:t>
      </w:r>
    </w:p>
    <w:p w14:paraId="53F0F38D" w14:textId="6087A954" w:rsidR="00333CCD" w:rsidRDefault="56C07819" w:rsidP="00737736">
      <w:pPr>
        <w:spacing w:after="0" w:line="288" w:lineRule="auto"/>
        <w:ind w:left="567"/>
        <w:jc w:val="both"/>
        <w:rPr>
          <w:rFonts w:asciiTheme="majorHAnsi" w:hAnsiTheme="majorHAnsi" w:cstheme="majorBidi"/>
        </w:rPr>
      </w:pPr>
      <w:r>
        <w:rPr>
          <w:rFonts w:asciiTheme="majorHAnsi" w:hAnsiTheme="majorHAnsi"/>
          <w:b/>
        </w:rPr>
        <w:t>Coeziunea socială și incluziunea &gt;</w:t>
      </w:r>
      <w:r>
        <w:rPr>
          <w:rFonts w:asciiTheme="majorHAnsi" w:hAnsiTheme="majorHAnsi"/>
        </w:rPr>
        <w:t xml:space="preserve"> Cum abordăm polarizarea și cum ne asigurăm că toată lumea are un loc la masă?</w:t>
      </w:r>
    </w:p>
    <w:p w14:paraId="5DBC4548" w14:textId="40F71564"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Acțiunile climatice și durabilitatea &gt;</w:t>
      </w:r>
      <w:r>
        <w:rPr>
          <w:rFonts w:asciiTheme="majorHAnsi" w:hAnsiTheme="majorHAnsi"/>
        </w:rPr>
        <w:t xml:space="preserve"> Ce rol poate juca tinerii în acțiunile dedicate mediului?</w:t>
      </w:r>
    </w:p>
    <w:p w14:paraId="1ABACBED" w14:textId="580190A8"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Sănătatea mintală și starea de bine &gt;</w:t>
      </w:r>
      <w:r>
        <w:rPr>
          <w:rFonts w:asciiTheme="majorHAnsi" w:hAnsiTheme="majorHAnsi"/>
        </w:rPr>
        <w:t xml:space="preserve"> Cum ne sprijinim unii pe alții pe calea participării civice?</w:t>
      </w:r>
    </w:p>
    <w:p w14:paraId="31F9FFE0" w14:textId="77777777" w:rsidR="008949C5" w:rsidRDefault="008949C5" w:rsidP="00737736">
      <w:pPr>
        <w:spacing w:after="0" w:line="288" w:lineRule="auto"/>
        <w:jc w:val="both"/>
        <w:rPr>
          <w:rFonts w:asciiTheme="majorHAnsi" w:eastAsia="Aptos" w:hAnsiTheme="majorHAnsi" w:cstheme="majorBidi"/>
          <w:color w:val="333333"/>
        </w:rPr>
      </w:pPr>
    </w:p>
    <w:p w14:paraId="0B2E04BD" w14:textId="5344D248" w:rsidR="00333CCD" w:rsidRPr="008949C5" w:rsidRDefault="39E3BE42" w:rsidP="00737736">
      <w:pPr>
        <w:spacing w:after="0" w:line="288" w:lineRule="auto"/>
        <w:jc w:val="both"/>
        <w:rPr>
          <w:rFonts w:ascii="Calibri" w:hAnsi="Calibri" w:cs="Calibri"/>
        </w:rPr>
      </w:pPr>
      <w:r>
        <w:rPr>
          <w:rFonts w:ascii="Calibri" w:hAnsi="Calibri"/>
        </w:rPr>
        <w:t>Participanții vor fi încurajați să reflecteze cu atenție la convingerile, așteptările și prioritățile lor și la modul în care pot contribui la realizarea acestora. Atelierele vor fi concepute astfel încât să incite la dezbateri, să inspire o nouă gândire și să-i încurajeze pe participanți să-și imagineze măsuri concrete pentru a colabora și a determina schimbări. Manifestarea va culmina cu o sesiune plenară în cadrul căreia se vor formula recomandări, dar nu sub formă de declarații abstracte, ci de propuneri concrete, care să reflecte speranțele și prioritățile tineretului european.</w:t>
      </w:r>
    </w:p>
    <w:p w14:paraId="54902ED9" w14:textId="77777777" w:rsidR="008949C5" w:rsidRDefault="008949C5" w:rsidP="00737736">
      <w:pPr>
        <w:pStyle w:val="paragraph"/>
        <w:spacing w:beforeAutospacing="0" w:after="0" w:afterAutospacing="0" w:line="288" w:lineRule="auto"/>
        <w:jc w:val="both"/>
        <w:textAlignment w:val="baseline"/>
        <w:rPr>
          <w:rFonts w:ascii="Aptos" w:eastAsia="Aptos" w:hAnsi="Aptos" w:cs="Aptos"/>
          <w:b/>
          <w:bCs/>
          <w:color w:val="333333"/>
          <w:sz w:val="24"/>
          <w:szCs w:val="24"/>
        </w:rPr>
      </w:pPr>
      <w:bookmarkStart w:id="0" w:name="_Toc181190022"/>
    </w:p>
    <w:p w14:paraId="2BCAF87A" w14:textId="24AB23FC" w:rsidR="008949C5" w:rsidRPr="008949C5" w:rsidRDefault="2BF75223" w:rsidP="00737736">
      <w:pPr>
        <w:pStyle w:val="paragraph"/>
        <w:spacing w:beforeAutospacing="0" w:after="0" w:afterAutospacing="0" w:line="288" w:lineRule="auto"/>
        <w:jc w:val="both"/>
        <w:textAlignment w:val="baseline"/>
        <w:rPr>
          <w:rFonts w:eastAsia="Aptos"/>
          <w:b/>
          <w:bCs/>
        </w:rPr>
      </w:pPr>
      <w:r>
        <w:rPr>
          <w:b/>
        </w:rPr>
        <w:t>Acțiuni ulterioare manifestării „Europa ta, părerea ta!”</w:t>
      </w:r>
      <w:bookmarkEnd w:id="0"/>
    </w:p>
    <w:p w14:paraId="7F787EA1" w14:textId="0E819275" w:rsidR="00333CCD" w:rsidRPr="008949C5" w:rsidRDefault="56C07819" w:rsidP="00737736">
      <w:pPr>
        <w:spacing w:after="0" w:line="288" w:lineRule="auto"/>
        <w:jc w:val="both"/>
        <w:rPr>
          <w:rFonts w:asciiTheme="majorHAnsi" w:hAnsiTheme="majorHAnsi" w:cstheme="majorBidi"/>
        </w:rPr>
      </w:pPr>
      <w:r>
        <w:rPr>
          <w:rFonts w:asciiTheme="majorHAnsi" w:hAnsiTheme="majorHAnsi"/>
        </w:rPr>
        <w:t xml:space="preserve">„Europa ta, părerea ta!” nu se încheie odată cu ultimul atelier. Etapele următoare sunt înscrise în ADN-ul manifestării. Fiecare școală și participant se angajează să împărtășească această experiență la întoarcerea acasă. Cum? Prin prezentări, manifestări locale sau platforme de comunicare socială. Elevii prezintă două-trei acțiuni concrete de promovare a angajamentului civic și european, eforturile lor fiind sprijinite de școlile lor și amplificate de CESE. De asemenea, tinerii vor fi invitați să exploreze cele mai bune căi pentru ca rezultatele manifestării să aibă un ecou cât mai larg. Aceste relatări pot fi împărtășite utilizând #YEYS2026, pentru a crea astfel o vitrină digitală a activismului tinerilor din întreaga </w:t>
      </w:r>
      <w:proofErr w:type="spellStart"/>
      <w:r>
        <w:rPr>
          <w:rFonts w:asciiTheme="majorHAnsi" w:hAnsiTheme="majorHAnsi"/>
        </w:rPr>
        <w:t>Europă</w:t>
      </w:r>
      <w:proofErr w:type="spellEnd"/>
      <w:r>
        <w:rPr>
          <w:rFonts w:asciiTheme="majorHAnsi" w:hAnsiTheme="majorHAnsi"/>
        </w:rPr>
        <w:t>.</w:t>
      </w:r>
    </w:p>
    <w:p w14:paraId="30C5A598" w14:textId="160D49DC" w:rsidR="008949C5" w:rsidRPr="008949C5" w:rsidRDefault="00373E34" w:rsidP="00737736">
      <w:pPr>
        <w:pStyle w:val="paragraph"/>
        <w:spacing w:beforeAutospacing="0" w:after="0" w:afterAutospacing="0" w:line="288" w:lineRule="auto"/>
        <w:jc w:val="both"/>
        <w:textAlignment w:val="baseline"/>
        <w:rPr>
          <w:rFonts w:asciiTheme="majorHAnsi" w:eastAsia="Aptos" w:hAnsiTheme="majorHAnsi" w:cstheme="majorBidi"/>
          <w:color w:val="333333"/>
        </w:rPr>
      </w:pPr>
      <w:hyperlink r:id="rId12">
        <w:r w:rsidR="2BF75223">
          <w:rPr>
            <w:rStyle w:val="Hyperlink"/>
            <w:rFonts w:asciiTheme="majorHAnsi" w:hAnsiTheme="majorHAnsi"/>
          </w:rPr>
          <w:t>Grupul pentru tineret al CESE</w:t>
        </w:r>
      </w:hyperlink>
      <w:r w:rsidR="2BF75223">
        <w:rPr>
          <w:rFonts w:asciiTheme="majorHAnsi" w:hAnsiTheme="majorHAnsi"/>
        </w:rPr>
        <w:t xml:space="preserve"> își va continua activitatea prin difuzarea recomandărilor, ca o posibilă contribuție la activitatea CESE în materie de consiliere și de politică. De asemenea, el va profita de fiecare ocazie pentru a menționa aceste recomandări în cadrul unor manifestări în afara sediului, și va explora modalitățile prin care acestea să fie integrate în avizele selectate, care vor fi supuse testului din perspectiva tinerilor privind politicile UE instituit de CESE.</w:t>
      </w:r>
    </w:p>
    <w:p w14:paraId="45B7FE59" w14:textId="77777777" w:rsidR="007E4777" w:rsidRPr="008949C5" w:rsidRDefault="007E4777" w:rsidP="00737736">
      <w:pPr>
        <w:spacing w:after="0" w:line="288" w:lineRule="auto"/>
        <w:jc w:val="both"/>
        <w:rPr>
          <w:rFonts w:asciiTheme="majorHAnsi" w:hAnsiTheme="majorHAnsi" w:cstheme="majorBidi"/>
        </w:rPr>
      </w:pPr>
    </w:p>
    <w:p w14:paraId="05361AF3" w14:textId="1BDC386C" w:rsidR="00333CCD" w:rsidRDefault="56C07819" w:rsidP="00737736">
      <w:pPr>
        <w:spacing w:after="0" w:line="288" w:lineRule="auto"/>
        <w:jc w:val="both"/>
        <w:rPr>
          <w:rFonts w:asciiTheme="majorHAnsi" w:hAnsiTheme="majorHAnsi" w:cstheme="majorBidi"/>
        </w:rPr>
      </w:pPr>
      <w:r>
        <w:rPr>
          <w:rFonts w:asciiTheme="majorHAnsi" w:hAnsiTheme="majorHAnsi"/>
        </w:rPr>
        <w:t>Călătoriile și cazarea sunt organizate de CESE, ceea ce le va permite participanților să se concentreze mai curând  pe experiența trăită decât pe logistică. Materialele educaționale vor fi furnizate în prealabil, iar membrii CESE vor vizita anumite școli pentru a pregăti elevii și profesorii pentru această experiență.</w:t>
      </w:r>
    </w:p>
    <w:p w14:paraId="5437FB4C" w14:textId="77777777" w:rsidR="007E4777" w:rsidRPr="004C4CD9" w:rsidRDefault="007E4777" w:rsidP="00737736">
      <w:pPr>
        <w:spacing w:after="0" w:line="288" w:lineRule="auto"/>
        <w:jc w:val="both"/>
        <w:rPr>
          <w:rFonts w:asciiTheme="majorHAnsi" w:hAnsiTheme="majorHAnsi" w:cstheme="majorBidi"/>
        </w:rPr>
      </w:pPr>
    </w:p>
    <w:p w14:paraId="07B48232" w14:textId="5C85224C"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„Europa ta, părerea ta!” este mai mult decât o manifestare. Este o șansă să întâlnești tineri de pe întregul continent, să înveți, să dezbați și să visezi împreună cu ei.  Și, cel mai important, este un angajament de a aduce spiritul european promovat la Bruxelles în comunitățile locale, de a transforma ideile în acțiune și de a garanta că vocile tinerilor vor răsuna în sălile în care se adoptă deciziile UE.</w:t>
      </w:r>
    </w:p>
    <w:sectPr w:rsidR="00333CCD" w:rsidRPr="004C4CD9" w:rsidSect="00737736">
      <w:headerReference w:type="even" r:id="rId13"/>
      <w:headerReference w:type="default" r:id="rId14"/>
      <w:footerReference w:type="even" r:id="rId15"/>
      <w:footerReference w:type="default" r:id="rId16"/>
      <w:headerReference w:type="first" r:id="rId17"/>
      <w:footerReference w:type="first" r:id="rId18"/>
      <w:pgSz w:w="12240" w:h="15874"/>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4DDE" w14:textId="77777777" w:rsidR="002F7294" w:rsidRDefault="002F7294" w:rsidP="007E4777">
      <w:pPr>
        <w:spacing w:after="0" w:line="240" w:lineRule="auto"/>
      </w:pPr>
      <w:r>
        <w:separator/>
      </w:r>
    </w:p>
  </w:endnote>
  <w:endnote w:type="continuationSeparator" w:id="0">
    <w:p w14:paraId="28347E54" w14:textId="77777777" w:rsidR="002F7294" w:rsidRDefault="002F7294" w:rsidP="007E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4D45" w14:textId="77777777" w:rsidR="00A80AC3" w:rsidRPr="00737736" w:rsidRDefault="00A80AC3" w:rsidP="0073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06E" w14:textId="153391D7" w:rsidR="007E4777" w:rsidRPr="00737736" w:rsidRDefault="00737736" w:rsidP="00737736">
    <w:pPr>
      <w:pStyle w:val="Footer"/>
    </w:pPr>
    <w:r>
      <w:t xml:space="preserve">EESC-2025-03704-00-00-INFO-TRA (EN) </w:t>
    </w:r>
    <w:r>
      <w:fldChar w:fldCharType="begin"/>
    </w:r>
    <w:r>
      <w:instrText xml:space="preserve"> PAGE  \* Arabic  \* MERGEFORMAT </w:instrText>
    </w:r>
    <w:r>
      <w:fldChar w:fldCharType="separate"/>
    </w:r>
    <w:r w:rsidR="00351DC6">
      <w:t>2</w:t>
    </w:r>
    <w:r>
      <w:fldChar w:fldCharType="end"/>
    </w:r>
    <w:r>
      <w:t>/</w:t>
    </w:r>
    <w:r w:rsidR="00373E34">
      <w:fldChar w:fldCharType="begin"/>
    </w:r>
    <w:r w:rsidR="00373E34">
      <w:instrText xml:space="preserve"> NUMPAGES </w:instrText>
    </w:r>
    <w:r w:rsidR="00373E34">
      <w:fldChar w:fldCharType="separate"/>
    </w:r>
    <w:r w:rsidR="00351DC6">
      <w:t>2</w:t>
    </w:r>
    <w:r w:rsidR="00373E3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D394" w14:textId="77777777" w:rsidR="00A80AC3" w:rsidRPr="00737736" w:rsidRDefault="00A80AC3" w:rsidP="0073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7CA" w14:textId="77777777" w:rsidR="002F7294" w:rsidRDefault="002F7294" w:rsidP="007E4777">
      <w:pPr>
        <w:spacing w:after="0" w:line="240" w:lineRule="auto"/>
      </w:pPr>
      <w:r>
        <w:separator/>
      </w:r>
    </w:p>
  </w:footnote>
  <w:footnote w:type="continuationSeparator" w:id="0">
    <w:p w14:paraId="6830FB33" w14:textId="77777777" w:rsidR="002F7294" w:rsidRDefault="002F7294" w:rsidP="007E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057" w14:textId="77777777" w:rsidR="00A80AC3" w:rsidRPr="00737736" w:rsidRDefault="00A80AC3" w:rsidP="00737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1222" w14:textId="4B818110" w:rsidR="00A80AC3" w:rsidRPr="00737736" w:rsidRDefault="00A80AC3" w:rsidP="00737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4B40" w14:textId="77777777" w:rsidR="00A80AC3" w:rsidRPr="00737736" w:rsidRDefault="00A80AC3" w:rsidP="0073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B42"/>
    <w:rsid w:val="00034616"/>
    <w:rsid w:val="0006063C"/>
    <w:rsid w:val="0015074B"/>
    <w:rsid w:val="00193D20"/>
    <w:rsid w:val="001A4A3E"/>
    <w:rsid w:val="002815B0"/>
    <w:rsid w:val="0029639D"/>
    <w:rsid w:val="002E16AC"/>
    <w:rsid w:val="002F7294"/>
    <w:rsid w:val="00326F90"/>
    <w:rsid w:val="00333CCD"/>
    <w:rsid w:val="00351DC6"/>
    <w:rsid w:val="003A0918"/>
    <w:rsid w:val="003F37A8"/>
    <w:rsid w:val="004C4CD9"/>
    <w:rsid w:val="004D3A1D"/>
    <w:rsid w:val="0068202F"/>
    <w:rsid w:val="006B1AC5"/>
    <w:rsid w:val="00737736"/>
    <w:rsid w:val="007E4777"/>
    <w:rsid w:val="008949C5"/>
    <w:rsid w:val="0099308A"/>
    <w:rsid w:val="00A32784"/>
    <w:rsid w:val="00A80AC3"/>
    <w:rsid w:val="00AA1D8D"/>
    <w:rsid w:val="00B47730"/>
    <w:rsid w:val="00C9076B"/>
    <w:rsid w:val="00CB0664"/>
    <w:rsid w:val="00CE44BA"/>
    <w:rsid w:val="00DB5892"/>
    <w:rsid w:val="00E75B3E"/>
    <w:rsid w:val="00FC693F"/>
    <w:rsid w:val="01181ABC"/>
    <w:rsid w:val="03524493"/>
    <w:rsid w:val="0E1834A5"/>
    <w:rsid w:val="126C4F72"/>
    <w:rsid w:val="1398421A"/>
    <w:rsid w:val="1642F78C"/>
    <w:rsid w:val="175B35B6"/>
    <w:rsid w:val="19AF455F"/>
    <w:rsid w:val="1FFABC15"/>
    <w:rsid w:val="2048AE3B"/>
    <w:rsid w:val="25B8B120"/>
    <w:rsid w:val="27C5F576"/>
    <w:rsid w:val="2BF75223"/>
    <w:rsid w:val="3698BF6A"/>
    <w:rsid w:val="39E3BE42"/>
    <w:rsid w:val="3D9992A4"/>
    <w:rsid w:val="3FEDB1CA"/>
    <w:rsid w:val="4146DFAD"/>
    <w:rsid w:val="4D09B347"/>
    <w:rsid w:val="4E99A617"/>
    <w:rsid w:val="53F9091C"/>
    <w:rsid w:val="55248C04"/>
    <w:rsid w:val="56C07819"/>
    <w:rsid w:val="5B0D50A2"/>
    <w:rsid w:val="5F8B0160"/>
    <w:rsid w:val="5FC3F704"/>
    <w:rsid w:val="6D4580CA"/>
    <w:rsid w:val="6E0EA6BA"/>
    <w:rsid w:val="715633E0"/>
    <w:rsid w:val="765F6702"/>
    <w:rsid w:val="778549E2"/>
    <w:rsid w:val="7C54B5B0"/>
    <w:rsid w:val="7D071A6B"/>
    <w:rsid w:val="7D5A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C0C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FABC15"/>
  </w:style>
  <w:style w:type="paragraph" w:styleId="Heading1">
    <w:name w:val="heading 1"/>
    <w:basedOn w:val="Normal"/>
    <w:next w:val="Normal"/>
    <w:link w:val="Heading1Char"/>
    <w:uiPriority w:val="9"/>
    <w:qFormat/>
    <w:rsid w:val="1FFAB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1FFABC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1FFABC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1FFABC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1FFABC15"/>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1FFABC15"/>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FFABC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FFABC1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1FFABC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FFABC15"/>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618BF"/>
    <w:rPr>
      <w:rFonts w:ascii="Times New Roman" w:hAnsi="Times New Roman" w:cs="Times New Roman"/>
      <w:lang w:val="ro-RO"/>
    </w:rPr>
  </w:style>
  <w:style w:type="paragraph" w:styleId="Footer">
    <w:name w:val="footer"/>
    <w:basedOn w:val="Normal"/>
    <w:link w:val="FooterChar"/>
    <w:uiPriority w:val="99"/>
    <w:unhideWhenUsed/>
    <w:rsid w:val="1FFABC1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618BF"/>
    <w:rPr>
      <w:rFonts w:ascii="Times New Roman" w:hAnsi="Times New Roman" w:cs="Times New Roman"/>
      <w:lang w:val="ro-RO"/>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1FFAB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1FFABC15"/>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1FFABC15"/>
    <w:pPr>
      <w:ind w:left="720"/>
      <w:contextualSpacing/>
    </w:pPr>
  </w:style>
  <w:style w:type="paragraph" w:styleId="BodyText">
    <w:name w:val="Body Text"/>
    <w:basedOn w:val="Normal"/>
    <w:link w:val="BodyTextChar"/>
    <w:uiPriority w:val="99"/>
    <w:unhideWhenUsed/>
    <w:rsid w:val="1FFABC15"/>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1FFABC15"/>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1FFABC1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1FFABC15"/>
    <w:pPr>
      <w:ind w:left="360" w:hanging="360"/>
      <w:contextualSpacing/>
    </w:pPr>
  </w:style>
  <w:style w:type="paragraph" w:styleId="List2">
    <w:name w:val="List 2"/>
    <w:basedOn w:val="Normal"/>
    <w:uiPriority w:val="99"/>
    <w:unhideWhenUsed/>
    <w:rsid w:val="1FFABC15"/>
    <w:pPr>
      <w:ind w:left="720" w:hanging="360"/>
      <w:contextualSpacing/>
    </w:pPr>
  </w:style>
  <w:style w:type="paragraph" w:styleId="List3">
    <w:name w:val="List 3"/>
    <w:basedOn w:val="Normal"/>
    <w:uiPriority w:val="99"/>
    <w:unhideWhenUsed/>
    <w:rsid w:val="1FFABC15"/>
    <w:pPr>
      <w:ind w:left="1080" w:hanging="360"/>
      <w:contextualSpacing/>
    </w:pPr>
  </w:style>
  <w:style w:type="paragraph" w:styleId="ListBullet">
    <w:name w:val="List Bullet"/>
    <w:basedOn w:val="Normal"/>
    <w:uiPriority w:val="99"/>
    <w:unhideWhenUsed/>
    <w:rsid w:val="1FFABC15"/>
    <w:pPr>
      <w:numPr>
        <w:numId w:val="1"/>
      </w:numPr>
      <w:contextualSpacing/>
    </w:pPr>
  </w:style>
  <w:style w:type="paragraph" w:styleId="ListBullet2">
    <w:name w:val="List Bullet 2"/>
    <w:basedOn w:val="Normal"/>
    <w:uiPriority w:val="99"/>
    <w:unhideWhenUsed/>
    <w:rsid w:val="1FFABC15"/>
    <w:pPr>
      <w:numPr>
        <w:numId w:val="2"/>
      </w:numPr>
      <w:contextualSpacing/>
    </w:pPr>
  </w:style>
  <w:style w:type="paragraph" w:styleId="ListBullet3">
    <w:name w:val="List Bullet 3"/>
    <w:basedOn w:val="Normal"/>
    <w:uiPriority w:val="99"/>
    <w:unhideWhenUsed/>
    <w:rsid w:val="1FFABC15"/>
    <w:pPr>
      <w:numPr>
        <w:numId w:val="3"/>
      </w:numPr>
      <w:contextualSpacing/>
    </w:pPr>
  </w:style>
  <w:style w:type="paragraph" w:styleId="ListNumber">
    <w:name w:val="List Number"/>
    <w:basedOn w:val="Normal"/>
    <w:uiPriority w:val="99"/>
    <w:unhideWhenUsed/>
    <w:rsid w:val="1FFABC15"/>
    <w:pPr>
      <w:numPr>
        <w:numId w:val="5"/>
      </w:numPr>
      <w:contextualSpacing/>
    </w:pPr>
  </w:style>
  <w:style w:type="paragraph" w:styleId="ListNumber2">
    <w:name w:val="List Number 2"/>
    <w:basedOn w:val="Normal"/>
    <w:uiPriority w:val="99"/>
    <w:unhideWhenUsed/>
    <w:rsid w:val="1FFABC15"/>
    <w:pPr>
      <w:numPr>
        <w:numId w:val="6"/>
      </w:numPr>
      <w:contextualSpacing/>
    </w:pPr>
  </w:style>
  <w:style w:type="paragraph" w:styleId="ListNumber3">
    <w:name w:val="List Number 3"/>
    <w:basedOn w:val="Normal"/>
    <w:uiPriority w:val="99"/>
    <w:unhideWhenUsed/>
    <w:rsid w:val="1FFABC15"/>
    <w:pPr>
      <w:numPr>
        <w:numId w:val="7"/>
      </w:numPr>
      <w:contextualSpacing/>
    </w:pPr>
  </w:style>
  <w:style w:type="paragraph" w:styleId="ListContinue">
    <w:name w:val="List Continue"/>
    <w:basedOn w:val="Normal"/>
    <w:uiPriority w:val="99"/>
    <w:unhideWhenUsed/>
    <w:rsid w:val="1FFABC15"/>
    <w:pPr>
      <w:spacing w:after="120"/>
      <w:ind w:left="360"/>
      <w:contextualSpacing/>
    </w:pPr>
  </w:style>
  <w:style w:type="paragraph" w:styleId="ListContinue2">
    <w:name w:val="List Continue 2"/>
    <w:basedOn w:val="Normal"/>
    <w:uiPriority w:val="99"/>
    <w:unhideWhenUsed/>
    <w:rsid w:val="1FFABC15"/>
    <w:pPr>
      <w:spacing w:after="120"/>
      <w:ind w:left="720"/>
      <w:contextualSpacing/>
    </w:pPr>
  </w:style>
  <w:style w:type="paragraph" w:styleId="ListContinue3">
    <w:name w:val="List Continue 3"/>
    <w:basedOn w:val="Normal"/>
    <w:uiPriority w:val="99"/>
    <w:unhideWhenUsed/>
    <w:rsid w:val="1FFABC15"/>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1FFABC15"/>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1FFABC15"/>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1FFABC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2784"/>
    <w:rPr>
      <w:sz w:val="16"/>
      <w:szCs w:val="16"/>
    </w:rPr>
  </w:style>
  <w:style w:type="paragraph" w:styleId="CommentText">
    <w:name w:val="annotation text"/>
    <w:basedOn w:val="Normal"/>
    <w:link w:val="CommentTextChar"/>
    <w:uiPriority w:val="99"/>
    <w:unhideWhenUsed/>
    <w:rsid w:val="1FFABC15"/>
    <w:pPr>
      <w:spacing w:line="240" w:lineRule="auto"/>
    </w:pPr>
    <w:rPr>
      <w:sz w:val="20"/>
      <w:szCs w:val="20"/>
    </w:rPr>
  </w:style>
  <w:style w:type="character" w:customStyle="1" w:styleId="CommentTextChar">
    <w:name w:val="Comment Text Char"/>
    <w:basedOn w:val="DefaultParagraphFont"/>
    <w:link w:val="CommentText"/>
    <w:uiPriority w:val="99"/>
    <w:rsid w:val="00A32784"/>
    <w:rPr>
      <w:sz w:val="20"/>
      <w:szCs w:val="20"/>
    </w:rPr>
  </w:style>
  <w:style w:type="paragraph" w:styleId="CommentSubject">
    <w:name w:val="annotation subject"/>
    <w:basedOn w:val="CommentText"/>
    <w:next w:val="CommentText"/>
    <w:link w:val="CommentSubjectChar"/>
    <w:uiPriority w:val="99"/>
    <w:semiHidden/>
    <w:unhideWhenUsed/>
    <w:rsid w:val="00A32784"/>
    <w:rPr>
      <w:b/>
      <w:bCs/>
    </w:rPr>
  </w:style>
  <w:style w:type="character" w:customStyle="1" w:styleId="CommentSubjectChar">
    <w:name w:val="Comment Subject Char"/>
    <w:basedOn w:val="CommentTextChar"/>
    <w:link w:val="CommentSubject"/>
    <w:uiPriority w:val="99"/>
    <w:semiHidden/>
    <w:rsid w:val="00A32784"/>
    <w:rPr>
      <w:b/>
      <w:bCs/>
      <w:sz w:val="20"/>
      <w:szCs w:val="20"/>
    </w:rPr>
  </w:style>
  <w:style w:type="character" w:styleId="Hyperlink">
    <w:name w:val="Hyperlink"/>
    <w:basedOn w:val="DefaultParagraphFont"/>
    <w:uiPriority w:val="99"/>
    <w:unhideWhenUsed/>
    <w:rsid w:val="008949C5"/>
    <w:rPr>
      <w:color w:val="0000FF" w:themeColor="hyperlink"/>
      <w:u w:val="single"/>
    </w:rPr>
  </w:style>
  <w:style w:type="paragraph" w:customStyle="1" w:styleId="paragraph">
    <w:name w:val="paragraph"/>
    <w:basedOn w:val="Normal"/>
    <w:uiPriority w:val="1"/>
    <w:rsid w:val="1FFABC15"/>
    <w:pPr>
      <w:spacing w:beforeAutospacing="1" w:afterAutospacing="1" w:line="240" w:lineRule="auto"/>
    </w:pPr>
    <w:rPr>
      <w:rFonts w:ascii="Calibri" w:hAnsi="Calibri" w:cs="Calibri"/>
      <w:lang w:eastAsia="fr-BE"/>
    </w:rPr>
  </w:style>
  <w:style w:type="character" w:customStyle="1" w:styleId="UnresolvedMention1">
    <w:name w:val="Unresolved Mention1"/>
    <w:basedOn w:val="DefaultParagraphFont"/>
    <w:uiPriority w:val="99"/>
    <w:semiHidden/>
    <w:unhideWhenUsed/>
    <w:rsid w:val="008949C5"/>
    <w:rPr>
      <w:color w:val="605E5C"/>
      <w:shd w:val="clear" w:color="auto" w:fill="E1DFDD"/>
    </w:rPr>
  </w:style>
  <w:style w:type="paragraph" w:styleId="Revision">
    <w:name w:val="Revision"/>
    <w:hidden/>
    <w:uiPriority w:val="99"/>
    <w:semiHidden/>
    <w:rsid w:val="00A80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esc.europa.eu/ro/sections-other-bodies/other/eesc-youth-group" TargetMode="Externa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ofhost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incharge xmlns="149cdba8-b5b2-487b-9e63-72406c10c52e">
      <UserInfo>
        <DisplayName/>
        <AccountId xsi:nil="true"/>
        <AccountType/>
      </UserInfo>
    </Personincharg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8468881A2B4CC4295A590CB6EEA9F66" ma:contentTypeVersion="4" ma:contentTypeDescription="Create a new document." ma:contentTypeScope="" ma:versionID="10b2643dcf6011dbc9a17e4caadca618">
  <xsd:schema xmlns:xsd="http://www.w3.org/2001/XMLSchema" xmlns:xs="http://www.w3.org/2001/XMLSchema" xmlns:p="http://schemas.microsoft.com/office/2006/metadata/properties" xmlns:ns2="149cdba8-b5b2-487b-9e63-72406c10c52e" targetNamespace="http://schemas.microsoft.com/office/2006/metadata/properties" ma:root="true" ma:fieldsID="203fdf71baae093693fe99aec4485405" ns2:_="">
    <xsd:import namespace="149cdba8-b5b2-487b-9e63-72406c10c52e"/>
    <xsd:element name="properties">
      <xsd:complexType>
        <xsd:sequence>
          <xsd:element name="documentManagement">
            <xsd:complexType>
              <xsd:all>
                <xsd:element ref="ns2:Personinchar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dba8-b5b2-487b-9e63-72406c10c52e" elementFormDefault="qualified">
    <xsd:import namespace="http://schemas.microsoft.com/office/2006/documentManagement/types"/>
    <xsd:import namespace="http://schemas.microsoft.com/office/infopath/2007/PartnerControls"/>
    <xsd:element name="Personincharge" ma:index="8" nillable="true" ma:displayName="Person in charge" ma:format="Dropdown" ma:list="UserInfo" ma:SharePointGroup="0" ma:internalName="Person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B95DE-2043-4B0B-8396-D84EB984B81A}">
  <ds:schemaRefs>
    <ds:schemaRef ds:uri="http://schemas.openxmlformats.org/officeDocument/2006/bibliography"/>
  </ds:schemaRefs>
</ds:datastoreItem>
</file>

<file path=customXml/itemProps2.xml><?xml version="1.0" encoding="utf-8"?>
<ds:datastoreItem xmlns:ds="http://schemas.openxmlformats.org/officeDocument/2006/customXml" ds:itemID="{9149F23F-A20A-4CDD-B71D-8FAEFDFBD23B}"/>
</file>

<file path=customXml/itemProps3.xml><?xml version="1.0" encoding="utf-8"?>
<ds:datastoreItem xmlns:ds="http://schemas.openxmlformats.org/officeDocument/2006/customXml" ds:itemID="{3762D549-B916-4CBF-9C81-9DD92902659B}">
  <ds:schemaRefs>
    <ds:schemaRef ds:uri="http://schemas.microsoft.com/sharepoint/v3/contenttype/forms"/>
  </ds:schemaRefs>
</ds:datastoreItem>
</file>

<file path=customXml/itemProps4.xml><?xml version="1.0" encoding="utf-8"?>
<ds:datastoreItem xmlns:ds="http://schemas.openxmlformats.org/officeDocument/2006/customXml" ds:itemID="{AF3A3B31-B4B8-4F6A-A47C-63F15A01BF6D}">
  <ds:schemaRefs>
    <ds:schemaRef ds:uri="http://schemas.microsoft.com/office/2006/metadata/properties"/>
    <ds:schemaRef ds:uri="http://schemas.microsoft.com/office/infopath/2007/PartnerControls"/>
    <ds:schemaRef ds:uri="96ce3a7c-7f79-43a9-9021-9e9687807524"/>
    <ds:schemaRef ds:uri="139408b5-cd95-41a2-b442-2b289d59f97f"/>
  </ds:schemaRefs>
</ds:datastoreItem>
</file>

<file path=customXml/itemProps5.xml><?xml version="1.0" encoding="utf-8"?>
<ds:datastoreItem xmlns:ds="http://schemas.openxmlformats.org/officeDocument/2006/customXml" ds:itemID="{A44DBF4C-035D-4715-AC17-4D9717E097AB}"/>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5404</Characters>
  <Application>Microsoft Office Word</Application>
  <DocSecurity>0</DocSecurity>
  <Lines>45</Lines>
  <Paragraphs>12</Paragraphs>
  <ScaleCrop>false</ScaleCrop>
  <Manager/>
  <Company/>
  <LinksUpToDate>false</LinksUpToDate>
  <CharactersWithSpaces>6339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 ta, părerea ta! 2026 - document de reflecție</dc:title>
  <dc:subject/>
  <dc:creator/>
  <cp:keywords/>
  <dc:description>generated by python-docx</dc:description>
  <cp:lastModifiedBy/>
  <cp:revision>4</cp:revision>
  <dcterms:created xsi:type="dcterms:W3CDTF">2025-11-14T09:51:00Z</dcterms:created>
  <dcterms:modified xsi:type="dcterms:W3CDTF">2025-11-14T09:52:00Z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0x01010068468881A2B4CC4295A590CB6EEA9F66</vt:lpwstr>
  </property>
  <property fmtid="{D5CDD505-2E9C-101B-9397-08002B2CF9AE}" pid="3" name="docLang">
    <vt:lpwstr>en</vt:lpwstr>
  </property>
  <property fmtid="{D5CDD505-2E9C-101B-9397-08002B2CF9AE}" pid="4" name="MediaServiceImageTags">
    <vt:lpwstr/>
  </property>
  <property fmtid="{D5CDD505-2E9C-101B-9397-08002B2CF9AE}" pid="5" name="Pref_formatted">
    <vt:bool>true</vt:bool>
  </property>
  <property fmtid="{D5CDD505-2E9C-101B-9397-08002B2CF9AE}" pid="6" name="Pref_Date">
    <vt:lpwstr>07/11/2025</vt:lpwstr>
  </property>
  <property fmtid="{D5CDD505-2E9C-101B-9397-08002B2CF9AE}" pid="7" name="Pref_Time">
    <vt:lpwstr>12:11:21</vt:lpwstr>
  </property>
  <property fmtid="{D5CDD505-2E9C-101B-9397-08002B2CF9AE}" pid="8" name="Pref_User">
    <vt:lpwstr>amett</vt:lpwstr>
  </property>
  <property fmtid="{D5CDD505-2E9C-101B-9397-08002B2CF9AE}" pid="9" name="Pref_FileName">
    <vt:lpwstr>EESC-2025-03704-00-00-INFO-ORI.docx</vt:lpwstr>
  </property>
  <property fmtid="{D5CDD505-2E9C-101B-9397-08002B2CF9AE}" pid="10" name="_dlc_DocIdItemGuid">
    <vt:lpwstr>7759227f-b1ed-4d05-aca2-97a80205f800</vt:lpwstr>
  </property>
  <property fmtid="{D5CDD505-2E9C-101B-9397-08002B2CF9AE}" pid="11" name="AvailableTranslations">
    <vt:lpwstr>39;#LV|46f7e311-5d9f-4663-b433-18aeccb7ace7;#34;#IT|0774613c-01ed-4e5d-a25d-11d2388de825;#23;#DE|f6b31e5a-26fa-4935-b661-318e46daf27e;#24;#PL|1e03da61-4678-4e07-b136-b5024ca9197b;#33;#PT|50ccc04a-eadd-42ae-a0cb-acaf45f812ba;#50;#HR|2f555653-ed1a-4fe6-8362-9082d95989e5;#28;#SV|c2ed69e7-a339-43d7-8f22-d93680a92aa0;#12;#FR|d2afafd3-4c81-4f60-8f52-ee33f2f54ff3;#35;#FI|87606a43-d45f-42d6-b8c9-e1a3457db5b7;#30;#LT|a7ff5ce7-6123-4f68-865a-a57c31810414;#41;#ET|ff6c3f4c-b02c-4c3c-ab07-2c37995a7a0a;#29;#CS|72f9705b-0217-4fd3-bea2-cbc7ed80e26e;#46;#SK|46d9fce0-ef79-4f71-b89b-cd6aa82426b8;#36;#RO|feb747a2-64cd-4299-af12-4833ddc30497;#31;#SL|98a412ae-eb01-49e9-ae3d-585a81724cfc;#5;#EN|f2175f21-25d7-44a3-96da-d6a61b075e1b;#27;#NL|55c6556c-b4f4-441d-9acf-c498d4f838bd;#16;#ES|e7a6b05b-ae16-40c8-add9-68b64b03aeba;#47;#BG|1a1b3951-7821-4e6a-85f5-5673fc08bd2c;#43;#GA|762d2456-c427-4ecb-b312-af3dad8e258c;#40;#DA|5d49c027-8956-412b-aa16-e85a0f96ad0e;#32;#MT|7df99101-6854-4a26-b53a-b88c0da02c26;#42;#EL|6d4f4d51-af9b-4650-94b4-4276bee85c91;#37;#HU|6b229040-c589-4408-b4c1-4285663d20a8</vt:lpwstr>
  </property>
  <property fmtid="{D5CDD505-2E9C-101B-9397-08002B2CF9AE}" pid="12" name="DocumentType_0">
    <vt:lpwstr>INFO|d9136e7c-93a9-4c42-9d28-92b61e85f80c</vt:lpwstr>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3704</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Visites</vt:lpwstr>
  </property>
  <property fmtid="{D5CDD505-2E9C-101B-9397-08002B2CF9AE}" pid="20" name="Confidentiality">
    <vt:lpwstr>6;#Internal|2451815e-8241-4bbf-a22e-1ab710712bf2</vt:lpwstr>
  </property>
  <property fmtid="{D5CDD505-2E9C-101B-9397-08002B2CF9AE}" pid="21" name="MeetingName_0">
    <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IT|0774613c-01ed-4e5d-a25d-11d2388de825;DE|f6b31e5a-26fa-4935-b661-318e46daf27e;PL|1e03da61-4678-4e07-b136-b5024ca9197b;PT|50ccc04a-eadd-42ae-a0cb-acaf45f812ba;FR|d2afafd3-4c81-4f60-8f52-ee33f2f54ff3;SL|98a412ae-eb01-49e9-ae3d-585a81724cfc;EN|f2175f21-25d7-44a3-96da-d6a61b075e1b;NL|55c6556c-b4f4-441d-9acf-c498d4f838bd;GA|762d2456-c427-4ecb-b312-af3dad8e258c;DA|5d49c027-8956-412b-aa16-e85a0f96ad0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34;#IT|0774613c-01ed-4e5d-a25d-11d2388de825;#33;#PT|50ccc04a-eadd-42ae-a0cb-acaf45f812ba;#31;#SL|98a412ae-eb01-49e9-ae3d-585a81724cfc;#43;#GA|762d2456-c427-4ecb-b312-af3dad8e258c;#27;#NL|55c6556c-b4f4-441d-9acf-c498d4f838bd;#24;#PL|1e03da61-4678-4e07-b136-b5024ca9197b;#23;#DE|f6b31e5a-26fa-4935-b661-318e46daf27e;#13;#TRA|150d2a88-1431-44e6-a8ca-0bb753ab8672;#12;#FR|d2afafd3-4c81-4f60-8f52-ee33f2f54ff3;#9;#INFO|d9136e7c-93a9-4c42-9d28-92b61e85f80c;#8;#Final|ea5e6674-7b27-4bac-b091-73adbb394efe;#6;#Internal|2451815e-8241-4bbf-a22e-1ab710712bf2;#5;#EN|f2175f21-25d7-44a3-96da-d6a61b075e1b;#40;#DA|5d49c027-8956-412b-aa16-e85a0f96ad0e;#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296256</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9;#INFO|d9136e7c-93a9-4c42-9d28-92b61e85f80c</vt:lpwstr>
  </property>
  <property fmtid="{D5CDD505-2E9C-101B-9397-08002B2CF9AE}" pid="38" name="DocumentLanguage">
    <vt:lpwstr>36;#RO|feb747a2-64cd-4299-af12-4833ddc30497</vt:lpwstr>
  </property>
  <property fmtid="{D5CDD505-2E9C-101B-9397-08002B2CF9AE}" pid="39" name="Order">
    <vt:r8>28700</vt:r8>
  </property>
  <property fmtid="{D5CDD505-2E9C-101B-9397-08002B2CF9AE}" pid="40" name="xd_Signature">
    <vt:bool>false</vt:bool>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ies>
</file>