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9C56" w14:textId="5AAF145D" w:rsidR="00737736"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PT</w:t>
                      </w:r>
                    </w:p>
                  </w:txbxContent>
                </v:textbox>
                <w10:wrap anchorx="page" anchory="page"/>
              </v:shape>
            </w:pict>
          </mc:Fallback>
        </mc:AlternateContent>
      </w:r>
    </w:p>
    <w:p w14:paraId="6B9CE980" w14:textId="7CAD7C83" w:rsidR="00333CCD" w:rsidRDefault="56C07819" w:rsidP="00737736">
      <w:pPr>
        <w:spacing w:after="0" w:line="288" w:lineRule="auto"/>
        <w:rPr>
          <w:rFonts w:asciiTheme="majorHAnsi" w:hAnsiTheme="majorHAnsi" w:cstheme="majorBidi"/>
          <w:b/>
          <w:bCs/>
          <w:sz w:val="24"/>
          <w:szCs w:val="24"/>
        </w:rPr>
      </w:pPr>
      <w:r>
        <w:rPr>
          <w:rFonts w:asciiTheme="majorHAnsi" w:hAnsiTheme="majorHAnsi"/>
          <w:b/>
          <w:sz w:val="24"/>
        </w:rPr>
        <w:t>«A tua Europa, a tua voz» de 2026 – Documento de reflexão</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558C2D39" w:rsidR="001A4A3E" w:rsidRDefault="56C07819" w:rsidP="00737736">
      <w:pPr>
        <w:spacing w:after="0" w:line="288" w:lineRule="auto"/>
        <w:jc w:val="both"/>
        <w:rPr>
          <w:rFonts w:asciiTheme="majorHAnsi" w:hAnsiTheme="majorHAnsi" w:cstheme="majorBidi"/>
        </w:rPr>
      </w:pPr>
      <w:r>
        <w:rPr>
          <w:rFonts w:asciiTheme="majorHAnsi" w:hAnsiTheme="majorHAnsi"/>
        </w:rPr>
        <w:t>Todos os anos, na primavera, Bruxelas torna-se uma plataforma para as vozes dos jovens de toda a Europa. Desde 2010, o Comité Económico e Social Europeu (CESE) abre as portas aos jovens dos Estados</w:t>
      </w:r>
      <w:r w:rsidR="00E86E91">
        <w:rPr>
          <w:rFonts w:asciiTheme="majorHAnsi" w:hAnsiTheme="majorHAnsi"/>
        </w:rPr>
        <w:noBreakHyphen/>
      </w:r>
      <w:r>
        <w:rPr>
          <w:rFonts w:asciiTheme="majorHAnsi" w:hAnsiTheme="majorHAnsi"/>
        </w:rPr>
        <w:t>Membros da União Europeia (UE), dos países candidatos e do Reino Unido, convidando-os a entrar no centro do diálogo europeu.</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O evento «A tua Europa, a tua voz» é muito mais do que um encontro – é um laboratório vivo para a democracia participativa, um local onde as ideias não são apenas trocadas, mas são transformadas em recomendações que se refletem no trabalho consultivo e político do CESE.</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Em 2026, a iniciativa «A tua Europa, a tua voz» reunirá 137 participantes – alunos do ensino secundário, professores acompanhantes e jovens adultos associados a organizações de juventude, todos selecionados pela sua motivação, diversidade e empenho na participação cívica.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O evento decorrerá ao longo de dois dias, 19 e 20 de março, exclusivamente em inglês, na sede do CESE, em Bruxelas. A participação em linha dá lugar a encontros presenciais, que fomentam verdadeiras ligações e energia colaborativa.</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Para muitos, o caminho para a iniciativa «A tua Europa, a tua voz» começa com um convite aberto à apresentação de candidaturas. As escolas de toda a Europa mobilizam os seus alunos e jovens dirigentes mais empenhados e incentivam-nos a articular as razões pelas quais querem fazer parte desta experiência. Do mesmo modo, os jovens que fazem parte de uma organização de juventude, de um conselho nacional da juventude ou que participam em atividades de voluntariado são convidados a partilhar a sua motivação e a apresentar a sua candidatura. A seleção não consiste apenas em preencher requisitos estritos. Além da idade ou da formação adequadas, os participantes também devem demonstrar grande motivação e vontade de envolver as suas comunidades na experiência. O processo foi concebido para ser justo e inclusivo, garantindo a igualdade de oportunidades para os alunos com deficiência, os candidatos ao ensino profissional e jovens de todos os cantos da Europa.</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O evento «A tua Europa, a tua voz» está estruturado em torno de reuniões plenárias e seminários interativos, mas a sua verdadeira magia reside nas conversas que ocorrem entre umas e outros. Os facilitadores utilizam a liderança participativa e os</w:t>
      </w:r>
      <w:r>
        <w:t xml:space="preserve"> </w:t>
      </w:r>
      <w:hyperlink r:id="rId11">
        <w:r>
          <w:rPr>
            <w:rStyle w:val="Hyperlink"/>
            <w:rFonts w:asciiTheme="majorHAnsi" w:hAnsiTheme="majorHAnsi"/>
          </w:rPr>
          <w:t>métod</w:t>
        </w:r>
        <w:r>
          <w:rPr>
            <w:rStyle w:val="Hyperlink"/>
            <w:rFonts w:asciiTheme="majorHAnsi" w:hAnsiTheme="majorHAnsi"/>
          </w:rPr>
          <w:t>o</w:t>
        </w:r>
        <w:r>
          <w:rPr>
            <w:rStyle w:val="Hyperlink"/>
            <w:rFonts w:asciiTheme="majorHAnsi" w:hAnsiTheme="majorHAnsi"/>
          </w:rPr>
          <w:t>s de «Art of Hosting»</w:t>
        </w:r>
      </w:hyperlink>
      <w:r>
        <w:t xml:space="preserve"> </w:t>
      </w:r>
      <w:r>
        <w:rPr>
          <w:rFonts w:asciiTheme="majorHAnsi" w:hAnsiTheme="majorHAnsi"/>
        </w:rPr>
        <w:t>para criar espaços onde cada voz conta. Trata-se de uma forma altamente eficaz de aproveitar a sabedoria coletiva e a capacidade de auto-organização de grupos de qualquer dimensão. Partindo do pressuposto de que as pessoas despendem energia e empregam os seus recursos no que mais lhes interessa, os métodos combinam processos de conversação poderosos para convidar as pessoas a assumir a responsabilidade pelos desafios que enfrentam.</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lastRenderedPageBreak/>
        <w:t>A temática principal para 2026, a definir em breve, será estruturada em função da importância dos seguintes pilares fundamentais, que continuam a ser oportunos e de atualidade:</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Moldar o futuro &gt;</w:t>
      </w:r>
      <w:r>
        <w:rPr>
          <w:rFonts w:asciiTheme="majorHAnsi" w:hAnsiTheme="majorHAnsi"/>
        </w:rPr>
        <w:t xml:space="preserve"> Em que tipo de Europa querem os jovens viver? De que forma podem as suas perspetivas moldar a política e a sociedade?</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Participação cívica e democracia participativa &gt;</w:t>
      </w:r>
      <w:r>
        <w:rPr>
          <w:rFonts w:asciiTheme="majorHAnsi" w:hAnsiTheme="majorHAnsi"/>
        </w:rPr>
        <w:t xml:space="preserve"> O que significa ser um cidadão ativo? De que forma podem os jovens influenciar a tomada de decisões a todos os níveis?</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Transformação digital, inteligência artificial e juventude &gt;</w:t>
      </w:r>
      <w:r>
        <w:rPr>
          <w:rFonts w:asciiTheme="majorHAnsi" w:hAnsiTheme="majorHAnsi"/>
        </w:rPr>
        <w:t xml:space="preserve"> Que oportunidades e desafios estão associados à participação digital?</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rPr>
        <w:t>Coesão e inclusão social &gt;</w:t>
      </w:r>
      <w:r>
        <w:rPr>
          <w:rFonts w:asciiTheme="majorHAnsi" w:hAnsiTheme="majorHAnsi"/>
        </w:rPr>
        <w:t xml:space="preserve"> Como abordar a polarização e garantir que todos participam no processo de decisão?</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Ação em prol do clima e sustentabilidade &gt;</w:t>
      </w:r>
      <w:r>
        <w:rPr>
          <w:rFonts w:asciiTheme="majorHAnsi" w:hAnsiTheme="majorHAnsi"/>
        </w:rPr>
        <w:t xml:space="preserve"> Que papel podem os jovens desempenhar na promoção das mudanças ecológicas?</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Saúde mental e bem-estar &gt;</w:t>
      </w:r>
      <w:r>
        <w:rPr>
          <w:rFonts w:asciiTheme="majorHAnsi" w:hAnsiTheme="majorHAnsi"/>
        </w:rPr>
        <w:t xml:space="preserve"> Como apoiarmo-nos uns aos outros na via para a participação cívica?</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Os participantes serão incentivados a refletir cuidadosamente sobre as suas convicções, expectativas e prioridades e sobre a forma como podem participar na sua concretização. Os seminários foram concebidos para estimular o debate, inspirar novas ideias e incentivar os participantes a imaginarem medidas concretas para a colaboração e a mudança. O evento culmina numa reunião plenária em que as recomendações são elaboradas, não como declarações abstratas, mas como propostas exequíveis que refletem as expectativas e as prioridades da juventude europeia.</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rPr>
        <w:t>Seguimento da edição de 2026 da iniciativa «A tua Europa, a tua voz»</w:t>
      </w:r>
      <w:bookmarkEnd w:id="0"/>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O evento «A tua Europa, a tua voz» não termina quando o último seminário chega ao fim. O seguimento está integrado na base do evento. Cada escola e participante compromete-se a partilhar a sua experiência no «A tua Europa, a tua voz» no seu país de origem. De que forma? Através de apresentações, eventos locais ou divulgação nas redes sociais. Os alunos definem uma a três ações concretas para promover a participação cívica e na UE, com o apoio das suas escolas e amplificadas pelo CESE. Do mesmo modo, os jovens adultos são convidados a determinar a melhor forma de maximizar os resultados do evento. Essas histórias são partilhadas utilizando o marcador #YEYS2026, criando um mosaico digital do ativismo dos jovens em toda a Europa.</w:t>
      </w:r>
    </w:p>
    <w:p w14:paraId="30C5A598" w14:textId="160D49DC" w:rsidR="008949C5" w:rsidRPr="008949C5" w:rsidRDefault="2BF75223"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r>
        <w:rPr>
          <w:rFonts w:asciiTheme="majorHAnsi" w:hAnsiTheme="majorHAnsi"/>
        </w:rPr>
        <w:t>O</w:t>
      </w:r>
      <w:r>
        <w:t xml:space="preserve"> </w:t>
      </w:r>
      <w:hyperlink r:id="rId12">
        <w:r>
          <w:rPr>
            <w:rStyle w:val="Hyperlink"/>
            <w:rFonts w:asciiTheme="majorHAnsi" w:hAnsiTheme="majorHAnsi"/>
          </w:rPr>
          <w:t>Grupo do CESE para a Juven</w:t>
        </w:r>
        <w:r>
          <w:rPr>
            <w:rStyle w:val="Hyperlink"/>
            <w:rFonts w:asciiTheme="majorHAnsi" w:hAnsiTheme="majorHAnsi"/>
          </w:rPr>
          <w:t>t</w:t>
        </w:r>
        <w:r>
          <w:rPr>
            <w:rStyle w:val="Hyperlink"/>
            <w:rFonts w:asciiTheme="majorHAnsi" w:hAnsiTheme="majorHAnsi"/>
          </w:rPr>
          <w:t>ude</w:t>
        </w:r>
      </w:hyperlink>
      <w:r>
        <w:t xml:space="preserve"> </w:t>
      </w:r>
      <w:r>
        <w:rPr>
          <w:rFonts w:asciiTheme="majorHAnsi" w:hAnsiTheme="majorHAnsi"/>
        </w:rPr>
        <w:t>dará seguimento, partilhando as recomendações como potencial contributo para o trabalho consultivo e político realizado pelo CESE. Sempre que possível, o Grupo para a Juventude mencioná-las-á em eventos externos e analisará a forma de as integrar em pareceres selecionados que passam pela avaliação da perspetiva dos jovens pela UE no CESE.</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As viagens e o alojamento são organizados pelo CESE, permitindo que os participantes se concentrem na experiência e não na logística. Os materiais educativos são disponibilizados antecipadamente, e os membros do CESE visitam escolas selecionadas para preparar os alunos e os professores para a viagem.</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lastRenderedPageBreak/>
        <w:t>A edição de 2026 de «A tua Europa, a tua voz» é mais do que um evento; é uma oportunidade para travar conhecimento com jovens pares de todo o continente, aprender, debater e sonhar em conjunto. E, mais importante ainda, envolve o compromisso de levar o espírito de Bruxelas até às comunidades locais, transformando as ideias em ações e garantindo que as vozes dos jovens continuam a ecoar nos corredores do processo de decisão europeu.</w:t>
      </w:r>
    </w:p>
    <w:sectPr w:rsidR="00333CCD" w:rsidRPr="004C4CD9" w:rsidSect="00737736">
      <w:footerReference w:type="default" r:id="rId13"/>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E86E91">
      <w:fldChar w:fldCharType="begin"/>
    </w:r>
    <w:r w:rsidR="00E86E91">
      <w:instrText xml:space="preserve"> NUMPAGES </w:instrText>
    </w:r>
    <w:r w:rsidR="00E86E91">
      <w:fldChar w:fldCharType="separate"/>
    </w:r>
    <w:r w:rsidR="00351DC6">
      <w:t>2</w:t>
    </w:r>
    <w:r w:rsidR="00E86E9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E16AC"/>
    <w:rsid w:val="002F7294"/>
    <w:rsid w:val="00326F90"/>
    <w:rsid w:val="00333CCD"/>
    <w:rsid w:val="00351DC6"/>
    <w:rsid w:val="003A0918"/>
    <w:rsid w:val="003F37A8"/>
    <w:rsid w:val="004C4CD9"/>
    <w:rsid w:val="004D3A1D"/>
    <w:rsid w:val="00737736"/>
    <w:rsid w:val="007E4777"/>
    <w:rsid w:val="008949C5"/>
    <w:rsid w:val="0099308A"/>
    <w:rsid w:val="00A32784"/>
    <w:rsid w:val="00A80AC3"/>
    <w:rsid w:val="00AA1D8D"/>
    <w:rsid w:val="00B47730"/>
    <w:rsid w:val="00CB0664"/>
    <w:rsid w:val="00CE44BA"/>
    <w:rsid w:val="00D4694E"/>
    <w:rsid w:val="00DB5892"/>
    <w:rsid w:val="00E75B3E"/>
    <w:rsid w:val="00E86E91"/>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bidi="hi-x-bh-SD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15:docId w15:val="{87FC5859-424F-4BE4-A9F2-C4583F38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pt-PT"/>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pt-PT"/>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 w:type="character" w:styleId="FollowedHyperlink">
    <w:name w:val="FollowedHyperlink"/>
    <w:basedOn w:val="DefaultParagraphFont"/>
    <w:uiPriority w:val="99"/>
    <w:semiHidden/>
    <w:unhideWhenUsed/>
    <w:rsid w:val="00E86E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esc.europa.eu/pt/sections-other-bodies/other/eesc-youth-group" TargetMode="External"/><Relationship Id="rId2" Type="http://schemas.openxmlformats.org/officeDocument/2006/relationships/customXml" Target="../customXml/item2.xml"/><Relationship Id="rId16" Type="http://schemas.openxmlformats.org/officeDocument/2006/relationships/customXml" Target="../customXml/item5.xml"/><Relationship Id="rId11" Type="http://schemas.openxmlformats.org/officeDocument/2006/relationships/hyperlink" Target="https://artofhosting.org/"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D87BF-FBB3-4732-AE24-68E62A1754BD}"/>
</file>

<file path=customXml/itemProps2.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3.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4.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5.xml><?xml version="1.0" encoding="utf-8"?>
<ds:datastoreItem xmlns:ds="http://schemas.openxmlformats.org/officeDocument/2006/customXml" ds:itemID="{D55B182E-AE7C-4565-B420-DB1DEFE2DBE7}"/>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5394</Characters>
  <Application>Microsoft Office Word</Application>
  <DocSecurity>0</DocSecurity>
  <Lines>44</Lines>
  <Paragraphs>12</Paragraphs>
  <ScaleCrop>false</ScaleCrop>
  <Manager/>
  <Company/>
  <LinksUpToDate>false</LinksUpToDate>
  <CharactersWithSpaces>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tua Europa, a tua voz de 2026 - Documento de reflexão</dc:title>
  <dc:subject/>
  <dc:creator>python-docx</dc:creator>
  <cp:keywords/>
  <dc:description>generated by python-docx</dc:description>
  <cp:lastModifiedBy>Pomba Ramos Joao</cp:lastModifiedBy>
  <cp:revision>9</cp:revision>
  <dcterms:created xsi:type="dcterms:W3CDTF">2025-11-07T11:11:00Z</dcterms:created>
  <dcterms:modified xsi:type="dcterms:W3CDTF">2025-11-12T14:31:00Z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f3466663-9c4a-4917-80a9-41730b20293a</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9;#INFO|d9136e7c-93a9-4c42-9d28-92b61e85f80c</vt:lpwstr>
  </property>
  <property fmtid="{D5CDD505-2E9C-101B-9397-08002B2CF9AE}" pid="23" name="RequestingService">
    <vt:lpwstr>Visites</vt:lpwstr>
  </property>
  <property fmtid="{D5CDD505-2E9C-101B-9397-08002B2CF9AE}" pid="24" name="Confidentiality">
    <vt:lpwstr>6;#Internal|2451815e-8241-4bbf-a22e-1ab710712bf2</vt:lpwstr>
  </property>
  <property fmtid="{D5CDD505-2E9C-101B-9397-08002B2CF9AE}" pid="25" name="MeetingName_0">
    <vt:lpwstr/>
  </property>
  <property fmtid="{D5CDD505-2E9C-101B-9397-08002B2CF9AE}" pid="26" name="Confidentiality_0">
    <vt:lpwstr>Internal|2451815e-8241-4bbf-a22e-1ab710712bf2</vt:lpwstr>
  </property>
  <property fmtid="{D5CDD505-2E9C-101B-9397-08002B2CF9AE}" pid="27" name="OriginalLanguage">
    <vt:lpwstr>5;#EN|f2175f21-25d7-44a3-96da-d6a61b075e1b</vt:lpwstr>
  </property>
  <property fmtid="{D5CDD505-2E9C-101B-9397-08002B2CF9AE}" pid="28" name="MeetingName">
    <vt:lpwstr/>
  </property>
  <property fmtid="{D5CDD505-2E9C-101B-9397-08002B2CF9AE}" pid="30" name="AvailableTranslations_0">
    <vt:lpwstr>EN|f2175f21-25d7-44a3-96da-d6a61b075e1b;DA|5d49c027-8956-412b-aa16-e85a0f96ad0e</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40;#DA|5d49c027-8956-412b-aa16-e85a0f96ad0e;#13;#TRA|150d2a88-1431-44e6-a8ca-0bb753ab8672;#9;#INFO|d9136e7c-93a9-4c42-9d28-92b61e85f80c;#8;#Final|ea5e6674-7b27-4bac-b091-73adbb394efe;#6;#Internal|2451815e-8241-4bbf-a22e-1ab710712bf2;#5;#EN|f2175f21-25d7-44a3-96da-d6a61b075e1b;#1;#EESC|422833ec-8d7e-4e65-8e4e-8bed07ffb729</vt:lpwstr>
  </property>
  <property fmtid="{D5CDD505-2E9C-101B-9397-08002B2CF9AE}" pid="34" name="VersionStatus_0">
    <vt:lpwstr>Final|ea5e6674-7b27-4bac-b091-73adbb394efe</vt:lpwstr>
  </property>
  <property fmtid="{D5CDD505-2E9C-101B-9397-08002B2CF9AE}" pid="35" name="VersionStatus">
    <vt:lpwstr>8;#Final|ea5e6674-7b27-4bac-b091-73adbb394efe</vt:lpwstr>
  </property>
  <property fmtid="{D5CDD505-2E9C-101B-9397-08002B2CF9AE}" pid="36" name="DocumentYear">
    <vt:i4>2025</vt:i4>
  </property>
  <property fmtid="{D5CDD505-2E9C-101B-9397-08002B2CF9AE}" pid="37" name="DocumentLanguage">
    <vt:lpwstr>33;#PT|50ccc04a-eadd-42ae-a0cb-acaf45f812ba</vt:lpwstr>
  </property>
  <property fmtid="{D5CDD505-2E9C-101B-9397-08002B2CF9AE}" pid="38" name="_docset_NoMedatataSyncRequired">
    <vt:lpwstr>False</vt:lpwstr>
  </property>
  <property fmtid="{D5CDD505-2E9C-101B-9397-08002B2CF9AE}" pid="39" name="Order">
    <vt:r8>28800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