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E980" w14:textId="20284EE7" w:rsidR="00333CCD" w:rsidRDefault="00737736" w:rsidP="00737736">
      <w:pPr>
        <w:spacing w:after="0" w:line="288" w:lineRule="auto"/>
        <w:rPr>
          <w:rFonts w:asciiTheme="majorHAnsi" w:hAnsiTheme="majorHAnsi" w:cstheme="majorBidi"/>
          <w:b/>
          <w:bCs/>
          <w:sz w:val="24"/>
          <w:szCs w:val="24"/>
        </w:rPr>
      </w:pPr>
      <w:r>
        <w:rPr>
          <w:rFonts w:asciiTheme="majorHAnsi" w:hAnsiTheme="majorHAnsi"/>
          <w:b/>
          <w:noProof/>
          <w:sz w:val="20"/>
        </w:rPr>
        <mc:AlternateContent>
          <mc:Choice Requires="wps">
            <w:drawing>
              <wp:anchor distT="0" distB="0" distL="114300" distR="114300" simplePos="0" relativeHeight="251659264" behindDoc="1" locked="0" layoutInCell="0" allowOverlap="1" wp14:anchorId="09AD18F1" wp14:editId="50A2914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25D69" w14:textId="77777777" w:rsidR="00737736" w:rsidRPr="00260E65" w:rsidRDefault="00737736">
                            <w:pPr>
                              <w:jc w:val="center"/>
                              <w:rPr>
                                <w:rFonts w:ascii="Arial" w:hAnsi="Arial" w:cs="Arial"/>
                                <w:b/>
                                <w:bCs/>
                                <w:sz w:val="48"/>
                              </w:rPr>
                            </w:pPr>
                            <w:r>
                              <w:rPr>
                                <w:rFonts w:ascii="Arial" w:hAnsi="Arial"/>
                                <w:b/>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D18F1"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54E25D69" w14:textId="77777777" w:rsidR="00737736" w:rsidRPr="00260E65" w:rsidRDefault="00737736">
                      <w:pPr>
                        <w:jc w:val="center"/>
                        <w:rPr>
                          <w:rFonts w:ascii="Arial" w:hAnsi="Arial" w:cs="Arial"/>
                          <w:b/>
                          <w:bCs/>
                          <w:sz w:val="48"/>
                        </w:rPr>
                      </w:pPr>
                      <w:r>
                        <w:rPr>
                          <w:rFonts w:ascii="Arial" w:hAnsi="Arial"/>
                          <w:b/>
                          <w:sz w:val="48"/>
                        </w:rPr>
                        <w:t>LV</w:t>
                      </w:r>
                    </w:p>
                  </w:txbxContent>
                </v:textbox>
                <w10:wrap anchorx="page" anchory="page"/>
              </v:shape>
            </w:pict>
          </mc:Fallback>
        </mc:AlternateContent>
      </w:r>
      <w:r w:rsidR="56C07819">
        <w:rPr>
          <w:rFonts w:asciiTheme="majorHAnsi" w:hAnsiTheme="majorHAnsi"/>
          <w:b/>
          <w:sz w:val="24"/>
        </w:rPr>
        <w:t>“Jūsu Eiropa, jūsu lēmumi” 2026. gadā: koncepcijas dokuments</w:t>
      </w:r>
    </w:p>
    <w:p w14:paraId="02CAE187" w14:textId="77777777" w:rsidR="00737736" w:rsidRPr="008949C5" w:rsidRDefault="00737736" w:rsidP="00737736">
      <w:pPr>
        <w:spacing w:after="0" w:line="288" w:lineRule="auto"/>
        <w:rPr>
          <w:rFonts w:asciiTheme="majorHAnsi" w:hAnsiTheme="majorHAnsi" w:cstheme="majorBidi"/>
          <w:b/>
          <w:bCs/>
          <w:sz w:val="24"/>
          <w:szCs w:val="24"/>
        </w:rPr>
      </w:pPr>
    </w:p>
    <w:p w14:paraId="0AE05097" w14:textId="13F6D70B" w:rsidR="001A4A3E" w:rsidRDefault="56C07819" w:rsidP="00737736">
      <w:pPr>
        <w:spacing w:after="0" w:line="288" w:lineRule="auto"/>
        <w:jc w:val="both"/>
        <w:rPr>
          <w:rFonts w:asciiTheme="majorHAnsi" w:hAnsiTheme="majorHAnsi" w:cstheme="majorBidi"/>
        </w:rPr>
      </w:pPr>
      <w:r>
        <w:rPr>
          <w:rFonts w:asciiTheme="majorHAnsi" w:hAnsiTheme="majorHAnsi"/>
        </w:rPr>
        <w:t>Katru pavasari Briselē pulcējas jaunieši no visas Eiropas. Kopš 2010. gada Eiropas Ekonomikas un sociālo lietu komiteja (EESK) ir vērusi durvis jauniešiem no ES dalībvalstīm, kandidātvalstīm un Apvienotās Karalistes, aicinot viņus iesaistīties Eiropas dialogā.</w:t>
      </w:r>
    </w:p>
    <w:p w14:paraId="494DF424" w14:textId="77777777" w:rsidR="00737736" w:rsidRDefault="00737736" w:rsidP="00737736">
      <w:pPr>
        <w:spacing w:after="0" w:line="288" w:lineRule="auto"/>
        <w:jc w:val="both"/>
        <w:rPr>
          <w:rFonts w:asciiTheme="majorHAnsi" w:hAnsiTheme="majorHAnsi" w:cstheme="majorBidi"/>
        </w:rPr>
      </w:pPr>
    </w:p>
    <w:p w14:paraId="7DB6CBFB" w14:textId="331BFAC3"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Pasākums “Jūsu Eiropa, jūsu lēmumi” (</w:t>
      </w:r>
      <w:proofErr w:type="spellStart"/>
      <w:r>
        <w:rPr>
          <w:rFonts w:asciiTheme="majorHAnsi" w:hAnsiTheme="majorHAnsi"/>
          <w:i/>
          <w:iCs/>
        </w:rPr>
        <w:t>Your</w:t>
      </w:r>
      <w:proofErr w:type="spellEnd"/>
      <w:r>
        <w:rPr>
          <w:rFonts w:asciiTheme="majorHAnsi" w:hAnsiTheme="majorHAnsi"/>
          <w:i/>
          <w:iCs/>
        </w:rPr>
        <w:t xml:space="preserve"> </w:t>
      </w:r>
      <w:proofErr w:type="spellStart"/>
      <w:r>
        <w:rPr>
          <w:rFonts w:asciiTheme="majorHAnsi" w:hAnsiTheme="majorHAnsi"/>
          <w:i/>
          <w:iCs/>
        </w:rPr>
        <w:t>Europe</w:t>
      </w:r>
      <w:proofErr w:type="spellEnd"/>
      <w:r>
        <w:rPr>
          <w:rFonts w:asciiTheme="majorHAnsi" w:hAnsiTheme="majorHAnsi"/>
          <w:i/>
          <w:iCs/>
        </w:rPr>
        <w:t xml:space="preserve">, </w:t>
      </w:r>
      <w:proofErr w:type="spellStart"/>
      <w:r>
        <w:rPr>
          <w:rFonts w:asciiTheme="majorHAnsi" w:hAnsiTheme="majorHAnsi"/>
          <w:i/>
          <w:iCs/>
        </w:rPr>
        <w:t>Your</w:t>
      </w:r>
      <w:proofErr w:type="spellEnd"/>
      <w:r>
        <w:rPr>
          <w:rFonts w:asciiTheme="majorHAnsi" w:hAnsiTheme="majorHAnsi"/>
          <w:i/>
          <w:iCs/>
        </w:rPr>
        <w:t xml:space="preserve"> </w:t>
      </w:r>
      <w:proofErr w:type="spellStart"/>
      <w:r>
        <w:rPr>
          <w:rFonts w:asciiTheme="majorHAnsi" w:hAnsiTheme="majorHAnsi"/>
          <w:i/>
          <w:iCs/>
        </w:rPr>
        <w:t>Say</w:t>
      </w:r>
      <w:proofErr w:type="spellEnd"/>
      <w:r>
        <w:rPr>
          <w:rFonts w:asciiTheme="majorHAnsi" w:hAnsiTheme="majorHAnsi"/>
          <w:i/>
          <w:iCs/>
        </w:rPr>
        <w:t xml:space="preserve"> – YEYS</w:t>
      </w:r>
      <w:r>
        <w:rPr>
          <w:rFonts w:asciiTheme="majorHAnsi" w:hAnsiTheme="majorHAnsi"/>
        </w:rPr>
        <w:t>) ir vairāk nekā vienkārši satikšanās – tā ir dzīva līdzdalības demokrātijas laboratorija, vieta, kur notiek ne tikai ideju apmaiņa, bet arī to pārvēršana ieteikumos, kas atspoguļojas EESK konsultatīvajā un politiskajā darbā.</w:t>
      </w:r>
    </w:p>
    <w:p w14:paraId="0443544E" w14:textId="77777777" w:rsidR="001A4A3E" w:rsidRDefault="001A4A3E" w:rsidP="00737736">
      <w:pPr>
        <w:spacing w:after="0" w:line="288" w:lineRule="auto"/>
        <w:jc w:val="both"/>
        <w:rPr>
          <w:rFonts w:asciiTheme="majorHAnsi" w:hAnsiTheme="majorHAnsi" w:cstheme="majorBidi"/>
        </w:rPr>
      </w:pPr>
    </w:p>
    <w:p w14:paraId="7357C6A1" w14:textId="5178DDAF" w:rsidR="00A32784" w:rsidRDefault="56C07819" w:rsidP="00737736">
      <w:pPr>
        <w:spacing w:after="0" w:line="288" w:lineRule="auto"/>
        <w:jc w:val="both"/>
        <w:rPr>
          <w:rFonts w:asciiTheme="majorHAnsi" w:hAnsiTheme="majorHAnsi" w:cstheme="majorBidi"/>
        </w:rPr>
      </w:pPr>
      <w:r>
        <w:rPr>
          <w:rFonts w:asciiTheme="majorHAnsi" w:hAnsiTheme="majorHAnsi"/>
        </w:rPr>
        <w:t xml:space="preserve">2026. gadā “Jūsu Eiropa, jūsu lēmumi” pulcēs 137 dalībniekus – vidusskolniekus, viņus pavadošos skolotājus, kā arī jauniešus, kas saistīti ar jaunatnes organizācijām. Viņi ir tikuši izraudzīti, vadoties pēc viņu motivācijas, daudzveidīguma un līdzdalības pilsoniskās sabiedrības dzīvē. </w:t>
      </w:r>
    </w:p>
    <w:p w14:paraId="68BC5F62" w14:textId="559963DF" w:rsidR="00333CCD" w:rsidRDefault="56C07819" w:rsidP="00737736">
      <w:pPr>
        <w:spacing w:after="0" w:line="288" w:lineRule="auto"/>
        <w:jc w:val="both"/>
        <w:rPr>
          <w:rFonts w:asciiTheme="majorHAnsi" w:hAnsiTheme="majorHAnsi" w:cstheme="majorBidi"/>
        </w:rPr>
      </w:pPr>
      <w:r>
        <w:rPr>
          <w:rFonts w:asciiTheme="majorHAnsi" w:hAnsiTheme="majorHAnsi"/>
        </w:rPr>
        <w:t>Pasākums norisināsies divas dienas – 19. un 20. martā – EESK telpās Briselē, un tas notiks tikai angļu valodā. Piedalīšanās tiešsaistē ir atcelta, lai veicinātu klātienes tikšanās, kas sekmē patiesu saikni un sadarbības radīto enerģiju.</w:t>
      </w:r>
    </w:p>
    <w:p w14:paraId="6A496035" w14:textId="77777777" w:rsidR="00A32784" w:rsidRPr="004C4CD9" w:rsidRDefault="00A32784" w:rsidP="00737736">
      <w:pPr>
        <w:spacing w:after="0" w:line="288" w:lineRule="auto"/>
        <w:jc w:val="both"/>
        <w:rPr>
          <w:rFonts w:asciiTheme="majorHAnsi" w:hAnsiTheme="majorHAnsi" w:cstheme="majorBidi"/>
        </w:rPr>
      </w:pPr>
    </w:p>
    <w:p w14:paraId="1DA40E8A" w14:textId="3422C97A" w:rsidR="00333CCD" w:rsidRDefault="56C07819" w:rsidP="00737736">
      <w:pPr>
        <w:spacing w:after="0" w:line="288" w:lineRule="auto"/>
        <w:jc w:val="both"/>
        <w:rPr>
          <w:rFonts w:asciiTheme="majorHAnsi" w:hAnsiTheme="majorHAnsi" w:cstheme="majorBidi"/>
        </w:rPr>
      </w:pPr>
      <w:r>
        <w:rPr>
          <w:rFonts w:asciiTheme="majorHAnsi" w:hAnsiTheme="majorHAnsi"/>
        </w:rPr>
        <w:t>Daudziem ceļš uz “Jūsu Eiropa, jūsu lēmumi” sākas ar atklātu uzaicinājumu iesniegt pieteikumus. Skolas visā Eiropā uzrunā savus uzņēmīgākos skolēnus un jaunos līderus, mudinot viņus izklāstīt, kāpēc viņi vēlas pieredzēt šo pasākumu. Tāpat arī jaunieši – neatkarīgi no tā, vai viņi ir kādas jaunatnes organizācijas vai valsts jaunatnes padomes biedri vai aktīvi darbojas kā brīvprātīgie – tiek aicināti pieteikties, nosūtot motivācijas vēstuli. Atlases pamatā nav tikai lodziņu atzīmēšana, bet gan tādu jauniešu meklēšana, kuri ne tikai atbilst vecuma vai konteksta kritērijiem, bet arī izrāda motivāciju un vēlmi iesaistīt savas kopienas. Process ir veidots tā, lai tas būtu godīgs un iekļaujošs un nodrošinātu vienlīdzīgas iespējas skolēniem ar invaliditāti, profesionālās izglītības kandidātiem un jauniešiem no visiem Eiropas reģioniem.</w:t>
      </w:r>
    </w:p>
    <w:p w14:paraId="04D98E32" w14:textId="77777777" w:rsidR="00A32784" w:rsidRPr="004C4CD9" w:rsidRDefault="00A32784" w:rsidP="00737736">
      <w:pPr>
        <w:spacing w:after="0" w:line="288" w:lineRule="auto"/>
        <w:jc w:val="both"/>
        <w:rPr>
          <w:rFonts w:asciiTheme="majorHAnsi" w:hAnsiTheme="majorHAnsi" w:cstheme="majorBidi"/>
        </w:rPr>
      </w:pPr>
    </w:p>
    <w:p w14:paraId="55397687" w14:textId="4B204780" w:rsidR="008949C5" w:rsidRPr="008949C5" w:rsidRDefault="56C07819" w:rsidP="00737736">
      <w:pPr>
        <w:spacing w:after="0" w:line="288" w:lineRule="auto"/>
        <w:jc w:val="both"/>
        <w:rPr>
          <w:rFonts w:asciiTheme="majorHAnsi" w:hAnsiTheme="majorHAnsi" w:cstheme="majorBidi"/>
        </w:rPr>
      </w:pPr>
      <w:r>
        <w:rPr>
          <w:rFonts w:asciiTheme="majorHAnsi" w:hAnsiTheme="majorHAnsi"/>
        </w:rPr>
        <w:t>Pasākums “Jūsu Eiropa, jūsu lēmumi” tiek organizēts kā plenārsēdes un interaktīvas darbnīcas, taču tā patiesā burvība slēpjas savstarpējās sarunās. Moderatori izmanto līdzdalībā balstītas vadības metodes un</w:t>
      </w:r>
      <w:r>
        <w:t xml:space="preserve"> </w:t>
      </w:r>
      <w:hyperlink r:id="rId11">
        <w:r>
          <w:rPr>
            <w:rStyle w:val="Hyperlink"/>
            <w:rFonts w:asciiTheme="majorHAnsi" w:hAnsiTheme="majorHAnsi"/>
          </w:rPr>
          <w:t xml:space="preserve">“Art </w:t>
        </w:r>
        <w:proofErr w:type="spellStart"/>
        <w:r>
          <w:rPr>
            <w:rStyle w:val="Hyperlink"/>
            <w:rFonts w:asciiTheme="majorHAnsi" w:hAnsiTheme="majorHAnsi"/>
          </w:rPr>
          <w:t>of</w:t>
        </w:r>
        <w:proofErr w:type="spellEnd"/>
        <w:r>
          <w:rPr>
            <w:rStyle w:val="Hyperlink"/>
            <w:rFonts w:asciiTheme="majorHAnsi" w:hAnsiTheme="majorHAnsi"/>
          </w:rPr>
          <w:t xml:space="preserve"> </w:t>
        </w:r>
        <w:proofErr w:type="spellStart"/>
        <w:r>
          <w:rPr>
            <w:rStyle w:val="Hyperlink"/>
            <w:rFonts w:asciiTheme="majorHAnsi" w:hAnsiTheme="majorHAnsi"/>
          </w:rPr>
          <w:t>Hosting</w:t>
        </w:r>
        <w:proofErr w:type="spellEnd"/>
        <w:r>
          <w:rPr>
            <w:rStyle w:val="Hyperlink"/>
            <w:rFonts w:asciiTheme="majorHAnsi" w:hAnsiTheme="majorHAnsi"/>
          </w:rPr>
          <w:t>” metodes</w:t>
        </w:r>
      </w:hyperlink>
      <w:r>
        <w:rPr>
          <w:rFonts w:asciiTheme="majorHAnsi" w:hAnsiTheme="majorHAnsi"/>
        </w:rPr>
        <w:t xml:space="preserve">, lai radītu vidi, kurā tiek uzklausīts katrs viedoklis. Tās ir ļoti efektīvas metodes, kā izmantot jebkura lieluma grupu kolektīvās zināšanas un </w:t>
      </w:r>
      <w:proofErr w:type="spellStart"/>
      <w:r>
        <w:rPr>
          <w:rFonts w:asciiTheme="majorHAnsi" w:hAnsiTheme="majorHAnsi"/>
        </w:rPr>
        <w:t>pašorganizēšanās</w:t>
      </w:r>
      <w:proofErr w:type="spellEnd"/>
      <w:r>
        <w:rPr>
          <w:rFonts w:asciiTheme="majorHAnsi" w:hAnsiTheme="majorHAnsi"/>
        </w:rPr>
        <w:t xml:space="preserve"> spējas. Pamatojoties uz pieņēmumu, ka cilvēki iegulda enerģiju un pūles tajos tematos, kas viņiem ir vissvarīgākie, minēto metožu pamatā ir intensīvi sarunu procesi, kas cilvēkus mudina pašus risināt problēmas, ar kurām viņi saskaras.</w:t>
      </w:r>
    </w:p>
    <w:p w14:paraId="4EBDBB59" w14:textId="1884EDDD" w:rsidR="00A32784" w:rsidRPr="008949C5" w:rsidRDefault="00A32784" w:rsidP="00737736">
      <w:pPr>
        <w:spacing w:after="0" w:line="288" w:lineRule="auto"/>
        <w:jc w:val="both"/>
        <w:rPr>
          <w:rFonts w:asciiTheme="majorHAnsi" w:hAnsiTheme="majorHAnsi" w:cstheme="majorBidi"/>
        </w:rPr>
      </w:pPr>
    </w:p>
    <w:p w14:paraId="39CE991A" w14:textId="3EC4D934"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2026. gada tematiskā ievirze, kas drīz būs zināma, tiks izstrādāta, ņemot vērā to, cik svarīgi ir šādi nozīmīgākie un joprojām aktuālie pīlāri:</w:t>
      </w:r>
    </w:p>
    <w:p w14:paraId="45D45389" w14:textId="5971E541"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Veidosim rītdienu &gt;</w:t>
      </w:r>
      <w:r>
        <w:rPr>
          <w:rFonts w:asciiTheme="majorHAnsi" w:hAnsiTheme="majorHAnsi"/>
        </w:rPr>
        <w:t xml:space="preserve"> Kādā Eiropā jaunieši vēlas dzīvot? Kā viņu viedoklis var veidot politiku un sabiedrību?</w:t>
      </w:r>
    </w:p>
    <w:p w14:paraId="7D95877B" w14:textId="38D2AB43"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Pilsoniskā iesaiste un līdzdalības demokrātija &gt;</w:t>
      </w:r>
      <w:r>
        <w:rPr>
          <w:rFonts w:asciiTheme="majorHAnsi" w:hAnsiTheme="majorHAnsi"/>
        </w:rPr>
        <w:t xml:space="preserve"> Ko nozīmē būt aktīvam pilsonim? Kā jaunieši var ietekmēt lēmumu pieņemšanu visos līmeņos?</w:t>
      </w:r>
    </w:p>
    <w:p w14:paraId="585BC712" w14:textId="27DF8192"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lastRenderedPageBreak/>
        <w:t>Digitālā pārveide, mākslīgais intelekts un jaunatne &gt;</w:t>
      </w:r>
      <w:r>
        <w:rPr>
          <w:rFonts w:asciiTheme="majorHAnsi" w:hAnsiTheme="majorHAnsi"/>
        </w:rPr>
        <w:t xml:space="preserve"> Kādas iespējas un izaicinājumus rada digitālā līdzdalība?</w:t>
      </w:r>
    </w:p>
    <w:p w14:paraId="53F0F38D" w14:textId="6087A954" w:rsidR="00333CCD" w:rsidRDefault="56C07819" w:rsidP="00737736">
      <w:pPr>
        <w:spacing w:after="0" w:line="288" w:lineRule="auto"/>
        <w:ind w:left="567"/>
        <w:jc w:val="both"/>
        <w:rPr>
          <w:rFonts w:asciiTheme="majorHAnsi" w:hAnsiTheme="majorHAnsi" w:cstheme="majorBidi"/>
        </w:rPr>
      </w:pPr>
      <w:r>
        <w:rPr>
          <w:rFonts w:asciiTheme="majorHAnsi" w:hAnsiTheme="majorHAnsi"/>
          <w:b/>
        </w:rPr>
        <w:t xml:space="preserve">Sociālā kohēzija un </w:t>
      </w:r>
      <w:proofErr w:type="spellStart"/>
      <w:r>
        <w:rPr>
          <w:rFonts w:asciiTheme="majorHAnsi" w:hAnsiTheme="majorHAnsi"/>
          <w:b/>
        </w:rPr>
        <w:t>iekļautība</w:t>
      </w:r>
      <w:proofErr w:type="spellEnd"/>
      <w:r>
        <w:rPr>
          <w:rFonts w:asciiTheme="majorHAnsi" w:hAnsiTheme="majorHAnsi"/>
          <w:b/>
        </w:rPr>
        <w:t xml:space="preserve"> &gt;</w:t>
      </w:r>
      <w:r>
        <w:rPr>
          <w:rFonts w:asciiTheme="majorHAnsi" w:hAnsiTheme="majorHAnsi"/>
        </w:rPr>
        <w:t xml:space="preserve"> Kā risināt polarizācijas problēmu un nodrošināt, ka ikvienam ir vieta pie sarunu galda?</w:t>
      </w:r>
    </w:p>
    <w:p w14:paraId="5DBC4548" w14:textId="40F71564"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Klimatrīcība un ilgtspēja &gt;</w:t>
      </w:r>
      <w:r>
        <w:rPr>
          <w:rFonts w:asciiTheme="majorHAnsi" w:hAnsiTheme="majorHAnsi"/>
        </w:rPr>
        <w:t xml:space="preserve"> Kāda var būt jauniešu loma vides pārmaiņu veicināšanā?</w:t>
      </w:r>
    </w:p>
    <w:p w14:paraId="1ABACBED" w14:textId="580190A8"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Psihoemocionālā veselība un labbūtība &gt;</w:t>
      </w:r>
      <w:r>
        <w:rPr>
          <w:rFonts w:asciiTheme="majorHAnsi" w:hAnsiTheme="majorHAnsi"/>
        </w:rPr>
        <w:t xml:space="preserve"> Kā mēs viens otru atbalstām pilsoniskās līdzdalības ceļā?</w:t>
      </w:r>
    </w:p>
    <w:p w14:paraId="31F9FFE0" w14:textId="77777777" w:rsidR="008949C5" w:rsidRDefault="008949C5" w:rsidP="00737736">
      <w:pPr>
        <w:spacing w:after="0" w:line="288" w:lineRule="auto"/>
        <w:jc w:val="both"/>
        <w:rPr>
          <w:rFonts w:asciiTheme="majorHAnsi" w:eastAsia="Aptos" w:hAnsiTheme="majorHAnsi" w:cstheme="majorBidi"/>
          <w:color w:val="333333"/>
        </w:rPr>
      </w:pPr>
    </w:p>
    <w:p w14:paraId="0B2E04BD" w14:textId="5344D248" w:rsidR="00333CCD" w:rsidRPr="008949C5" w:rsidRDefault="39E3BE42" w:rsidP="00737736">
      <w:pPr>
        <w:spacing w:after="0" w:line="288" w:lineRule="auto"/>
        <w:jc w:val="both"/>
        <w:rPr>
          <w:rFonts w:ascii="Calibri" w:hAnsi="Calibri" w:cs="Calibri"/>
        </w:rPr>
      </w:pPr>
      <w:r>
        <w:rPr>
          <w:rFonts w:ascii="Calibri" w:hAnsi="Calibri"/>
        </w:rPr>
        <w:t>Dalībnieki tiks mudināti</w:t>
      </w:r>
      <w:r>
        <w:rPr>
          <w:rFonts w:ascii="Calibri" w:hAnsi="Calibri"/>
          <w:sz w:val="25"/>
        </w:rPr>
        <w:t xml:space="preserve"> </w:t>
      </w:r>
      <w:r>
        <w:rPr>
          <w:rFonts w:ascii="Calibri" w:hAnsi="Calibri"/>
        </w:rPr>
        <w:t>rūpīgi apdomāt savus uzskatus, vēlmes un prioritātes, kā arī to, kā viņi var piedalīties to īstenošanā. Darbsemināri ir veidoti tā, lai rosinātu diskusijas, iedvesmotu jaunas idejas un mudinātu dalībniekus iztēloties konkrētus sadarbības un pārmaiņu soļus. Pasākuma kulminācija būs plenārsēde, kurā tiks izstrādāti ieteikumi, kas būs nevis abstrakti paziņojumi, bet gan īstenojami priekšlikumi, kuros atspoguļotas Eiropas jauniešu cerības un prioritātes.</w:t>
      </w:r>
    </w:p>
    <w:p w14:paraId="54902ED9" w14:textId="77777777" w:rsidR="008949C5" w:rsidRDefault="008949C5" w:rsidP="00737736">
      <w:pPr>
        <w:pStyle w:val="paragraph"/>
        <w:spacing w:beforeAutospacing="0" w:after="0" w:afterAutospacing="0" w:line="288" w:lineRule="auto"/>
        <w:jc w:val="both"/>
        <w:textAlignment w:val="baseline"/>
        <w:rPr>
          <w:rFonts w:ascii="Aptos" w:eastAsia="Aptos" w:hAnsi="Aptos" w:cs="Aptos"/>
          <w:b/>
          <w:bCs/>
          <w:color w:val="333333"/>
          <w:sz w:val="24"/>
          <w:szCs w:val="24"/>
        </w:rPr>
      </w:pPr>
      <w:bookmarkStart w:id="0" w:name="_Toc181190022"/>
    </w:p>
    <w:p w14:paraId="2BCAF87A" w14:textId="24AB23FC" w:rsidR="008949C5" w:rsidRPr="008949C5" w:rsidRDefault="2BF75223" w:rsidP="00737736">
      <w:pPr>
        <w:pStyle w:val="paragraph"/>
        <w:spacing w:beforeAutospacing="0" w:after="0" w:afterAutospacing="0" w:line="288" w:lineRule="auto"/>
        <w:jc w:val="both"/>
        <w:textAlignment w:val="baseline"/>
        <w:rPr>
          <w:rFonts w:eastAsia="Aptos"/>
          <w:b/>
          <w:bCs/>
        </w:rPr>
      </w:pPr>
      <w:r>
        <w:rPr>
          <w:b/>
        </w:rPr>
        <w:t>Turpmākie pasākumi pēc “Jūsu Eiropa, jūsu lēmumi” 2026</w:t>
      </w:r>
      <w:bookmarkEnd w:id="0"/>
    </w:p>
    <w:p w14:paraId="7F787EA1" w14:textId="0E819275" w:rsidR="00333CCD" w:rsidRPr="008949C5" w:rsidRDefault="56C07819" w:rsidP="00737736">
      <w:pPr>
        <w:spacing w:after="0" w:line="288" w:lineRule="auto"/>
        <w:jc w:val="both"/>
        <w:rPr>
          <w:rFonts w:asciiTheme="majorHAnsi" w:hAnsiTheme="majorHAnsi" w:cstheme="majorBidi"/>
        </w:rPr>
      </w:pPr>
      <w:r>
        <w:rPr>
          <w:rFonts w:asciiTheme="majorHAnsi" w:hAnsiTheme="majorHAnsi"/>
        </w:rPr>
        <w:t xml:space="preserve">“Jūsu Eiropa, jūsu lēmumi” nebeigsies līdz ar pēdējā darbsemināra noslēgumu. Turpmākais darbs ir pasākuma neatņemama sastāvdaļa. Katra skola un dalībnieks apņemas pēc atgriešanās mājās dalīties ar pasākumā “Jūsu Eiropa, jūsu lēmumi” gūto pieredzi. Kā? Izmantojot prezentācijas, vietējos pasākumus un sociālos medijus. Skolēni izklāsta pilsoniskās un ES iesaistes veicināšanai paredzētus ne vairāk kā trīs konkrētus pasākumus, ko atbalsta viņu skola un popularizē EESK. Tāpat gados jauni pieaugušie tiek aicināti izpētīt, kā vislabāk maksimāli palielināt pasākuma rezultātu ietekmi. Šie stāsti tiek kopīgoti, izmantojot </w:t>
      </w:r>
      <w:proofErr w:type="spellStart"/>
      <w:r>
        <w:rPr>
          <w:rFonts w:asciiTheme="majorHAnsi" w:hAnsiTheme="majorHAnsi"/>
        </w:rPr>
        <w:t>tēmturi</w:t>
      </w:r>
      <w:proofErr w:type="spellEnd"/>
      <w:r>
        <w:rPr>
          <w:rFonts w:asciiTheme="majorHAnsi" w:hAnsiTheme="majorHAnsi"/>
        </w:rPr>
        <w:t xml:space="preserve"> #YEYS2026, tādējādi radot jauniešu </w:t>
      </w:r>
      <w:proofErr w:type="spellStart"/>
      <w:r>
        <w:rPr>
          <w:rFonts w:asciiTheme="majorHAnsi" w:hAnsiTheme="majorHAnsi"/>
        </w:rPr>
        <w:t>aktīvisma</w:t>
      </w:r>
      <w:proofErr w:type="spellEnd"/>
      <w:r>
        <w:rPr>
          <w:rFonts w:asciiTheme="majorHAnsi" w:hAnsiTheme="majorHAnsi"/>
        </w:rPr>
        <w:t xml:space="preserve"> digitālo gobelēnu visā Eiropā.</w:t>
      </w:r>
    </w:p>
    <w:p w14:paraId="30C5A598" w14:textId="160D49DC" w:rsidR="008949C5" w:rsidRPr="008949C5" w:rsidRDefault="00B2440B" w:rsidP="00737736">
      <w:pPr>
        <w:pStyle w:val="paragraph"/>
        <w:spacing w:beforeAutospacing="0" w:after="0" w:afterAutospacing="0" w:line="288" w:lineRule="auto"/>
        <w:jc w:val="both"/>
        <w:textAlignment w:val="baseline"/>
        <w:rPr>
          <w:rFonts w:asciiTheme="majorHAnsi" w:eastAsia="Aptos" w:hAnsiTheme="majorHAnsi" w:cstheme="majorBidi"/>
          <w:color w:val="333333"/>
        </w:rPr>
      </w:pPr>
      <w:hyperlink r:id="rId12">
        <w:r w:rsidR="2BF75223">
          <w:rPr>
            <w:rStyle w:val="Hyperlink"/>
            <w:rFonts w:asciiTheme="majorHAnsi" w:hAnsiTheme="majorHAnsi"/>
          </w:rPr>
          <w:t>EESK Jauniešu grupa</w:t>
        </w:r>
      </w:hyperlink>
      <w:r w:rsidR="2BF75223">
        <w:rPr>
          <w:rFonts w:asciiTheme="majorHAnsi" w:hAnsiTheme="majorHAnsi"/>
        </w:rPr>
        <w:t xml:space="preserve"> veiks turpmākus pasākumus, daloties ar ieteikumiem kā iespējamo ieguldījumu EESK īstenotajā konsultatīvajā un politiskajā darbā. Jauniešu grupa pēc iespējas tos pieminēs arī ārējos pasākumos un pētīs, kā tos integrēt atlasītajos atzinumos, ko izstrādā, ņemot vērā EESK veikto ES jauniešu testu.</w:t>
      </w:r>
    </w:p>
    <w:p w14:paraId="45B7FE59" w14:textId="77777777" w:rsidR="007E4777" w:rsidRPr="008949C5" w:rsidRDefault="007E4777" w:rsidP="00737736">
      <w:pPr>
        <w:spacing w:after="0" w:line="288" w:lineRule="auto"/>
        <w:jc w:val="both"/>
        <w:rPr>
          <w:rFonts w:asciiTheme="majorHAnsi" w:hAnsiTheme="majorHAnsi" w:cstheme="majorBidi"/>
        </w:rPr>
      </w:pPr>
    </w:p>
    <w:p w14:paraId="05361AF3" w14:textId="1BDC386C" w:rsidR="00333CCD" w:rsidRDefault="56C07819" w:rsidP="00737736">
      <w:pPr>
        <w:spacing w:after="0" w:line="288" w:lineRule="auto"/>
        <w:jc w:val="both"/>
        <w:rPr>
          <w:rFonts w:asciiTheme="majorHAnsi" w:hAnsiTheme="majorHAnsi" w:cstheme="majorBidi"/>
        </w:rPr>
      </w:pPr>
      <w:r>
        <w:rPr>
          <w:rFonts w:asciiTheme="majorHAnsi" w:hAnsiTheme="majorHAnsi"/>
        </w:rPr>
        <w:t>Ceļojumu un izmitināšanu organizē EESK, tā ļaujot dalībniekiem koncentrēties uz pieredzi, nevis loģistiku. Mācību materiāli tiek nodrošināti jau iepriekš, un EESK locekļi apmeklē izraudzītās skolas, lai skolēnus un skolotājus sagatavotu braucienam.</w:t>
      </w:r>
    </w:p>
    <w:p w14:paraId="5437FB4C" w14:textId="77777777" w:rsidR="007E4777" w:rsidRPr="004C4CD9" w:rsidRDefault="007E4777" w:rsidP="00737736">
      <w:pPr>
        <w:spacing w:after="0" w:line="288" w:lineRule="auto"/>
        <w:jc w:val="both"/>
        <w:rPr>
          <w:rFonts w:asciiTheme="majorHAnsi" w:hAnsiTheme="majorHAnsi" w:cstheme="majorBidi"/>
        </w:rPr>
      </w:pPr>
    </w:p>
    <w:p w14:paraId="07B48232" w14:textId="5C85224C"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“Jūsu Eiropa, jūsu lēmumi” 2026 ir vairāk nekā pasākums – tā ir iespēja satikt vienaudžus no visa kontinenta, lai kopā mācītos, diskutētu un sapņotu. Un pats galvenais – tā ir apņemšanās nest Briseles garu vietējām kopienām, idejas pārvēršot rīcībā un nodrošinot, ka jauniešu balss turpina skanēt Eiropas lēmumu pieņemšanas institūcijās.</w:t>
      </w:r>
    </w:p>
    <w:sectPr w:rsidR="00333CCD" w:rsidRPr="004C4CD9" w:rsidSect="00737736">
      <w:headerReference w:type="even" r:id="rId13"/>
      <w:headerReference w:type="default" r:id="rId14"/>
      <w:footerReference w:type="even" r:id="rId15"/>
      <w:footerReference w:type="default" r:id="rId16"/>
      <w:headerReference w:type="first" r:id="rId17"/>
      <w:footerReference w:type="first" r:id="rId18"/>
      <w:pgSz w:w="12240" w:h="15874"/>
      <w:pgMar w:top="1417" w:right="1417" w:bottom="1417"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4DDE" w14:textId="77777777" w:rsidR="002F7294" w:rsidRDefault="002F7294" w:rsidP="007E4777">
      <w:pPr>
        <w:spacing w:after="0" w:line="240" w:lineRule="auto"/>
      </w:pPr>
      <w:r>
        <w:separator/>
      </w:r>
    </w:p>
  </w:endnote>
  <w:endnote w:type="continuationSeparator" w:id="0">
    <w:p w14:paraId="28347E54" w14:textId="77777777" w:rsidR="002F7294" w:rsidRDefault="002F7294" w:rsidP="007E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4D45" w14:textId="77777777" w:rsidR="00A80AC3" w:rsidRPr="00737736" w:rsidRDefault="00A80AC3" w:rsidP="00737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106E" w14:textId="153391D7" w:rsidR="007E4777" w:rsidRPr="00737736" w:rsidRDefault="00737736" w:rsidP="00737736">
    <w:pPr>
      <w:pStyle w:val="Footer"/>
    </w:pPr>
    <w:r>
      <w:t xml:space="preserve">EESC-2025-03704-00-00-INFO-TRA (EN) </w:t>
    </w:r>
    <w:r>
      <w:fldChar w:fldCharType="begin"/>
    </w:r>
    <w:r>
      <w:instrText xml:space="preserve"> PAGE  \* Arabic  \* MERGEFORMAT </w:instrText>
    </w:r>
    <w:r>
      <w:fldChar w:fldCharType="separate"/>
    </w:r>
    <w:r w:rsidR="00351DC6">
      <w:t>2</w:t>
    </w:r>
    <w:r>
      <w:fldChar w:fldCharType="end"/>
    </w:r>
    <w:r>
      <w:t>/</w:t>
    </w:r>
    <w:r w:rsidR="00B2440B">
      <w:fldChar w:fldCharType="begin"/>
    </w:r>
    <w:r w:rsidR="00B2440B">
      <w:instrText xml:space="preserve"> NUMPAGES </w:instrText>
    </w:r>
    <w:r w:rsidR="00B2440B">
      <w:fldChar w:fldCharType="separate"/>
    </w:r>
    <w:r w:rsidR="00351DC6">
      <w:t>2</w:t>
    </w:r>
    <w:r w:rsidR="00B2440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D394" w14:textId="77777777" w:rsidR="00A80AC3" w:rsidRPr="00737736" w:rsidRDefault="00A80AC3" w:rsidP="00737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07CA" w14:textId="77777777" w:rsidR="002F7294" w:rsidRDefault="002F7294" w:rsidP="007E4777">
      <w:pPr>
        <w:spacing w:after="0" w:line="240" w:lineRule="auto"/>
      </w:pPr>
      <w:r>
        <w:separator/>
      </w:r>
    </w:p>
  </w:footnote>
  <w:footnote w:type="continuationSeparator" w:id="0">
    <w:p w14:paraId="6830FB33" w14:textId="77777777" w:rsidR="002F7294" w:rsidRDefault="002F7294" w:rsidP="007E4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4057" w14:textId="77777777" w:rsidR="00A80AC3" w:rsidRPr="00737736" w:rsidRDefault="00A80AC3" w:rsidP="00737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1222" w14:textId="4B818110" w:rsidR="00A80AC3" w:rsidRPr="00737736" w:rsidRDefault="00A80AC3" w:rsidP="00737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4B40" w14:textId="77777777" w:rsidR="00A80AC3" w:rsidRPr="00737736" w:rsidRDefault="00A80AC3" w:rsidP="00737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B42"/>
    <w:rsid w:val="00034616"/>
    <w:rsid w:val="0006063C"/>
    <w:rsid w:val="0015074B"/>
    <w:rsid w:val="00193D20"/>
    <w:rsid w:val="001A4A3E"/>
    <w:rsid w:val="002815B0"/>
    <w:rsid w:val="0029639D"/>
    <w:rsid w:val="002E16AC"/>
    <w:rsid w:val="002F7294"/>
    <w:rsid w:val="00326F90"/>
    <w:rsid w:val="00333CCD"/>
    <w:rsid w:val="00351DC6"/>
    <w:rsid w:val="003A0918"/>
    <w:rsid w:val="003F37A8"/>
    <w:rsid w:val="004C4CD9"/>
    <w:rsid w:val="004D3A1D"/>
    <w:rsid w:val="00737736"/>
    <w:rsid w:val="007E4777"/>
    <w:rsid w:val="008949C5"/>
    <w:rsid w:val="0099308A"/>
    <w:rsid w:val="00A32784"/>
    <w:rsid w:val="00A80AC3"/>
    <w:rsid w:val="00AA1D8D"/>
    <w:rsid w:val="00B2440B"/>
    <w:rsid w:val="00B47730"/>
    <w:rsid w:val="00C31F01"/>
    <w:rsid w:val="00CB0664"/>
    <w:rsid w:val="00CE44BA"/>
    <w:rsid w:val="00DB5892"/>
    <w:rsid w:val="00E75B3E"/>
    <w:rsid w:val="00F80687"/>
    <w:rsid w:val="00FC693F"/>
    <w:rsid w:val="01181ABC"/>
    <w:rsid w:val="03524493"/>
    <w:rsid w:val="0E1834A5"/>
    <w:rsid w:val="126C4F72"/>
    <w:rsid w:val="1398421A"/>
    <w:rsid w:val="1642F78C"/>
    <w:rsid w:val="175B35B6"/>
    <w:rsid w:val="19AF455F"/>
    <w:rsid w:val="1FFABC15"/>
    <w:rsid w:val="2048AE3B"/>
    <w:rsid w:val="25B8B120"/>
    <w:rsid w:val="27C5F576"/>
    <w:rsid w:val="2BF75223"/>
    <w:rsid w:val="3698BF6A"/>
    <w:rsid w:val="39E3BE42"/>
    <w:rsid w:val="3D9992A4"/>
    <w:rsid w:val="3FEDB1CA"/>
    <w:rsid w:val="4146DFAD"/>
    <w:rsid w:val="4D09B347"/>
    <w:rsid w:val="4E99A617"/>
    <w:rsid w:val="53F9091C"/>
    <w:rsid w:val="55248C04"/>
    <w:rsid w:val="56C07819"/>
    <w:rsid w:val="5B0D50A2"/>
    <w:rsid w:val="5F8B0160"/>
    <w:rsid w:val="5FC3F704"/>
    <w:rsid w:val="6D4580CA"/>
    <w:rsid w:val="6E0EA6BA"/>
    <w:rsid w:val="715633E0"/>
    <w:rsid w:val="765F6702"/>
    <w:rsid w:val="778549E2"/>
    <w:rsid w:val="7C54B5B0"/>
    <w:rsid w:val="7D071A6B"/>
    <w:rsid w:val="7D5A2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C0C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FFABC15"/>
  </w:style>
  <w:style w:type="paragraph" w:styleId="Heading1">
    <w:name w:val="heading 1"/>
    <w:basedOn w:val="Normal"/>
    <w:next w:val="Normal"/>
    <w:link w:val="Heading1Char"/>
    <w:uiPriority w:val="9"/>
    <w:qFormat/>
    <w:rsid w:val="1FFABC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1FFABC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1FFABC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1FFABC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1FFABC15"/>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1FFABC15"/>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1FFABC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1FFABC1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1FFABC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FFABC15"/>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E618BF"/>
    <w:rPr>
      <w:rFonts w:ascii="Times New Roman" w:hAnsi="Times New Roman" w:cs="Times New Roman"/>
      <w:lang w:val="lv-LV"/>
    </w:rPr>
  </w:style>
  <w:style w:type="paragraph" w:styleId="Footer">
    <w:name w:val="footer"/>
    <w:basedOn w:val="Normal"/>
    <w:link w:val="FooterChar"/>
    <w:uiPriority w:val="99"/>
    <w:unhideWhenUsed/>
    <w:rsid w:val="1FFABC15"/>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E618BF"/>
    <w:rPr>
      <w:rFonts w:ascii="Times New Roman" w:hAnsi="Times New Roman" w:cs="Times New Roman"/>
      <w:lang w:val="lv-LV"/>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1FFABC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1FFABC15"/>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1FFABC15"/>
    <w:pPr>
      <w:ind w:left="720"/>
      <w:contextualSpacing/>
    </w:pPr>
  </w:style>
  <w:style w:type="paragraph" w:styleId="BodyText">
    <w:name w:val="Body Text"/>
    <w:basedOn w:val="Normal"/>
    <w:link w:val="BodyTextChar"/>
    <w:uiPriority w:val="99"/>
    <w:unhideWhenUsed/>
    <w:rsid w:val="1FFABC15"/>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1FFABC15"/>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1FFABC15"/>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1FFABC15"/>
    <w:pPr>
      <w:ind w:left="360" w:hanging="360"/>
      <w:contextualSpacing/>
    </w:pPr>
  </w:style>
  <w:style w:type="paragraph" w:styleId="List2">
    <w:name w:val="List 2"/>
    <w:basedOn w:val="Normal"/>
    <w:uiPriority w:val="99"/>
    <w:unhideWhenUsed/>
    <w:rsid w:val="1FFABC15"/>
    <w:pPr>
      <w:ind w:left="720" w:hanging="360"/>
      <w:contextualSpacing/>
    </w:pPr>
  </w:style>
  <w:style w:type="paragraph" w:styleId="List3">
    <w:name w:val="List 3"/>
    <w:basedOn w:val="Normal"/>
    <w:uiPriority w:val="99"/>
    <w:unhideWhenUsed/>
    <w:rsid w:val="1FFABC15"/>
    <w:pPr>
      <w:ind w:left="1080" w:hanging="360"/>
      <w:contextualSpacing/>
    </w:pPr>
  </w:style>
  <w:style w:type="paragraph" w:styleId="ListBullet">
    <w:name w:val="List Bullet"/>
    <w:basedOn w:val="Normal"/>
    <w:uiPriority w:val="99"/>
    <w:unhideWhenUsed/>
    <w:rsid w:val="1FFABC15"/>
    <w:pPr>
      <w:numPr>
        <w:numId w:val="1"/>
      </w:numPr>
      <w:contextualSpacing/>
    </w:pPr>
  </w:style>
  <w:style w:type="paragraph" w:styleId="ListBullet2">
    <w:name w:val="List Bullet 2"/>
    <w:basedOn w:val="Normal"/>
    <w:uiPriority w:val="99"/>
    <w:unhideWhenUsed/>
    <w:rsid w:val="1FFABC15"/>
    <w:pPr>
      <w:numPr>
        <w:numId w:val="2"/>
      </w:numPr>
      <w:contextualSpacing/>
    </w:pPr>
  </w:style>
  <w:style w:type="paragraph" w:styleId="ListBullet3">
    <w:name w:val="List Bullet 3"/>
    <w:basedOn w:val="Normal"/>
    <w:uiPriority w:val="99"/>
    <w:unhideWhenUsed/>
    <w:rsid w:val="1FFABC15"/>
    <w:pPr>
      <w:numPr>
        <w:numId w:val="3"/>
      </w:numPr>
      <w:contextualSpacing/>
    </w:pPr>
  </w:style>
  <w:style w:type="paragraph" w:styleId="ListNumber">
    <w:name w:val="List Number"/>
    <w:basedOn w:val="Normal"/>
    <w:uiPriority w:val="99"/>
    <w:unhideWhenUsed/>
    <w:rsid w:val="1FFABC15"/>
    <w:pPr>
      <w:numPr>
        <w:numId w:val="5"/>
      </w:numPr>
      <w:contextualSpacing/>
    </w:pPr>
  </w:style>
  <w:style w:type="paragraph" w:styleId="ListNumber2">
    <w:name w:val="List Number 2"/>
    <w:basedOn w:val="Normal"/>
    <w:uiPriority w:val="99"/>
    <w:unhideWhenUsed/>
    <w:rsid w:val="1FFABC15"/>
    <w:pPr>
      <w:numPr>
        <w:numId w:val="6"/>
      </w:numPr>
      <w:contextualSpacing/>
    </w:pPr>
  </w:style>
  <w:style w:type="paragraph" w:styleId="ListNumber3">
    <w:name w:val="List Number 3"/>
    <w:basedOn w:val="Normal"/>
    <w:uiPriority w:val="99"/>
    <w:unhideWhenUsed/>
    <w:rsid w:val="1FFABC15"/>
    <w:pPr>
      <w:numPr>
        <w:numId w:val="7"/>
      </w:numPr>
      <w:contextualSpacing/>
    </w:pPr>
  </w:style>
  <w:style w:type="paragraph" w:styleId="ListContinue">
    <w:name w:val="List Continue"/>
    <w:basedOn w:val="Normal"/>
    <w:uiPriority w:val="99"/>
    <w:unhideWhenUsed/>
    <w:rsid w:val="1FFABC15"/>
    <w:pPr>
      <w:spacing w:after="120"/>
      <w:ind w:left="360"/>
      <w:contextualSpacing/>
    </w:pPr>
  </w:style>
  <w:style w:type="paragraph" w:styleId="ListContinue2">
    <w:name w:val="List Continue 2"/>
    <w:basedOn w:val="Normal"/>
    <w:uiPriority w:val="99"/>
    <w:unhideWhenUsed/>
    <w:rsid w:val="1FFABC15"/>
    <w:pPr>
      <w:spacing w:after="120"/>
      <w:ind w:left="720"/>
      <w:contextualSpacing/>
    </w:pPr>
  </w:style>
  <w:style w:type="paragraph" w:styleId="ListContinue3">
    <w:name w:val="List Continue 3"/>
    <w:basedOn w:val="Normal"/>
    <w:uiPriority w:val="99"/>
    <w:unhideWhenUsed/>
    <w:rsid w:val="1FFABC15"/>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1FFABC15"/>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1FFABC15"/>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1FFABC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A32784"/>
    <w:rPr>
      <w:sz w:val="16"/>
      <w:szCs w:val="16"/>
    </w:rPr>
  </w:style>
  <w:style w:type="paragraph" w:styleId="CommentText">
    <w:name w:val="annotation text"/>
    <w:basedOn w:val="Normal"/>
    <w:link w:val="CommentTextChar"/>
    <w:uiPriority w:val="99"/>
    <w:unhideWhenUsed/>
    <w:rsid w:val="1FFABC15"/>
    <w:pPr>
      <w:spacing w:line="240" w:lineRule="auto"/>
    </w:pPr>
    <w:rPr>
      <w:sz w:val="20"/>
      <w:szCs w:val="20"/>
    </w:rPr>
  </w:style>
  <w:style w:type="character" w:customStyle="1" w:styleId="CommentTextChar">
    <w:name w:val="Comment Text Char"/>
    <w:basedOn w:val="DefaultParagraphFont"/>
    <w:link w:val="CommentText"/>
    <w:uiPriority w:val="99"/>
    <w:rsid w:val="00A32784"/>
    <w:rPr>
      <w:sz w:val="20"/>
      <w:szCs w:val="20"/>
    </w:rPr>
  </w:style>
  <w:style w:type="paragraph" w:styleId="CommentSubject">
    <w:name w:val="annotation subject"/>
    <w:basedOn w:val="CommentText"/>
    <w:next w:val="CommentText"/>
    <w:link w:val="CommentSubjectChar"/>
    <w:uiPriority w:val="99"/>
    <w:semiHidden/>
    <w:unhideWhenUsed/>
    <w:rsid w:val="00A32784"/>
    <w:rPr>
      <w:b/>
      <w:bCs/>
    </w:rPr>
  </w:style>
  <w:style w:type="character" w:customStyle="1" w:styleId="CommentSubjectChar">
    <w:name w:val="Comment Subject Char"/>
    <w:basedOn w:val="CommentTextChar"/>
    <w:link w:val="CommentSubject"/>
    <w:uiPriority w:val="99"/>
    <w:semiHidden/>
    <w:rsid w:val="00A32784"/>
    <w:rPr>
      <w:b/>
      <w:bCs/>
      <w:sz w:val="20"/>
      <w:szCs w:val="20"/>
    </w:rPr>
  </w:style>
  <w:style w:type="character" w:styleId="Hyperlink">
    <w:name w:val="Hyperlink"/>
    <w:basedOn w:val="DefaultParagraphFont"/>
    <w:uiPriority w:val="99"/>
    <w:unhideWhenUsed/>
    <w:rsid w:val="008949C5"/>
    <w:rPr>
      <w:color w:val="0000FF" w:themeColor="hyperlink"/>
      <w:u w:val="single"/>
    </w:rPr>
  </w:style>
  <w:style w:type="paragraph" w:customStyle="1" w:styleId="paragraph">
    <w:name w:val="paragraph"/>
    <w:basedOn w:val="Normal"/>
    <w:uiPriority w:val="1"/>
    <w:rsid w:val="1FFABC15"/>
    <w:pPr>
      <w:spacing w:beforeAutospacing="1" w:afterAutospacing="1" w:line="240" w:lineRule="auto"/>
    </w:pPr>
    <w:rPr>
      <w:rFonts w:ascii="Calibri" w:hAnsi="Calibri" w:cs="Calibri"/>
      <w:lang w:eastAsia="fr-BE"/>
    </w:rPr>
  </w:style>
  <w:style w:type="character" w:customStyle="1" w:styleId="UnresolvedMention1">
    <w:name w:val="Unresolved Mention1"/>
    <w:basedOn w:val="DefaultParagraphFont"/>
    <w:uiPriority w:val="99"/>
    <w:semiHidden/>
    <w:unhideWhenUsed/>
    <w:rsid w:val="008949C5"/>
    <w:rPr>
      <w:color w:val="605E5C"/>
      <w:shd w:val="clear" w:color="auto" w:fill="E1DFDD"/>
    </w:rPr>
  </w:style>
  <w:style w:type="paragraph" w:styleId="Revision">
    <w:name w:val="Revision"/>
    <w:hidden/>
    <w:uiPriority w:val="99"/>
    <w:semiHidden/>
    <w:rsid w:val="00A80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esc.europa.eu/lv/sections-other-bodies/other/eesc-youth-group" TargetMode="External"/><Relationship Id="rId17" Type="http://schemas.openxmlformats.org/officeDocument/2006/relationships/header" Target="header3.xml"/><Relationship Id="rId20" Type="http://schemas.openxmlformats.org/officeDocument/2006/relationships/theme" Target="theme/theme1.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ofhosting.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rsonincharge xmlns="149cdba8-b5b2-487b-9e63-72406c10c52e">
      <UserInfo>
        <DisplayName/>
        <AccountId xsi:nil="true"/>
        <AccountType/>
      </UserInfo>
    </Personincharg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8468881A2B4CC4295A590CB6EEA9F66" ma:contentTypeVersion="4" ma:contentTypeDescription="Create a new document." ma:contentTypeScope="" ma:versionID="10b2643dcf6011dbc9a17e4caadca618">
  <xsd:schema xmlns:xsd="http://www.w3.org/2001/XMLSchema" xmlns:xs="http://www.w3.org/2001/XMLSchema" xmlns:p="http://schemas.microsoft.com/office/2006/metadata/properties" xmlns:ns2="149cdba8-b5b2-487b-9e63-72406c10c52e" targetNamespace="http://schemas.microsoft.com/office/2006/metadata/properties" ma:root="true" ma:fieldsID="203fdf71baae093693fe99aec4485405" ns2:_="">
    <xsd:import namespace="149cdba8-b5b2-487b-9e63-72406c10c52e"/>
    <xsd:element name="properties">
      <xsd:complexType>
        <xsd:sequence>
          <xsd:element name="documentManagement">
            <xsd:complexType>
              <xsd:all>
                <xsd:element ref="ns2:Personincharg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cdba8-b5b2-487b-9e63-72406c10c52e" elementFormDefault="qualified">
    <xsd:import namespace="http://schemas.microsoft.com/office/2006/documentManagement/types"/>
    <xsd:import namespace="http://schemas.microsoft.com/office/infopath/2007/PartnerControls"/>
    <xsd:element name="Personincharge" ma:index="8" nillable="true" ma:displayName="Person in charge" ma:format="Dropdown" ma:list="UserInfo" ma:SharePointGroup="0" ma:internalName="Personincharg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B95DE-2043-4B0B-8396-D84EB984B81A}">
  <ds:schemaRefs>
    <ds:schemaRef ds:uri="http://schemas.openxmlformats.org/officeDocument/2006/bibliography"/>
  </ds:schemaRefs>
</ds:datastoreItem>
</file>

<file path=customXml/itemProps2.xml><?xml version="1.0" encoding="utf-8"?>
<ds:datastoreItem xmlns:ds="http://schemas.openxmlformats.org/officeDocument/2006/customXml" ds:itemID="{94292E49-8CCF-4CF8-B86F-98C41FFCC6C2}"/>
</file>

<file path=customXml/itemProps3.xml><?xml version="1.0" encoding="utf-8"?>
<ds:datastoreItem xmlns:ds="http://schemas.openxmlformats.org/officeDocument/2006/customXml" ds:itemID="{3762D549-B916-4CBF-9C81-9DD92902659B}">
  <ds:schemaRefs>
    <ds:schemaRef ds:uri="http://schemas.microsoft.com/sharepoint/v3/contenttype/forms"/>
  </ds:schemaRefs>
</ds:datastoreItem>
</file>

<file path=customXml/itemProps4.xml><?xml version="1.0" encoding="utf-8"?>
<ds:datastoreItem xmlns:ds="http://schemas.openxmlformats.org/officeDocument/2006/customXml" ds:itemID="{AF3A3B31-B4B8-4F6A-A47C-63F15A01BF6D}">
  <ds:schemaRefs>
    <ds:schemaRef ds:uri="http://schemas.microsoft.com/office/2006/metadata/properties"/>
    <ds:schemaRef ds:uri="http://schemas.microsoft.com/office/infopath/2007/PartnerControls"/>
    <ds:schemaRef ds:uri="96ce3a7c-7f79-43a9-9021-9e9687807524"/>
    <ds:schemaRef ds:uri="139408b5-cd95-41a2-b442-2b289d59f97f"/>
  </ds:schemaRefs>
</ds:datastoreItem>
</file>

<file path=customXml/itemProps5.xml><?xml version="1.0" encoding="utf-8"?>
<ds:datastoreItem xmlns:ds="http://schemas.openxmlformats.org/officeDocument/2006/customXml" ds:itemID="{3F72794C-199C-430E-BD72-E010165F1F18}"/>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4851</Characters>
  <Application>Microsoft Office Word</Application>
  <DocSecurity>0</DocSecurity>
  <Lines>40</Lines>
  <Paragraphs>11</Paragraphs>
  <ScaleCrop>false</ScaleCrop>
  <Manager/>
  <Company/>
  <LinksUpToDate>false</LinksUpToDate>
  <CharactersWithSpaces>5690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YEYS 2026. gadā: koncepcijas dokuments </dc:title>
  <dc:subject/>
  <dc:creator/>
  <cp:keywords/>
  <dc:description>generated by python-docx</dc:description>
  <cp:lastModifiedBy/>
  <cp:revision>9</cp:revision>
  <dcterms:created xsi:type="dcterms:W3CDTF">2025-11-07T11:11:00Z</dcterms:created>
  <dcterms:modified xsi:type="dcterms:W3CDTF">2025-11-14T13:46:00Z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0x01010068468881A2B4CC4295A590CB6EEA9F66</vt:lpwstr>
  </property>
  <property fmtid="{D5CDD505-2E9C-101B-9397-08002B2CF9AE}" pid="3" name="docLang">
    <vt:lpwstr>en</vt:lpwstr>
  </property>
  <property fmtid="{D5CDD505-2E9C-101B-9397-08002B2CF9AE}" pid="4" name="MediaServiceImageTags">
    <vt:lpwstr/>
  </property>
  <property fmtid="{D5CDD505-2E9C-101B-9397-08002B2CF9AE}" pid="5" name="Pref_formatted">
    <vt:bool>true</vt:bool>
  </property>
  <property fmtid="{D5CDD505-2E9C-101B-9397-08002B2CF9AE}" pid="6" name="Pref_Date">
    <vt:lpwstr>07/11/2025</vt:lpwstr>
  </property>
  <property fmtid="{D5CDD505-2E9C-101B-9397-08002B2CF9AE}" pid="7" name="Pref_Time">
    <vt:lpwstr>12:11:21</vt:lpwstr>
  </property>
  <property fmtid="{D5CDD505-2E9C-101B-9397-08002B2CF9AE}" pid="8" name="Pref_User">
    <vt:lpwstr>amett</vt:lpwstr>
  </property>
  <property fmtid="{D5CDD505-2E9C-101B-9397-08002B2CF9AE}" pid="9" name="Pref_FileName">
    <vt:lpwstr>EESC-2025-03704-00-00-INFO-ORI.docx</vt:lpwstr>
  </property>
  <property fmtid="{D5CDD505-2E9C-101B-9397-08002B2CF9AE}" pid="10" name="_dlc_DocIdItemGuid">
    <vt:lpwstr>53134fd3-dd57-4af5-8e3b-00241a71d7b3</vt:lpwstr>
  </property>
  <property fmtid="{D5CDD505-2E9C-101B-9397-08002B2CF9AE}" pid="11" name="AvailableTranslations">
    <vt:lpwstr>39;#LV|46f7e311-5d9f-4663-b433-18aeccb7ace7;#34;#IT|0774613c-01ed-4e5d-a25d-11d2388de825;#23;#DE|f6b31e5a-26fa-4935-b661-318e46daf27e;#24;#PL|1e03da61-4678-4e07-b136-b5024ca9197b;#33;#PT|50ccc04a-eadd-42ae-a0cb-acaf45f812ba;#50;#HR|2f555653-ed1a-4fe6-8362-9082d95989e5;#28;#SV|c2ed69e7-a339-43d7-8f22-d93680a92aa0;#12;#FR|d2afafd3-4c81-4f60-8f52-ee33f2f54ff3;#35;#FI|87606a43-d45f-42d6-b8c9-e1a3457db5b7;#30;#LT|a7ff5ce7-6123-4f68-865a-a57c31810414;#41;#ET|ff6c3f4c-b02c-4c3c-ab07-2c37995a7a0a;#29;#CS|72f9705b-0217-4fd3-bea2-cbc7ed80e26e;#46;#SK|46d9fce0-ef79-4f71-b89b-cd6aa82426b8;#36;#RO|feb747a2-64cd-4299-af12-4833ddc30497;#31;#SL|98a412ae-eb01-49e9-ae3d-585a81724cfc;#5;#EN|f2175f21-25d7-44a3-96da-d6a61b075e1b;#27;#NL|55c6556c-b4f4-441d-9acf-c498d4f838bd;#16;#ES|e7a6b05b-ae16-40c8-add9-68b64b03aeba;#47;#BG|1a1b3951-7821-4e6a-85f5-5673fc08bd2c;#43;#GA|762d2456-c427-4ecb-b312-af3dad8e258c;#40;#DA|5d49c027-8956-412b-aa16-e85a0f96ad0e;#32;#MT|7df99101-6854-4a26-b53a-b88c0da02c26;#42;#EL|6d4f4d51-af9b-4650-94b4-4276bee85c91;#37;#HU|6b229040-c589-4408-b4c1-4285663d20a8</vt:lpwstr>
  </property>
  <property fmtid="{D5CDD505-2E9C-101B-9397-08002B2CF9AE}" pid="12" name="DocumentType_0">
    <vt:lpwstr>INFO|d9136e7c-93a9-4c42-9d28-92b61e85f80c</vt:lpwstr>
  </property>
  <property fmtid="{D5CDD505-2E9C-101B-9397-08002B2CF9AE}" pid="13" name="DossierName_0">
    <vt:lpwstr/>
  </property>
  <property fmtid="{D5CDD505-2E9C-101B-9397-08002B2CF9AE}" pid="14" name="DocumentSource_0">
    <vt:lpwstr>EESC|422833ec-8d7e-4e65-8e4e-8bed07ffb729</vt:lpwstr>
  </property>
  <property fmtid="{D5CDD505-2E9C-101B-9397-08002B2CF9AE}" pid="15" name="DocumentNumber">
    <vt:i4>3704</vt:i4>
  </property>
  <property fmtid="{D5CDD505-2E9C-101B-9397-08002B2CF9AE}" pid="16" name="DocumentVersion">
    <vt:i4>0</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Visites</vt:lpwstr>
  </property>
  <property fmtid="{D5CDD505-2E9C-101B-9397-08002B2CF9AE}" pid="20" name="Confidentiality">
    <vt:lpwstr>6;#Internal|2451815e-8241-4bbf-a22e-1ab710712bf2</vt:lpwstr>
  </property>
  <property fmtid="{D5CDD505-2E9C-101B-9397-08002B2CF9AE}" pid="21" name="MeetingName_0">
    <vt:lpwstr/>
  </property>
  <property fmtid="{D5CDD505-2E9C-101B-9397-08002B2CF9AE}" pid="22" name="Confidentiality_0">
    <vt:lpwstr>Internal|2451815e-8241-4bbf-a22e-1ab710712bf2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IT|0774613c-01ed-4e5d-a25d-11d2388de825;DE|f6b31e5a-26fa-4935-b661-318e46daf27e;PL|1e03da61-4678-4e07-b136-b5024ca9197b;PT|50ccc04a-eadd-42ae-a0cb-acaf45f812ba;HR|2f555653-ed1a-4fe6-8362-9082d95989e5;SV|c2ed69e7-a339-43d7-8f22-d93680a92aa0;FR|d2afafd3-4c81-4f60-8f52-ee33f2f54ff3;FI|87606a43-d45f-42d6-b8c9-e1a3457db5b7;CS|72f9705b-0217-4fd3-bea2-cbc7ed80e26e;SK|46d9fce0-ef79-4f71-b89b-cd6aa82426b8;RO|feb747a2-64cd-4299-af12-4833ddc30497;SL|98a412ae-eb01-49e9-ae3d-585a81724cfc;EN|f2175f21-25d7-44a3-96da-d6a61b075e1b;NL|55c6556c-b4f4-441d-9acf-c498d4f838bd;ES|e7a6b05b-ae16-40c8-add9-68b64b03aeba;BG|1a1b3951-7821-4e6a-85f5-5673fc08bd2c;GA|762d2456-c427-4ecb-b312-af3dad8e258c;DA|5d49c027-8956-412b-aa16-e85a0f96ad0e;HU|6b229040-c589-4408-b4c1-4285663d20a8</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36;#RO|feb747a2-64cd-4299-af12-4833ddc30497;#35;#FI|87606a43-d45f-42d6-b8c9-e1a3457db5b7;#34;#IT|0774613c-01ed-4e5d-a25d-11d2388de825;#33;#PT|50ccc04a-eadd-42ae-a0cb-acaf45f812ba;#13;#TRA|150d2a88-1431-44e6-a8ca-0bb753ab8672;#31;#SL|98a412ae-eb01-49e9-ae3d-585a81724cfc;#29;#CS|72f9705b-0217-4fd3-bea2-cbc7ed80e26e;#28;#SV|c2ed69e7-a339-43d7-8f22-d93680a92aa0;#27;#NL|55c6556c-b4f4-441d-9acf-c498d4f838bd;#24;#PL|1e03da61-4678-4e07-b136-b5024ca9197b;#23;#DE|f6b31e5a-26fa-4935-b661-318e46daf27e;#43;#GA|762d2456-c427-4ecb-b312-af3dad8e258c;#16;#ES|e7a6b05b-ae16-40c8-add9-68b64b03aeba;#46;#SK|46d9fce0-ef79-4f71-b89b-cd6aa82426b8;#50;#HR|2f555653-ed1a-4fe6-8362-9082d95989e5;#12;#FR|d2afafd3-4c81-4f60-8f52-ee33f2f54ff3;#47;#BG|1a1b3951-7821-4e6a-85f5-5673fc08bd2c;#9;#INFO|d9136e7c-93a9-4c42-9d28-92b61e85f80c;#8;#Final|ea5e6674-7b27-4bac-b091-73adbb394efe;#6;#Internal|2451815e-8241-4bbf-a22e-1ab710712bf2;#5;#EN|f2175f21-25d7-44a3-96da-d6a61b075e1b;#40;#DA|5d49c027-8956-412b-aa16-e85a0f96ad0e;#1;#EESC|422833ec-8d7e-4e65-8e4e-8bed07ffb729;#37;#HU|6b229040-c589-4408-b4c1-4285663d20a8</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296256</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9;#INFO|d9136e7c-93a9-4c42-9d28-92b61e85f80c</vt:lpwstr>
  </property>
  <property fmtid="{D5CDD505-2E9C-101B-9397-08002B2CF9AE}" pid="38" name="DocumentLanguage">
    <vt:lpwstr>39;#LV|46f7e311-5d9f-4663-b433-18aeccb7ace7</vt:lpwstr>
  </property>
  <property fmtid="{D5CDD505-2E9C-101B-9397-08002B2CF9AE}" pid="39" name="Order">
    <vt:r8>27000</vt:r8>
  </property>
  <property fmtid="{D5CDD505-2E9C-101B-9397-08002B2CF9AE}" pid="40" name="xd_Signature">
    <vt:bool>false</vt:bool>
  </property>
  <property fmtid="{D5CDD505-2E9C-101B-9397-08002B2CF9AE}" pid="41" name="xd_ProgID">
    <vt:lpwstr/>
  </property>
  <property fmtid="{D5CDD505-2E9C-101B-9397-08002B2CF9AE}" pid="42" name="_SourceUrl">
    <vt:lpwstr/>
  </property>
  <property fmtid="{D5CDD505-2E9C-101B-9397-08002B2CF9AE}" pid="43" name="_SharedFileIndex">
    <vt:lpwstr/>
  </property>
  <property fmtid="{D5CDD505-2E9C-101B-9397-08002B2CF9AE}" pid="44" name="ComplianceAssetId">
    <vt:lpwstr/>
  </property>
  <property fmtid="{D5CDD505-2E9C-101B-9397-08002B2CF9AE}" pid="45" name="TemplateUrl">
    <vt:lpwstr/>
  </property>
  <property fmtid="{D5CDD505-2E9C-101B-9397-08002B2CF9AE}" pid="46" name="_ExtendedDescription">
    <vt:lpwstr/>
  </property>
  <property fmtid="{D5CDD505-2E9C-101B-9397-08002B2CF9AE}" pid="47" name="TriggerFlowInfo">
    <vt:lpwstr/>
  </property>
</Properties>
</file>