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E980" w14:textId="6A3E0D7E" w:rsidR="00333CCD" w:rsidRPr="0053728C" w:rsidRDefault="00737736" w:rsidP="00737736">
      <w:pPr>
        <w:spacing w:after="0" w:line="288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53728C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9AD18F1" wp14:editId="50A2914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25D69" w14:textId="77777777" w:rsidR="00737736" w:rsidRPr="00260E65" w:rsidRDefault="007377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D18F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54E25D69" w14:textId="77777777" w:rsidR="00737736" w:rsidRPr="00260E65" w:rsidRDefault="0073773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56C07819" w:rsidRPr="0053728C">
        <w:rPr>
          <w:rFonts w:asciiTheme="majorHAnsi" w:hAnsiTheme="majorHAnsi"/>
          <w:b/>
          <w:sz w:val="24"/>
        </w:rPr>
        <w:t xml:space="preserve">La vostra Europa, la vostra opinione! </w:t>
      </w:r>
      <w:r w:rsidR="56C07819" w:rsidRPr="0053728C">
        <w:rPr>
          <w:rFonts w:asciiTheme="majorHAnsi" w:hAnsiTheme="majorHAnsi"/>
          <w:b/>
          <w:i/>
          <w:iCs/>
          <w:sz w:val="24"/>
        </w:rPr>
        <w:t>(Your Europe, Your Say!)</w:t>
      </w:r>
      <w:r w:rsidR="56C07819" w:rsidRPr="0053728C">
        <w:rPr>
          <w:rFonts w:asciiTheme="majorHAnsi" w:hAnsiTheme="majorHAnsi"/>
          <w:b/>
          <w:sz w:val="24"/>
        </w:rPr>
        <w:t xml:space="preserve"> 2026 - documento concettuale</w:t>
      </w:r>
    </w:p>
    <w:p w14:paraId="02CAE187" w14:textId="77777777" w:rsidR="00737736" w:rsidRPr="0053728C" w:rsidRDefault="00737736" w:rsidP="00737736">
      <w:pPr>
        <w:spacing w:after="0" w:line="288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0AE05097" w14:textId="13F6D70B" w:rsidR="001A4A3E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Ogni primavera Bruxelles diventa un luogo di incontro per giovani provenienti da tutta Europa. Dal 2010 il Comitato economico e sociale europeo (CESE) apre le sue porte ai giovani degli Stati membri dell'UE, dei paesi candidati all'adesione e del Regno Unito e li invita a entrare nel cuore del dialogo europeo.</w:t>
      </w:r>
    </w:p>
    <w:p w14:paraId="494DF424" w14:textId="77777777" w:rsidR="00737736" w:rsidRPr="0053728C" w:rsidRDefault="00737736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7DB6CBFB" w14:textId="1DD2F88C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L'evento "La vostra Europa, la vostra opinione!" (</w:t>
      </w:r>
      <w:r w:rsidRPr="0053728C">
        <w:rPr>
          <w:rFonts w:asciiTheme="majorHAnsi" w:hAnsiTheme="majorHAnsi"/>
          <w:i/>
          <w:iCs/>
        </w:rPr>
        <w:t>Your Europe, Your Say!</w:t>
      </w:r>
      <w:r w:rsidRPr="0053728C">
        <w:rPr>
          <w:rFonts w:asciiTheme="majorHAnsi" w:hAnsiTheme="majorHAnsi"/>
        </w:rPr>
        <w:t xml:space="preserve"> </w:t>
      </w:r>
      <w:r w:rsidR="009E1026" w:rsidRPr="0053728C">
        <w:rPr>
          <w:rFonts w:asciiTheme="majorHAnsi" w:hAnsiTheme="majorHAnsi"/>
        </w:rPr>
        <w:t>-</w:t>
      </w:r>
      <w:r w:rsidRPr="0053728C">
        <w:rPr>
          <w:rFonts w:asciiTheme="majorHAnsi" w:hAnsiTheme="majorHAnsi"/>
        </w:rPr>
        <w:t xml:space="preserve"> YEYS) è più di un incontro. È un laboratorio vivente per la democrazia partecipativa; un luogo in cui le idee non vengono solo scambiate, ma trasformate in raccomandazioni che confluiranno nel lavoro consultivo e politico del CESE.</w:t>
      </w:r>
    </w:p>
    <w:p w14:paraId="0443544E" w14:textId="77777777" w:rsidR="001A4A3E" w:rsidRPr="0053728C" w:rsidRDefault="001A4A3E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7357C6A1" w14:textId="5178DDAF" w:rsidR="00A32784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 xml:space="preserve">Nel 2026 La vostra Europa, la vostra opinione! riunirà 137 partecipanti: studenti delle scuole secondarie, i relativi insegnanti accompagnatori e giovani adulti appartenenti a organizzazioni giovanili; tutte e tutti selezionati per la loro motivazione, la loro diversità e il loro impegno a favore della partecipazione civica. </w:t>
      </w:r>
    </w:p>
    <w:p w14:paraId="68BC5F62" w14:textId="559963DF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L'evento si svolgerà nell'arco di due giorni – il 19 e il 20 marzo – presso i locali del CESE a Bruxelles e si terrà esclusivamente in inglese. Non è prevista la partecipazione online, che lascia il posto a incontri in presenza che favoriscono connessioni autentiche e un'energia collaborativa.</w:t>
      </w:r>
    </w:p>
    <w:p w14:paraId="6A496035" w14:textId="77777777" w:rsidR="00A32784" w:rsidRPr="0053728C" w:rsidRDefault="00A32784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1DA40E8A" w14:textId="3422C97A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Per molti la strada verso YEYS inizia con un invito a presentare candidature. Le scuole di tutta Europa radunano i loro studenti e giovani leader più impegnati, incoraggiandoli a spiegare al meglio perché desiderano prendere parte a questa esperienza. Analogamente, i giovani adulti – che appartengano a un'organizzazione giovanile o a un consiglio nazionale della gioventù o siano attivi come volontari – sono invitati a esprimere le loro motivazioni e a presentare la propria candidatura. Selezionare i partecipanti non significa trovare semplicemente chi soddisfa i necessari requisiti formali, bensì scovare chi, oltre ad avere l'età giusta e il profilo appropriato, ha in sé una scintilla motivazionale e la volontà di coinvolgere in questa esperienza anche la sua comunità. Il processo di selezione è concepito in modo da essere equo e inclusivo e garantire pari opportunità alle studentesse e agli studenti con disabilità, a coloro che seguono percorsi di istruzione professionale e ai giovani provenienti da ogni angolo d'Europa.</w:t>
      </w:r>
    </w:p>
    <w:p w14:paraId="04D98E32" w14:textId="77777777" w:rsidR="00A32784" w:rsidRPr="0053728C" w:rsidRDefault="00A32784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55397687" w14:textId="4B204780" w:rsidR="008949C5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YEYS si articola in sessioni plenarie e seminari interattivi, ma la sua vera magia risiede nelle conversazioni che avvengono tra un'attività e l'altra. Al fine di creare spazi in cui ogni voce conta, i facilitatori utilizzano metodi di leadership partecipativa o</w:t>
      </w:r>
      <w:r w:rsidRPr="0053728C">
        <w:t xml:space="preserve"> </w:t>
      </w:r>
      <w:hyperlink r:id="rId11">
        <w:r w:rsidRPr="0053728C">
          <w:rPr>
            <w:rStyle w:val="Hyperlink"/>
            <w:rFonts w:asciiTheme="majorHAnsi" w:hAnsiTheme="majorHAnsi"/>
          </w:rPr>
          <w:t xml:space="preserve">l'approccio che va sotto il nome di </w:t>
        </w:r>
        <w:r w:rsidRPr="0053728C">
          <w:rPr>
            <w:rStyle w:val="Hyperlink"/>
            <w:rFonts w:asciiTheme="majorHAnsi" w:hAnsiTheme="majorHAnsi"/>
            <w:i/>
            <w:iCs/>
          </w:rPr>
          <w:t>Art of Hosting</w:t>
        </w:r>
      </w:hyperlink>
      <w:r w:rsidRPr="0053728C">
        <w:rPr>
          <w:rFonts w:asciiTheme="majorHAnsi" w:hAnsiTheme="majorHAnsi"/>
        </w:rPr>
        <w:t xml:space="preserve"> ["l'arte di animare una discussione"]</w:t>
      </w:r>
      <w:r w:rsidRPr="0053728C">
        <w:t>,</w:t>
      </w:r>
      <w:r w:rsidRPr="0053728C">
        <w:rPr>
          <w:rFonts w:asciiTheme="majorHAnsi" w:hAnsiTheme="majorHAnsi"/>
        </w:rPr>
        <w:t xml:space="preserve"> ovvero modalità di grande efficacia per mettere a frutto la saggezza collettiva e la capacità di auto-organizzazione di gruppi di qualsiasi dimensione. Partendo dal presupposto che le persone dedichino energie e risorse a ciò che più conta per loro, tali metodi fanno leva su una sapiente combinazione di processi dialogici per invitare le persone a farsi carico delle sfide che si trovano ad affrontare.</w:t>
      </w:r>
    </w:p>
    <w:p w14:paraId="4EBDBB59" w14:textId="1884EDDD" w:rsidR="00A32784" w:rsidRPr="0053728C" w:rsidRDefault="00A32784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39CE991A" w14:textId="3EC4D934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Il fulcro tematico per il 2026 – che sarà presto definito nei dettagli – sarà articolato sulla base dei seguenti pilastri fondamentali, sempre pertinenti e senza tempo.</w:t>
      </w:r>
    </w:p>
    <w:p w14:paraId="45D45389" w14:textId="5971E541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lastRenderedPageBreak/>
        <w:t>Costruire il domani &gt;</w:t>
      </w:r>
      <w:r w:rsidRPr="0053728C">
        <w:rPr>
          <w:rFonts w:asciiTheme="majorHAnsi" w:hAnsiTheme="majorHAnsi"/>
        </w:rPr>
        <w:t xml:space="preserve"> In che tipo di Europa vogliono vivere i giovani? In che modo i loro punti di vista possono plasmare la politica e la società?</w:t>
      </w:r>
    </w:p>
    <w:p w14:paraId="7D95877B" w14:textId="38D2AB43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t>Partecipazione civica e democrazia partecipativa &gt;</w:t>
      </w:r>
      <w:r w:rsidRPr="0053728C">
        <w:rPr>
          <w:rFonts w:asciiTheme="majorHAnsi" w:hAnsiTheme="majorHAnsi"/>
        </w:rPr>
        <w:t xml:space="preserve"> Che cosa significa essere un cittadino attivo? In che modo i giovani possono influenzare il processo decisionale a tutti i livelli?</w:t>
      </w:r>
    </w:p>
    <w:p w14:paraId="585BC712" w14:textId="27DF8192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t>Trasformazione digitale, IA e giovani &gt;</w:t>
      </w:r>
      <w:r w:rsidRPr="0053728C">
        <w:rPr>
          <w:rFonts w:asciiTheme="majorHAnsi" w:hAnsiTheme="majorHAnsi"/>
        </w:rPr>
        <w:t xml:space="preserve"> Quali opportunità e sfide comporta la partecipazione digitale?</w:t>
      </w:r>
    </w:p>
    <w:p w14:paraId="53F0F38D" w14:textId="6087A954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t>Coesione sociale e inclusione &gt;</w:t>
      </w:r>
      <w:r w:rsidRPr="0053728C">
        <w:rPr>
          <w:rFonts w:asciiTheme="majorHAnsi" w:hAnsiTheme="majorHAnsi"/>
        </w:rPr>
        <w:t xml:space="preserve"> Come affrontare la polarizzazione e garantire che tutti abbiano voce in capitolo?</w:t>
      </w:r>
    </w:p>
    <w:p w14:paraId="5DBC4548" w14:textId="40F71564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t>Azione per il clima e sostenibilità &gt;</w:t>
      </w:r>
      <w:r w:rsidRPr="0053728C">
        <w:rPr>
          <w:rFonts w:asciiTheme="majorHAnsi" w:hAnsiTheme="majorHAnsi"/>
        </w:rPr>
        <w:t xml:space="preserve"> Quale ruolo possono svolgere i giovani nel promuovere i cambiamenti ambientali?</w:t>
      </w:r>
    </w:p>
    <w:p w14:paraId="1ABACBED" w14:textId="580190A8" w:rsidR="00333CCD" w:rsidRPr="0053728C" w:rsidRDefault="56C07819" w:rsidP="00737736">
      <w:pPr>
        <w:spacing w:after="0" w:line="288" w:lineRule="auto"/>
        <w:ind w:left="567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  <w:b/>
        </w:rPr>
        <w:t>Salute mentale e benessere &gt;</w:t>
      </w:r>
      <w:r w:rsidRPr="0053728C">
        <w:rPr>
          <w:rFonts w:asciiTheme="majorHAnsi" w:hAnsiTheme="majorHAnsi"/>
        </w:rPr>
        <w:t xml:space="preserve"> In che modo possiamo sostenerci a vicenda nel percorso della partecipazione civica?</w:t>
      </w:r>
    </w:p>
    <w:p w14:paraId="31F9FFE0" w14:textId="77777777" w:rsidR="008949C5" w:rsidRPr="0053728C" w:rsidRDefault="008949C5" w:rsidP="00737736">
      <w:pPr>
        <w:spacing w:after="0" w:line="288" w:lineRule="auto"/>
        <w:jc w:val="both"/>
        <w:rPr>
          <w:rFonts w:asciiTheme="majorHAnsi" w:eastAsia="Aptos" w:hAnsiTheme="majorHAnsi" w:cstheme="majorBidi"/>
          <w:color w:val="333333"/>
        </w:rPr>
      </w:pPr>
    </w:p>
    <w:p w14:paraId="0B2E04BD" w14:textId="5344D248" w:rsidR="00333CCD" w:rsidRPr="0053728C" w:rsidRDefault="39E3BE42" w:rsidP="00737736">
      <w:pPr>
        <w:spacing w:after="0" w:line="288" w:lineRule="auto"/>
        <w:jc w:val="both"/>
        <w:rPr>
          <w:rFonts w:ascii="Calibri" w:hAnsi="Calibri" w:cs="Calibri"/>
        </w:rPr>
      </w:pPr>
      <w:r w:rsidRPr="0053728C">
        <w:rPr>
          <w:rFonts w:ascii="Calibri" w:hAnsi="Calibri"/>
        </w:rPr>
        <w:t>I partecipanti saranno incoraggiati</w:t>
      </w:r>
      <w:r w:rsidRPr="0053728C">
        <w:rPr>
          <w:rFonts w:ascii="Calibri" w:hAnsi="Calibri"/>
          <w:sz w:val="25"/>
        </w:rPr>
        <w:t xml:space="preserve"> </w:t>
      </w:r>
      <w:r w:rsidRPr="0053728C">
        <w:rPr>
          <w:rFonts w:ascii="Calibri" w:hAnsi="Calibri"/>
        </w:rPr>
        <w:t>a riflettere attentamente sulle loro convinzioni, aspettative e priorità e sui modi in cui possono contribuire a trasformarle in realtà. I seminari sono concepiti per stimolare il dibattito, ispirare nuove riflessioni e incoraggiare i partecipanti a immaginare misure concrete per collaborare e produrre cambiamenti. L'evento si conclude con una plenaria in cui vengono formulate le raccomandazioni, non sotto forma di dichiarazioni astratte, ma come proposte attuabili che riflettono le speranze e le priorità dei giovani europei.</w:t>
      </w:r>
    </w:p>
    <w:p w14:paraId="54902ED9" w14:textId="77777777" w:rsidR="008949C5" w:rsidRPr="0053728C" w:rsidRDefault="008949C5" w:rsidP="00737736">
      <w:pPr>
        <w:pStyle w:val="paragraph"/>
        <w:spacing w:beforeAutospacing="0" w:after="0" w:afterAutospacing="0" w:line="288" w:lineRule="auto"/>
        <w:jc w:val="both"/>
        <w:textAlignment w:val="baseline"/>
        <w:rPr>
          <w:rFonts w:ascii="Aptos" w:eastAsia="Aptos" w:hAnsi="Aptos" w:cs="Aptos"/>
          <w:b/>
          <w:bCs/>
          <w:color w:val="333333"/>
          <w:sz w:val="24"/>
          <w:szCs w:val="24"/>
        </w:rPr>
      </w:pPr>
      <w:bookmarkStart w:id="0" w:name="_Toc181190022"/>
    </w:p>
    <w:p w14:paraId="2BCAF87A" w14:textId="24AB23FC" w:rsidR="008949C5" w:rsidRPr="0053728C" w:rsidRDefault="2BF75223" w:rsidP="00737736">
      <w:pPr>
        <w:pStyle w:val="paragraph"/>
        <w:spacing w:beforeAutospacing="0" w:after="0" w:afterAutospacing="0" w:line="288" w:lineRule="auto"/>
        <w:jc w:val="both"/>
        <w:textAlignment w:val="baseline"/>
        <w:rPr>
          <w:rFonts w:eastAsia="Aptos"/>
          <w:b/>
          <w:bCs/>
        </w:rPr>
      </w:pPr>
      <w:r w:rsidRPr="0053728C">
        <w:rPr>
          <w:b/>
        </w:rPr>
        <w:t>Seguito da dare a YEYS 202</w:t>
      </w:r>
      <w:bookmarkEnd w:id="0"/>
      <w:r w:rsidRPr="0053728C">
        <w:rPr>
          <w:b/>
        </w:rPr>
        <w:t>6</w:t>
      </w:r>
    </w:p>
    <w:p w14:paraId="7F787EA1" w14:textId="0E819275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La vostra Europa, la vostra opinione! non termina quando si conclude l'ultimo seminario. Il seguito è parte integrante del progetto. Ogni scuola e ogni partecipante si impegna a condividere l'esperienza vissuta grazie a YEYS con la propria comunità. In che modo? Attraverso presentazioni, eventi locali o contenuti sui social media. Gli studenti delineano da una a tre azioni concrete volte a promuovere l'impegno civico e la partecipazione a livello dell'UE, iniziative che saranno sostenute dalle loro scuole e amplificate dal CESE. Analogamente, i giovani adulti sono invitati a riflettere su come massimizzare al meglio la portata dei risultati dell'evento. Queste storie vengono condivise utilizzando l'hashtag #YEYS2026, creando così un mosaico digitale dell'attivismo giovanile in tutta Europa.</w:t>
      </w:r>
    </w:p>
    <w:p w14:paraId="30C5A598" w14:textId="160D49DC" w:rsidR="008949C5" w:rsidRPr="0053728C" w:rsidRDefault="2BF75223" w:rsidP="00737736">
      <w:pPr>
        <w:pStyle w:val="paragraph"/>
        <w:spacing w:beforeAutospacing="0" w:after="0" w:afterAutospacing="0" w:line="288" w:lineRule="auto"/>
        <w:jc w:val="both"/>
        <w:textAlignment w:val="baseline"/>
        <w:rPr>
          <w:rFonts w:asciiTheme="majorHAnsi" w:eastAsia="Aptos" w:hAnsiTheme="majorHAnsi" w:cstheme="majorBidi"/>
          <w:color w:val="333333"/>
        </w:rPr>
      </w:pPr>
      <w:r w:rsidRPr="0053728C">
        <w:rPr>
          <w:rFonts w:asciiTheme="majorHAnsi" w:hAnsiTheme="majorHAnsi"/>
        </w:rPr>
        <w:t>Il</w:t>
      </w:r>
      <w:r w:rsidRPr="0053728C">
        <w:t xml:space="preserve"> </w:t>
      </w:r>
      <w:hyperlink r:id="rId12">
        <w:r w:rsidRPr="0053728C">
          <w:rPr>
            <w:rStyle w:val="Hyperlink"/>
            <w:rFonts w:asciiTheme="majorHAnsi" w:hAnsiTheme="majorHAnsi"/>
          </w:rPr>
          <w:t>gruppo Gioventù del CESE</w:t>
        </w:r>
      </w:hyperlink>
      <w:r w:rsidRPr="0053728C">
        <w:rPr>
          <w:rFonts w:asciiTheme="majorHAnsi" w:hAnsiTheme="majorHAnsi"/>
          <w:color w:val="333333"/>
        </w:rPr>
        <w:t xml:space="preserve"> </w:t>
      </w:r>
      <w:r w:rsidRPr="0053728C">
        <w:rPr>
          <w:rFonts w:asciiTheme="majorHAnsi" w:hAnsiTheme="majorHAnsi"/>
        </w:rPr>
        <w:t>darà seguito all'evento YEYS condividendo le raccomandazioni che ne saranno scaturite in quanto potenziali contributi al lavoro consultivo e politico svolto dal Comitato. Il gruppo Gioventù menzionerà, ove possibile, queste raccomandazioni anche in occasione di eventi esterni, e valuterà come integrare tali contributi nella selezione di pareri in cui il CESE condurrà una valutazione d'impatto dell'UE dal punto di vista dei giovani.</w:t>
      </w:r>
    </w:p>
    <w:p w14:paraId="45B7FE59" w14:textId="77777777" w:rsidR="007E4777" w:rsidRPr="0053728C" w:rsidRDefault="007E4777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05361AF3" w14:textId="1BDC386C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t>Il CESE si occupa dell'organizzazione del viaggio e dell'alloggio, consentendo ai partecipanti di concentrarsi sull'esperienza piuttosto che sulla logistica. Il materiale didattico è fornito in anticipo, e membri del Comitato visitano alcune scuole al fine di preparare gli studenti e gli insegnanti in vista dell'esperienza.</w:t>
      </w:r>
    </w:p>
    <w:p w14:paraId="5437FB4C" w14:textId="77777777" w:rsidR="007E4777" w:rsidRPr="0053728C" w:rsidRDefault="007E4777" w:rsidP="00737736">
      <w:pPr>
        <w:spacing w:after="0" w:line="288" w:lineRule="auto"/>
        <w:jc w:val="both"/>
        <w:rPr>
          <w:rFonts w:asciiTheme="majorHAnsi" w:hAnsiTheme="majorHAnsi" w:cstheme="majorBidi"/>
        </w:rPr>
      </w:pPr>
    </w:p>
    <w:p w14:paraId="07B48232" w14:textId="54016021" w:rsidR="00333CCD" w:rsidRPr="0053728C" w:rsidRDefault="56C07819" w:rsidP="00737736">
      <w:pPr>
        <w:spacing w:after="0" w:line="288" w:lineRule="auto"/>
        <w:jc w:val="both"/>
        <w:rPr>
          <w:rFonts w:asciiTheme="majorHAnsi" w:hAnsiTheme="majorHAnsi" w:cstheme="majorBidi"/>
        </w:rPr>
      </w:pPr>
      <w:r w:rsidRPr="0053728C">
        <w:rPr>
          <w:rFonts w:asciiTheme="majorHAnsi" w:hAnsiTheme="majorHAnsi"/>
        </w:rPr>
        <w:lastRenderedPageBreak/>
        <w:t xml:space="preserve">YEYS 2026 è più </w:t>
      </w:r>
      <w:r w:rsidR="00310530" w:rsidRPr="0053728C">
        <w:rPr>
          <w:rFonts w:asciiTheme="majorHAnsi" w:hAnsiTheme="majorHAnsi"/>
        </w:rPr>
        <w:t>di</w:t>
      </w:r>
      <w:r w:rsidRPr="0053728C">
        <w:rPr>
          <w:rFonts w:asciiTheme="majorHAnsi" w:hAnsiTheme="majorHAnsi"/>
        </w:rPr>
        <w:t xml:space="preserve"> un </w:t>
      </w:r>
      <w:r w:rsidR="00396722" w:rsidRPr="0053728C">
        <w:rPr>
          <w:rFonts w:asciiTheme="majorHAnsi" w:hAnsiTheme="majorHAnsi"/>
        </w:rPr>
        <w:t xml:space="preserve">semplice </w:t>
      </w:r>
      <w:r w:rsidRPr="0053728C">
        <w:rPr>
          <w:rFonts w:asciiTheme="majorHAnsi" w:hAnsiTheme="majorHAnsi"/>
        </w:rPr>
        <w:t xml:space="preserve">evento: è un'occasione per conoscere coetanei provenienti da ogni angolo del continente e imparare, discutere e sognare insieme. </w:t>
      </w:r>
      <w:r w:rsidR="00385F6A" w:rsidRPr="0053728C">
        <w:rPr>
          <w:rFonts w:asciiTheme="majorHAnsi" w:hAnsiTheme="majorHAnsi"/>
        </w:rPr>
        <w:t>E</w:t>
      </w:r>
      <w:r w:rsidRPr="0053728C">
        <w:rPr>
          <w:rFonts w:asciiTheme="majorHAnsi" w:hAnsiTheme="majorHAnsi"/>
        </w:rPr>
        <w:t>, soprattutto, costituisce un impegno a riportare lo spirito di Bruxelles nelle proprie comunità locali, trasformando le idee in azioni e garantendo che le voci dei giovani continuino a risuonare nelle sedi del processo decisionale europeo.</w:t>
      </w:r>
    </w:p>
    <w:sectPr w:rsidR="00333CCD" w:rsidRPr="0053728C" w:rsidSect="007377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74"/>
      <w:pgMar w:top="1417" w:right="1417" w:bottom="1417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4DDE" w14:textId="77777777" w:rsidR="002F7294" w:rsidRDefault="002F7294" w:rsidP="007E4777">
      <w:pPr>
        <w:spacing w:after="0" w:line="240" w:lineRule="auto"/>
      </w:pPr>
      <w:r>
        <w:separator/>
      </w:r>
    </w:p>
  </w:endnote>
  <w:endnote w:type="continuationSeparator" w:id="0">
    <w:p w14:paraId="28347E54" w14:textId="77777777" w:rsidR="002F7294" w:rsidRDefault="002F7294" w:rsidP="007E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4D45" w14:textId="77777777" w:rsidR="00A80AC3" w:rsidRPr="00737736" w:rsidRDefault="00A80AC3" w:rsidP="00737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106E" w14:textId="153391D7" w:rsidR="007E4777" w:rsidRPr="00737736" w:rsidRDefault="00737736" w:rsidP="00737736">
    <w:pPr>
      <w:pStyle w:val="Footer"/>
    </w:pPr>
    <w:r>
      <w:t xml:space="preserve">EESC-2025-03704-00-00-INFO-TRA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51DC6">
      <w:t>2</w:t>
    </w:r>
    <w:r>
      <w:fldChar w:fldCharType="end"/>
    </w:r>
    <w:r>
      <w:t>/</w:t>
    </w:r>
    <w:fldSimple w:instr=" NUMPAGES ">
      <w:r w:rsidR="00351DC6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D394" w14:textId="77777777" w:rsidR="00A80AC3" w:rsidRPr="00737736" w:rsidRDefault="00A80AC3" w:rsidP="00737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07CA" w14:textId="77777777" w:rsidR="002F7294" w:rsidRDefault="002F7294" w:rsidP="007E4777">
      <w:pPr>
        <w:spacing w:after="0" w:line="240" w:lineRule="auto"/>
      </w:pPr>
      <w:r>
        <w:separator/>
      </w:r>
    </w:p>
  </w:footnote>
  <w:footnote w:type="continuationSeparator" w:id="0">
    <w:p w14:paraId="6830FB33" w14:textId="77777777" w:rsidR="002F7294" w:rsidRDefault="002F7294" w:rsidP="007E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4057" w14:textId="77777777" w:rsidR="00A80AC3" w:rsidRPr="00737736" w:rsidRDefault="00A80AC3" w:rsidP="00737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1222" w14:textId="4B818110" w:rsidR="00A80AC3" w:rsidRPr="00737736" w:rsidRDefault="00A80AC3" w:rsidP="00737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4B40" w14:textId="77777777" w:rsidR="00A80AC3" w:rsidRPr="00737736" w:rsidRDefault="00A80AC3" w:rsidP="00737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B42"/>
    <w:rsid w:val="00034616"/>
    <w:rsid w:val="0006063C"/>
    <w:rsid w:val="000875F2"/>
    <w:rsid w:val="0015074B"/>
    <w:rsid w:val="00193D20"/>
    <w:rsid w:val="001A4A3E"/>
    <w:rsid w:val="002815B0"/>
    <w:rsid w:val="0029639D"/>
    <w:rsid w:val="002E16AC"/>
    <w:rsid w:val="002F7294"/>
    <w:rsid w:val="00310530"/>
    <w:rsid w:val="00326F90"/>
    <w:rsid w:val="00333CCD"/>
    <w:rsid w:val="00351DC6"/>
    <w:rsid w:val="00385F6A"/>
    <w:rsid w:val="00396722"/>
    <w:rsid w:val="003A0918"/>
    <w:rsid w:val="003F37A8"/>
    <w:rsid w:val="004C4CD9"/>
    <w:rsid w:val="004D3A1D"/>
    <w:rsid w:val="0053728C"/>
    <w:rsid w:val="00737736"/>
    <w:rsid w:val="007951BE"/>
    <w:rsid w:val="007E4777"/>
    <w:rsid w:val="008949C5"/>
    <w:rsid w:val="00921D9E"/>
    <w:rsid w:val="0099308A"/>
    <w:rsid w:val="009E1026"/>
    <w:rsid w:val="009E3C5A"/>
    <w:rsid w:val="00A32784"/>
    <w:rsid w:val="00A80AC3"/>
    <w:rsid w:val="00AA1D8D"/>
    <w:rsid w:val="00B47730"/>
    <w:rsid w:val="00BA5E2A"/>
    <w:rsid w:val="00C8279C"/>
    <w:rsid w:val="00CB0664"/>
    <w:rsid w:val="00CE44BA"/>
    <w:rsid w:val="00DB5892"/>
    <w:rsid w:val="00E75B3E"/>
    <w:rsid w:val="00FC693F"/>
    <w:rsid w:val="01181ABC"/>
    <w:rsid w:val="03524493"/>
    <w:rsid w:val="0E1834A5"/>
    <w:rsid w:val="126C4F72"/>
    <w:rsid w:val="1398421A"/>
    <w:rsid w:val="1642F78C"/>
    <w:rsid w:val="175B35B6"/>
    <w:rsid w:val="19AF455F"/>
    <w:rsid w:val="1FFABC15"/>
    <w:rsid w:val="2048AE3B"/>
    <w:rsid w:val="25B8B120"/>
    <w:rsid w:val="27C5F576"/>
    <w:rsid w:val="2BF75223"/>
    <w:rsid w:val="3698BF6A"/>
    <w:rsid w:val="39E3BE42"/>
    <w:rsid w:val="3D9992A4"/>
    <w:rsid w:val="3FEDB1CA"/>
    <w:rsid w:val="4146DFAD"/>
    <w:rsid w:val="4D09B347"/>
    <w:rsid w:val="4E99A617"/>
    <w:rsid w:val="53F9091C"/>
    <w:rsid w:val="55248C04"/>
    <w:rsid w:val="56C07819"/>
    <w:rsid w:val="5B0D50A2"/>
    <w:rsid w:val="5F8B0160"/>
    <w:rsid w:val="5FC3F704"/>
    <w:rsid w:val="6D4580CA"/>
    <w:rsid w:val="6E0EA6BA"/>
    <w:rsid w:val="715633E0"/>
    <w:rsid w:val="765F6702"/>
    <w:rsid w:val="778549E2"/>
    <w:rsid w:val="7C54B5B0"/>
    <w:rsid w:val="7D071A6B"/>
    <w:rsid w:val="7D5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C0C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FFABC15"/>
  </w:style>
  <w:style w:type="paragraph" w:styleId="Heading1">
    <w:name w:val="heading 1"/>
    <w:basedOn w:val="Normal"/>
    <w:next w:val="Normal"/>
    <w:link w:val="Heading1Char"/>
    <w:uiPriority w:val="9"/>
    <w:qFormat/>
    <w:rsid w:val="1FFAB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FFAB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FFAB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1FFAB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1FFABC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FFABC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FFABC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FFABC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FFABC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1FFABC15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1FFABC15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Times New Roman" w:hAnsi="Times New Roman" w:cs="Times New Roman"/>
      <w:lang w:val="it-IT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1FFABC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1FFABC1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1FFABC1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1FFABC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1FFABC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1FFABC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1FFABC15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1FFABC15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1FFABC15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1FFABC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1FFABC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1FFABC15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1FFABC15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1FFABC1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1FFABC15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1FFABC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1FFABC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1FFABC15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1FFABC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1FFABC1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FFABC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2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FFAB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7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49C5"/>
    <w:rPr>
      <w:color w:val="0000FF" w:themeColor="hyperlink"/>
      <w:u w:val="single"/>
    </w:rPr>
  </w:style>
  <w:style w:type="paragraph" w:customStyle="1" w:styleId="paragraph">
    <w:name w:val="paragraph"/>
    <w:basedOn w:val="Normal"/>
    <w:uiPriority w:val="1"/>
    <w:rsid w:val="1FFABC15"/>
    <w:pPr>
      <w:spacing w:beforeAutospacing="1" w:afterAutospacing="1" w:line="240" w:lineRule="auto"/>
    </w:pPr>
    <w:rPr>
      <w:rFonts w:ascii="Calibri" w:hAnsi="Calibri" w:cs="Calibri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9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it/sections-other-bodies/other/eesc-youth-grou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ofhosting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incharge xmlns="149cdba8-b5b2-487b-9e63-72406c10c52e">
      <UserInfo>
        <DisplayName/>
        <AccountId xsi:nil="true"/>
        <AccountType/>
      </UserInfo>
    </Personinchar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68881A2B4CC4295A590CB6EEA9F66" ma:contentTypeVersion="4" ma:contentTypeDescription="Create a new document." ma:contentTypeScope="" ma:versionID="10b2643dcf6011dbc9a17e4caadca618">
  <xsd:schema xmlns:xsd="http://www.w3.org/2001/XMLSchema" xmlns:xs="http://www.w3.org/2001/XMLSchema" xmlns:p="http://schemas.microsoft.com/office/2006/metadata/properties" xmlns:ns2="149cdba8-b5b2-487b-9e63-72406c10c52e" targetNamespace="http://schemas.microsoft.com/office/2006/metadata/properties" ma:root="true" ma:fieldsID="203fdf71baae093693fe99aec4485405" ns2:_="">
    <xsd:import namespace="149cdba8-b5b2-487b-9e63-72406c10c52e"/>
    <xsd:element name="properties">
      <xsd:complexType>
        <xsd:sequence>
          <xsd:element name="documentManagement">
            <xsd:complexType>
              <xsd:all>
                <xsd:element ref="ns2:Personincharg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cdba8-b5b2-487b-9e63-72406c10c52e" elementFormDefault="qualified">
    <xsd:import namespace="http://schemas.microsoft.com/office/2006/documentManagement/types"/>
    <xsd:import namespace="http://schemas.microsoft.com/office/infopath/2007/PartnerControls"/>
    <xsd:element name="Personincharge" ma:index="8" nillable="true" ma:displayName="Person in charge" ma:format="Dropdown" ma:list="UserInfo" ma:SharePointGroup="0" ma:internalName="Personincharg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B95DE-2043-4B0B-8396-D84EB984B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A3B31-B4B8-4F6A-A47C-63F15A01BF6D}">
  <ds:schemaRefs>
    <ds:schemaRef ds:uri="http://schemas.microsoft.com/office/2006/metadata/properties"/>
    <ds:schemaRef ds:uri="http://schemas.microsoft.com/office/infopath/2007/PartnerControls"/>
    <ds:schemaRef ds:uri="96ce3a7c-7f79-43a9-9021-9e9687807524"/>
    <ds:schemaRef ds:uri="139408b5-cd95-41a2-b442-2b289d59f97f"/>
  </ds:schemaRefs>
</ds:datastoreItem>
</file>

<file path=customXml/itemProps3.xml><?xml version="1.0" encoding="utf-8"?>
<ds:datastoreItem xmlns:ds="http://schemas.openxmlformats.org/officeDocument/2006/customXml" ds:itemID="{3762D549-B916-4CBF-9C81-9DD929026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C06B0-A1A6-47E9-8FE2-5BC59600C181}"/>
</file>

<file path=customXml/itemProps5.xml><?xml version="1.0" encoding="utf-8"?>
<ds:datastoreItem xmlns:ds="http://schemas.openxmlformats.org/officeDocument/2006/customXml" ds:itemID="{04E87BE6-E3CC-48B1-AA24-18E7A3CEB8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5801</Characters>
  <Application>Microsoft Office Word</Application>
  <DocSecurity>0</DocSecurity>
  <Lines>48</Lines>
  <Paragraphs>13</Paragraphs>
  <ScaleCrop>false</ScaleCrop>
  <Manager/>
  <Company/>
  <LinksUpToDate>false</LinksUpToDate>
  <CharactersWithSpaces>6805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YEYS 2026 documento concettuale</dc:title>
  <dc:subject/>
  <dc:creator/>
  <cp:keywords/>
  <dc:description>generated by python-docx</dc:description>
  <cp:lastModifiedBy/>
  <cp:revision>8</cp:revision>
  <dcterms:created xsi:type="dcterms:W3CDTF">2025-11-13T09:42:00Z</dcterms:created>
  <dcterms:modified xsi:type="dcterms:W3CDTF">2025-11-13T10:45:00Z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0x01010068468881A2B4CC4295A590CB6EEA9F66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Pref_formatted">
    <vt:bool>true</vt:bool>
  </property>
  <property fmtid="{D5CDD505-2E9C-101B-9397-08002B2CF9AE}" pid="6" name="Pref_Date">
    <vt:lpwstr>07/11/2025</vt:lpwstr>
  </property>
  <property fmtid="{D5CDD505-2E9C-101B-9397-08002B2CF9AE}" pid="7" name="Pref_Time">
    <vt:lpwstr>12:11:21</vt:lpwstr>
  </property>
  <property fmtid="{D5CDD505-2E9C-101B-9397-08002B2CF9AE}" pid="8" name="Pref_User">
    <vt:lpwstr>amett</vt:lpwstr>
  </property>
  <property fmtid="{D5CDD505-2E9C-101B-9397-08002B2CF9AE}" pid="9" name="Pref_FileName">
    <vt:lpwstr>EESC-2025-03704-00-00-INFO-ORI.docx</vt:lpwstr>
  </property>
  <property fmtid="{D5CDD505-2E9C-101B-9397-08002B2CF9AE}" pid="10" name="_dlc_DocIdItemGuid">
    <vt:lpwstr>fbbfdc47-147d-452a-be23-0505830a25f5</vt:lpwstr>
  </property>
  <property fmtid="{D5CDD505-2E9C-101B-9397-08002B2CF9AE}" pid="11" name="AvailableTranslations">
    <vt:lpwstr>39;#LV|46f7e311-5d9f-4663-b433-18aeccb7ace7;#34;#IT|0774613c-01ed-4e5d-a25d-11d2388de825;#23;#DE|f6b31e5a-26fa-4935-b661-318e46daf27e;#24;#PL|1e03da61-4678-4e07-b136-b5024ca9197b;#33;#PT|50ccc04a-eadd-42ae-a0cb-acaf45f812ba;#50;#HR|2f555653-ed1a-4fe6-8362-9082d95989e5;#28;#SV|c2ed69e7-a339-43d7-8f22-d93680a92aa0;#12;#FR|d2afafd3-4c81-4f60-8f52-ee33f2f54ff3;#35;#FI|87606a43-d45f-42d6-b8c9-e1a3457db5b7;#30;#LT|a7ff5ce7-6123-4f68-865a-a57c31810414;#41;#ET|ff6c3f4c-b02c-4c3c-ab07-2c37995a7a0a;#29;#CS|72f9705b-0217-4fd3-bea2-cbc7ed80e26e;#46;#SK|46d9fce0-ef79-4f71-b89b-cd6aa82426b8;#36;#RO|feb747a2-64cd-4299-af12-4833ddc30497;#31;#SL|98a412ae-eb01-49e9-ae3d-585a81724cfc;#5;#EN|f2175f21-25d7-44a3-96da-d6a61b075e1b;#27;#NL|55c6556c-b4f4-441d-9acf-c498d4f838bd;#16;#ES|e7a6b05b-ae16-40c8-add9-68b64b03aeba;#47;#BG|1a1b3951-7821-4e6a-85f5-5673fc08bd2c;#43;#GA|762d2456-c427-4ecb-b312-af3dad8e258c;#40;#DA|5d49c027-8956-412b-aa16-e85a0f96ad0e;#32;#MT|7df99101-6854-4a26-b53a-b88c0da02c26;#42;#EL|6d4f4d51-af9b-4650-94b4-4276bee85c91;#37;#HU|6b229040-c589-4408-b4c1-4285663d20a8</vt:lpwstr>
  </property>
  <property fmtid="{D5CDD505-2E9C-101B-9397-08002B2CF9AE}" pid="12" name="DocumentType_0">
    <vt:lpwstr>INFO|d9136e7c-93a9-4c42-9d28-92b61e85f80c</vt:lpwstr>
  </property>
  <property fmtid="{D5CDD505-2E9C-101B-9397-08002B2CF9AE}" pid="13" name="DossierName_0">
    <vt:lpwstr/>
  </property>
  <property fmtid="{D5CDD505-2E9C-101B-9397-08002B2CF9AE}" pid="14" name="DocumentSource_0">
    <vt:lpwstr>EESC|422833ec-8d7e-4e65-8e4e-8bed07ffb729</vt:lpwstr>
  </property>
  <property fmtid="{D5CDD505-2E9C-101B-9397-08002B2CF9AE}" pid="15" name="DocumentNumber">
    <vt:i4>3704</vt:i4>
  </property>
  <property fmtid="{D5CDD505-2E9C-101B-9397-08002B2CF9AE}" pid="16" name="DocumentVersion">
    <vt:i4>0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Visites</vt:lpwstr>
  </property>
  <property fmtid="{D5CDD505-2E9C-101B-9397-08002B2CF9AE}" pid="20" name="Confidentiality">
    <vt:lpwstr>6;#Internal|2451815e-8241-4bbf-a22e-1ab710712bf2</vt:lpwstr>
  </property>
  <property fmtid="{D5CDD505-2E9C-101B-9397-08002B2CF9AE}" pid="21" name="MeetingName_0">
    <vt:lpwstr/>
  </property>
  <property fmtid="{D5CDD505-2E9C-101B-9397-08002B2CF9AE}" pid="22" name="Confidentiality_0">
    <vt:lpwstr>Internal|2451815e-8241-4bbf-a22e-1ab710712bf2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>PT|50ccc04a-eadd-42ae-a0cb-acaf45f812ba;EN|f2175f21-25d7-44a3-96da-d6a61b075e1b;GA|762d2456-c427-4ecb-b312-af3dad8e258c;DA|5d49c027-8956-412b-aa16-e85a0f96ad0e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33;#PT|50ccc04a-eadd-42ae-a0cb-acaf45f812ba;#40;#DA|5d49c027-8956-412b-aa16-e85a0f96ad0e;#13;#TRA|150d2a88-1431-44e6-a8ca-0bb753ab8672;#9;#INFO|d9136e7c-93a9-4c42-9d28-92b61e85f80c;#8;#Final|ea5e6674-7b27-4bac-b091-73adbb394efe;#6;#Internal|2451815e-8241-4bbf-a22e-1ab710712bf2;#5;#EN|f2175f21-25d7-44a3-96da-d6a61b075e1b;#1;#EESC|422833ec-8d7e-4e65-8e4e-8bed07ffb729;#43;#GA|762d2456-c427-4ecb-b312-af3dad8e258c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296256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9;#INFO|d9136e7c-93a9-4c42-9d28-92b61e85f80c</vt:lpwstr>
  </property>
  <property fmtid="{D5CDD505-2E9C-101B-9397-08002B2CF9AE}" pid="38" name="DocumentLanguage">
    <vt:lpwstr>34;#IT|0774613c-01ed-4e5d-a25d-11d2388de825</vt:lpwstr>
  </property>
  <property fmtid="{D5CDD505-2E9C-101B-9397-08002B2CF9AE}" pid="39" name="_docset_NoMedatataSyncRequired">
    <vt:lpwstr>False</vt:lpwstr>
  </property>
  <property fmtid="{D5CDD505-2E9C-101B-9397-08002B2CF9AE}" pid="40" name="Order">
    <vt:r8>27100</vt:r8>
  </property>
  <property fmtid="{D5CDD505-2E9C-101B-9397-08002B2CF9AE}" pid="41" name="xd_Signature">
    <vt:bool>false</vt:bool>
  </property>
  <property fmtid="{D5CDD505-2E9C-101B-9397-08002B2CF9AE}" pid="42" name="xd_ProgID">
    <vt:lpwstr/>
  </property>
  <property fmtid="{D5CDD505-2E9C-101B-9397-08002B2CF9AE}" pid="43" name="_SourceUrl">
    <vt:lpwstr/>
  </property>
  <property fmtid="{D5CDD505-2E9C-101B-9397-08002B2CF9AE}" pid="44" name="_SharedFileIndex">
    <vt:lpwstr/>
  </property>
  <property fmtid="{D5CDD505-2E9C-101B-9397-08002B2CF9AE}" pid="45" name="ComplianceAssetId">
    <vt:lpwstr/>
  </property>
  <property fmtid="{D5CDD505-2E9C-101B-9397-08002B2CF9AE}" pid="46" name="TemplateUrl">
    <vt:lpwstr/>
  </property>
  <property fmtid="{D5CDD505-2E9C-101B-9397-08002B2CF9AE}" pid="47" name="_ExtendedDescription">
    <vt:lpwstr/>
  </property>
  <property fmtid="{D5CDD505-2E9C-101B-9397-08002B2CF9AE}" pid="48" name="TriggerFlowInfo">
    <vt:lpwstr/>
  </property>
</Properties>
</file>