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E980" w14:textId="41A45D93" w:rsidR="00333CCD"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HU</w:t>
                      </w:r>
                    </w:p>
                  </w:txbxContent>
                </v:textbox>
                <w10:wrap anchorx="page" anchory="page"/>
              </v:shape>
            </w:pict>
          </mc:Fallback>
        </mc:AlternateContent>
      </w:r>
      <w:r w:rsidR="56C07819">
        <w:rPr>
          <w:rFonts w:asciiTheme="majorHAnsi" w:hAnsiTheme="majorHAnsi"/>
          <w:b/>
          <w:sz w:val="24"/>
        </w:rPr>
        <w:t>Your Europe, Your Say! (YEYS) 2026 – Stratégiai feljegyzés</w:t>
      </w:r>
    </w:p>
    <w:p w14:paraId="3F2C1B2E" w14:textId="77777777" w:rsidR="00951E8E" w:rsidRDefault="00951E8E" w:rsidP="00951E8E">
      <w:pPr>
        <w:spacing w:after="0" w:line="288" w:lineRule="auto"/>
        <w:rPr>
          <w:rFonts w:asciiTheme="majorHAnsi" w:hAnsiTheme="majorHAnsi"/>
        </w:rPr>
      </w:pPr>
      <w:r w:rsidRPr="00951E8E">
        <w:rPr>
          <w:rFonts w:asciiTheme="majorHAnsi" w:hAnsiTheme="majorHAnsi" w:cstheme="majorBidi"/>
          <w:b/>
          <w:bCs/>
          <w:noProof/>
          <w:sz w:val="20"/>
          <w:szCs w:val="24"/>
          <w:lang w:eastAsia="en-GB"/>
        </w:rPr>
        <mc:AlternateContent>
          <mc:Choice Requires="wps">
            <w:drawing>
              <wp:anchor distT="0" distB="0" distL="114300" distR="114300" simplePos="0" relativeHeight="251661312" behindDoc="1" locked="0" layoutInCell="0" allowOverlap="1" wp14:anchorId="32190E41" wp14:editId="0644A045">
                <wp:simplePos x="0" y="0"/>
                <wp:positionH relativeFrom="page">
                  <wp:posOffset>6769100</wp:posOffset>
                </wp:positionH>
                <wp:positionV relativeFrom="page">
                  <wp:posOffset>10081260</wp:posOffset>
                </wp:positionV>
                <wp:extent cx="647700" cy="396240"/>
                <wp:effectExtent l="0" t="3810" r="3175" b="0"/>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62568" w14:textId="77777777" w:rsidR="00951E8E" w:rsidRPr="00260E65" w:rsidRDefault="00951E8E">
                            <w:pPr>
                              <w:jc w:val="center"/>
                              <w:rPr>
                                <w:rFonts w:ascii="Arial" w:hAnsi="Arial" w:cs="Arial"/>
                                <w:b/>
                                <w:bCs/>
                                <w:sz w:val="48"/>
                                <w:lang w:val="nl-BE"/>
                              </w:rPr>
                            </w:pPr>
                            <w:r>
                              <w:rPr>
                                <w:rFonts w:ascii="Arial" w:hAnsi="Arial" w:cs="Arial"/>
                                <w:b/>
                                <w:bCs/>
                                <w:sz w:val="48"/>
                                <w:lang w:val="nl-BE"/>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90E41" id="Text Box 22" o:spid="_x0000_s1027" type="#_x0000_t202" style="position:absolute;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A4BxWf0AQAAzgMAAA4AAAAAAAAAAAAAAAAALgIAAGRy&#10;cy9lMm9Eb2MueG1sUEsBAi0AFAAGAAgAAAAhAOtUMVreAAAADwEAAA8AAAAAAAAAAAAAAAAATgQA&#10;AGRycy9kb3ducmV2LnhtbFBLBQYAAAAABAAEAPMAAABZBQAAAAA=&#10;" o:allowincell="f" filled="f" stroked="f">
                <v:textbox>
                  <w:txbxContent>
                    <w:p w14:paraId="6D862568" w14:textId="77777777" w:rsidR="00951E8E" w:rsidRPr="00260E65" w:rsidRDefault="00951E8E">
                      <w:pPr>
                        <w:jc w:val="center"/>
                        <w:rPr>
                          <w:rFonts w:ascii="Arial" w:hAnsi="Arial" w:cs="Arial"/>
                          <w:b/>
                          <w:bCs/>
                          <w:sz w:val="48"/>
                          <w:lang w:val="nl-BE"/>
                        </w:rPr>
                      </w:pPr>
                      <w:r>
                        <w:rPr>
                          <w:rFonts w:ascii="Arial" w:hAnsi="Arial" w:cs="Arial"/>
                          <w:b/>
                          <w:bCs/>
                          <w:sz w:val="48"/>
                          <w:lang w:val="nl-BE"/>
                        </w:rPr>
                        <w:t>HU</w:t>
                      </w:r>
                    </w:p>
                  </w:txbxContent>
                </v:textbox>
                <w10:wrap anchorx="page" anchory="page"/>
              </v:shape>
            </w:pict>
          </mc:Fallback>
        </mc:AlternateContent>
      </w:r>
    </w:p>
    <w:p w14:paraId="0AE05097" w14:textId="52F29432" w:rsidR="001A4A3E" w:rsidRDefault="56C07819" w:rsidP="00951E8E">
      <w:pPr>
        <w:spacing w:after="0" w:line="288" w:lineRule="auto"/>
        <w:rPr>
          <w:rFonts w:asciiTheme="majorHAnsi" w:hAnsiTheme="majorHAnsi" w:cstheme="majorBidi"/>
        </w:rPr>
      </w:pPr>
      <w:r>
        <w:rPr>
          <w:rFonts w:asciiTheme="majorHAnsi" w:hAnsiTheme="majorHAnsi"/>
        </w:rPr>
        <w:t>Brüsszel minden tavasszal az európai fiatalok találkozópontjává válik. 2010 óta az Európai Gazdasági és Szociális Bizottság (EGSZB) megnyitja kapuit az uniós tagállamokból, a tagjelölt országokból és az Egyesült Királyságból származó fiatalok előtt, felkérve őket, hogy lépjenek az európai párbeszéd középpontjába.</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A „Your Europe, Your Say!” (A te Európád, a te szavad!) rendezvény (YEYS) több, mint egy találkozópont – a részvételi demokrácia élő laboratóriuma, egy olyan fórum, amely nemcsak az ötletcserére szolgál, hanem arra is, hogy az EGSZB tanácsadói és politikai munkáját meghatározó ajánlásokká alakítsa át ezeket az ötleteket.</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2026-ban a YEYS 137 résztvevőt gyűjt majd egybe: középiskolás diákokat, kísérő tanárokat és fiatal felnőtteket, akik ifjúsági szervezetekhez kapcsolódnak, és akiket motivációjuk, sokféleségük és a polgári szerepvállalás iránti elkötelezettségük alapján választanak ki.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A rendezvényre, amely két napon át fog tartani, március 19-én és 20-án, kizárólag angol nyelven, az EGSZB brüsszeli székházában kerül majd sor. Az online részvétel helyett a személyes találkozásokra helyezik a hangsúlyt, előmozdítva a valódi kapcsolatokat és az együttműködésen alapuló energiát.</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Sokak számára a YEYS-hez vezető út nyílt pályázati felhívással kezdődik. Az iskolák Európa-szerte arra biztatják leginkább motivált diákjaikat és fiatal vezetőiket, hogy fejtsék ki, miért fontos számukra a rendezényen való részvétel. Hasonlóképpen a fiatalok – akár valamely ifjúsági szervezet vagy nemzeti ifjúsági tanács tagjai, akár az önkéntesként tevékenykedők – felkérést kapnak arra, hogy osszák meg motivációjukat és nyújtsák be pályázatukat. A kiválasztás nem csupán négyzetek kipipálásáról szól, hanem arról is, hogy olyanokat találjunk, akik nemcsak a megfelelő életkorban vannak és a megfelelő háttérrel rendelkeznek, hanem igazán motiváltak, és hajlandóságot is mutatnak arra, hogy közösségeiket bevonják a kezdeményezésbe. A folyamatot úgy tervezték, hogy méltányos és inkluzív legyen, egyenlő esélyeket biztosítva a fogyatékossággal élő diákok, a szakképzésben részt vevő jelöltek és az Európa minden tájáról érkezők számára.</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A YEYS plenáris ülések és interaktív workshopok köré szerveződik, de igazi varázsa a közben zajló beszélgetésekben rejlik. A segítők részvételen alapuló vezetést és </w:t>
      </w:r>
      <w:hyperlink r:id="rId11">
        <w:r>
          <w:rPr>
            <w:rStyle w:val="Hyperlink"/>
            <w:rFonts w:asciiTheme="majorHAnsi" w:hAnsiTheme="majorHAnsi"/>
          </w:rPr>
          <w:t>„Art of Hosting” módszereket</w:t>
        </w:r>
      </w:hyperlink>
      <w:r>
        <w:rPr>
          <w:rFonts w:asciiTheme="majorHAnsi" w:hAnsiTheme="majorHAnsi"/>
        </w:rPr>
        <w:t xml:space="preserve"> alkalmaznak olyan terek létrehozására, ahol minden vélemény számít. Ez rendkívül hatékony módja annak, hogy kiaknázzuk bármilyen méretű csoportok kollektív bölcsességét és önszervező képességét. Ezek a módszerek azon a feltételezésen alapulnak, hogy az emberek hajlandóak energiát fektetni és erőforrást rendelkezésre bocsátani olyan célok érdekében, amelyek fontosak számukra. Ebből kiindulva hatásos, párbeszéden alapuló folyamatokat vegyítenek annak érdekében, hogy a résztvevőket ösztönözzék az előttük felmerülő kihívások felvállalására.</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A 2026-ra vonatkozó – hamarosan meghatározandó – tematikus súlypont alapjául a következő kulcsfontosságú pillérek szolgálnak, amelyek továbbra is időszerűek és időtlenek:</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lastRenderedPageBreak/>
        <w:t xml:space="preserve">A jövő alakítása </w:t>
      </w:r>
      <w:r>
        <w:rPr>
          <w:rFonts w:asciiTheme="majorHAnsi" w:hAnsiTheme="majorHAnsi"/>
        </w:rPr>
        <w:t>&gt; Milyen Európában akarnak élni a fiatalok? Hogyan alakíthatják nézőpontjaik a politikát és a társadalmat?</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Polgári szerepvállalás és részvételi demokrácia</w:t>
      </w:r>
      <w:r>
        <w:rPr>
          <w:rFonts w:asciiTheme="majorHAnsi" w:hAnsiTheme="majorHAnsi"/>
        </w:rPr>
        <w:t xml:space="preserve"> &gt; Mit jelent aktív polgárnak lenni? Hogyan befolyásolhatják a fiatalok minden szinten a döntéshozatali folyamatot?</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Digitális transzformáció, mesterséges intelligencia és ifjúság</w:t>
      </w:r>
      <w:r>
        <w:rPr>
          <w:rFonts w:asciiTheme="majorHAnsi" w:hAnsiTheme="majorHAnsi"/>
        </w:rPr>
        <w:t xml:space="preserve"> &gt; Milyen lehetőségeket és kihívásokat jelent a digitális részvétel?</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bCs/>
        </w:rPr>
        <w:t>Társadalmi kohézió és befogadás</w:t>
      </w:r>
      <w:r>
        <w:rPr>
          <w:rFonts w:asciiTheme="majorHAnsi" w:hAnsiTheme="majorHAnsi"/>
        </w:rPr>
        <w:t xml:space="preserve"> &gt; Hogyan kezeljük a polarizációt, és biztosítsuk, hogy mindenkinek legyen beleszólása a folyamatba?</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Éghajlat-politika és fenntarthatóság</w:t>
      </w:r>
      <w:r>
        <w:rPr>
          <w:rFonts w:asciiTheme="majorHAnsi" w:hAnsiTheme="majorHAnsi"/>
        </w:rPr>
        <w:t xml:space="preserve"> &gt; Milyen szerepet játszhatnak a fiatalok a környezeti változások előmozdításában?</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bCs/>
        </w:rPr>
        <w:t>Mentális egészség és jóllét</w:t>
      </w:r>
      <w:r>
        <w:rPr>
          <w:rFonts w:asciiTheme="majorHAnsi" w:hAnsiTheme="majorHAnsi"/>
        </w:rPr>
        <w:t xml:space="preserve"> &gt; Hogyan támogatjuk egymást a polgári részvétel útján?</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A résztvevőket arra ösztönözzük, hogy alaposan gondolják át értékrendjeiket, várakozásaikat és prioritásaikat, valamint azt, hogy miként tudnak részt venni ezek érvényre juttatásában. A workshopok célja, hogy vitát ösztönözzenek, új gondolkodásmódra késztessenek, és arra ösztönözzék a résztvevőket, hogy képzeljék el az együttműködés és a változás konkrét lépéseit. Az esemény csúcspontját egy plenáris ülés jelenti majd, ahol az ajánlásokat nem absztrakt kijelentések formájában fogalmazzák meg, hanem olyan megvalósítható javaslatokként, amelyek tükrözik az európai fiatalok reményeit és prioritásait.</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bCs/>
        </w:rPr>
        <w:t>A YEYS</w:t>
      </w:r>
      <w:r>
        <w:rPr>
          <w:b/>
        </w:rPr>
        <w:t xml:space="preserve"> 202</w:t>
      </w:r>
      <w:bookmarkEnd w:id="0"/>
      <w:r>
        <w:rPr>
          <w:b/>
        </w:rPr>
        <w:t>6</w:t>
      </w:r>
      <w:r>
        <w:t xml:space="preserve"> </w:t>
      </w:r>
      <w:r>
        <w:rPr>
          <w:b/>
          <w:bCs/>
        </w:rPr>
        <w:t>utóélete</w:t>
      </w:r>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A YEYS nem fejeződik be, amikor az utolsó workshop véget ér. A nyomon követés szerves részét képezi a rendezvénynek. Minden iskola és résztvevő vállalja, hogy otthon megosztja a YEYS keretében szerzett tapasztalatait. Hogyan? Előadások, helyi rendezvények vagy a közösségi média révén. A diákok 1–3 konkrét intézkedést vázolnak fel a polgári és uniós szerepvállalás előmozdítására, amelyeket iskoláik támogatnak, és amelyeket az EGSZB is megerősít. A fiatal felnőtteket arra is felkérik, hogy vizsgálják meg, hogyan lehetne a legnagyobb mértékben kiaknázni a rendezvény eredményeit. Ezek a történetek, amelyeket a #YEYS2026 segítségével osztunk meg, az ifjúsági aktivizmus egyfajta digitális térképét rajzolják fel Európában.</w:t>
      </w:r>
    </w:p>
    <w:p w14:paraId="30C5A598" w14:textId="160D49DC" w:rsidR="008949C5" w:rsidRPr="008949C5" w:rsidRDefault="2BF75223"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r>
        <w:rPr>
          <w:rFonts w:asciiTheme="majorHAnsi" w:hAnsiTheme="majorHAnsi"/>
        </w:rPr>
        <w:t>Az</w:t>
      </w:r>
      <w:r>
        <w:t xml:space="preserve"> </w:t>
      </w:r>
      <w:hyperlink r:id="rId12">
        <w:r>
          <w:rPr>
            <w:rStyle w:val="Hyperlink"/>
            <w:rFonts w:asciiTheme="majorHAnsi" w:hAnsiTheme="majorHAnsi"/>
          </w:rPr>
          <w:t>EGSZB ifjúsági csoportja</w:t>
        </w:r>
      </w:hyperlink>
      <w:r>
        <w:t xml:space="preserve"> </w:t>
      </w:r>
      <w:r>
        <w:rPr>
          <w:rFonts w:asciiTheme="majorHAnsi" w:hAnsiTheme="majorHAnsi"/>
        </w:rPr>
        <w:t>biztosítja a nyomon követést azzal, hogy az EGSZB által végzett tanácsadói és politikai munkához való potenciális hozzájárulásként terjeszti az ajánlásokat. Az ifjúsági csoport ezenkívül lehetőség szerint külső rendezvényeken is meg fogja említeni az ajánlásokat, és meg fogja vizsgálni, hogy azok miként építhetők be az EGSZB-nél az uniós ifjúsági teszthez kiválasztott véleményekbe.</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t>Az utazást és a szállást az EGSZB szervezi, lehetővé téve a résztvevők számára, hogy a logisztika helyett a tapasztalatokra összpontosítsanak. Az oktatási anyagokat előzetesen rendelkezésre bocsátják, és az EGSZB tagjai felkeresik a kiválasztott iskolákat, hogy felkészítsék a diákokat és a tanárokat az utazásra.</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 xml:space="preserve">A 2026-os YEYS több, mint egy rendezvény – esélyt nyújt arra, hogy a résztvevők találkozhassanak társaikkal a kontinens valamennyi szegletéből, és együtt tanuljanak, vitatkozzanak és álmodjanak. És ami a legfontosabb, a YEYS kötelezettségvállalás amellett, hogy Brüsszel szellemét hazavigye a helyi </w:t>
      </w:r>
      <w:r>
        <w:rPr>
          <w:rFonts w:asciiTheme="majorHAnsi" w:hAnsiTheme="majorHAnsi"/>
        </w:rPr>
        <w:lastRenderedPageBreak/>
        <w:t>közösségekhez, az ötleteket cselekvésre váltva, és biztosítva, hogy a fiatalok véleménye továbbra is számítson az európai döntéshozatal helyszínein.</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201CE5">
      <w:fldChar w:fldCharType="begin"/>
    </w:r>
    <w:r w:rsidR="00201CE5">
      <w:instrText xml:space="preserve"> NUMPAGES </w:instrText>
    </w:r>
    <w:r w:rsidR="00201CE5">
      <w:fldChar w:fldCharType="separate"/>
    </w:r>
    <w:r w:rsidR="00351DC6">
      <w:t>2</w:t>
    </w:r>
    <w:r w:rsidR="00201C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D534A"/>
    <w:rsid w:val="002E16AC"/>
    <w:rsid w:val="002F7294"/>
    <w:rsid w:val="00326F90"/>
    <w:rsid w:val="00333CCD"/>
    <w:rsid w:val="00351DC6"/>
    <w:rsid w:val="003A0918"/>
    <w:rsid w:val="003F37A8"/>
    <w:rsid w:val="004C4CD9"/>
    <w:rsid w:val="004D3A1D"/>
    <w:rsid w:val="00737736"/>
    <w:rsid w:val="007E4777"/>
    <w:rsid w:val="008949C5"/>
    <w:rsid w:val="00951E8E"/>
    <w:rsid w:val="0099308A"/>
    <w:rsid w:val="00A32784"/>
    <w:rsid w:val="00A80AC3"/>
    <w:rsid w:val="00AA1D8D"/>
    <w:rsid w:val="00B47730"/>
    <w:rsid w:val="00CB0664"/>
    <w:rsid w:val="00CE44BA"/>
    <w:rsid w:val="00DB5892"/>
    <w:rsid w:val="00E75B3E"/>
    <w:rsid w:val="00FC693F"/>
    <w:rsid w:val="00FF6F82"/>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hu-HU"/>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hu-HU"/>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hu/sections-other-bodies/other/eesc-youth-grou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2.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3.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4.xml><?xml version="1.0" encoding="utf-8"?>
<ds:datastoreItem xmlns:ds="http://schemas.openxmlformats.org/officeDocument/2006/customXml" ds:itemID="{1DB78DBA-EC7C-48D7-BA7D-1DBA7AF6ED1D}"/>
</file>

<file path=customXml/itemProps5.xml><?xml version="1.0" encoding="utf-8"?>
<ds:datastoreItem xmlns:ds="http://schemas.openxmlformats.org/officeDocument/2006/customXml" ds:itemID="{979CD4EC-196E-4E1F-BB1B-6A1391617255}"/>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5536</Characters>
  <Application>Microsoft Office Word</Application>
  <DocSecurity>0</DocSecurity>
  <Lines>46</Lines>
  <Paragraphs>13</Paragraphs>
  <ScaleCrop>false</ScaleCrop>
  <Manager/>
  <Company/>
  <LinksUpToDate>false</LinksUpToDate>
  <CharactersWithSpaces>6529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2026-os Your Europe, Your Say! (YEYS) rendezvényre vonatkozó stratégiai feljegyzés</dc:title>
  <dc:subject/>
  <dc:creator/>
  <cp:keywords/>
  <dc:description>generated by python-docx</dc:description>
  <cp:lastModifiedBy/>
  <cp:revision>11</cp:revision>
  <dcterms:created xsi:type="dcterms:W3CDTF">2025-11-07T11:11:00Z</dcterms:created>
  <dcterms:modified xsi:type="dcterms:W3CDTF">2025-11-14T10:41:00Z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97a8b6f4-3120-4737-93e7-e49f70d9370b</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IT|0774613c-01ed-4e5d-a25d-11d2388de825;DE|f6b31e5a-26fa-4935-b661-318e46daf27e;PL|1e03da61-4678-4e07-b136-b5024ca9197b;PT|50ccc04a-eadd-42ae-a0cb-acaf45f812ba;FR|d2afafd3-4c81-4f60-8f52-ee33f2f54ff3;RO|feb747a2-64cd-4299-af12-4833ddc30497;SL|98a412ae-eb01-49e9-ae3d-585a81724cfc;EN|f2175f21-25d7-44a3-96da-d6a61b075e1b;NL|55c6556c-b4f4-441d-9acf-c498d4f838bd;GA|762d2456-c427-4ecb-b312-af3dad8e258c;DA|5d49c027-8956-412b-aa16-e85a0f96ad0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36;#RO|feb747a2-64cd-4299-af12-4833ddc30497;#34;#IT|0774613c-01ed-4e5d-a25d-11d2388de825;#33;#PT|50ccc04a-eadd-42ae-a0cb-acaf45f812ba;#31;#SL|98a412ae-eb01-49e9-ae3d-585a81724cfc;#43;#GA|762d2456-c427-4ecb-b312-af3dad8e258c;#27;#NL|55c6556c-b4f4-441d-9acf-c498d4f838bd;#24;#PL|1e03da61-4678-4e07-b136-b5024ca9197b;#23;#DE|f6b31e5a-26fa-4935-b661-318e46daf27e;#13;#TRA|150d2a88-1431-44e6-a8ca-0bb753ab8672;#12;#FR|d2afafd3-4c81-4f60-8f52-ee33f2f54ff3;#9;#INFO|d9136e7c-93a9-4c42-9d28-92b61e85f80c;#8;#Final|ea5e6674-7b27-4bac-b091-73adbb394efe;#6;#Internal|2451815e-8241-4bbf-a22e-1ab710712bf2;#5;#EN|f2175f21-25d7-44a3-96da-d6a61b075e1b;#40;#DA|5d49c027-8956-412b-aa16-e85a0f96ad0e;#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37;#HU|6b229040-c589-4408-b4c1-4285663d20a8</vt:lpwstr>
  </property>
  <property fmtid="{D5CDD505-2E9C-101B-9397-08002B2CF9AE}" pid="39" name="Order">
    <vt:r8>26800</vt:r8>
  </property>
  <property fmtid="{D5CDD505-2E9C-101B-9397-08002B2CF9AE}" pid="40" name="xd_Signature">
    <vt:bool>false</vt:bool>
  </property>
  <property fmtid="{D5CDD505-2E9C-101B-9397-08002B2CF9AE}" pid="41" name="xd_ProgID">
    <vt:lpwstr/>
  </property>
  <property fmtid="{D5CDD505-2E9C-101B-9397-08002B2CF9AE}" pid="42" name="_SourceUrl">
    <vt:lpwstr/>
  </property>
  <property fmtid="{D5CDD505-2E9C-101B-9397-08002B2CF9AE}" pid="43" name="_SharedFileIndex">
    <vt:lpwstr/>
  </property>
  <property fmtid="{D5CDD505-2E9C-101B-9397-08002B2CF9AE}" pid="44" name="ComplianceAssetId">
    <vt:lpwstr/>
  </property>
  <property fmtid="{D5CDD505-2E9C-101B-9397-08002B2CF9AE}" pid="45" name="TemplateUrl">
    <vt:lpwstr/>
  </property>
  <property fmtid="{D5CDD505-2E9C-101B-9397-08002B2CF9AE}" pid="46" name="_ExtendedDescription">
    <vt:lpwstr/>
  </property>
  <property fmtid="{D5CDD505-2E9C-101B-9397-08002B2CF9AE}" pid="47" name="TriggerFlowInfo">
    <vt:lpwstr/>
  </property>
</Properties>
</file>