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980" w14:textId="49A5261E" w:rsidR="00333CCD"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FI</w:t>
                      </w:r>
                    </w:p>
                  </w:txbxContent>
                </v:textbox>
                <w10:wrap anchorx="page" anchory="page"/>
              </v:shape>
            </w:pict>
          </mc:Fallback>
        </mc:AlternateContent>
      </w:r>
      <w:r w:rsidR="56C07819">
        <w:rPr>
          <w:rFonts w:asciiTheme="majorHAnsi" w:hAnsiTheme="majorHAnsi"/>
          <w:b/>
          <w:sz w:val="24"/>
        </w:rPr>
        <w:t>Sinun Eurooppasi, sinun mielipiteesi -tapahtuma 2026 – tausta-asiakirja</w:t>
      </w:r>
    </w:p>
    <w:p w14:paraId="02CAE187" w14:textId="77777777" w:rsidR="00737736" w:rsidRPr="00782376" w:rsidRDefault="00737736" w:rsidP="00782376">
      <w:pPr>
        <w:spacing w:after="0" w:line="288" w:lineRule="auto"/>
        <w:jc w:val="both"/>
        <w:rPr>
          <w:rFonts w:asciiTheme="majorHAnsi" w:hAnsiTheme="majorHAnsi" w:cstheme="majorHAnsi"/>
          <w:sz w:val="16"/>
          <w:szCs w:val="16"/>
        </w:rPr>
      </w:pPr>
    </w:p>
    <w:p w14:paraId="0AE05097" w14:textId="13F6D70B" w:rsidR="001A4A3E"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Brysseliin kokoontuu joka kevät nuoria eri puolilta Eurooppaa: Euroopan talous- ja sosiaalikomitea (ETSK) on vuodesta 2010 lähtien avannut ovensa EU:n jäsenvaltioista, ehdokasmaista ja Yhdistyneestä kuningaskunnasta tuleville nuorille ja tarjonnut heille mahdollisuuden päästä eurooppalaisen vuoropuhelun ytimeen.</w:t>
      </w:r>
    </w:p>
    <w:p w14:paraId="494DF424" w14:textId="77777777" w:rsidR="00737736" w:rsidRPr="00782376" w:rsidRDefault="00737736" w:rsidP="00737736">
      <w:pPr>
        <w:spacing w:after="0" w:line="288" w:lineRule="auto"/>
        <w:jc w:val="both"/>
        <w:rPr>
          <w:rFonts w:asciiTheme="majorHAnsi" w:hAnsiTheme="majorHAnsi" w:cstheme="majorHAnsi"/>
          <w:sz w:val="16"/>
          <w:szCs w:val="16"/>
        </w:rPr>
      </w:pPr>
    </w:p>
    <w:p w14:paraId="7DB6CBFB" w14:textId="331BFAC3"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Sinun Eurooppasi, sinun mielipiteesi </w:t>
      </w:r>
      <w:r w:rsidRPr="00DF4788">
        <w:rPr>
          <w:rFonts w:asciiTheme="majorHAnsi" w:hAnsiTheme="majorHAnsi" w:cstheme="majorHAnsi"/>
        </w:rPr>
        <w:noBreakHyphen/>
        <w:t xml:space="preserve">tapahtuma (YEYS) ei kuitenkaan ole pelkkä kokoontumispaikka. Se on osallistavan demokratian elävä laboratorio, jossa paitsi vaihdetaan ajatuksia myös laaditaan ideoiden pohjalta suosituksia, jotka heijastuvat </w:t>
      </w:r>
      <w:proofErr w:type="spellStart"/>
      <w:r w:rsidRPr="00DF4788">
        <w:rPr>
          <w:rFonts w:asciiTheme="majorHAnsi" w:hAnsiTheme="majorHAnsi" w:cstheme="majorHAnsi"/>
        </w:rPr>
        <w:t>ETSK:n</w:t>
      </w:r>
      <w:proofErr w:type="spellEnd"/>
      <w:r w:rsidRPr="00DF4788">
        <w:rPr>
          <w:rFonts w:asciiTheme="majorHAnsi" w:hAnsiTheme="majorHAnsi" w:cstheme="majorHAnsi"/>
        </w:rPr>
        <w:t xml:space="preserve"> neuvoa-antavaan ja poliittiseen työhön.</w:t>
      </w:r>
    </w:p>
    <w:p w14:paraId="0443544E" w14:textId="77777777" w:rsidR="001A4A3E" w:rsidRPr="00782376" w:rsidRDefault="001A4A3E" w:rsidP="00737736">
      <w:pPr>
        <w:spacing w:after="0" w:line="288" w:lineRule="auto"/>
        <w:jc w:val="both"/>
        <w:rPr>
          <w:rFonts w:asciiTheme="majorHAnsi" w:hAnsiTheme="majorHAnsi" w:cstheme="majorHAnsi"/>
          <w:sz w:val="16"/>
          <w:szCs w:val="16"/>
        </w:rPr>
      </w:pPr>
    </w:p>
    <w:p w14:paraId="7357C6A1" w14:textId="6D0EF22E" w:rsidR="00A32784"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Vuoden 2026 Sinun Eurooppasi, sinun mielipiteesi </w:t>
      </w:r>
      <w:r w:rsidRPr="00DF4788">
        <w:rPr>
          <w:rFonts w:asciiTheme="majorHAnsi" w:hAnsiTheme="majorHAnsi" w:cstheme="majorHAnsi"/>
        </w:rPr>
        <w:noBreakHyphen/>
        <w:t>tapahtumaan osallistuu 137 osanottajaa, joiden joukossa on toisen asteen oppilaitosten opiskelijoita, heidän mukanaan matkustavia opettajia sekä nuorisojärjestöissä toimivia nuoria aikuisia. Valintaperusteena ovat motivaatio, moninaisuus ja sitoutuminen kansalaistoimintaan.</w:t>
      </w:r>
    </w:p>
    <w:p w14:paraId="716DB13D" w14:textId="77777777" w:rsidR="00DF4788" w:rsidRPr="00782376" w:rsidRDefault="00DF4788" w:rsidP="00737736">
      <w:pPr>
        <w:spacing w:after="0" w:line="288" w:lineRule="auto"/>
        <w:jc w:val="both"/>
        <w:rPr>
          <w:rFonts w:asciiTheme="majorHAnsi" w:hAnsiTheme="majorHAnsi" w:cstheme="majorHAnsi"/>
          <w:sz w:val="16"/>
          <w:szCs w:val="16"/>
        </w:rPr>
      </w:pPr>
    </w:p>
    <w:p w14:paraId="68BC5F62" w14:textId="559963DF"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Tapahtuma on kaksipäivänen. Se järjestetään </w:t>
      </w:r>
      <w:proofErr w:type="spellStart"/>
      <w:r w:rsidRPr="00DF4788">
        <w:rPr>
          <w:rFonts w:asciiTheme="majorHAnsi" w:hAnsiTheme="majorHAnsi" w:cstheme="majorHAnsi"/>
        </w:rPr>
        <w:t>ETSK:n</w:t>
      </w:r>
      <w:proofErr w:type="spellEnd"/>
      <w:r w:rsidRPr="00DF4788">
        <w:rPr>
          <w:rFonts w:asciiTheme="majorHAnsi" w:hAnsiTheme="majorHAnsi" w:cstheme="majorHAnsi"/>
        </w:rPr>
        <w:t xml:space="preserve"> tiloissa Brysselissä 19.–20. maaliskuuta 2026, ja kielenä on vain englanti. Etäosallistuminen ei ole mahdollista, vaan tarkoituksena on edistää aitojen yhteyksien ja yhteistyövoiman luomista kasvokkaisten kohtaamisen avulla.</w:t>
      </w:r>
    </w:p>
    <w:p w14:paraId="6A496035" w14:textId="77777777" w:rsidR="00A32784" w:rsidRPr="00782376" w:rsidRDefault="00A32784" w:rsidP="00737736">
      <w:pPr>
        <w:spacing w:after="0" w:line="288" w:lineRule="auto"/>
        <w:jc w:val="both"/>
        <w:rPr>
          <w:rFonts w:asciiTheme="majorHAnsi" w:hAnsiTheme="majorHAnsi" w:cstheme="majorHAnsi"/>
          <w:sz w:val="16"/>
          <w:szCs w:val="16"/>
        </w:rPr>
      </w:pPr>
    </w:p>
    <w:p w14:paraId="1DA40E8A" w14:textId="3422C97A"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Monien YEYS-taival alkaa avoimesta hakumenettelystä. Oppilaitokset eri puolilla Eurooppaa kannustavat kaikkein sitoutuneimpia opiskelijoitaan ja nuoria vastuunkantajia hakemaan mukaan ja perustelemaan, miksi he haluavat osallistua tapahtumaan. Myös nuorisojärjestöissä tai kansallisissa nuorisovaltuustoissa toimivia tai vapaaehtoistyöhön osallistuvia nuoria kannustetaan lähettämään hakemuksensa ja kertomaan motivaatiostaan. Valinnassa ei ole kyse pelkästään siitä, että tarkastetaan, täyttävätkö hakijat asetetut kriteerit. Tarkoituksena on löytää ne, jotka ovat iältään tai taustaltaan vaaditun profiilin mukaisia mutta myös motivoituneita ja halukkaita saamaan edustamansa yhteisönkin </w:t>
      </w:r>
      <w:proofErr w:type="spellStart"/>
      <w:r w:rsidRPr="00DF4788">
        <w:rPr>
          <w:rFonts w:asciiTheme="majorHAnsi" w:hAnsiTheme="majorHAnsi" w:cstheme="majorHAnsi"/>
        </w:rPr>
        <w:t>osallistettua</w:t>
      </w:r>
      <w:proofErr w:type="spellEnd"/>
      <w:r w:rsidRPr="00DF4788">
        <w:rPr>
          <w:rFonts w:asciiTheme="majorHAnsi" w:hAnsiTheme="majorHAnsi" w:cstheme="majorHAnsi"/>
        </w:rPr>
        <w:t>. Valintamenettely on suunniteltu niin, että se on oikeudenmukainen ja osallistava ja takaa yhtäläiset mahdollisuudet vammaisille opiskelijoille, ammattikouluopiskelijoille ja muille hakijoille eri puolilta Eurooppaa.</w:t>
      </w:r>
    </w:p>
    <w:p w14:paraId="04D98E32" w14:textId="428C1CD3" w:rsidR="00A32784" w:rsidRPr="00782376" w:rsidRDefault="00782376" w:rsidP="00737736">
      <w:pPr>
        <w:spacing w:after="0" w:line="288" w:lineRule="auto"/>
        <w:jc w:val="both"/>
        <w:rPr>
          <w:rFonts w:asciiTheme="majorHAnsi" w:hAnsiTheme="majorHAnsi" w:cstheme="majorHAnsi"/>
          <w:sz w:val="16"/>
          <w:szCs w:val="16"/>
        </w:rPr>
      </w:pPr>
      <w:r w:rsidRPr="00782376">
        <w:rPr>
          <w:rFonts w:asciiTheme="majorHAnsi" w:hAnsiTheme="majorHAnsi" w:cstheme="majorHAnsi"/>
          <w:sz w:val="16"/>
          <w:szCs w:val="16"/>
        </w:rPr>
        <mc:AlternateContent>
          <mc:Choice Requires="wps">
            <w:drawing>
              <wp:anchor distT="0" distB="0" distL="114300" distR="114300" simplePos="0" relativeHeight="251661312" behindDoc="1" locked="0" layoutInCell="0" allowOverlap="1" wp14:anchorId="143AA5FE" wp14:editId="28FEC4DC">
                <wp:simplePos x="0" y="0"/>
                <wp:positionH relativeFrom="page">
                  <wp:posOffset>6769100</wp:posOffset>
                </wp:positionH>
                <wp:positionV relativeFrom="page">
                  <wp:posOffset>10081260</wp:posOffset>
                </wp:positionV>
                <wp:extent cx="647700" cy="396240"/>
                <wp:effectExtent l="0" t="3810" r="3175"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C1AE" w14:textId="77777777" w:rsidR="00782376" w:rsidRPr="00260E65" w:rsidRDefault="00782376">
                            <w:pPr>
                              <w:jc w:val="center"/>
                              <w:rPr>
                                <w:rFonts w:ascii="Arial" w:hAnsi="Arial" w:cs="Arial"/>
                                <w:b/>
                                <w:bCs/>
                                <w:sz w:val="48"/>
                                <w:lang w:val="nl-BE"/>
                              </w:rPr>
                            </w:pPr>
                            <w:r>
                              <w:rPr>
                                <w:rFonts w:ascii="Arial" w:hAnsi="Arial" w:cs="Arial"/>
                                <w:b/>
                                <w:bCs/>
                                <w:sz w:val="48"/>
                                <w:lang w:val="nl-BE"/>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AA5FE" id="Text Box 20" o:spid="_x0000_s1027"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BDTU/9QEAAM4DAAAOAAAAAAAAAAAAAAAAAC4CAABk&#10;cnMvZTJvRG9jLnhtbFBLAQItABQABgAIAAAAIQDrVDFa3gAAAA8BAAAPAAAAAAAAAAAAAAAAAE8E&#10;AABkcnMvZG93bnJldi54bWxQSwUGAAAAAAQABADzAAAAWgUAAAAA&#10;" o:allowincell="f" filled="f" stroked="f">
                <v:textbox>
                  <w:txbxContent>
                    <w:p w14:paraId="4B32C1AE" w14:textId="77777777" w:rsidR="00782376" w:rsidRPr="00260E65" w:rsidRDefault="00782376">
                      <w:pPr>
                        <w:jc w:val="center"/>
                        <w:rPr>
                          <w:rFonts w:ascii="Arial" w:hAnsi="Arial" w:cs="Arial"/>
                          <w:b/>
                          <w:bCs/>
                          <w:sz w:val="48"/>
                          <w:lang w:val="nl-BE"/>
                        </w:rPr>
                      </w:pPr>
                      <w:r>
                        <w:rPr>
                          <w:rFonts w:ascii="Arial" w:hAnsi="Arial" w:cs="Arial"/>
                          <w:b/>
                          <w:bCs/>
                          <w:sz w:val="48"/>
                          <w:lang w:val="nl-BE"/>
                        </w:rPr>
                        <w:t>FI</w:t>
                      </w:r>
                    </w:p>
                  </w:txbxContent>
                </v:textbox>
                <w10:wrap anchorx="page" anchory="page"/>
              </v:shape>
            </w:pict>
          </mc:Fallback>
        </mc:AlternateContent>
      </w:r>
    </w:p>
    <w:p w14:paraId="55397687" w14:textId="4B204780" w:rsidR="008949C5"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Sinun Eurooppasi, sinun mielipiteesi </w:t>
      </w:r>
      <w:r w:rsidRPr="00DF4788">
        <w:rPr>
          <w:rFonts w:asciiTheme="majorHAnsi" w:hAnsiTheme="majorHAnsi" w:cstheme="majorHAnsi"/>
        </w:rPr>
        <w:noBreakHyphen/>
        <w:t xml:space="preserve">tapahtuma rakentuu täysistuntojen ja vuorovaikutteisten työpajojen ympärille, mutta sen todellista antia ovat niiden yhteydessä käytävät keskustelut. Tapahtuman vetäjät käyttävät osallistavan johtajuuden menetelmää ja </w:t>
      </w:r>
      <w:hyperlink r:id="rId11">
        <w:proofErr w:type="spellStart"/>
        <w:r w:rsidRPr="00DF4788">
          <w:rPr>
            <w:rStyle w:val="Hyperlink"/>
            <w:rFonts w:asciiTheme="majorHAnsi" w:hAnsiTheme="majorHAnsi" w:cstheme="majorHAnsi"/>
          </w:rPr>
          <w:t>The</w:t>
        </w:r>
        <w:proofErr w:type="spellEnd"/>
        <w:r w:rsidRPr="00DF4788">
          <w:rPr>
            <w:rStyle w:val="Hyperlink"/>
            <w:rFonts w:asciiTheme="majorHAnsi" w:hAnsiTheme="majorHAnsi" w:cstheme="majorHAnsi"/>
          </w:rPr>
          <w:t xml:space="preserve"> </w:t>
        </w:r>
        <w:proofErr w:type="spellStart"/>
        <w:r w:rsidRPr="00DF4788">
          <w:rPr>
            <w:rStyle w:val="Hyperlink"/>
            <w:rFonts w:asciiTheme="majorHAnsi" w:hAnsiTheme="majorHAnsi" w:cstheme="majorHAnsi"/>
          </w:rPr>
          <w:t>Art</w:t>
        </w:r>
        <w:proofErr w:type="spellEnd"/>
        <w:r w:rsidRPr="00DF4788">
          <w:rPr>
            <w:rStyle w:val="Hyperlink"/>
            <w:rFonts w:asciiTheme="majorHAnsi" w:hAnsiTheme="majorHAnsi" w:cstheme="majorHAnsi"/>
          </w:rPr>
          <w:t xml:space="preserve"> of </w:t>
        </w:r>
        <w:proofErr w:type="spellStart"/>
        <w:r w:rsidRPr="00DF4788">
          <w:rPr>
            <w:rStyle w:val="Hyperlink"/>
            <w:rFonts w:asciiTheme="majorHAnsi" w:hAnsiTheme="majorHAnsi" w:cstheme="majorHAnsi"/>
          </w:rPr>
          <w:t>Hosting</w:t>
        </w:r>
        <w:proofErr w:type="spellEnd"/>
      </w:hyperlink>
      <w:r w:rsidRPr="00DF4788">
        <w:rPr>
          <w:rFonts w:asciiTheme="majorHAnsi" w:hAnsiTheme="majorHAnsi" w:cstheme="majorHAnsi"/>
        </w:rPr>
        <w:t xml:space="preserve"> </w:t>
      </w:r>
      <w:r w:rsidRPr="00DF4788">
        <w:rPr>
          <w:rFonts w:asciiTheme="majorHAnsi" w:hAnsiTheme="majorHAnsi" w:cstheme="majorHAnsi"/>
        </w:rPr>
        <w:noBreakHyphen/>
        <w:t>menetelmää tarjotakseen kaikille mahdollisuuksia saada äänensä kuuluviin. Tämä on erittäin tehokas keino hyödyntää erikokoisten ryhmien kollektiivista tietämystä sekä kykyä organisoida omaa toimintaansa. Menetelmien lähtökohtana on oletus siitä, että ihmiset kohdistavat energiansa ja voimavaransa heille kaikkein tärkeimpiin asioihin, ja niissä yhdistellään tehokkaita keskusteluprosesseja, jotka kannustavat ihmisiä ratkaisemaan kohtaamiaan haasteita.</w:t>
      </w:r>
    </w:p>
    <w:p w14:paraId="4EBDBB59" w14:textId="1884EDDD" w:rsidR="00A32784" w:rsidRPr="00782376" w:rsidRDefault="00A32784" w:rsidP="00737736">
      <w:pPr>
        <w:spacing w:after="0" w:line="288" w:lineRule="auto"/>
        <w:jc w:val="both"/>
        <w:rPr>
          <w:rFonts w:asciiTheme="majorHAnsi" w:hAnsiTheme="majorHAnsi" w:cstheme="majorHAnsi"/>
          <w:sz w:val="16"/>
          <w:szCs w:val="16"/>
        </w:rPr>
      </w:pPr>
    </w:p>
    <w:p w14:paraId="39CE991A" w14:textId="3EC4D934"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Vuoden 2026 temaattinen painopiste, joka on tarkoitus päättää piakkoin, määräytyy seuraavien aina ajankohtaisten, ajattomien aihealueiden tärkeän merkityksen mukaisesti:</w:t>
      </w:r>
    </w:p>
    <w:p w14:paraId="45D45389" w14:textId="5971E541"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t>Tulevaisuuden rakentaminen</w:t>
      </w:r>
      <w:r w:rsidRPr="00DF4788">
        <w:rPr>
          <w:rFonts w:asciiTheme="majorHAnsi" w:hAnsiTheme="majorHAnsi" w:cstheme="majorHAnsi"/>
        </w:rPr>
        <w:t xml:space="preserve"> &gt; Millaisessa Euroopassa nuoret haluavat elää? Miten heidän näkökantansa voivat vaikuttaa politiikkaan ja yhteiskuntaan?</w:t>
      </w:r>
    </w:p>
    <w:p w14:paraId="7D95877B" w14:textId="38D2AB43"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lastRenderedPageBreak/>
        <w:t>Kansalaistoiminta ja osallistava demokratia</w:t>
      </w:r>
      <w:r w:rsidRPr="00DF4788">
        <w:rPr>
          <w:rFonts w:asciiTheme="majorHAnsi" w:hAnsiTheme="majorHAnsi" w:cstheme="majorHAnsi"/>
        </w:rPr>
        <w:t xml:space="preserve"> &gt; Mitä aktiivinen kansalaisuus tarkoittaa? Miten nuoret voivat vaikuttaa päätöksentekoon kaikilla eri tasoilla?</w:t>
      </w:r>
    </w:p>
    <w:p w14:paraId="585BC712" w14:textId="27DF8192"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t>Digitalisaatio, tekoäly ja nuoriso</w:t>
      </w:r>
      <w:r w:rsidRPr="00DF4788">
        <w:rPr>
          <w:rFonts w:asciiTheme="majorHAnsi" w:hAnsiTheme="majorHAnsi" w:cstheme="majorHAnsi"/>
        </w:rPr>
        <w:t xml:space="preserve"> &gt; Mitä mahdollisuuksia ja haasteita digitaalinen osallistuminen tuo mukanaan?</w:t>
      </w:r>
    </w:p>
    <w:p w14:paraId="53F0F38D" w14:textId="6087A954"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t>Sosiaalinen yhteenkuuluvuus ja osallisuus</w:t>
      </w:r>
      <w:r w:rsidRPr="00DF4788">
        <w:rPr>
          <w:rFonts w:asciiTheme="majorHAnsi" w:hAnsiTheme="majorHAnsi" w:cstheme="majorHAnsi"/>
        </w:rPr>
        <w:t xml:space="preserve"> &gt; Miten voidaan torjua polarisoitumista ja varmistaa, että kaikki pääsevät osallistumaan?</w:t>
      </w:r>
    </w:p>
    <w:p w14:paraId="5DBC4548" w14:textId="40F71564"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t>Ilmastotoimet ja kestävyys</w:t>
      </w:r>
      <w:r w:rsidRPr="00DF4788">
        <w:rPr>
          <w:rFonts w:asciiTheme="majorHAnsi" w:hAnsiTheme="majorHAnsi" w:cstheme="majorHAnsi"/>
        </w:rPr>
        <w:t xml:space="preserve"> &gt; Millainen rooli nuorilla voi olla ekologisen muutoksen edistämisessä?</w:t>
      </w:r>
    </w:p>
    <w:p w14:paraId="1ABACBED" w14:textId="580190A8" w:rsidR="00333CCD" w:rsidRPr="00DF4788" w:rsidRDefault="56C07819" w:rsidP="00737736">
      <w:pPr>
        <w:spacing w:after="0" w:line="288" w:lineRule="auto"/>
        <w:ind w:left="567"/>
        <w:jc w:val="both"/>
        <w:rPr>
          <w:rFonts w:asciiTheme="majorHAnsi" w:hAnsiTheme="majorHAnsi" w:cstheme="majorHAnsi"/>
        </w:rPr>
      </w:pPr>
      <w:r w:rsidRPr="00DF4788">
        <w:rPr>
          <w:rFonts w:asciiTheme="majorHAnsi" w:hAnsiTheme="majorHAnsi" w:cstheme="majorHAnsi"/>
          <w:b/>
        </w:rPr>
        <w:t>Mielenterveys ja hyvinvointi</w:t>
      </w:r>
      <w:r w:rsidRPr="00DF4788">
        <w:rPr>
          <w:rFonts w:asciiTheme="majorHAnsi" w:hAnsiTheme="majorHAnsi" w:cstheme="majorHAnsi"/>
        </w:rPr>
        <w:t xml:space="preserve"> &gt; Miten ihmiset tukevat toisiaan kansalaisvaikuttamisen alalla?</w:t>
      </w:r>
    </w:p>
    <w:p w14:paraId="31F9FFE0" w14:textId="77777777" w:rsidR="008949C5" w:rsidRPr="00DF4788" w:rsidRDefault="008949C5" w:rsidP="00737736">
      <w:pPr>
        <w:spacing w:after="0" w:line="288" w:lineRule="auto"/>
        <w:jc w:val="both"/>
        <w:rPr>
          <w:rFonts w:asciiTheme="majorHAnsi" w:eastAsia="Aptos" w:hAnsiTheme="majorHAnsi" w:cstheme="majorHAnsi"/>
          <w:color w:val="333333"/>
        </w:rPr>
      </w:pPr>
    </w:p>
    <w:p w14:paraId="0B2E04BD" w14:textId="5344D248" w:rsidR="00333CCD" w:rsidRPr="00DF4788" w:rsidRDefault="39E3BE42" w:rsidP="00737736">
      <w:pPr>
        <w:spacing w:after="0" w:line="288" w:lineRule="auto"/>
        <w:jc w:val="both"/>
        <w:rPr>
          <w:rFonts w:asciiTheme="majorHAnsi" w:hAnsiTheme="majorHAnsi" w:cstheme="majorHAnsi"/>
        </w:rPr>
      </w:pPr>
      <w:r w:rsidRPr="00DF4788">
        <w:rPr>
          <w:rFonts w:asciiTheme="majorHAnsi" w:hAnsiTheme="majorHAnsi" w:cstheme="majorHAnsi"/>
        </w:rPr>
        <w:t>Osanottajia kannustetaan pohtimaan perusteellisesti omia uskomuksiaan, odotuksiaan ja itselleen tärkeimpiä asioita sekä mahdollisuuksiaan edistää niiden toteutumista. Työpajojen tarkoituksena on herättää keskustelua, antaa virikkeitä uudenlaiseen ajatteluun ja kannustaa osanottajia miettimään konkreettisia toimia yhteistyön edistämiseksi ja muutoksen aikaansaamiseksi. Tapahtuma huipentuu täysistuntoon, ja siellä on tarkoitus laatia suosituksia, jotka eivät ole abstrakteja kannanottoja vaan toteuttamiskelpoisia ehdotuksia, jotka ilmentävät Euroopan nuorten toiveita ja heille ensisijaisen tärkeitä asioita.</w:t>
      </w:r>
    </w:p>
    <w:p w14:paraId="54902ED9" w14:textId="77777777" w:rsidR="008949C5" w:rsidRPr="00DF4788" w:rsidRDefault="008949C5" w:rsidP="00737736">
      <w:pPr>
        <w:pStyle w:val="paragraph"/>
        <w:spacing w:beforeAutospacing="0" w:after="0" w:afterAutospacing="0" w:line="288" w:lineRule="auto"/>
        <w:jc w:val="both"/>
        <w:textAlignment w:val="baseline"/>
        <w:rPr>
          <w:rFonts w:asciiTheme="majorHAnsi" w:eastAsia="Aptos" w:hAnsiTheme="majorHAnsi" w:cstheme="majorHAnsi"/>
          <w:b/>
          <w:bCs/>
          <w:color w:val="333333"/>
          <w:sz w:val="24"/>
          <w:szCs w:val="24"/>
        </w:rPr>
      </w:pPr>
      <w:bookmarkStart w:id="0" w:name="_Toc181190022"/>
    </w:p>
    <w:p w14:paraId="2BCAF87A" w14:textId="24AB23FC" w:rsidR="008949C5" w:rsidRPr="00DF4788" w:rsidRDefault="2BF75223" w:rsidP="00737736">
      <w:pPr>
        <w:pStyle w:val="paragraph"/>
        <w:spacing w:beforeAutospacing="0" w:after="0" w:afterAutospacing="0" w:line="288" w:lineRule="auto"/>
        <w:jc w:val="both"/>
        <w:textAlignment w:val="baseline"/>
        <w:rPr>
          <w:rFonts w:asciiTheme="majorHAnsi" w:eastAsia="Aptos" w:hAnsiTheme="majorHAnsi" w:cstheme="majorHAnsi"/>
          <w:b/>
          <w:bCs/>
        </w:rPr>
      </w:pPr>
      <w:r w:rsidRPr="00DF4788">
        <w:rPr>
          <w:rFonts w:asciiTheme="majorHAnsi" w:hAnsiTheme="majorHAnsi" w:cstheme="majorHAnsi"/>
          <w:b/>
        </w:rPr>
        <w:t>YEYS 2026 -tapahtuman jatkotoimet</w:t>
      </w:r>
      <w:bookmarkEnd w:id="0"/>
    </w:p>
    <w:p w14:paraId="7F787EA1" w14:textId="2E144FA3" w:rsidR="00333CCD"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YEYS ei pääty viimeisen työpajan päättymiseen. Jatkotoimet ovat elimellinen osa tapahtumaa. Jokainen oppilaitos ja osanottaja sitoutuu kertomaan tapahtumasta saamistaan kokemuksista kotimaassaan. Tämä voidaan hoitaa esimerkiksi esittelytilaisuuksien, paikallistapahtumien tai sosiaalisen median kautta. Opiskelijat suunnittelevat 1–3 konkreettista toimenpidettä, joilla pyritään edistämään kansalaisvaikuttamista ja osallistumista EU:hun liittyvään toimintaan. Oppilaitokset tukevat opiskelijoiden toimia, ja ETSK auttaa niiden tehostamisessa. Lisäksi nuoria aikuisia pyydetään pohtimaan, miten tapahtuman tulokset saataisiin parhaiten mahdollisimman laajan kohderyhmän tietoon. Tarinoita jaettaessa käytetään aihetunnistetta #YEYS2026, minkä ansiosta saadaan luotua digitaalinen kokonaiskuva nuorten aktiivisesta toiminnasta kaikkialla Euroopassa.</w:t>
      </w:r>
    </w:p>
    <w:p w14:paraId="5C3FF5B5" w14:textId="77777777" w:rsidR="00DF4788" w:rsidRPr="00DF4788" w:rsidRDefault="00DF4788" w:rsidP="00737736">
      <w:pPr>
        <w:spacing w:after="0" w:line="288" w:lineRule="auto"/>
        <w:jc w:val="both"/>
        <w:rPr>
          <w:rFonts w:asciiTheme="majorHAnsi" w:hAnsiTheme="majorHAnsi" w:cstheme="majorHAnsi"/>
        </w:rPr>
      </w:pPr>
    </w:p>
    <w:p w14:paraId="30C5A598" w14:textId="160D49DC" w:rsidR="008949C5" w:rsidRPr="00DF4788" w:rsidRDefault="00CC0F12" w:rsidP="00737736">
      <w:pPr>
        <w:pStyle w:val="paragraph"/>
        <w:spacing w:beforeAutospacing="0" w:after="0" w:afterAutospacing="0" w:line="288" w:lineRule="auto"/>
        <w:jc w:val="both"/>
        <w:textAlignment w:val="baseline"/>
        <w:rPr>
          <w:rFonts w:asciiTheme="majorHAnsi" w:eastAsia="Aptos" w:hAnsiTheme="majorHAnsi" w:cstheme="majorHAnsi"/>
          <w:color w:val="333333"/>
        </w:rPr>
      </w:pPr>
      <w:hyperlink r:id="rId12">
        <w:proofErr w:type="spellStart"/>
        <w:r w:rsidR="2BF75223" w:rsidRPr="00DF4788">
          <w:rPr>
            <w:rStyle w:val="Hyperlink"/>
            <w:rFonts w:asciiTheme="majorHAnsi" w:hAnsiTheme="majorHAnsi" w:cstheme="majorHAnsi"/>
          </w:rPr>
          <w:t>ETSK:n</w:t>
        </w:r>
        <w:proofErr w:type="spellEnd"/>
        <w:r w:rsidR="2BF75223" w:rsidRPr="00DF4788">
          <w:rPr>
            <w:rStyle w:val="Hyperlink"/>
            <w:rFonts w:asciiTheme="majorHAnsi" w:hAnsiTheme="majorHAnsi" w:cstheme="majorHAnsi"/>
          </w:rPr>
          <w:t xml:space="preserve"> nuorisoryhmä</w:t>
        </w:r>
      </w:hyperlink>
      <w:r w:rsidR="2BF75223" w:rsidRPr="00DF4788">
        <w:rPr>
          <w:rFonts w:asciiTheme="majorHAnsi" w:hAnsiTheme="majorHAnsi" w:cstheme="majorHAnsi"/>
        </w:rPr>
        <w:t xml:space="preserve"> aikoo tehdä suosituksia tunnetuksi aineistona, jota voidaan mahdollisesti hyödyntää </w:t>
      </w:r>
      <w:proofErr w:type="spellStart"/>
      <w:r w:rsidR="2BF75223" w:rsidRPr="00DF4788">
        <w:rPr>
          <w:rFonts w:asciiTheme="majorHAnsi" w:hAnsiTheme="majorHAnsi" w:cstheme="majorHAnsi"/>
        </w:rPr>
        <w:t>ETSK:n</w:t>
      </w:r>
      <w:proofErr w:type="spellEnd"/>
      <w:r w:rsidR="2BF75223" w:rsidRPr="00DF4788">
        <w:rPr>
          <w:rFonts w:asciiTheme="majorHAnsi" w:hAnsiTheme="majorHAnsi" w:cstheme="majorHAnsi"/>
        </w:rPr>
        <w:t xml:space="preserve"> neuvoa-antavassa ja poliittisessa työssä. Nuorisoryhmä tuo suosituksia mahdollisuuksien mukaan esiin myös ulkoisissa tapahtumissa ja tutkii, miten ne voitaisiin sisällyttää EU:n nuorisotestiä varten valittuihin </w:t>
      </w:r>
      <w:proofErr w:type="spellStart"/>
      <w:r w:rsidR="2BF75223" w:rsidRPr="00DF4788">
        <w:rPr>
          <w:rFonts w:asciiTheme="majorHAnsi" w:hAnsiTheme="majorHAnsi" w:cstheme="majorHAnsi"/>
        </w:rPr>
        <w:t>ETSK:n</w:t>
      </w:r>
      <w:proofErr w:type="spellEnd"/>
      <w:r w:rsidR="2BF75223" w:rsidRPr="00DF4788">
        <w:rPr>
          <w:rFonts w:asciiTheme="majorHAnsi" w:hAnsiTheme="majorHAnsi" w:cstheme="majorHAnsi"/>
        </w:rPr>
        <w:t xml:space="preserve"> lausuntoihin.</w:t>
      </w:r>
    </w:p>
    <w:p w14:paraId="45B7FE59" w14:textId="77777777" w:rsidR="007E4777" w:rsidRPr="00DF4788" w:rsidRDefault="007E4777" w:rsidP="00737736">
      <w:pPr>
        <w:spacing w:after="0" w:line="288" w:lineRule="auto"/>
        <w:jc w:val="both"/>
        <w:rPr>
          <w:rFonts w:asciiTheme="majorHAnsi" w:hAnsiTheme="majorHAnsi" w:cstheme="majorHAnsi"/>
        </w:rPr>
      </w:pPr>
    </w:p>
    <w:p w14:paraId="05361AF3" w14:textId="1BDC386C"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 xml:space="preserve">ETSK järjestää osanottajien matkat ja majoituksen, jotta he voivat keskittyä itse tapahtumaan logististen järjestelyjen sijaan. Perehdytysmateriaalia toimitetaan etukäteen, ja </w:t>
      </w:r>
      <w:proofErr w:type="spellStart"/>
      <w:r w:rsidRPr="00DF4788">
        <w:rPr>
          <w:rFonts w:asciiTheme="majorHAnsi" w:hAnsiTheme="majorHAnsi" w:cstheme="majorHAnsi"/>
        </w:rPr>
        <w:t>ETSK:n</w:t>
      </w:r>
      <w:proofErr w:type="spellEnd"/>
      <w:r w:rsidRPr="00DF4788">
        <w:rPr>
          <w:rFonts w:asciiTheme="majorHAnsi" w:hAnsiTheme="majorHAnsi" w:cstheme="majorHAnsi"/>
        </w:rPr>
        <w:t xml:space="preserve"> jäsenet vierailevat valituissa oppilaitoksissa auttamassa opiskelijoita ja opettajia valmistautumaan matkaan.</w:t>
      </w:r>
    </w:p>
    <w:p w14:paraId="5437FB4C" w14:textId="77777777" w:rsidR="007E4777" w:rsidRPr="00DF4788" w:rsidRDefault="007E4777" w:rsidP="00737736">
      <w:pPr>
        <w:spacing w:after="0" w:line="288" w:lineRule="auto"/>
        <w:jc w:val="both"/>
        <w:rPr>
          <w:rFonts w:asciiTheme="majorHAnsi" w:hAnsiTheme="majorHAnsi" w:cstheme="majorHAnsi"/>
        </w:rPr>
      </w:pPr>
    </w:p>
    <w:p w14:paraId="07B48232" w14:textId="5C85224C" w:rsidR="00333CCD" w:rsidRPr="00DF4788" w:rsidRDefault="56C07819" w:rsidP="00737736">
      <w:pPr>
        <w:spacing w:after="0" w:line="288" w:lineRule="auto"/>
        <w:jc w:val="both"/>
        <w:rPr>
          <w:rFonts w:asciiTheme="majorHAnsi" w:hAnsiTheme="majorHAnsi" w:cstheme="majorHAnsi"/>
        </w:rPr>
      </w:pPr>
      <w:r w:rsidRPr="00DF4788">
        <w:rPr>
          <w:rFonts w:asciiTheme="majorHAnsi" w:hAnsiTheme="majorHAnsi" w:cstheme="majorHAnsi"/>
        </w:rPr>
        <w:t>YEYS 2026 ei ole pelkkä tapahtuma: se tarjoaa mahdollisuuden tavata samanhenkisiä nuoria eri puolilta Eurooppaa ja oppia, keskustella ja unelmoida yhdessä. Lisäksi se merkitsee ennen kaikkea sitoumusta viedä Brysselin henkeä paikallisyhteisöihin, ryhtyä ideoiden pohjalta käytännön toimiin ja huolehtia siitä, että nuorten ääni saadaan jatkossakin kuuluviin EU:n päätöksenteossa.</w:t>
      </w:r>
    </w:p>
    <w:sectPr w:rsidR="00333CCD" w:rsidRPr="00DF4788" w:rsidSect="00782376">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fldSimple w:instr=" NUMPAGES ">
      <w:r w:rsidR="00351DC6">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E16AC"/>
    <w:rsid w:val="002F7294"/>
    <w:rsid w:val="00326F90"/>
    <w:rsid w:val="00333CCD"/>
    <w:rsid w:val="00351DC6"/>
    <w:rsid w:val="003A0918"/>
    <w:rsid w:val="003F37A8"/>
    <w:rsid w:val="004C4CD9"/>
    <w:rsid w:val="004D3A1D"/>
    <w:rsid w:val="00737736"/>
    <w:rsid w:val="00782376"/>
    <w:rsid w:val="007E4777"/>
    <w:rsid w:val="008949C5"/>
    <w:rsid w:val="0099308A"/>
    <w:rsid w:val="00A32784"/>
    <w:rsid w:val="00A80AC3"/>
    <w:rsid w:val="00AA1D8D"/>
    <w:rsid w:val="00B47730"/>
    <w:rsid w:val="00BB05BA"/>
    <w:rsid w:val="00CB0664"/>
    <w:rsid w:val="00CC0F12"/>
    <w:rsid w:val="00CE44BA"/>
    <w:rsid w:val="00DB5892"/>
    <w:rsid w:val="00DF4788"/>
    <w:rsid w:val="00E75B3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fi-FI"/>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fi-FI"/>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fi/sections-other-bodies/other/eesc-youth-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2.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3.xml><?xml version="1.0" encoding="utf-8"?>
<ds:datastoreItem xmlns:ds="http://schemas.openxmlformats.org/officeDocument/2006/customXml" ds:itemID="{DC8D3C90-5274-4E1B-9184-B6688651FBCA}"/>
</file>

<file path=customXml/itemProps4.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5.xml><?xml version="1.0" encoding="utf-8"?>
<ds:datastoreItem xmlns:ds="http://schemas.openxmlformats.org/officeDocument/2006/customXml" ds:itemID="{FD5BB3D0-0E07-4953-9907-49E178AFC25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5536</Characters>
  <Application>Microsoft Office Word</Application>
  <DocSecurity>0</DocSecurity>
  <Lines>46</Lines>
  <Paragraphs>12</Paragraphs>
  <ScaleCrop>false</ScaleCrop>
  <Manager/>
  <Company/>
  <LinksUpToDate>false</LinksUpToDate>
  <CharactersWithSpaces>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2026 - tausta-asiakirja</dc:title>
  <dc:subject/>
  <dc:creator/>
  <cp:keywords/>
  <dc:description>generated by python-docx</dc:description>
  <cp:lastModifiedBy/>
  <cp:revision>10</cp:revision>
  <dcterms:created xsi:type="dcterms:W3CDTF">2025-11-07T11:11:00Z</dcterms:created>
  <dcterms:modified xsi:type="dcterms:W3CDTF">2025-11-14T10:44:00Z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29638c07-b357-4b6a-99de-706c85335b15</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FR|d2afafd3-4c81-4f60-8f52-ee33f2f54ff3;RO|feb747a2-64cd-4299-af12-4833ddc30497;SL|98a412ae-eb01-49e9-ae3d-585a81724cfc;EN|f2175f21-25d7-44a3-96da-d6a61b075e1b;NL|55c6556c-b4f4-441d-9acf-c498d4f838bd;GA|762d2456-c427-4ecb-b312-af3dad8e258c;DA|5d49c027-8956-412b-aa16-e85a0f96ad0e;HU|6b229040-c589-4408-b4c1-4285663d20a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RO|feb747a2-64cd-4299-af12-4833ddc30497;#34;#IT|0774613c-01ed-4e5d-a25d-11d2388de825;#33;#PT|50ccc04a-eadd-42ae-a0cb-acaf45f812ba;#31;#SL|98a412ae-eb01-49e9-ae3d-585a81724cfc;#43;#GA|762d2456-c427-4ecb-b312-af3dad8e258c;#27;#NL|55c6556c-b4f4-441d-9acf-c498d4f838bd;#24;#PL|1e03da61-4678-4e07-b136-b5024ca9197b;#23;#DE|f6b31e5a-26fa-4935-b661-318e46daf27e;#13;#TRA|150d2a88-1431-44e6-a8ca-0bb753ab8672;#12;#FR|d2afafd3-4c81-4f60-8f52-ee33f2f54ff3;#9;#INFO|d9136e7c-93a9-4c42-9d28-92b61e85f80c;#8;#Final|ea5e6674-7b27-4bac-b091-73adbb394efe;#6;#Internal|2451815e-8241-4bbf-a22e-1ab710712bf2;#5;#EN|f2175f21-25d7-44a3-96da-d6a61b075e1b;#40;#DA|5d49c027-8956-412b-aa16-e85a0f96ad0e;#1;#EESC|422833ec-8d7e-4e65-8e4e-8bed07ffb729;#37;#HU|6b229040-c589-4408-b4c1-4285663d20a8</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35;#FI|87606a43-d45f-42d6-b8c9-e1a3457db5b7</vt:lpwstr>
  </property>
  <property fmtid="{D5CDD505-2E9C-101B-9397-08002B2CF9AE}" pid="39" name="Order">
    <vt:r8>28400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