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16437D" w:rsidRDefault="00077C4F" w:rsidP="0042592B">
      <w:pPr>
        <w:spacing w:after="0" w:line="240" w:lineRule="auto"/>
        <w:ind w:left="-709"/>
        <w:rPr>
          <w:rFonts w:ascii="Times New Roman" w:hAnsi="Times New Roman"/>
          <w:bCs/>
          <w:sz w:val="16"/>
          <w:szCs w:val="16"/>
        </w:rPr>
      </w:pPr>
    </w:p>
    <w:tbl>
      <w:tblPr>
        <w:tblW w:w="1004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1C4138" w:rsidRPr="0051685D" w14:paraId="7E6372DC" w14:textId="77777777" w:rsidTr="0016437D">
        <w:trPr>
          <w:jc w:val="center"/>
        </w:trPr>
        <w:tc>
          <w:tcPr>
            <w:tcW w:w="10042" w:type="dxa"/>
          </w:tcPr>
          <w:p w14:paraId="3A4EDC3A" w14:textId="65BEA73E" w:rsidR="001C4138" w:rsidRPr="0051685D" w:rsidRDefault="001B123C" w:rsidP="0016437D">
            <w:pPr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>Addressing the interdependence between peace and climate change: need for renewed global diplomacy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(</w:t>
            </w:r>
            <w:r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Own initiative opinion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)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1C4138" w:rsidRPr="0016437D">
              <w:rPr>
                <w:rFonts w:ascii="Times New Roman" w:hAnsi="Times New Roman"/>
                <w:b/>
                <w:sz w:val="24"/>
                <w:szCs w:val="24"/>
              </w:rPr>
              <w:t>EESC-</w:t>
            </w: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>2025-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</w:rPr>
              <w:t>01046</w:t>
            </w:r>
            <w:r w:rsidR="001C4138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‒ </w:t>
            </w: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>REX/599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1424A" w:rsidRPr="0016437D">
              <w:rPr>
                <w:rFonts w:ascii="Times New Roman" w:hAnsi="Times New Roman"/>
                <w:b/>
                <w:sz w:val="24"/>
                <w:szCs w:val="24"/>
              </w:rPr>
              <w:t>598</w:t>
            </w:r>
            <w:r w:rsidR="0051424A" w:rsidRPr="0016437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51424A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Plenary Session </w:t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1424A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July </w:t>
            </w:r>
            <w:r w:rsidR="008104A5" w:rsidRPr="0016437D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C4138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Rapporteur: </w:t>
            </w: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>Dimitris DIMITRIADIS</w:t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EL-I</w:t>
            </w:r>
            <w:r w:rsidR="0051424A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)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Co-rapporteur: Peter SCHMIDT</w:t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(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DE-II</w:t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)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257C51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EEAS – </w:t>
            </w:r>
            <w:r w:rsidR="0042592B" w:rsidRPr="0016437D">
              <w:rPr>
                <w:rFonts w:ascii="Times New Roman" w:hAnsi="Times New Roman"/>
                <w:b/>
                <w:sz w:val="24"/>
                <w:szCs w:val="24"/>
              </w:rPr>
              <w:t>High Representative for Foreign Affairs and Security Policy/Vice-President KALLAS</w:t>
            </w:r>
          </w:p>
        </w:tc>
      </w:tr>
      <w:tr w:rsidR="00734613" w:rsidRPr="0051685D" w14:paraId="1937071F" w14:textId="77777777" w:rsidTr="0016437D">
        <w:trPr>
          <w:jc w:val="center"/>
        </w:trPr>
        <w:tc>
          <w:tcPr>
            <w:tcW w:w="10042" w:type="dxa"/>
          </w:tcPr>
          <w:p w14:paraId="1E50B4DB" w14:textId="305A54F7" w:rsidR="00734613" w:rsidRPr="0051685D" w:rsidRDefault="0042592B" w:rsidP="0051685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</w:t>
            </w:r>
            <w:r w:rsidR="004F6117" w:rsidRPr="0016437D">
              <w:rPr>
                <w:rFonts w:ascii="Times New Roman" w:hAnsi="Times New Roman"/>
                <w:b/>
                <w:sz w:val="24"/>
                <w:szCs w:val="24"/>
              </w:rPr>
              <w:t>position on points</w:t>
            </w:r>
            <w:r w:rsidR="004F6117" w:rsidRPr="0016437D">
              <w:rPr>
                <w:rFonts w:ascii="Times New Roman" w:hAnsi="Times New Roman"/>
                <w:b/>
                <w:sz w:val="24"/>
                <w:szCs w:val="24"/>
              </w:rPr>
              <w:br/>
              <w:t>of the European Economic and Social Committee</w:t>
            </w:r>
            <w:r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(EESC)</w:t>
            </w:r>
            <w:r w:rsidR="004F6117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opinion</w:t>
            </w:r>
            <w:r w:rsidR="00E83C12" w:rsidRPr="0016437D">
              <w:rPr>
                <w:rFonts w:ascii="Times New Roman" w:hAnsi="Times New Roman"/>
                <w:b/>
                <w:sz w:val="24"/>
                <w:szCs w:val="24"/>
              </w:rPr>
              <w:t xml:space="preserve"> considered as essential</w:t>
            </w:r>
          </w:p>
        </w:tc>
      </w:tr>
      <w:tr w:rsidR="00734613" w:rsidRPr="0051685D" w14:paraId="673DDC1B" w14:textId="77777777" w:rsidTr="0016437D">
        <w:trPr>
          <w:jc w:val="center"/>
        </w:trPr>
        <w:tc>
          <w:tcPr>
            <w:tcW w:w="10042" w:type="dxa"/>
          </w:tcPr>
          <w:p w14:paraId="65F1B382" w14:textId="53295F13" w:rsidR="00257C51" w:rsidRPr="0016437D" w:rsidRDefault="00257C51" w:rsidP="0016437D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437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42592B" w:rsidRPr="0016437D">
              <w:rPr>
                <w:rFonts w:ascii="Times New Roman" w:hAnsi="Times New Roman"/>
                <w:sz w:val="24"/>
                <w:szCs w:val="24"/>
              </w:rPr>
              <w:t>Commission</w:t>
            </w:r>
            <w:r w:rsidRPr="0016437D">
              <w:rPr>
                <w:rFonts w:ascii="Times New Roman" w:hAnsi="Times New Roman"/>
                <w:sz w:val="24"/>
                <w:szCs w:val="24"/>
              </w:rPr>
              <w:t xml:space="preserve"> has taken stock of the own initiative opinion following up on previous work, 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 particular </w:t>
            </w:r>
            <w:r w:rsidR="00EA783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42592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opinions 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REX/569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and REX/578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footnoteReference w:id="2"/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="00565226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opinion provides timely and welcomed focus on the interdependence between peace and climate change.</w:t>
            </w:r>
          </w:p>
          <w:p w14:paraId="14604AE1" w14:textId="753141F4" w:rsidR="00565226" w:rsidRPr="0016437D" w:rsidRDefault="00565226" w:rsidP="0016437D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The </w:t>
            </w:r>
            <w:hyperlink r:id="rId8" w:history="1">
              <w:r w:rsidRPr="0051685D">
                <w:rPr>
                  <w:rFonts w:ascii="Times New Roman" w:hAnsi="Times New Roman"/>
                  <w:sz w:val="24"/>
                  <w:szCs w:val="24"/>
                </w:rPr>
                <w:t>EU Joint Communication on the climate and security nexus</w:t>
              </w:r>
            </w:hyperlink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(2023)</w:t>
            </w:r>
            <w:r w:rsidR="001D2750" w:rsidRPr="0016437D">
              <w:rPr>
                <w:rStyle w:val="FootnoteReference"/>
                <w:rFonts w:ascii="Times New Roman" w:eastAsia="Times New Roman" w:hAnsi="Times New Roman"/>
                <w:szCs w:val="24"/>
                <w:lang w:val="en-US"/>
              </w:rPr>
              <w:footnoteReference w:id="3"/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seek</w:t>
            </w:r>
            <w:r w:rsidR="005807AD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 ensure an integrated, ‘whole-of-society’ approach to the impacts of climate change and environmental degradation on peace, security and </w:t>
            </w:r>
            <w:proofErr w:type="spellStart"/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</w:t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</w:t>
            </w:r>
            <w:r w:rsidR="000808B1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proofErr w:type="spellEnd"/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The Joint Communication and its four pillars – evidence-based policy-making, operationalization, capabilities and partnerships – were welcomed in the Council Conclusions on </w:t>
            </w:r>
            <w:hyperlink r:id="rId9" w:history="1">
              <w:r w:rsidR="00BE269B" w:rsidRPr="0051685D">
                <w:rPr>
                  <w:rFonts w:ascii="Times New Roman" w:hAnsi="Times New Roman"/>
                  <w:sz w:val="24"/>
                  <w:szCs w:val="24"/>
                </w:rPr>
                <w:t>Green Diplomacy</w:t>
              </w:r>
            </w:hyperlink>
            <w:r w:rsidR="001D2750" w:rsidRPr="0016437D">
              <w:rPr>
                <w:rStyle w:val="FootnoteReference"/>
                <w:rFonts w:ascii="Times New Roman" w:hAnsi="Times New Roman"/>
                <w:szCs w:val="24"/>
              </w:rPr>
              <w:footnoteReference w:id="4"/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and on </w:t>
            </w:r>
            <w:hyperlink r:id="rId10" w:history="1">
              <w:r w:rsidR="00BE269B" w:rsidRPr="0051685D">
                <w:rPr>
                  <w:rFonts w:ascii="Times New Roman" w:hAnsi="Times New Roman"/>
                  <w:sz w:val="24"/>
                  <w:szCs w:val="24"/>
                </w:rPr>
                <w:t>Security and Defence</w:t>
              </w:r>
            </w:hyperlink>
            <w:r w:rsidR="00BE269B" w:rsidRPr="0016437D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024)</w:t>
            </w:r>
            <w:r w:rsidR="001D2750" w:rsidRPr="0016437D">
              <w:rPr>
                <w:rStyle w:val="FootnoteReference"/>
                <w:rFonts w:ascii="Times New Roman" w:eastAsia="Times New Roman" w:hAnsi="Times New Roman"/>
                <w:szCs w:val="24"/>
                <w:lang w:val="en-US"/>
              </w:rPr>
              <w:footnoteReference w:id="5"/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The </w:t>
            </w:r>
            <w:hyperlink r:id="rId11" w:history="1">
              <w:r w:rsidR="00BE269B" w:rsidRPr="0051685D">
                <w:rPr>
                  <w:rFonts w:ascii="Times New Roman" w:hAnsi="Times New Roman"/>
                  <w:sz w:val="24"/>
                  <w:szCs w:val="24"/>
                </w:rPr>
                <w:t>Progress Report</w:t>
              </w:r>
            </w:hyperlink>
            <w:r w:rsidR="005A4F2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(2025)</w:t>
            </w:r>
            <w:r w:rsidR="001D2750" w:rsidRPr="0016437D">
              <w:rPr>
                <w:rStyle w:val="FootnoteReference"/>
                <w:rFonts w:ascii="Times New Roman" w:eastAsia="Times New Roman" w:hAnsi="Times New Roman"/>
                <w:szCs w:val="24"/>
                <w:lang w:val="en-US"/>
              </w:rPr>
              <w:footnoteReference w:id="6"/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 the Joint Communication showed </w:t>
            </w:r>
            <w:r w:rsidR="001D4C7E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tangible</w:t>
            </w:r>
            <w:r w:rsidR="005807AD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results</w:t>
            </w:r>
            <w:r w:rsidR="00BE269B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across all four pillars </w:t>
            </w:r>
            <w:r w:rsidR="00342A50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and their 28 concrete actions that involve more than 15 EU institutions and agencies.</w:t>
            </w:r>
          </w:p>
          <w:p w14:paraId="0644AA9F" w14:textId="33BC714F" w:rsidR="00342A50" w:rsidRPr="0016437D" w:rsidRDefault="00342A50" w:rsidP="0016437D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Hence, the climate and security nexus </w:t>
            </w:r>
            <w:proofErr w:type="gramStart"/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</w:t>
            </w:r>
            <w:proofErr w:type="gramEnd"/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 integral part of EU green diplomacy and security and </w:t>
            </w:r>
            <w:proofErr w:type="spellStart"/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defence</w:t>
            </w:r>
            <w:proofErr w:type="spellEnd"/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policy. </w:t>
            </w:r>
            <w:r w:rsidR="001D2750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EU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policy and action</w:t>
            </w:r>
            <w:r w:rsidR="005807AD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on the climate and security nexus also contribute to work with partners, including the EU-NATO Structured Dialogue on climate and security, the EU-UNEP</w:t>
            </w:r>
            <w:r w:rsidR="000808B1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1D2750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r w:rsidR="001D2750" w:rsidRPr="0016437D">
              <w:rPr>
                <w:rFonts w:ascii="Times New Roman" w:eastAsia="Times New Roman" w:hAnsi="Times New Roman"/>
                <w:sz w:val="24"/>
                <w:szCs w:val="24"/>
              </w:rPr>
              <w:t>United Nations Environment Programme)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partn</w:t>
            </w:r>
            <w:r w:rsidR="008F6CF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ership on climate and security and </w:t>
            </w:r>
            <w:proofErr w:type="gramStart"/>
            <w:r w:rsidR="005807AD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 number of</w:t>
            </w:r>
            <w:proofErr w:type="gramEnd"/>
            <w:r w:rsidR="008F6CF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dialogues with </w:t>
            </w:r>
            <w:r w:rsidR="005807AD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="008F6CF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ther multilateral and bilateral partners.</w:t>
            </w:r>
          </w:p>
          <w:p w14:paraId="78F88F76" w14:textId="27930BB9" w:rsidR="00A37EC4" w:rsidRPr="0016437D" w:rsidRDefault="00EA7839" w:rsidP="0016437D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 this </w:t>
            </w:r>
            <w:r w:rsidR="008F6CF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moment </w:t>
            </w:r>
            <w:r w:rsidR="002A20B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different challenges</w:t>
            </w:r>
            <w:r w:rsidR="00B5288C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– including climate change and environmental degradation –</w:t>
            </w:r>
            <w:r w:rsidR="002A20B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inter-connect and compound each other. The EU </w:t>
            </w:r>
            <w:hyperlink r:id="rId12" w:history="1">
              <w:r w:rsidR="002A20B2" w:rsidRPr="0051685D">
                <w:rPr>
                  <w:rFonts w:ascii="Times New Roman" w:hAnsi="Times New Roman"/>
                  <w:sz w:val="24"/>
                  <w:szCs w:val="24"/>
                </w:rPr>
                <w:t>Preparedness Union Strategy</w:t>
              </w:r>
            </w:hyperlink>
            <w:r w:rsidR="002A20B2" w:rsidRPr="0016437D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="002A20B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025)</w:t>
            </w:r>
            <w:r w:rsidRPr="0016437D">
              <w:rPr>
                <w:rStyle w:val="FootnoteReference"/>
                <w:rFonts w:ascii="Times New Roman" w:eastAsia="Times New Roman" w:hAnsi="Times New Roman"/>
                <w:szCs w:val="24"/>
                <w:lang w:val="en-US"/>
              </w:rPr>
              <w:footnoteReference w:id="7"/>
            </w:r>
            <w:r w:rsidR="002A20B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is a good example of </w:t>
            </w:r>
            <w:r w:rsidR="00B5288C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 </w:t>
            </w:r>
            <w:r w:rsidR="002A20B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comprehensive and timely initiative that responds to the current political and security context, and </w:t>
            </w:r>
            <w:r w:rsidR="00B5288C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which integrates</w:t>
            </w:r>
            <w:r w:rsidR="00A37EC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climate change and environmental degradation throughout.</w:t>
            </w:r>
          </w:p>
          <w:p w14:paraId="30D14481" w14:textId="4F3591BF" w:rsidR="0049246C" w:rsidRPr="0016437D" w:rsidRDefault="00B5288C" w:rsidP="0016437D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EA783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Commission</w:t>
            </w:r>
            <w:r w:rsidR="0086665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share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="0086665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the opinion outlined in the Conclusion and Recommendations of </w:t>
            </w:r>
            <w:r w:rsidR="000808B1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86665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REX/599</w:t>
            </w:r>
            <w:r w:rsidR="00EA783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opinion</w:t>
            </w:r>
            <w:r w:rsidR="0086665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37EC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that 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EU</w:t>
            </w:r>
            <w:r w:rsidR="00A37EC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need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="00A37EC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 be ambitious 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 both</w:t>
            </w:r>
            <w:r w:rsidR="00EA7839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implementing its current policies and forging</w:t>
            </w:r>
            <w:r w:rsidR="00FC351C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new initiative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="00FC351C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and partnerships for climate action, peace and securi</w:t>
            </w:r>
            <w:r w:rsidR="00AD2444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ty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Furthermore, it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agree</w:t>
            </w:r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that the EU needs to ensure it</w:t>
            </w:r>
            <w:r w:rsidR="008C2301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con</w:t>
            </w:r>
            <w:r w:rsidR="00044A43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tinue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="00044A43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 be an important global actor for climate action, peace and development, </w:t>
            </w:r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including by making sure</w:t>
            </w:r>
            <w:r w:rsidR="00044A43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that </w:t>
            </w:r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its security and </w:t>
            </w:r>
            <w:proofErr w:type="spellStart"/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defence</w:t>
            </w:r>
            <w:proofErr w:type="spellEnd"/>
            <w:r w:rsidR="00674832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engagements take into consideration </w:t>
            </w:r>
            <w:r w:rsidR="00044A43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climate and environment</w:t>
            </w:r>
            <w:r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al</w:t>
            </w:r>
            <w:r w:rsidR="00044A43" w:rsidRPr="001643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considerations.</w:t>
            </w:r>
          </w:p>
        </w:tc>
      </w:tr>
    </w:tbl>
    <w:p w14:paraId="4B31F071" w14:textId="77777777" w:rsidR="00077C4F" w:rsidRPr="0016437D" w:rsidRDefault="00077C4F" w:rsidP="0042592B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sectPr w:rsidR="00077C4F" w:rsidRPr="0016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CDD0" w14:textId="77777777" w:rsidR="00C372A0" w:rsidRDefault="00C372A0" w:rsidP="00FF63EA">
      <w:pPr>
        <w:spacing w:after="0" w:line="240" w:lineRule="auto"/>
      </w:pPr>
      <w:r>
        <w:separator/>
      </w:r>
    </w:p>
  </w:endnote>
  <w:endnote w:type="continuationSeparator" w:id="0">
    <w:p w14:paraId="1140CC32" w14:textId="77777777" w:rsidR="00C372A0" w:rsidRDefault="00C372A0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28B3" w14:textId="77777777" w:rsidR="00C372A0" w:rsidRDefault="00C372A0" w:rsidP="00FF63EA">
      <w:pPr>
        <w:spacing w:after="0" w:line="240" w:lineRule="auto"/>
      </w:pPr>
      <w:r>
        <w:separator/>
      </w:r>
    </w:p>
  </w:footnote>
  <w:footnote w:type="continuationSeparator" w:id="0">
    <w:p w14:paraId="161292A3" w14:textId="77777777" w:rsidR="00C372A0" w:rsidRDefault="00C372A0" w:rsidP="00FF63EA">
      <w:pPr>
        <w:spacing w:after="0" w:line="240" w:lineRule="auto"/>
      </w:pPr>
      <w:r>
        <w:continuationSeparator/>
      </w:r>
    </w:p>
  </w:footnote>
  <w:footnote w:id="1">
    <w:p w14:paraId="664F9BDB" w14:textId="77777777" w:rsidR="00257C51" w:rsidRPr="0016437D" w:rsidRDefault="00257C51" w:rsidP="0051685D">
      <w:pPr>
        <w:pStyle w:val="FootnoteText"/>
        <w:widowControl w:val="0"/>
        <w:ind w:left="-142" w:right="-851" w:hanging="284"/>
        <w:jc w:val="both"/>
        <w:rPr>
          <w:rFonts w:ascii="Times New Roman" w:hAnsi="Times New Roman"/>
          <w:lang w:val="fi-FI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  <w:lang w:val="fi-FI"/>
        </w:rPr>
        <w:tab/>
        <w:t xml:space="preserve">OJ C, C/2024/1575, 5.3.2024, ELI: </w:t>
      </w:r>
      <w:r>
        <w:fldChar w:fldCharType="begin"/>
      </w:r>
      <w:r w:rsidRPr="00432261">
        <w:rPr>
          <w:lang w:val="it-IT"/>
        </w:rPr>
        <w:instrText>HYPERLINK "http://data.europa.eu/eli/C/2024/1575/oj"</w:instrText>
      </w:r>
      <w:r>
        <w:fldChar w:fldCharType="separate"/>
      </w:r>
      <w:r w:rsidRPr="0016437D">
        <w:rPr>
          <w:rFonts w:ascii="Times New Roman" w:hAnsi="Times New Roman"/>
          <w:color w:val="0563C1"/>
          <w:u w:val="single"/>
          <w:lang w:val="fi-FI"/>
        </w:rPr>
        <w:t>http://data.europa.eu/eli/C/2024/1575/oj</w:t>
      </w:r>
      <w:r>
        <w:fldChar w:fldCharType="end"/>
      </w:r>
      <w:r w:rsidRPr="0016437D">
        <w:rPr>
          <w:rFonts w:ascii="Times New Roman" w:hAnsi="Times New Roman"/>
          <w:lang w:val="fi-FI"/>
        </w:rPr>
        <w:t>.</w:t>
      </w:r>
    </w:p>
  </w:footnote>
  <w:footnote w:id="2">
    <w:p w14:paraId="171AFE72" w14:textId="77777777" w:rsidR="00257C51" w:rsidRPr="0016437D" w:rsidRDefault="00257C51" w:rsidP="0051685D">
      <w:pPr>
        <w:widowControl w:val="0"/>
        <w:spacing w:after="0" w:line="240" w:lineRule="auto"/>
        <w:ind w:left="-142" w:right="-851" w:hanging="284"/>
        <w:jc w:val="both"/>
        <w:rPr>
          <w:rFonts w:ascii="Times New Roman" w:hAnsi="Times New Roman"/>
          <w:sz w:val="20"/>
          <w:szCs w:val="20"/>
          <w:lang w:val="fi-FI"/>
        </w:rPr>
      </w:pPr>
      <w:r w:rsidRPr="0016437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6437D">
        <w:rPr>
          <w:rFonts w:ascii="Times New Roman" w:hAnsi="Times New Roman"/>
          <w:sz w:val="20"/>
          <w:szCs w:val="20"/>
          <w:lang w:val="fi-FI"/>
        </w:rPr>
        <w:tab/>
        <w:t xml:space="preserve">OJ C, C/2024/2106, 26.3.2024, ELI: </w:t>
      </w:r>
      <w:r>
        <w:fldChar w:fldCharType="begin"/>
      </w:r>
      <w:r w:rsidRPr="00432261">
        <w:rPr>
          <w:lang w:val="it-IT"/>
        </w:rPr>
        <w:instrText>HYPERLINK "http://data.europa.eu/eli/C/2024/2106/oj"</w:instrText>
      </w:r>
      <w:r>
        <w:fldChar w:fldCharType="separate"/>
      </w:r>
      <w:r w:rsidRPr="0016437D">
        <w:rPr>
          <w:rFonts w:ascii="Times New Roman" w:hAnsi="Times New Roman"/>
          <w:color w:val="0563C1"/>
          <w:sz w:val="20"/>
          <w:szCs w:val="20"/>
          <w:u w:val="single"/>
          <w:lang w:val="fi-FI"/>
        </w:rPr>
        <w:t>http://data.europa.eu/eli/C/2024/2106/oj</w:t>
      </w:r>
      <w:r>
        <w:fldChar w:fldCharType="end"/>
      </w:r>
      <w:r w:rsidRPr="0016437D">
        <w:rPr>
          <w:rFonts w:ascii="Times New Roman" w:hAnsi="Times New Roman"/>
          <w:sz w:val="20"/>
          <w:szCs w:val="20"/>
          <w:lang w:val="fi-FI"/>
        </w:rPr>
        <w:t>.</w:t>
      </w:r>
    </w:p>
  </w:footnote>
  <w:footnote w:id="3">
    <w:p w14:paraId="26DE3363" w14:textId="27E8CA46" w:rsidR="001D2750" w:rsidRPr="0016437D" w:rsidRDefault="001D2750" w:rsidP="0051685D">
      <w:pPr>
        <w:pStyle w:val="FootnoteText"/>
        <w:widowControl w:val="0"/>
        <w:ind w:left="-142" w:hanging="283"/>
        <w:jc w:val="both"/>
        <w:rPr>
          <w:rFonts w:ascii="Times New Roman" w:hAnsi="Times New Roman"/>
          <w:lang w:val="fr-BE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  <w:lang w:val="fr-BE"/>
        </w:rPr>
        <w:t xml:space="preserve"> </w:t>
      </w:r>
      <w:r w:rsidRPr="0016437D">
        <w:rPr>
          <w:rFonts w:ascii="Times New Roman" w:hAnsi="Times New Roman"/>
          <w:lang w:val="fr-BE"/>
        </w:rPr>
        <w:tab/>
      </w:r>
      <w:proofErr w:type="gramStart"/>
      <w:r w:rsidRPr="0016437D">
        <w:rPr>
          <w:rFonts w:ascii="Times New Roman" w:hAnsi="Times New Roman"/>
          <w:lang w:val="fr-BE"/>
        </w:rPr>
        <w:t>JOIN(</w:t>
      </w:r>
      <w:proofErr w:type="gramEnd"/>
      <w:r w:rsidRPr="0016437D">
        <w:rPr>
          <w:rFonts w:ascii="Times New Roman" w:hAnsi="Times New Roman"/>
          <w:lang w:val="fr-BE"/>
        </w:rPr>
        <w:t>2023) 19 final (</w:t>
      </w:r>
      <w:hyperlink r:id="rId1" w:history="1">
        <w:r w:rsidRPr="0016437D">
          <w:rPr>
            <w:rStyle w:val="Hyperlink"/>
            <w:rFonts w:ascii="Times New Roman" w:hAnsi="Times New Roman"/>
            <w:lang w:val="fr-BE"/>
          </w:rPr>
          <w:t>EUR-Lex - 52023JC0019 - EN - EUR-Lex</w:t>
        </w:r>
      </w:hyperlink>
      <w:r w:rsidRPr="0016437D">
        <w:rPr>
          <w:rFonts w:ascii="Times New Roman" w:hAnsi="Times New Roman"/>
          <w:lang w:val="fr-BE"/>
        </w:rPr>
        <w:t>).</w:t>
      </w:r>
    </w:p>
  </w:footnote>
  <w:footnote w:id="4">
    <w:p w14:paraId="62E297C2" w14:textId="5DA488F3" w:rsidR="001D2750" w:rsidRPr="0016437D" w:rsidRDefault="001D2750" w:rsidP="0051685D">
      <w:pPr>
        <w:pStyle w:val="FootnoteText"/>
        <w:widowControl w:val="0"/>
        <w:ind w:left="-142" w:hanging="283"/>
        <w:jc w:val="both"/>
        <w:rPr>
          <w:rFonts w:ascii="Times New Roman" w:hAnsi="Times New Roman"/>
          <w:lang w:val="en-IE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</w:rPr>
        <w:t xml:space="preserve"> </w:t>
      </w:r>
      <w:r w:rsidRPr="0016437D">
        <w:rPr>
          <w:rFonts w:ascii="Times New Roman" w:hAnsi="Times New Roman"/>
          <w:lang w:val="en-IE"/>
        </w:rPr>
        <w:tab/>
      </w:r>
      <w:r w:rsidRPr="0016437D">
        <w:rPr>
          <w:rFonts w:ascii="Times New Roman" w:hAnsi="Times New Roman"/>
        </w:rPr>
        <w:t>7865/24 (</w:t>
      </w:r>
      <w:hyperlink r:id="rId2" w:history="1">
        <w:r w:rsidRPr="0016437D">
          <w:rPr>
            <w:rStyle w:val="Hyperlink"/>
            <w:rFonts w:ascii="Times New Roman" w:hAnsi="Times New Roman"/>
          </w:rPr>
          <w:t>pdf</w:t>
        </w:r>
      </w:hyperlink>
      <w:r w:rsidRPr="0016437D">
        <w:rPr>
          <w:rFonts w:ascii="Times New Roman" w:hAnsi="Times New Roman"/>
          <w:lang w:val="en-IE"/>
        </w:rPr>
        <w:t>).</w:t>
      </w:r>
    </w:p>
  </w:footnote>
  <w:footnote w:id="5">
    <w:p w14:paraId="7F70B892" w14:textId="67BBA0B7" w:rsidR="001D2750" w:rsidRPr="0016437D" w:rsidRDefault="001D2750" w:rsidP="0051685D">
      <w:pPr>
        <w:pStyle w:val="FootnoteText"/>
        <w:widowControl w:val="0"/>
        <w:ind w:left="-142" w:hanging="283"/>
        <w:jc w:val="both"/>
        <w:rPr>
          <w:rFonts w:ascii="Times New Roman" w:hAnsi="Times New Roman"/>
          <w:lang w:val="en-IE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</w:rPr>
        <w:t xml:space="preserve"> </w:t>
      </w:r>
      <w:r w:rsidRPr="0016437D">
        <w:rPr>
          <w:rFonts w:ascii="Times New Roman" w:hAnsi="Times New Roman"/>
        </w:rPr>
        <w:tab/>
        <w:t>9225/24 (</w:t>
      </w:r>
      <w:hyperlink r:id="rId3" w:history="1">
        <w:r w:rsidRPr="0016437D">
          <w:rPr>
            <w:rStyle w:val="Hyperlink"/>
            <w:rFonts w:ascii="Times New Roman" w:hAnsi="Times New Roman"/>
          </w:rPr>
          <w:t>pdf</w:t>
        </w:r>
      </w:hyperlink>
      <w:r w:rsidRPr="0016437D">
        <w:rPr>
          <w:rFonts w:ascii="Times New Roman" w:hAnsi="Times New Roman"/>
          <w:lang w:val="en-IE"/>
        </w:rPr>
        <w:t>).</w:t>
      </w:r>
    </w:p>
  </w:footnote>
  <w:footnote w:id="6">
    <w:p w14:paraId="7CED9E39" w14:textId="47A85B9E" w:rsidR="001D2750" w:rsidRPr="0016437D" w:rsidRDefault="001D2750" w:rsidP="0051685D">
      <w:pPr>
        <w:pStyle w:val="FootnoteText"/>
        <w:widowControl w:val="0"/>
        <w:ind w:left="-142" w:hanging="283"/>
        <w:jc w:val="both"/>
        <w:rPr>
          <w:rFonts w:ascii="Times New Roman" w:hAnsi="Times New Roman"/>
          <w:lang w:val="en-IE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</w:rPr>
        <w:t xml:space="preserve"> </w:t>
      </w:r>
      <w:r w:rsidRPr="0016437D">
        <w:rPr>
          <w:rFonts w:ascii="Times New Roman" w:hAnsi="Times New Roman"/>
        </w:rPr>
        <w:tab/>
      </w:r>
      <w:proofErr w:type="gramStart"/>
      <w:r w:rsidRPr="0016437D">
        <w:rPr>
          <w:rFonts w:ascii="Times New Roman" w:hAnsi="Times New Roman"/>
        </w:rPr>
        <w:t>SWD(</w:t>
      </w:r>
      <w:proofErr w:type="gramEnd"/>
      <w:r w:rsidRPr="0016437D">
        <w:rPr>
          <w:rFonts w:ascii="Times New Roman" w:hAnsi="Times New Roman"/>
        </w:rPr>
        <w:t>2025) 49 final (</w:t>
      </w:r>
      <w:hyperlink r:id="rId4" w:history="1">
        <w:r w:rsidRPr="0016437D">
          <w:rPr>
            <w:rStyle w:val="Hyperlink"/>
            <w:rFonts w:ascii="Times New Roman" w:hAnsi="Times New Roman"/>
          </w:rPr>
          <w:t>pdf</w:t>
        </w:r>
      </w:hyperlink>
      <w:r w:rsidRPr="0016437D">
        <w:rPr>
          <w:rFonts w:ascii="Times New Roman" w:hAnsi="Times New Roman"/>
        </w:rPr>
        <w:t>).</w:t>
      </w:r>
    </w:p>
  </w:footnote>
  <w:footnote w:id="7">
    <w:p w14:paraId="15CC49EF" w14:textId="1A74B407" w:rsidR="00EA7839" w:rsidRPr="0016437D" w:rsidRDefault="00EA7839" w:rsidP="0051685D">
      <w:pPr>
        <w:pStyle w:val="FootnoteText"/>
        <w:widowControl w:val="0"/>
        <w:ind w:left="-142" w:hanging="283"/>
        <w:jc w:val="both"/>
        <w:rPr>
          <w:rFonts w:ascii="Times New Roman" w:hAnsi="Times New Roman"/>
          <w:lang w:val="en-IE"/>
        </w:rPr>
      </w:pPr>
      <w:r w:rsidRPr="0016437D">
        <w:rPr>
          <w:rStyle w:val="FootnoteReference"/>
          <w:rFonts w:ascii="Times New Roman" w:hAnsi="Times New Roman"/>
          <w:sz w:val="20"/>
        </w:rPr>
        <w:footnoteRef/>
      </w:r>
      <w:r w:rsidRPr="0016437D">
        <w:rPr>
          <w:rFonts w:ascii="Times New Roman" w:hAnsi="Times New Roman"/>
        </w:rPr>
        <w:t xml:space="preserve"> </w:t>
      </w:r>
      <w:r w:rsidRPr="0016437D">
        <w:rPr>
          <w:rFonts w:ascii="Times New Roman" w:hAnsi="Times New Roman"/>
          <w:lang w:val="en-IE"/>
        </w:rPr>
        <w:tab/>
      </w:r>
      <w:hyperlink r:id="rId5" w:history="1">
        <w:r w:rsidRPr="0016437D">
          <w:rPr>
            <w:rStyle w:val="Hyperlink"/>
            <w:rFonts w:ascii="Times New Roman" w:hAnsi="Times New Roman"/>
          </w:rPr>
          <w:t>Preparedness Union Strategy: reinforcing Europe’s resilience in a changing world | EEAS</w:t>
        </w:r>
      </w:hyperlink>
      <w:r w:rsidRPr="0016437D">
        <w:rPr>
          <w:rFonts w:ascii="Times New Roman" w:hAnsi="Times New Roman"/>
          <w:lang w:val="en-I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 w16cid:durableId="15245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44A43"/>
    <w:rsid w:val="00046B15"/>
    <w:rsid w:val="00050DC7"/>
    <w:rsid w:val="00076109"/>
    <w:rsid w:val="00077C4F"/>
    <w:rsid w:val="000808B1"/>
    <w:rsid w:val="000E0BA0"/>
    <w:rsid w:val="000F5FD8"/>
    <w:rsid w:val="001167C0"/>
    <w:rsid w:val="00135C2A"/>
    <w:rsid w:val="0016341F"/>
    <w:rsid w:val="0016437D"/>
    <w:rsid w:val="001B0E0B"/>
    <w:rsid w:val="001B123C"/>
    <w:rsid w:val="001C4138"/>
    <w:rsid w:val="001D2750"/>
    <w:rsid w:val="001D3789"/>
    <w:rsid w:val="001D4C7E"/>
    <w:rsid w:val="001F2EC6"/>
    <w:rsid w:val="001F65D0"/>
    <w:rsid w:val="00217E59"/>
    <w:rsid w:val="00257C51"/>
    <w:rsid w:val="002A20B2"/>
    <w:rsid w:val="002F03FA"/>
    <w:rsid w:val="003004D2"/>
    <w:rsid w:val="003349A3"/>
    <w:rsid w:val="00342A50"/>
    <w:rsid w:val="00377967"/>
    <w:rsid w:val="00386143"/>
    <w:rsid w:val="003B58DC"/>
    <w:rsid w:val="003F686E"/>
    <w:rsid w:val="0042592B"/>
    <w:rsid w:val="00432261"/>
    <w:rsid w:val="00442552"/>
    <w:rsid w:val="00455A1C"/>
    <w:rsid w:val="004675B5"/>
    <w:rsid w:val="004770D6"/>
    <w:rsid w:val="0049246C"/>
    <w:rsid w:val="004D1F9D"/>
    <w:rsid w:val="004E5730"/>
    <w:rsid w:val="004F6117"/>
    <w:rsid w:val="004F63F1"/>
    <w:rsid w:val="004F651E"/>
    <w:rsid w:val="0051424A"/>
    <w:rsid w:val="0051685D"/>
    <w:rsid w:val="0052596B"/>
    <w:rsid w:val="00554D8D"/>
    <w:rsid w:val="00565226"/>
    <w:rsid w:val="00572EFD"/>
    <w:rsid w:val="00573835"/>
    <w:rsid w:val="005807AD"/>
    <w:rsid w:val="00581306"/>
    <w:rsid w:val="005A4F24"/>
    <w:rsid w:val="005C3105"/>
    <w:rsid w:val="005F3C76"/>
    <w:rsid w:val="00674832"/>
    <w:rsid w:val="00692C2F"/>
    <w:rsid w:val="00695797"/>
    <w:rsid w:val="00696A5E"/>
    <w:rsid w:val="006B04DC"/>
    <w:rsid w:val="006B3B69"/>
    <w:rsid w:val="006D4325"/>
    <w:rsid w:val="007329A4"/>
    <w:rsid w:val="00734613"/>
    <w:rsid w:val="00751910"/>
    <w:rsid w:val="00751E60"/>
    <w:rsid w:val="007547B5"/>
    <w:rsid w:val="00761388"/>
    <w:rsid w:val="00770FB1"/>
    <w:rsid w:val="00795A9E"/>
    <w:rsid w:val="007A606D"/>
    <w:rsid w:val="007C2214"/>
    <w:rsid w:val="00807B48"/>
    <w:rsid w:val="008104A5"/>
    <w:rsid w:val="008135CA"/>
    <w:rsid w:val="0081584F"/>
    <w:rsid w:val="0086016A"/>
    <w:rsid w:val="00866654"/>
    <w:rsid w:val="008703BF"/>
    <w:rsid w:val="008925CE"/>
    <w:rsid w:val="008B61FC"/>
    <w:rsid w:val="008C2301"/>
    <w:rsid w:val="008C4D41"/>
    <w:rsid w:val="008F29A4"/>
    <w:rsid w:val="008F6CF9"/>
    <w:rsid w:val="00981F45"/>
    <w:rsid w:val="00994D12"/>
    <w:rsid w:val="009B128B"/>
    <w:rsid w:val="00A16F07"/>
    <w:rsid w:val="00A25CCE"/>
    <w:rsid w:val="00A37EC4"/>
    <w:rsid w:val="00A62C7B"/>
    <w:rsid w:val="00A7709A"/>
    <w:rsid w:val="00AD2444"/>
    <w:rsid w:val="00AE1842"/>
    <w:rsid w:val="00AE3C7C"/>
    <w:rsid w:val="00B31306"/>
    <w:rsid w:val="00B42814"/>
    <w:rsid w:val="00B5288C"/>
    <w:rsid w:val="00B626C6"/>
    <w:rsid w:val="00B83936"/>
    <w:rsid w:val="00BD6EB7"/>
    <w:rsid w:val="00BE269B"/>
    <w:rsid w:val="00C253DC"/>
    <w:rsid w:val="00C372A0"/>
    <w:rsid w:val="00C54D27"/>
    <w:rsid w:val="00C76EEB"/>
    <w:rsid w:val="00C9394B"/>
    <w:rsid w:val="00CB5664"/>
    <w:rsid w:val="00CD0C8B"/>
    <w:rsid w:val="00D01F5A"/>
    <w:rsid w:val="00D1716E"/>
    <w:rsid w:val="00D64E05"/>
    <w:rsid w:val="00D92FD3"/>
    <w:rsid w:val="00DA3B6E"/>
    <w:rsid w:val="00DB0691"/>
    <w:rsid w:val="00DB7581"/>
    <w:rsid w:val="00DC70C1"/>
    <w:rsid w:val="00DD691D"/>
    <w:rsid w:val="00E83C12"/>
    <w:rsid w:val="00E904C8"/>
    <w:rsid w:val="00EA1BBF"/>
    <w:rsid w:val="00EA7839"/>
    <w:rsid w:val="00EB29A9"/>
    <w:rsid w:val="00EB77D2"/>
    <w:rsid w:val="00F312E3"/>
    <w:rsid w:val="00F316C8"/>
    <w:rsid w:val="00F632DE"/>
    <w:rsid w:val="00F735E4"/>
    <w:rsid w:val="00FA36D2"/>
    <w:rsid w:val="00FB179E"/>
    <w:rsid w:val="00FB7834"/>
    <w:rsid w:val="00FC351C"/>
    <w:rsid w:val="00FD4B6A"/>
    <w:rsid w:val="00FF03A8"/>
    <w:rsid w:val="00FF14FA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57C51"/>
    <w:pPr>
      <w:numPr>
        <w:numId w:val="1"/>
      </w:numPr>
      <w:spacing w:after="0" w:line="288" w:lineRule="auto"/>
      <w:ind w:left="567" w:hanging="567"/>
      <w:jc w:val="both"/>
      <w:outlineLvl w:val="0"/>
    </w:pPr>
    <w:rPr>
      <w:rFonts w:ascii="Times New Roman" w:eastAsia="Times New Roman" w:hAnsi="Times New Roman"/>
      <w:kern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57C51"/>
    <w:pPr>
      <w:numPr>
        <w:ilvl w:val="1"/>
        <w:numId w:val="1"/>
      </w:numPr>
      <w:spacing w:after="0" w:line="288" w:lineRule="auto"/>
      <w:ind w:left="567" w:hanging="567"/>
      <w:jc w:val="both"/>
      <w:outlineLvl w:val="1"/>
    </w:pPr>
    <w:rPr>
      <w:rFonts w:ascii="Times New Roman" w:eastAsia="Times New Roman" w:hAnsi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257C51"/>
    <w:pPr>
      <w:numPr>
        <w:ilvl w:val="2"/>
        <w:numId w:val="1"/>
      </w:numPr>
      <w:spacing w:after="0" w:line="288" w:lineRule="auto"/>
      <w:ind w:left="567" w:hanging="567"/>
      <w:jc w:val="both"/>
      <w:outlineLvl w:val="2"/>
    </w:pPr>
    <w:rPr>
      <w:rFonts w:ascii="Times New Roman" w:eastAsia="Times New Roman" w:hAnsi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257C51"/>
    <w:pPr>
      <w:numPr>
        <w:ilvl w:val="3"/>
        <w:numId w:val="1"/>
      </w:numPr>
      <w:spacing w:after="0" w:line="288" w:lineRule="auto"/>
      <w:ind w:left="567" w:hanging="567"/>
      <w:jc w:val="both"/>
      <w:outlineLvl w:val="3"/>
    </w:pPr>
    <w:rPr>
      <w:rFonts w:ascii="Times New Roman" w:eastAsia="Times New Roman" w:hAnsi="Times New Roman"/>
      <w:lang w:val="en-US"/>
    </w:rPr>
  </w:style>
  <w:style w:type="paragraph" w:styleId="Heading5">
    <w:name w:val="heading 5"/>
    <w:basedOn w:val="Normal"/>
    <w:next w:val="Normal"/>
    <w:link w:val="Heading5Char"/>
    <w:qFormat/>
    <w:rsid w:val="00257C51"/>
    <w:pPr>
      <w:numPr>
        <w:ilvl w:val="4"/>
        <w:numId w:val="1"/>
      </w:numPr>
      <w:spacing w:after="0" w:line="288" w:lineRule="auto"/>
      <w:ind w:left="567" w:hanging="567"/>
      <w:jc w:val="both"/>
      <w:outlineLvl w:val="4"/>
    </w:pPr>
    <w:rPr>
      <w:rFonts w:ascii="Times New Roman" w:eastAsia="Times New Roman" w:hAnsi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257C51"/>
    <w:pPr>
      <w:numPr>
        <w:ilvl w:val="5"/>
        <w:numId w:val="1"/>
      </w:numPr>
      <w:spacing w:after="0" w:line="288" w:lineRule="auto"/>
      <w:ind w:left="567" w:hanging="567"/>
      <w:jc w:val="both"/>
      <w:outlineLvl w:val="5"/>
    </w:pPr>
    <w:rPr>
      <w:rFonts w:ascii="Times New Roman" w:eastAsia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257C51"/>
    <w:pPr>
      <w:numPr>
        <w:ilvl w:val="6"/>
        <w:numId w:val="1"/>
      </w:numPr>
      <w:spacing w:after="0" w:line="288" w:lineRule="auto"/>
      <w:ind w:left="567" w:hanging="567"/>
      <w:jc w:val="both"/>
      <w:outlineLvl w:val="6"/>
    </w:pPr>
    <w:rPr>
      <w:rFonts w:ascii="Times New Roman" w:eastAsia="Times New Roman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257C51"/>
    <w:pPr>
      <w:numPr>
        <w:ilvl w:val="7"/>
        <w:numId w:val="1"/>
      </w:numPr>
      <w:spacing w:after="0" w:line="288" w:lineRule="auto"/>
      <w:ind w:left="567" w:hanging="567"/>
      <w:jc w:val="both"/>
      <w:outlineLvl w:val="7"/>
    </w:pPr>
    <w:rPr>
      <w:rFonts w:ascii="Times New Roman" w:eastAsia="Times New Roman" w:hAnsi="Times New Roman"/>
      <w:lang w:val="en-US"/>
    </w:rPr>
  </w:style>
  <w:style w:type="paragraph" w:styleId="Heading9">
    <w:name w:val="heading 9"/>
    <w:basedOn w:val="Normal"/>
    <w:next w:val="Normal"/>
    <w:link w:val="Heading9Char"/>
    <w:qFormat/>
    <w:rsid w:val="00257C51"/>
    <w:pPr>
      <w:numPr>
        <w:ilvl w:val="8"/>
        <w:numId w:val="1"/>
      </w:numPr>
      <w:spacing w:after="0" w:line="288" w:lineRule="auto"/>
      <w:ind w:left="567" w:hanging="567"/>
      <w:jc w:val="both"/>
      <w:outlineLvl w:val="8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7C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51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257C51"/>
    <w:rPr>
      <w:rFonts w:ascii="Times New Roman" w:eastAsia="Times New Roman" w:hAnsi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57C51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257C51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257C51"/>
    <w:rPr>
      <w:color w:val="0000FF"/>
      <w:u w:val="single"/>
    </w:rPr>
  </w:style>
  <w:style w:type="paragraph" w:styleId="Revision">
    <w:name w:val="Revision"/>
    <w:hidden/>
    <w:uiPriority w:val="99"/>
    <w:semiHidden/>
    <w:rsid w:val="0042592B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592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9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s.europa.eu/eeas/joint-communication-climate-security-nexus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eeas/preparedness-union-strategy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consilium.europa.eu/doc/document/ST-6321-2025-INIT/en/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ta.consilium.europa.eu/doc/document/ST-9225-2024-INIT/en/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consilium.europa.eu/doc/document/ST-7865-2024-INIT/en/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consilium.europa.eu/doc/document/ST-9225-2024-INIT/en/pdf" TargetMode="External"/><Relationship Id="rId2" Type="http://schemas.openxmlformats.org/officeDocument/2006/relationships/hyperlink" Target="https://data.consilium.europa.eu/doc/document/ST-7865-2024-INIT/en/pdf" TargetMode="External"/><Relationship Id="rId1" Type="http://schemas.openxmlformats.org/officeDocument/2006/relationships/hyperlink" Target="https://eur-lex.europa.eu/legal-content/EN/TXT/?uri=CELEX:52023JC0019" TargetMode="External"/><Relationship Id="rId5" Type="http://schemas.openxmlformats.org/officeDocument/2006/relationships/hyperlink" Target="https://www.eeas.europa.eu/eeas/preparedness-union-strategy_en" TargetMode="External"/><Relationship Id="rId4" Type="http://schemas.openxmlformats.org/officeDocument/2006/relationships/hyperlink" Target="https://data.consilium.europa.eu/doc/document/ST-6321-2025-INIT/en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9E58-4D3A-4222-8506-56F87DF5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2700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2013-02-27T18:02:00Z</cp:lastPrinted>
  <dcterms:created xsi:type="dcterms:W3CDTF">2025-12-16T14:48:00Z</dcterms:created>
  <dcterms:modified xsi:type="dcterms:W3CDTF">2025-12-16T14:48:00Z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</Properties>
</file>