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F9507C" w:rsidRDefault="00077C4F" w:rsidP="00F9507C">
      <w:pPr>
        <w:widowControl w:val="0"/>
        <w:spacing w:after="0" w:line="240" w:lineRule="auto"/>
        <w:ind w:left="-567"/>
        <w:rPr>
          <w:rFonts w:ascii="Times New Roman" w:hAnsi="Times New Roman"/>
          <w:bCs/>
          <w:sz w:val="16"/>
          <w:szCs w:val="16"/>
        </w:rPr>
      </w:pPr>
    </w:p>
    <w:tbl>
      <w:tblPr>
        <w:tblW w:w="101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54"/>
      </w:tblGrid>
      <w:tr w:rsidR="001C4138" w:rsidRPr="00442552" w14:paraId="7E6372DC" w14:textId="77777777" w:rsidTr="005961EF">
        <w:trPr>
          <w:jc w:val="center"/>
        </w:trPr>
        <w:tc>
          <w:tcPr>
            <w:tcW w:w="10154" w:type="dxa"/>
          </w:tcPr>
          <w:p w14:paraId="3A4EDC3A" w14:textId="3C131DC5" w:rsidR="001C4138" w:rsidRPr="00F9507C" w:rsidRDefault="00B122C8" w:rsidP="00F9507C">
            <w:pPr>
              <w:tabs>
                <w:tab w:val="num" w:pos="550"/>
              </w:tabs>
              <w:spacing w:before="120" w:after="120"/>
              <w:ind w:left="125"/>
              <w:rPr>
                <w:rFonts w:ascii="Times New Roman" w:hAnsi="Times New Roman"/>
                <w:b/>
                <w:bCs/>
                <w:sz w:val="24"/>
                <w:szCs w:val="24"/>
                <w:highlight w:val="yellow"/>
              </w:rPr>
            </w:pPr>
            <w:r w:rsidRPr="00482479">
              <w:rPr>
                <w:rFonts w:ascii="Times New Roman" w:hAnsi="Times New Roman"/>
                <w:b/>
                <w:sz w:val="24"/>
                <w:szCs w:val="24"/>
              </w:rPr>
              <w:t>Democracy in Africa – current situation and future perspectives. What role for the EESC?</w:t>
            </w:r>
            <w:r w:rsidR="0042100B" w:rsidRPr="0042100B">
              <w:rPr>
                <w:rFonts w:ascii="Times New Roman" w:hAnsi="Times New Roman"/>
                <w:b/>
                <w:sz w:val="24"/>
                <w:szCs w:val="24"/>
              </w:rPr>
              <w:br/>
            </w:r>
            <w:r w:rsidR="0042100B" w:rsidRPr="00F9507C">
              <w:rPr>
                <w:rFonts w:ascii="Times New Roman" w:hAnsi="Times New Roman"/>
                <w:b/>
                <w:bCs/>
                <w:sz w:val="24"/>
                <w:szCs w:val="24"/>
              </w:rPr>
              <w:t>(own-</w:t>
            </w:r>
            <w:r w:rsidR="0042100B" w:rsidRPr="00B122C8">
              <w:rPr>
                <w:rFonts w:ascii="Times New Roman" w:hAnsi="Times New Roman"/>
                <w:b/>
                <w:sz w:val="24"/>
                <w:szCs w:val="24"/>
              </w:rPr>
              <w:t>initiative opinion)</w:t>
            </w:r>
            <w:r w:rsidR="001C4138" w:rsidRPr="0042100B">
              <w:rPr>
                <w:rFonts w:ascii="Times New Roman" w:hAnsi="Times New Roman"/>
                <w:b/>
                <w:sz w:val="24"/>
                <w:szCs w:val="24"/>
              </w:rPr>
              <w:br/>
            </w:r>
            <w:r w:rsidR="001C4138" w:rsidRPr="001436E2">
              <w:rPr>
                <w:rFonts w:ascii="Times New Roman" w:hAnsi="Times New Roman"/>
                <w:b/>
                <w:sz w:val="24"/>
                <w:szCs w:val="24"/>
              </w:rPr>
              <w:t>EESC-202</w:t>
            </w:r>
            <w:r w:rsidR="005C6035" w:rsidRPr="001436E2">
              <w:rPr>
                <w:rFonts w:ascii="Times New Roman" w:hAnsi="Times New Roman"/>
                <w:b/>
                <w:sz w:val="24"/>
                <w:szCs w:val="24"/>
              </w:rPr>
              <w:t>4</w:t>
            </w:r>
            <w:r w:rsidR="001C4138" w:rsidRPr="001436E2">
              <w:rPr>
                <w:rFonts w:ascii="Times New Roman" w:hAnsi="Times New Roman"/>
                <w:b/>
                <w:sz w:val="24"/>
                <w:szCs w:val="24"/>
              </w:rPr>
              <w:t>-</w:t>
            </w:r>
            <w:r w:rsidRPr="001436E2">
              <w:rPr>
                <w:rFonts w:ascii="Times New Roman" w:hAnsi="Times New Roman"/>
                <w:b/>
                <w:sz w:val="24"/>
                <w:szCs w:val="24"/>
              </w:rPr>
              <w:t>01631</w:t>
            </w:r>
            <w:r w:rsidR="001C4138" w:rsidRPr="001436E2">
              <w:rPr>
                <w:rFonts w:ascii="Times New Roman" w:hAnsi="Times New Roman"/>
                <w:b/>
                <w:sz w:val="24"/>
                <w:szCs w:val="24"/>
              </w:rPr>
              <w:t xml:space="preserve"> </w:t>
            </w:r>
            <w:r w:rsidR="001C4138" w:rsidRPr="0042100B">
              <w:rPr>
                <w:rFonts w:ascii="Times New Roman" w:hAnsi="Times New Roman"/>
                <w:b/>
                <w:sz w:val="24"/>
                <w:szCs w:val="24"/>
              </w:rPr>
              <w:t xml:space="preserve">‒ </w:t>
            </w:r>
            <w:r w:rsidRPr="001436E2">
              <w:rPr>
                <w:rFonts w:ascii="Times New Roman" w:hAnsi="Times New Roman"/>
                <w:b/>
                <w:sz w:val="24"/>
                <w:szCs w:val="24"/>
              </w:rPr>
              <w:t>REX/584</w:t>
            </w:r>
            <w:r w:rsidR="001C4138" w:rsidRPr="0042100B">
              <w:rPr>
                <w:rFonts w:ascii="Times New Roman" w:hAnsi="Times New Roman"/>
                <w:b/>
                <w:sz w:val="24"/>
                <w:szCs w:val="24"/>
              </w:rPr>
              <w:br/>
            </w:r>
            <w:r w:rsidR="005C6035" w:rsidRPr="0042100B">
              <w:rPr>
                <w:rFonts w:ascii="Times New Roman" w:hAnsi="Times New Roman"/>
                <w:b/>
                <w:sz w:val="24"/>
                <w:szCs w:val="24"/>
              </w:rPr>
              <w:t>592</w:t>
            </w:r>
            <w:r w:rsidR="005C6035" w:rsidRPr="00B122C8">
              <w:rPr>
                <w:rFonts w:ascii="Times New Roman" w:hAnsi="Times New Roman"/>
                <w:b/>
                <w:sz w:val="24"/>
                <w:szCs w:val="24"/>
                <w:vertAlign w:val="superscript"/>
              </w:rPr>
              <w:t>nd</w:t>
            </w:r>
            <w:r w:rsidR="005C6035" w:rsidRPr="0042100B">
              <w:rPr>
                <w:rFonts w:ascii="Times New Roman" w:hAnsi="Times New Roman"/>
                <w:b/>
                <w:sz w:val="24"/>
                <w:szCs w:val="24"/>
              </w:rPr>
              <w:t xml:space="preserve"> </w:t>
            </w:r>
            <w:r w:rsidR="001C4138" w:rsidRPr="0042100B">
              <w:rPr>
                <w:rFonts w:ascii="Times New Roman" w:hAnsi="Times New Roman"/>
                <w:b/>
                <w:sz w:val="24"/>
                <w:szCs w:val="24"/>
              </w:rPr>
              <w:t xml:space="preserve">Plenary Session – </w:t>
            </w:r>
            <w:r w:rsidR="005C6035" w:rsidRPr="0042100B">
              <w:rPr>
                <w:rFonts w:ascii="Times New Roman" w:hAnsi="Times New Roman"/>
                <w:b/>
                <w:sz w:val="24"/>
                <w:szCs w:val="24"/>
              </w:rPr>
              <w:t>December 2024</w:t>
            </w:r>
            <w:r w:rsidR="001C4138" w:rsidRPr="0042100B">
              <w:rPr>
                <w:rFonts w:ascii="Times New Roman" w:hAnsi="Times New Roman"/>
                <w:b/>
                <w:sz w:val="24"/>
                <w:szCs w:val="24"/>
              </w:rPr>
              <w:br/>
              <w:t xml:space="preserve">Rapporteur: </w:t>
            </w:r>
            <w:r w:rsidRPr="00482479">
              <w:rPr>
                <w:rFonts w:ascii="Times New Roman" w:hAnsi="Times New Roman"/>
                <w:b/>
                <w:sz w:val="24"/>
                <w:szCs w:val="24"/>
              </w:rPr>
              <w:t xml:space="preserve">Carlos </w:t>
            </w:r>
            <w:r w:rsidRPr="001436E2">
              <w:rPr>
                <w:rFonts w:ascii="Times New Roman" w:hAnsi="Times New Roman"/>
                <w:b/>
                <w:sz w:val="24"/>
                <w:szCs w:val="24"/>
              </w:rPr>
              <w:t>Manuel</w:t>
            </w:r>
            <w:r w:rsidRPr="00482479">
              <w:rPr>
                <w:rFonts w:ascii="Times New Roman" w:hAnsi="Times New Roman"/>
                <w:b/>
                <w:sz w:val="24"/>
                <w:szCs w:val="24"/>
              </w:rPr>
              <w:t xml:space="preserve"> TRINDADE</w:t>
            </w:r>
            <w:r>
              <w:rPr>
                <w:rFonts w:ascii="Times New Roman" w:hAnsi="Times New Roman"/>
                <w:b/>
                <w:sz w:val="24"/>
                <w:szCs w:val="24"/>
              </w:rPr>
              <w:t xml:space="preserve"> </w:t>
            </w:r>
            <w:r w:rsidRPr="001436E2">
              <w:rPr>
                <w:rFonts w:ascii="Times New Roman" w:hAnsi="Times New Roman"/>
                <w:b/>
                <w:sz w:val="24"/>
                <w:szCs w:val="24"/>
              </w:rPr>
              <w:t>(PT-II)</w:t>
            </w:r>
            <w:r w:rsidR="001C4138" w:rsidRPr="0042100B">
              <w:rPr>
                <w:rFonts w:ascii="Times New Roman" w:hAnsi="Times New Roman"/>
                <w:b/>
                <w:sz w:val="24"/>
                <w:szCs w:val="24"/>
              </w:rPr>
              <w:br/>
            </w:r>
            <w:r>
              <w:rPr>
                <w:rFonts w:ascii="Times New Roman" w:hAnsi="Times New Roman"/>
                <w:b/>
                <w:sz w:val="24"/>
                <w:szCs w:val="24"/>
              </w:rPr>
              <w:t xml:space="preserve">EEAS </w:t>
            </w:r>
            <w:r w:rsidR="001C4138" w:rsidRPr="0042100B">
              <w:rPr>
                <w:rFonts w:ascii="Times New Roman" w:hAnsi="Times New Roman"/>
                <w:b/>
                <w:sz w:val="24"/>
                <w:szCs w:val="24"/>
              </w:rPr>
              <w:t xml:space="preserve">– </w:t>
            </w:r>
            <w:r w:rsidRPr="00B122C8">
              <w:rPr>
                <w:rFonts w:ascii="Times New Roman" w:hAnsi="Times New Roman"/>
                <w:b/>
                <w:sz w:val="24"/>
                <w:szCs w:val="24"/>
              </w:rPr>
              <w:t>High Representative</w:t>
            </w:r>
            <w:r>
              <w:rPr>
                <w:rFonts w:ascii="Times New Roman" w:hAnsi="Times New Roman"/>
                <w:b/>
                <w:sz w:val="24"/>
                <w:szCs w:val="24"/>
              </w:rPr>
              <w:t>/</w:t>
            </w:r>
            <w:r w:rsidRPr="00B122C8">
              <w:rPr>
                <w:rFonts w:ascii="Times New Roman" w:hAnsi="Times New Roman"/>
                <w:b/>
                <w:sz w:val="24"/>
                <w:szCs w:val="24"/>
              </w:rPr>
              <w:t>Vice-President</w:t>
            </w:r>
            <w:r>
              <w:rPr>
                <w:rFonts w:ascii="Times New Roman" w:hAnsi="Times New Roman"/>
                <w:b/>
                <w:sz w:val="24"/>
                <w:szCs w:val="24"/>
              </w:rPr>
              <w:t xml:space="preserve"> KALLAS</w:t>
            </w:r>
          </w:p>
        </w:tc>
      </w:tr>
      <w:tr w:rsidR="00734613" w:rsidRPr="00442552" w14:paraId="1937071F" w14:textId="77777777" w:rsidTr="005961EF">
        <w:trPr>
          <w:jc w:val="center"/>
        </w:trPr>
        <w:tc>
          <w:tcPr>
            <w:tcW w:w="10154" w:type="dxa"/>
          </w:tcPr>
          <w:p w14:paraId="1E50B4DB" w14:textId="1FA3100B" w:rsidR="00734613" w:rsidRPr="00695797" w:rsidRDefault="004F6117" w:rsidP="0042100B">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42100B">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5961EF">
        <w:trPr>
          <w:jc w:val="center"/>
        </w:trPr>
        <w:tc>
          <w:tcPr>
            <w:tcW w:w="10154" w:type="dxa"/>
          </w:tcPr>
          <w:p w14:paraId="718F0ECD" w14:textId="75C8BF54" w:rsidR="005961EF" w:rsidRDefault="00B122C8" w:rsidP="005961EF">
            <w:pPr>
              <w:pStyle w:val="CommentText"/>
              <w:widowControl w:val="0"/>
              <w:spacing w:before="120" w:after="120"/>
              <w:ind w:left="148" w:right="148"/>
              <w:jc w:val="both"/>
              <w:rPr>
                <w:rFonts w:ascii="Times New Roman" w:hAnsi="Times New Roman"/>
                <w:sz w:val="24"/>
                <w:szCs w:val="24"/>
              </w:rPr>
            </w:pPr>
            <w:r w:rsidRPr="001436E2">
              <w:rPr>
                <w:rFonts w:ascii="Times New Roman" w:hAnsi="Times New Roman"/>
                <w:bCs/>
                <w:i/>
                <w:iCs/>
                <w:sz w:val="24"/>
                <w:szCs w:val="24"/>
              </w:rPr>
              <w:t>On point 1.3</w:t>
            </w:r>
            <w:r w:rsidRPr="005961EF">
              <w:rPr>
                <w:rFonts w:ascii="Times New Roman" w:hAnsi="Times New Roman"/>
                <w:sz w:val="24"/>
                <w:szCs w:val="24"/>
              </w:rPr>
              <w:t>.:</w:t>
            </w:r>
          </w:p>
          <w:p w14:paraId="429C417A" w14:textId="2FACDBDE" w:rsidR="00B122C8" w:rsidRPr="005961EF" w:rsidRDefault="00864667" w:rsidP="005961EF">
            <w:pPr>
              <w:pStyle w:val="CommentText"/>
              <w:widowControl w:val="0"/>
              <w:spacing w:before="120" w:after="120"/>
              <w:ind w:left="148" w:right="148"/>
              <w:jc w:val="both"/>
              <w:rPr>
                <w:rFonts w:ascii="Times New Roman" w:hAnsi="Times New Roman"/>
                <w:sz w:val="24"/>
                <w:szCs w:val="24"/>
              </w:rPr>
            </w:pPr>
            <w:r>
              <w:rPr>
                <w:rFonts w:ascii="Times New Roman" w:hAnsi="Times New Roman"/>
                <w:sz w:val="24"/>
                <w:szCs w:val="24"/>
              </w:rPr>
              <w:t>The Commission r</w:t>
            </w:r>
            <w:r w:rsidR="00B122C8" w:rsidRPr="005961EF">
              <w:rPr>
                <w:rFonts w:ascii="Times New Roman" w:hAnsi="Times New Roman"/>
                <w:sz w:val="24"/>
                <w:szCs w:val="24"/>
              </w:rPr>
              <w:t>ecalls commitments under article 21.1 of the EU Treaty:</w:t>
            </w:r>
          </w:p>
          <w:p w14:paraId="26137147" w14:textId="77777777" w:rsidR="009C11D3" w:rsidRPr="005961EF" w:rsidRDefault="00B122C8" w:rsidP="005961EF">
            <w:pPr>
              <w:widowControl w:val="0"/>
              <w:spacing w:before="120" w:after="120"/>
              <w:ind w:left="148" w:right="148"/>
              <w:jc w:val="both"/>
              <w:rPr>
                <w:rFonts w:ascii="Times New Roman" w:hAnsi="Times New Roman"/>
                <w:i/>
                <w:iCs/>
                <w:sz w:val="24"/>
                <w:szCs w:val="24"/>
                <w:lang w:val="en-IE"/>
              </w:rPr>
            </w:pPr>
            <w:r w:rsidRPr="005961EF">
              <w:rPr>
                <w:rFonts w:ascii="Times New Roman" w:hAnsi="Times New Roman"/>
                <w:i/>
                <w:iCs/>
                <w:sz w:val="24"/>
                <w:szCs w:val="24"/>
                <w:lang w:val="en-IE"/>
              </w:rPr>
              <w:t>The Union's action on the international scene shall be guided by the principles which have inspired its own creation, development and enlargement, and which it seeks to advance in the wider world: democracy, the rule of law, the universality and indivisibility of human rights and fundamental freedoms, respect for human dignity, the principles of equality and solidarity, and respect for the principles of the United Nations Charter and international law.</w:t>
            </w:r>
          </w:p>
          <w:p w14:paraId="2DBCF821" w14:textId="2529C113" w:rsidR="00B122C8" w:rsidRP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bCs/>
                <w:i/>
                <w:iCs/>
                <w:sz w:val="24"/>
                <w:szCs w:val="24"/>
              </w:rPr>
              <w:t>On point 1.4</w:t>
            </w:r>
            <w:r w:rsidRPr="005961EF">
              <w:rPr>
                <w:rFonts w:ascii="Times New Roman" w:hAnsi="Times New Roman"/>
                <w:sz w:val="24"/>
                <w:szCs w:val="24"/>
              </w:rPr>
              <w:t xml:space="preserve">.: </w:t>
            </w:r>
            <w:r w:rsidR="00A42C41">
              <w:rPr>
                <w:rFonts w:ascii="Times New Roman" w:hAnsi="Times New Roman"/>
                <w:sz w:val="24"/>
                <w:szCs w:val="24"/>
              </w:rPr>
              <w:t>The Commission would like to r</w:t>
            </w:r>
            <w:r w:rsidRPr="005961EF">
              <w:rPr>
                <w:rFonts w:ascii="Times New Roman" w:hAnsi="Times New Roman"/>
                <w:sz w:val="24"/>
                <w:szCs w:val="24"/>
              </w:rPr>
              <w:t>ecall common commitments under the Joint Vision 2030 adopted at the 6</w:t>
            </w:r>
            <w:r w:rsidRPr="005961EF">
              <w:rPr>
                <w:rFonts w:ascii="Times New Roman" w:hAnsi="Times New Roman"/>
                <w:sz w:val="24"/>
                <w:szCs w:val="24"/>
                <w:vertAlign w:val="superscript"/>
              </w:rPr>
              <w:t>th</w:t>
            </w:r>
            <w:r w:rsidRPr="005961EF">
              <w:rPr>
                <w:rFonts w:ascii="Times New Roman" w:hAnsi="Times New Roman"/>
                <w:sz w:val="24"/>
                <w:szCs w:val="24"/>
              </w:rPr>
              <w:t xml:space="preserve"> EU-AU Summit in 2022</w:t>
            </w:r>
            <w:r w:rsidR="00864667">
              <w:rPr>
                <w:rStyle w:val="FootnoteReference"/>
                <w:rFonts w:ascii="Times New Roman" w:hAnsi="Times New Roman"/>
                <w:sz w:val="24"/>
                <w:szCs w:val="24"/>
              </w:rPr>
              <w:footnoteReference w:id="1"/>
            </w:r>
            <w:r w:rsidRPr="005961EF">
              <w:rPr>
                <w:rFonts w:ascii="Times New Roman" w:hAnsi="Times New Roman"/>
                <w:sz w:val="24"/>
                <w:szCs w:val="24"/>
              </w:rPr>
              <w:t xml:space="preserve">, notably </w:t>
            </w:r>
            <w:proofErr w:type="spellStart"/>
            <w:r w:rsidR="00C46DA1">
              <w:rPr>
                <w:rFonts w:ascii="Times New Roman" w:hAnsi="Times New Roman"/>
                <w:sz w:val="24"/>
                <w:szCs w:val="24"/>
              </w:rPr>
              <w:t>ʻ</w:t>
            </w:r>
            <w:r w:rsidRPr="005961EF">
              <w:rPr>
                <w:rFonts w:ascii="Times New Roman" w:hAnsi="Times New Roman"/>
                <w:sz w:val="24"/>
                <w:szCs w:val="24"/>
              </w:rPr>
              <w:t>the</w:t>
            </w:r>
            <w:proofErr w:type="spellEnd"/>
            <w:r w:rsidRPr="005961EF">
              <w:rPr>
                <w:rFonts w:ascii="Times New Roman" w:hAnsi="Times New Roman"/>
                <w:sz w:val="24"/>
                <w:szCs w:val="24"/>
              </w:rPr>
              <w:t xml:space="preserve"> protection of human rights for all, gender equality and women's empowerment in all spheres of life, respect for democratic principles, good governance and the rule of law</w:t>
            </w:r>
            <w:r w:rsidR="00C46DA1">
              <w:rPr>
                <w:rFonts w:ascii="Times New Roman" w:hAnsi="Times New Roman"/>
                <w:sz w:val="24"/>
                <w:szCs w:val="24"/>
              </w:rPr>
              <w:t>’</w:t>
            </w:r>
            <w:r w:rsidRPr="005961EF">
              <w:rPr>
                <w:rFonts w:ascii="Times New Roman" w:hAnsi="Times New Roman"/>
                <w:sz w:val="24"/>
                <w:szCs w:val="24"/>
              </w:rPr>
              <w:t>.</w:t>
            </w:r>
          </w:p>
          <w:p w14:paraId="76C7FCE6" w14:textId="36C89C86" w:rsid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bCs/>
                <w:i/>
                <w:iCs/>
                <w:sz w:val="24"/>
                <w:szCs w:val="24"/>
              </w:rPr>
              <w:t xml:space="preserve">On point </w:t>
            </w:r>
            <w:r w:rsidRPr="005961EF">
              <w:rPr>
                <w:rFonts w:ascii="Times New Roman" w:hAnsi="Times New Roman"/>
                <w:sz w:val="24"/>
                <w:szCs w:val="24"/>
              </w:rPr>
              <w:t>1.9.:</w:t>
            </w:r>
          </w:p>
          <w:p w14:paraId="30247DF9" w14:textId="52FE1EC9" w:rsidR="00B122C8" w:rsidRPr="005961EF" w:rsidRDefault="00864667" w:rsidP="005961EF">
            <w:pPr>
              <w:widowControl w:val="0"/>
              <w:spacing w:before="120" w:after="120"/>
              <w:ind w:left="148" w:right="148"/>
              <w:jc w:val="both"/>
              <w:rPr>
                <w:rFonts w:ascii="Times New Roman" w:hAnsi="Times New Roman"/>
                <w:sz w:val="24"/>
                <w:szCs w:val="24"/>
              </w:rPr>
            </w:pPr>
            <w:r>
              <w:rPr>
                <w:rFonts w:ascii="Times New Roman" w:hAnsi="Times New Roman"/>
                <w:sz w:val="24"/>
                <w:szCs w:val="24"/>
              </w:rPr>
              <w:t>The Commission r</w:t>
            </w:r>
            <w:r w:rsidR="00B122C8" w:rsidRPr="005961EF">
              <w:rPr>
                <w:rFonts w:ascii="Times New Roman" w:hAnsi="Times New Roman"/>
                <w:sz w:val="24"/>
                <w:szCs w:val="24"/>
              </w:rPr>
              <w:t>ecall</w:t>
            </w:r>
            <w:r>
              <w:rPr>
                <w:rFonts w:ascii="Times New Roman" w:hAnsi="Times New Roman"/>
                <w:sz w:val="24"/>
                <w:szCs w:val="24"/>
              </w:rPr>
              <w:t>s</w:t>
            </w:r>
            <w:r w:rsidR="00B122C8" w:rsidRPr="005961EF">
              <w:rPr>
                <w:rFonts w:ascii="Times New Roman" w:hAnsi="Times New Roman"/>
                <w:sz w:val="24"/>
                <w:szCs w:val="24"/>
              </w:rPr>
              <w:t xml:space="preserve"> the Joint Vision for 2030, notably </w:t>
            </w:r>
            <w:proofErr w:type="spellStart"/>
            <w:r w:rsidR="00C46DA1">
              <w:rPr>
                <w:rFonts w:ascii="Times New Roman" w:hAnsi="Times New Roman"/>
                <w:sz w:val="24"/>
                <w:szCs w:val="24"/>
              </w:rPr>
              <w:t>ʻ</w:t>
            </w:r>
            <w:r w:rsidR="00B122C8" w:rsidRPr="005961EF">
              <w:rPr>
                <w:rFonts w:ascii="Times New Roman" w:hAnsi="Times New Roman"/>
                <w:sz w:val="24"/>
                <w:szCs w:val="24"/>
              </w:rPr>
              <w:t>This</w:t>
            </w:r>
            <w:proofErr w:type="spellEnd"/>
            <w:r w:rsidR="00B122C8" w:rsidRPr="005961EF">
              <w:rPr>
                <w:rFonts w:ascii="Times New Roman" w:hAnsi="Times New Roman"/>
                <w:sz w:val="24"/>
                <w:szCs w:val="24"/>
              </w:rPr>
              <w:t xml:space="preserve"> renewed Partnership is founded on geography, acknowledgment of history, human ties, respect for sovereignty, mutual respect and accountability, shared values, equality between partners and reciprocal commitments</w:t>
            </w:r>
            <w:r w:rsidR="00C46DA1">
              <w:rPr>
                <w:rFonts w:ascii="Times New Roman" w:hAnsi="Times New Roman"/>
                <w:sz w:val="24"/>
                <w:szCs w:val="24"/>
              </w:rPr>
              <w:t>’</w:t>
            </w:r>
            <w:r w:rsidR="00B122C8" w:rsidRPr="005961EF">
              <w:rPr>
                <w:rFonts w:ascii="Times New Roman" w:hAnsi="Times New Roman"/>
                <w:sz w:val="24"/>
                <w:szCs w:val="24"/>
              </w:rPr>
              <w:t>.</w:t>
            </w:r>
          </w:p>
          <w:p w14:paraId="3FAD4C38" w14:textId="31AE3A58" w:rsidR="00B122C8" w:rsidRPr="005961EF" w:rsidRDefault="00B122C8" w:rsidP="005961EF">
            <w:pPr>
              <w:pStyle w:val="NormalWeb"/>
              <w:widowControl w:val="0"/>
              <w:spacing w:before="120" w:beforeAutospacing="0" w:after="120" w:afterAutospacing="0" w:line="276" w:lineRule="auto"/>
              <w:ind w:left="148" w:right="148"/>
              <w:jc w:val="both"/>
            </w:pPr>
            <w:r w:rsidRPr="005961EF">
              <w:rPr>
                <w:bCs/>
                <w:i/>
                <w:iCs/>
              </w:rPr>
              <w:t xml:space="preserve">On points </w:t>
            </w:r>
            <w:r w:rsidRPr="005961EF">
              <w:t>1.11. and 3.2.5</w:t>
            </w:r>
            <w:r w:rsidR="005961EF">
              <w:t>:</w:t>
            </w:r>
          </w:p>
          <w:p w14:paraId="7651DB9A" w14:textId="2286D786" w:rsidR="00B122C8" w:rsidRPr="005961EF" w:rsidRDefault="00B122C8" w:rsidP="005961EF">
            <w:pPr>
              <w:pStyle w:val="NormalWeb"/>
              <w:widowControl w:val="0"/>
              <w:spacing w:before="120" w:beforeAutospacing="0" w:after="120" w:afterAutospacing="0" w:line="276" w:lineRule="auto"/>
              <w:ind w:left="148" w:right="148"/>
              <w:jc w:val="both"/>
            </w:pPr>
            <w:r w:rsidRPr="005961EF">
              <w:t xml:space="preserve">The EU and </w:t>
            </w:r>
            <w:r w:rsidR="00671FD1">
              <w:t xml:space="preserve">the </w:t>
            </w:r>
            <w:r w:rsidR="00864667">
              <w:t>African Union (</w:t>
            </w:r>
            <w:r w:rsidRPr="005961EF">
              <w:t>AU</w:t>
            </w:r>
            <w:r w:rsidR="00864667">
              <w:t>)</w:t>
            </w:r>
            <w:r w:rsidRPr="005961EF">
              <w:t xml:space="preserve"> collaborate in multiple ways to enhance efforts in combating corruption through legal, political, and financial support. The EU also works with individual African countries to implement anti-corruption strategies, strengthen institutions, and improve transparency and accountability in public administration.</w:t>
            </w:r>
          </w:p>
          <w:p w14:paraId="49D2C0EC" w14:textId="3A23C086" w:rsidR="00B122C8" w:rsidRPr="009225A5" w:rsidRDefault="00B122C8" w:rsidP="005961EF">
            <w:pPr>
              <w:widowControl w:val="0"/>
              <w:spacing w:before="120" w:after="120"/>
              <w:ind w:left="148" w:right="148"/>
              <w:jc w:val="both"/>
              <w:rPr>
                <w:rFonts w:ascii="Times New Roman" w:hAnsi="Times New Roman"/>
                <w:sz w:val="24"/>
                <w:szCs w:val="24"/>
              </w:rPr>
            </w:pPr>
            <w:r w:rsidRPr="009225A5">
              <w:rPr>
                <w:rFonts w:ascii="Times New Roman" w:hAnsi="Times New Roman"/>
                <w:sz w:val="24"/>
                <w:szCs w:val="24"/>
              </w:rPr>
              <w:t>Agreements and cooperation frameworks between</w:t>
            </w:r>
            <w:r w:rsidR="009225A5" w:rsidRPr="009225A5">
              <w:rPr>
                <w:rFonts w:ascii="Times New Roman" w:hAnsi="Times New Roman"/>
                <w:sz w:val="24"/>
                <w:szCs w:val="24"/>
              </w:rPr>
              <w:t xml:space="preserve"> the</w:t>
            </w:r>
            <w:r w:rsidRPr="009225A5">
              <w:rPr>
                <w:rFonts w:ascii="Times New Roman" w:hAnsi="Times New Roman"/>
                <w:sz w:val="24"/>
                <w:szCs w:val="24"/>
              </w:rPr>
              <w:t xml:space="preserve"> </w:t>
            </w:r>
            <w:r w:rsidRPr="001436E2">
              <w:rPr>
                <w:rStyle w:val="Strong"/>
                <w:rFonts w:ascii="Times New Roman" w:hAnsi="Times New Roman"/>
                <w:b w:val="0"/>
                <w:bCs w:val="0"/>
                <w:sz w:val="24"/>
                <w:szCs w:val="24"/>
              </w:rPr>
              <w:t>EU</w:t>
            </w:r>
            <w:r w:rsidR="009225A5" w:rsidRPr="001436E2">
              <w:rPr>
                <w:rStyle w:val="Strong"/>
                <w:rFonts w:ascii="Times New Roman" w:hAnsi="Times New Roman"/>
                <w:b w:val="0"/>
                <w:bCs w:val="0"/>
                <w:sz w:val="24"/>
                <w:szCs w:val="24"/>
              </w:rPr>
              <w:t xml:space="preserve"> and the</w:t>
            </w:r>
            <w:r w:rsidRPr="001436E2">
              <w:rPr>
                <w:rStyle w:val="Strong"/>
                <w:rFonts w:ascii="Times New Roman" w:hAnsi="Times New Roman"/>
                <w:b w:val="0"/>
                <w:bCs w:val="0"/>
                <w:sz w:val="24"/>
                <w:szCs w:val="24"/>
              </w:rPr>
              <w:t xml:space="preserve"> AU</w:t>
            </w:r>
            <w:r w:rsidRPr="009225A5">
              <w:rPr>
                <w:rFonts w:ascii="Times New Roman" w:hAnsi="Times New Roman"/>
                <w:sz w:val="24"/>
                <w:szCs w:val="24"/>
              </w:rPr>
              <w:t xml:space="preserve"> </w:t>
            </w:r>
            <w:r w:rsidR="009225A5" w:rsidRPr="009225A5">
              <w:rPr>
                <w:rFonts w:ascii="Times New Roman" w:hAnsi="Times New Roman"/>
                <w:sz w:val="24"/>
                <w:szCs w:val="24"/>
              </w:rPr>
              <w:t xml:space="preserve">are </w:t>
            </w:r>
            <w:r w:rsidRPr="009225A5">
              <w:rPr>
                <w:rFonts w:ascii="Times New Roman" w:hAnsi="Times New Roman"/>
                <w:sz w:val="24"/>
                <w:szCs w:val="24"/>
              </w:rPr>
              <w:t>aimed at combating corruption focus on fostering cooperation, sharing best practices, and supporting anti-corruption efforts across the continent. Some key initiatives include:</w:t>
            </w:r>
          </w:p>
          <w:p w14:paraId="6EF89965" w14:textId="01487AFB" w:rsidR="00B122C8" w:rsidRPr="009225A5" w:rsidRDefault="00B122C8" w:rsidP="0057449C">
            <w:pPr>
              <w:pStyle w:val="NormalWeb"/>
              <w:widowControl w:val="0"/>
              <w:numPr>
                <w:ilvl w:val="0"/>
                <w:numId w:val="1"/>
              </w:numPr>
              <w:tabs>
                <w:tab w:val="clear" w:pos="720"/>
              </w:tabs>
              <w:spacing w:before="120" w:beforeAutospacing="0" w:after="120" w:afterAutospacing="0" w:line="276" w:lineRule="auto"/>
              <w:ind w:left="148" w:right="147" w:firstLine="0"/>
              <w:jc w:val="both"/>
              <w:rPr>
                <w:rStyle w:val="Strong"/>
                <w:b w:val="0"/>
                <w:bCs w:val="0"/>
              </w:rPr>
            </w:pPr>
            <w:r w:rsidRPr="001436E2">
              <w:rPr>
                <w:rStyle w:val="Strong"/>
                <w:b w:val="0"/>
                <w:bCs w:val="0"/>
              </w:rPr>
              <w:t>The Joint Communication to the European Parliament and the Council towards a</w:t>
            </w:r>
            <w:r w:rsidR="00864667" w:rsidRPr="001436E2">
              <w:rPr>
                <w:rStyle w:val="Strong"/>
                <w:b w:val="0"/>
                <w:bCs w:val="0"/>
              </w:rPr>
              <w:t> </w:t>
            </w:r>
            <w:r w:rsidRPr="001436E2">
              <w:rPr>
                <w:rStyle w:val="Strong"/>
                <w:b w:val="0"/>
                <w:bCs w:val="0"/>
              </w:rPr>
              <w:t>comprehensive Strategy with Africa of 2020</w:t>
            </w:r>
            <w:r w:rsidR="00864667" w:rsidRPr="001436E2">
              <w:rPr>
                <w:rStyle w:val="FootnoteReference"/>
              </w:rPr>
              <w:footnoteReference w:id="2"/>
            </w:r>
            <w:r w:rsidRPr="001436E2">
              <w:rPr>
                <w:rStyle w:val="Strong"/>
                <w:b w:val="0"/>
                <w:bCs w:val="0"/>
              </w:rPr>
              <w:t xml:space="preserve"> explicitly mentions the fight against corruption, fraud, illicit financial flows and money laundering as a precondition to improve the business environment and investment climate, including a level-playing field for business. Among others, the EU commits </w:t>
            </w:r>
            <w:r w:rsidRPr="001436E2">
              <w:rPr>
                <w:rStyle w:val="Strong"/>
                <w:b w:val="0"/>
                <w:bCs w:val="0"/>
              </w:rPr>
              <w:lastRenderedPageBreak/>
              <w:t>to stepping up cooperation on democratic governance and rule of law on both continents, including accountability and transparency of public institutions</w:t>
            </w:r>
            <w:r w:rsidR="009225A5" w:rsidRPr="001436E2">
              <w:rPr>
                <w:rStyle w:val="Strong"/>
                <w:b w:val="0"/>
                <w:bCs w:val="0"/>
              </w:rPr>
              <w:t xml:space="preserve">, </w:t>
            </w:r>
            <w:r w:rsidRPr="001436E2">
              <w:rPr>
                <w:rStyle w:val="Strong"/>
                <w:b w:val="0"/>
                <w:bCs w:val="0"/>
              </w:rPr>
              <w:t xml:space="preserve">independent and impartial justice, corruption and transnational crimes as well as trafficking in human beings. The EU furthermore commits </w:t>
            </w:r>
            <w:r w:rsidRPr="009225A5">
              <w:rPr>
                <w:rFonts w:eastAsia="Calibri"/>
                <w:noProof/>
              </w:rPr>
              <w:t>p</w:t>
            </w:r>
            <w:r w:rsidRPr="009225A5">
              <w:rPr>
                <w:rFonts w:eastAsia="Calibri"/>
                <w:noProof/>
                <w:lang w:val="en-IE"/>
              </w:rPr>
              <w:t>artnering with Africa to boost the continent’s digital transformation,</w:t>
            </w:r>
            <w:r w:rsidRPr="009225A5">
              <w:rPr>
                <w:rStyle w:val="FootnoteReference"/>
                <w:rFonts w:eastAsia="Calibri"/>
                <w:noProof/>
                <w:lang w:val="en-IE"/>
              </w:rPr>
              <w:footnoteReference w:id="3"/>
            </w:r>
            <w:r w:rsidRPr="001436E2">
              <w:rPr>
                <w:rStyle w:val="Strong"/>
                <w:b w:val="0"/>
                <w:bCs w:val="0"/>
              </w:rPr>
              <w:t xml:space="preserve"> with explicit reference to </w:t>
            </w:r>
            <w:r w:rsidRPr="009225A5">
              <w:rPr>
                <w:rFonts w:eastAsia="Calibri"/>
                <w:noProof/>
                <w:lang w:val="en-IE" w:bidi="en-US"/>
              </w:rPr>
              <w:t>the fight against corruption.</w:t>
            </w:r>
          </w:p>
          <w:p w14:paraId="5221A95B" w14:textId="2E969B15" w:rsidR="00B122C8" w:rsidRPr="001436E2" w:rsidRDefault="009225A5" w:rsidP="0057449C">
            <w:pPr>
              <w:pStyle w:val="NormalWeb"/>
              <w:widowControl w:val="0"/>
              <w:numPr>
                <w:ilvl w:val="0"/>
                <w:numId w:val="1"/>
              </w:numPr>
              <w:tabs>
                <w:tab w:val="clear" w:pos="720"/>
              </w:tabs>
              <w:spacing w:before="120" w:beforeAutospacing="0" w:after="120" w:afterAutospacing="0" w:line="276" w:lineRule="auto"/>
              <w:ind w:left="148" w:right="147" w:firstLine="0"/>
              <w:jc w:val="both"/>
            </w:pPr>
            <w:r>
              <w:rPr>
                <w:rStyle w:val="Strong"/>
                <w:b w:val="0"/>
                <w:bCs w:val="0"/>
              </w:rPr>
              <w:t>T</w:t>
            </w:r>
            <w:r w:rsidR="00B122C8" w:rsidRPr="001436E2">
              <w:rPr>
                <w:rStyle w:val="Strong"/>
                <w:b w:val="0"/>
                <w:bCs w:val="0"/>
              </w:rPr>
              <w:t>he Joint Vision 2030</w:t>
            </w:r>
            <w:r>
              <w:rPr>
                <w:rStyle w:val="Strong"/>
                <w:b w:val="0"/>
                <w:bCs w:val="0"/>
              </w:rPr>
              <w:t>,</w:t>
            </w:r>
            <w:r w:rsidR="00B122C8" w:rsidRPr="001436E2">
              <w:rPr>
                <w:rStyle w:val="Strong"/>
                <w:b w:val="0"/>
                <w:bCs w:val="0"/>
              </w:rPr>
              <w:t xml:space="preserve"> adopted at the 6th EU-AU Summit in 2022, </w:t>
            </w:r>
            <w:r w:rsidR="00B122C8" w:rsidRPr="009225A5">
              <w:t xml:space="preserve">emphasizes the importance of the EU and </w:t>
            </w:r>
            <w:r>
              <w:t xml:space="preserve">the </w:t>
            </w:r>
            <w:r w:rsidR="00B122C8" w:rsidRPr="009225A5">
              <w:t>AU</w:t>
            </w:r>
            <w:r>
              <w:t xml:space="preserve"> to</w:t>
            </w:r>
            <w:r w:rsidR="00B122C8" w:rsidRPr="009225A5">
              <w:t xml:space="preserve"> commit to combatting Illicit Financial Flows (IFF), including money laundering. While </w:t>
            </w:r>
            <w:r>
              <w:t>the Joint Vision</w:t>
            </w:r>
            <w:r w:rsidRPr="009225A5">
              <w:t xml:space="preserve"> </w:t>
            </w:r>
            <w:r w:rsidR="00B122C8" w:rsidRPr="009225A5">
              <w:t>doesn't explicitly mention corruption, it underscores the need for good governance, which inherently includes addressing corruption.</w:t>
            </w:r>
          </w:p>
          <w:p w14:paraId="706AF706" w14:textId="22F530D7" w:rsidR="00B122C8" w:rsidRPr="009225A5" w:rsidRDefault="00B122C8" w:rsidP="0057449C">
            <w:pPr>
              <w:pStyle w:val="NormalWeb"/>
              <w:widowControl w:val="0"/>
              <w:numPr>
                <w:ilvl w:val="0"/>
                <w:numId w:val="1"/>
              </w:numPr>
              <w:tabs>
                <w:tab w:val="clear" w:pos="720"/>
              </w:tabs>
              <w:spacing w:before="120" w:beforeAutospacing="0" w:after="120" w:afterAutospacing="0" w:line="276" w:lineRule="auto"/>
              <w:ind w:left="148" w:right="147" w:firstLine="0"/>
              <w:jc w:val="both"/>
            </w:pPr>
            <w:r w:rsidRPr="001436E2">
              <w:rPr>
                <w:rStyle w:val="Strong"/>
                <w:b w:val="0"/>
                <w:bCs w:val="0"/>
              </w:rPr>
              <w:t>The Samoa Agreement</w:t>
            </w:r>
            <w:r w:rsidR="00864667" w:rsidRPr="001436E2">
              <w:rPr>
                <w:rStyle w:val="FootnoteReference"/>
              </w:rPr>
              <w:footnoteReference w:id="4"/>
            </w:r>
            <w:r w:rsidRPr="001436E2">
              <w:rPr>
                <w:rStyle w:val="Strong"/>
                <w:b w:val="0"/>
                <w:bCs w:val="0"/>
              </w:rPr>
              <w:t xml:space="preserve"> (provisionally applied since 1 January 2024)</w:t>
            </w:r>
            <w:r w:rsidR="009225A5">
              <w:t xml:space="preserve"> </w:t>
            </w:r>
            <w:r w:rsidRPr="009225A5">
              <w:t>between the EU and the Organization of African, Caribbean, and Pacific States (OACPS) outlines a shared commitment to good governance (Art</w:t>
            </w:r>
            <w:r w:rsidR="00864667" w:rsidRPr="009225A5">
              <w:t>icle</w:t>
            </w:r>
            <w:r w:rsidRPr="009225A5">
              <w:t xml:space="preserve"> 12), democracy, and human rights (Art</w:t>
            </w:r>
            <w:r w:rsidR="00864667" w:rsidRPr="009225A5">
              <w:t>icle</w:t>
            </w:r>
            <w:r w:rsidRPr="009225A5">
              <w:t xml:space="preserve"> 9). As part of this, both the EU and OACPS countries, including 47 states members of the African Protocol, pledged to fight corruption and promote transparent and accountable governance.</w:t>
            </w:r>
          </w:p>
          <w:p w14:paraId="5293A1C1" w14:textId="39D01BE0" w:rsidR="00B122C8" w:rsidRPr="009225A5" w:rsidRDefault="00B122C8" w:rsidP="0057449C">
            <w:pPr>
              <w:pStyle w:val="NormalWeb"/>
              <w:widowControl w:val="0"/>
              <w:numPr>
                <w:ilvl w:val="0"/>
                <w:numId w:val="1"/>
              </w:numPr>
              <w:tabs>
                <w:tab w:val="clear" w:pos="720"/>
              </w:tabs>
              <w:spacing w:before="120" w:beforeAutospacing="0" w:after="120" w:afterAutospacing="0" w:line="276" w:lineRule="auto"/>
              <w:ind w:left="148" w:right="147" w:firstLine="0"/>
              <w:jc w:val="both"/>
            </w:pPr>
            <w:r w:rsidRPr="001436E2">
              <w:rPr>
                <w:rStyle w:val="Strong"/>
                <w:b w:val="0"/>
                <w:bCs w:val="0"/>
              </w:rPr>
              <w:t>The African Union Convention on Preventing and Combating Corruption (2003)</w:t>
            </w:r>
            <w:r w:rsidR="00AB3814" w:rsidRPr="001436E2">
              <w:rPr>
                <w:rStyle w:val="FootnoteReference"/>
              </w:rPr>
              <w:footnoteReference w:id="5"/>
            </w:r>
            <w:r w:rsidR="00CD2D78">
              <w:t xml:space="preserve"> is supported by the EU for </w:t>
            </w:r>
            <w:r w:rsidRPr="009225A5">
              <w:t>its implementation through various initiatives and funding. The Convention encourages African states to adopt measures for preventing and combating corruption</w:t>
            </w:r>
            <w:r w:rsidR="009225A5">
              <w:t>. It</w:t>
            </w:r>
            <w:r w:rsidR="009225A5" w:rsidRPr="009225A5">
              <w:t xml:space="preserve"> </w:t>
            </w:r>
            <w:r w:rsidRPr="009225A5">
              <w:t>has been an important framework for African countries in addressing corruption at</w:t>
            </w:r>
            <w:r w:rsidR="009225A5">
              <w:t xml:space="preserve"> the</w:t>
            </w:r>
            <w:r w:rsidRPr="009225A5">
              <w:t xml:space="preserve"> national and regional level.</w:t>
            </w:r>
          </w:p>
          <w:p w14:paraId="04B15DA1" w14:textId="7FCA2023" w:rsidR="00B122C8" w:rsidRDefault="00B122C8" w:rsidP="0057449C">
            <w:pPr>
              <w:pStyle w:val="NormalWeb"/>
              <w:widowControl w:val="0"/>
              <w:numPr>
                <w:ilvl w:val="0"/>
                <w:numId w:val="1"/>
              </w:numPr>
              <w:tabs>
                <w:tab w:val="clear" w:pos="720"/>
              </w:tabs>
              <w:spacing w:before="120" w:beforeAutospacing="0" w:after="120" w:afterAutospacing="0" w:line="276" w:lineRule="auto"/>
              <w:ind w:left="148" w:right="147" w:firstLine="0"/>
              <w:jc w:val="both"/>
            </w:pPr>
            <w:r w:rsidRPr="001436E2">
              <w:rPr>
                <w:rStyle w:val="Strong"/>
                <w:b w:val="0"/>
                <w:bCs w:val="0"/>
              </w:rPr>
              <w:t>EU Support for African Anti-Corruption Institutions</w:t>
            </w:r>
            <w:r w:rsidR="00CD2D78">
              <w:t xml:space="preserve"> has received </w:t>
            </w:r>
            <w:r w:rsidRPr="009225A5">
              <w:t>financial and technical support</w:t>
            </w:r>
            <w:r w:rsidR="00CD2D78">
              <w:t xml:space="preserve"> from the EU</w:t>
            </w:r>
            <w:r w:rsidRPr="009225A5">
              <w:t xml:space="preserve"> for various African institutions and mechanisms aimed at fighting corruption, such as the </w:t>
            </w:r>
            <w:r w:rsidRPr="001436E2">
              <w:rPr>
                <w:rStyle w:val="Strong"/>
                <w:b w:val="0"/>
                <w:bCs w:val="0"/>
              </w:rPr>
              <w:t>African Union Advisory Board on Corruption (AUABC)</w:t>
            </w:r>
            <w:r w:rsidRPr="009225A5">
              <w:t xml:space="preserve"> and national anti-corruption bodies.</w:t>
            </w:r>
          </w:p>
          <w:p w14:paraId="7DCA59BD" w14:textId="3E258AA0" w:rsidR="00FE7BF4" w:rsidRDefault="00523243" w:rsidP="00FE7BF4">
            <w:pPr>
              <w:pStyle w:val="NormalWeb"/>
              <w:widowControl w:val="0"/>
              <w:spacing w:before="120" w:beforeAutospacing="0" w:after="120" w:afterAutospacing="0" w:line="276" w:lineRule="auto"/>
              <w:ind w:left="148" w:right="147"/>
              <w:jc w:val="both"/>
            </w:pPr>
            <w:r w:rsidRPr="00523243">
              <w:rPr>
                <w:i/>
              </w:rPr>
              <w:t>On point 1.12.</w:t>
            </w:r>
            <w:r>
              <w:t>:</w:t>
            </w:r>
          </w:p>
          <w:p w14:paraId="7F147F6D" w14:textId="602EFFE3" w:rsidR="00523243" w:rsidRPr="009225A5" w:rsidRDefault="00523243" w:rsidP="00FE7BF4">
            <w:pPr>
              <w:pStyle w:val="NormalWeb"/>
              <w:widowControl w:val="0"/>
              <w:spacing w:before="120" w:beforeAutospacing="0" w:after="120" w:afterAutospacing="0" w:line="276" w:lineRule="auto"/>
              <w:ind w:left="148" w:right="147"/>
              <w:jc w:val="both"/>
            </w:pPr>
            <w:r w:rsidRPr="00523243">
              <w:t xml:space="preserve">In their Joint Vision for 2030, the EU and AU have announced an Africa-Europe Investment Package of at least EUR 150 billion, composed of an Investment, a Health and an Education Package. The Investment Package will help build more diversified, inclusive, sustainable and resilient economies. Our two continents aim to demonstrate and share with the rest of the world the success of an agenda of prosperity respectful of our people and our planet. This Global Gateway Investment Package aims to boost public and private investment building on existing initiatives and partnerships. The Package will boost large-scale sustainable investments, supported by Team Europe Initiatives, with due consideration to the priorities and needs of the African countries, including: i) investment in energy, transport and digital infrastructure aligned with the PIDA PAP II; ii) energy transition that is fair, just and equitable, taking into account specific and diverse orientations of the African countries with regards to access to electricity; iii) green transition including supporting the implementation of the Nationally Determined Contributions (NDCs) and National Adaptation Plans (NAPs) of African Countries under the Paris Agreement to enhance mitigation and adaptation; iv) digital transformation </w:t>
            </w:r>
            <w:r w:rsidRPr="00523243">
              <w:lastRenderedPageBreak/>
              <w:t>that supports trusted connectivity through investments in infrastructures and an affordable and enhanced access to the digital and data economy while boosting digital entrepreneurship and skills; v) sustainable growth and decent job creation, including by investing in the establishment of youth-owned businesses in Africa; vi) transport facilitation and efficiency of connected transport networks; vii) human development, notably through scaling up mobility and employability of students, young graduates and skilled workers. It will support industrialisation and the development of sustainable and resilient value and supply chains.</w:t>
            </w:r>
          </w:p>
          <w:p w14:paraId="07EB5FDF" w14:textId="77777777" w:rsidR="005961EF" w:rsidRDefault="00B122C8" w:rsidP="005961EF">
            <w:pPr>
              <w:widowControl w:val="0"/>
              <w:spacing w:before="120" w:after="120"/>
              <w:ind w:left="148" w:right="148"/>
              <w:jc w:val="both"/>
              <w:rPr>
                <w:rFonts w:ascii="Times New Roman" w:hAnsi="Times New Roman"/>
                <w:b/>
                <w:sz w:val="24"/>
                <w:szCs w:val="24"/>
              </w:rPr>
            </w:pPr>
            <w:r w:rsidRPr="001436E2">
              <w:rPr>
                <w:rFonts w:ascii="Times New Roman" w:eastAsia="Times New Roman" w:hAnsi="Times New Roman"/>
                <w:bCs/>
                <w:i/>
                <w:iCs/>
                <w:sz w:val="24"/>
                <w:szCs w:val="24"/>
                <w:lang w:eastAsia="en-GB"/>
              </w:rPr>
              <w:t>On point 1.14.:</w:t>
            </w:r>
          </w:p>
          <w:p w14:paraId="113FC27B" w14:textId="4C5C03D5" w:rsidR="00B122C8" w:rsidRP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sz w:val="24"/>
                <w:szCs w:val="24"/>
              </w:rPr>
              <w:t>The role</w:t>
            </w:r>
            <w:r w:rsidR="00CD2D78">
              <w:rPr>
                <w:rFonts w:ascii="Times New Roman" w:hAnsi="Times New Roman"/>
                <w:sz w:val="24"/>
                <w:szCs w:val="24"/>
              </w:rPr>
              <w:t xml:space="preserve"> of the EESC</w:t>
            </w:r>
            <w:r w:rsidRPr="005961EF">
              <w:rPr>
                <w:rFonts w:ascii="Times New Roman" w:hAnsi="Times New Roman"/>
                <w:sz w:val="24"/>
                <w:szCs w:val="24"/>
              </w:rPr>
              <w:t xml:space="preserve"> in the EU-</w:t>
            </w:r>
            <w:r w:rsidR="001436E2" w:rsidRPr="001436E2">
              <w:rPr>
                <w:rFonts w:ascii="Times New Roman" w:hAnsi="Times New Roman"/>
                <w:sz w:val="24"/>
                <w:szCs w:val="24"/>
              </w:rPr>
              <w:t xml:space="preserve"> African, Caribbean and Pacific </w:t>
            </w:r>
            <w:r w:rsidR="001436E2">
              <w:rPr>
                <w:rFonts w:ascii="Times New Roman" w:hAnsi="Times New Roman"/>
                <w:sz w:val="24"/>
                <w:szCs w:val="24"/>
              </w:rPr>
              <w:t>(EU-</w:t>
            </w:r>
            <w:r w:rsidRPr="005961EF">
              <w:rPr>
                <w:rFonts w:ascii="Times New Roman" w:hAnsi="Times New Roman"/>
                <w:sz w:val="24"/>
                <w:szCs w:val="24"/>
              </w:rPr>
              <w:t>ACP</w:t>
            </w:r>
            <w:r w:rsidR="001436E2">
              <w:rPr>
                <w:rFonts w:ascii="Times New Roman" w:hAnsi="Times New Roman"/>
                <w:sz w:val="24"/>
                <w:szCs w:val="24"/>
              </w:rPr>
              <w:t>)</w:t>
            </w:r>
            <w:r w:rsidRPr="005961EF">
              <w:rPr>
                <w:rFonts w:ascii="Times New Roman" w:hAnsi="Times New Roman"/>
                <w:sz w:val="24"/>
                <w:szCs w:val="24"/>
              </w:rPr>
              <w:t xml:space="preserve"> Follow-up Committee does not prejudge any role it may have in the future to set up </w:t>
            </w:r>
            <w:hyperlink r:id="rId8" w:tooltip="CSO Civil Society Organisation" w:history="1">
              <w:r w:rsidR="00AB3814" w:rsidRPr="00E04B37">
                <w:rPr>
                  <w:rStyle w:val="Hyperlink"/>
                  <w:rFonts w:ascii="Times New Roman" w:hAnsi="Times New Roman"/>
                  <w:sz w:val="24"/>
                  <w:szCs w:val="24"/>
                </w:rPr>
                <w:t>Civil Society Organisation</w:t>
              </w:r>
            </w:hyperlink>
            <w:r w:rsidR="00E04B37">
              <w:rPr>
                <w:rFonts w:ascii="Times New Roman" w:hAnsi="Times New Roman"/>
                <w:sz w:val="24"/>
                <w:szCs w:val="24"/>
              </w:rPr>
              <w:t>s</w:t>
            </w:r>
            <w:r w:rsidR="00AB3814" w:rsidRPr="001436E2">
              <w:rPr>
                <w:rStyle w:val="Hyperlink"/>
              </w:rPr>
              <w:t xml:space="preserve"> </w:t>
            </w:r>
            <w:r w:rsidR="00AB3814">
              <w:rPr>
                <w:rFonts w:ascii="Times New Roman" w:hAnsi="Times New Roman"/>
                <w:sz w:val="24"/>
                <w:szCs w:val="24"/>
              </w:rPr>
              <w:t>(</w:t>
            </w:r>
            <w:r w:rsidRPr="005961EF">
              <w:rPr>
                <w:rFonts w:ascii="Times New Roman" w:hAnsi="Times New Roman"/>
                <w:sz w:val="24"/>
                <w:szCs w:val="24"/>
              </w:rPr>
              <w:t>CSO</w:t>
            </w:r>
            <w:r w:rsidR="00AB3814">
              <w:rPr>
                <w:rFonts w:ascii="Times New Roman" w:hAnsi="Times New Roman"/>
                <w:sz w:val="24"/>
                <w:szCs w:val="24"/>
              </w:rPr>
              <w:t>)</w:t>
            </w:r>
            <w:r w:rsidR="00D90A07">
              <w:rPr>
                <w:rStyle w:val="FootnoteReference"/>
                <w:rFonts w:ascii="Times New Roman" w:hAnsi="Times New Roman"/>
                <w:sz w:val="24"/>
                <w:szCs w:val="24"/>
              </w:rPr>
              <w:footnoteReference w:id="6"/>
            </w:r>
            <w:r w:rsidRPr="005961EF">
              <w:rPr>
                <w:rFonts w:ascii="Times New Roman" w:hAnsi="Times New Roman"/>
                <w:sz w:val="24"/>
                <w:szCs w:val="24"/>
              </w:rPr>
              <w:t xml:space="preserve"> mechanism under the Samoa agreement. The notion of CSO is broader, going beyond social partners, which needs to be taken into account. The Commission, and even more so the Delegations, have also continuous dialogues with African civil societies. This is reflected in annual reports on civil society consultations in Delegations. In this sense, the dialogues held by EESC are complementary, and </w:t>
            </w:r>
            <w:r w:rsidR="004076EE">
              <w:rPr>
                <w:rFonts w:ascii="Times New Roman" w:hAnsi="Times New Roman"/>
                <w:sz w:val="24"/>
                <w:szCs w:val="24"/>
              </w:rPr>
              <w:t xml:space="preserve">a </w:t>
            </w:r>
            <w:r w:rsidRPr="005961EF">
              <w:rPr>
                <w:rFonts w:ascii="Times New Roman" w:hAnsi="Times New Roman"/>
                <w:sz w:val="24"/>
                <w:szCs w:val="24"/>
              </w:rPr>
              <w:t>welcome addition to other dialogues with African civil society.</w:t>
            </w:r>
          </w:p>
          <w:p w14:paraId="7E3FD09C" w14:textId="77777777" w:rsidR="005961EF" w:rsidRDefault="00B122C8" w:rsidP="005961EF">
            <w:pPr>
              <w:widowControl w:val="0"/>
              <w:spacing w:before="120" w:after="120"/>
              <w:ind w:left="148" w:right="148"/>
              <w:jc w:val="both"/>
              <w:rPr>
                <w:rFonts w:ascii="Times New Roman" w:eastAsia="Times New Roman" w:hAnsi="Times New Roman"/>
                <w:bCs/>
                <w:i/>
                <w:iCs/>
                <w:sz w:val="24"/>
                <w:szCs w:val="24"/>
                <w:lang w:eastAsia="en-GB"/>
              </w:rPr>
            </w:pPr>
            <w:r w:rsidRPr="005961EF">
              <w:rPr>
                <w:rFonts w:ascii="Times New Roman" w:eastAsia="Times New Roman" w:hAnsi="Times New Roman"/>
                <w:bCs/>
                <w:i/>
                <w:iCs/>
                <w:sz w:val="24"/>
                <w:szCs w:val="24"/>
                <w:lang w:eastAsia="en-GB"/>
              </w:rPr>
              <w:t>On point 1.15.:</w:t>
            </w:r>
          </w:p>
          <w:p w14:paraId="2EEDDDD5" w14:textId="66390FDA" w:rsidR="00B122C8" w:rsidRP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sz w:val="24"/>
                <w:szCs w:val="24"/>
              </w:rPr>
              <w:t xml:space="preserve">The Commission has </w:t>
            </w:r>
            <w:r w:rsidR="00D90A07">
              <w:rPr>
                <w:rFonts w:ascii="Times New Roman" w:hAnsi="Times New Roman"/>
                <w:sz w:val="24"/>
                <w:szCs w:val="24"/>
              </w:rPr>
              <w:t xml:space="preserve">put </w:t>
            </w:r>
            <w:r w:rsidRPr="005961EF">
              <w:rPr>
                <w:rFonts w:ascii="Times New Roman" w:hAnsi="Times New Roman"/>
                <w:sz w:val="24"/>
                <w:szCs w:val="24"/>
              </w:rPr>
              <w:t xml:space="preserve">in place </w:t>
            </w:r>
            <w:r w:rsidR="00D90A07" w:rsidRPr="005961EF">
              <w:rPr>
                <w:rFonts w:ascii="Times New Roman" w:hAnsi="Times New Roman"/>
                <w:sz w:val="24"/>
                <w:szCs w:val="24"/>
              </w:rPr>
              <w:t xml:space="preserve">programmes </w:t>
            </w:r>
            <w:r w:rsidRPr="005961EF">
              <w:rPr>
                <w:rFonts w:ascii="Times New Roman" w:hAnsi="Times New Roman"/>
                <w:sz w:val="24"/>
                <w:szCs w:val="24"/>
              </w:rPr>
              <w:t>supporting CSOs and social partners in Africa, particularly the Global Europe Thematic Programme on Civil Society</w:t>
            </w:r>
            <w:r w:rsidR="00D90A07">
              <w:rPr>
                <w:rStyle w:val="FootnoteReference"/>
                <w:rFonts w:ascii="Times New Roman" w:hAnsi="Times New Roman"/>
                <w:sz w:val="24"/>
                <w:szCs w:val="24"/>
              </w:rPr>
              <w:footnoteReference w:id="7"/>
            </w:r>
            <w:r w:rsidRPr="005961EF">
              <w:rPr>
                <w:rFonts w:ascii="Times New Roman" w:hAnsi="Times New Roman"/>
                <w:sz w:val="24"/>
                <w:szCs w:val="24"/>
              </w:rPr>
              <w:t>. The Commission cooperates notably through a Financial Framework Partnership Agreement with the International Trade Union Confederation (ITUC) and the International Organisation of Employers (IOE)</w:t>
            </w:r>
            <w:r w:rsidR="00C46DA1">
              <w:rPr>
                <w:rFonts w:ascii="Times New Roman" w:hAnsi="Times New Roman"/>
                <w:sz w:val="24"/>
                <w:szCs w:val="24"/>
              </w:rPr>
              <w:t>.</w:t>
            </w:r>
          </w:p>
          <w:p w14:paraId="14FA2788" w14:textId="77777777" w:rsidR="005961EF" w:rsidRDefault="00B122C8" w:rsidP="005961EF">
            <w:pPr>
              <w:widowControl w:val="0"/>
              <w:spacing w:before="120" w:after="120"/>
              <w:ind w:left="148" w:right="148"/>
              <w:jc w:val="both"/>
              <w:rPr>
                <w:rFonts w:ascii="Times New Roman" w:eastAsia="Times New Roman" w:hAnsi="Times New Roman"/>
                <w:bCs/>
                <w:i/>
                <w:iCs/>
                <w:sz w:val="24"/>
                <w:szCs w:val="24"/>
                <w:lang w:eastAsia="en-GB"/>
              </w:rPr>
            </w:pPr>
            <w:r w:rsidRPr="005961EF">
              <w:rPr>
                <w:rFonts w:ascii="Times New Roman" w:eastAsia="Times New Roman" w:hAnsi="Times New Roman"/>
                <w:bCs/>
                <w:i/>
                <w:iCs/>
                <w:sz w:val="24"/>
                <w:szCs w:val="24"/>
                <w:lang w:eastAsia="en-GB"/>
              </w:rPr>
              <w:t>On point 1.17.:</w:t>
            </w:r>
          </w:p>
          <w:p w14:paraId="75926806" w14:textId="2C56287A" w:rsidR="00B122C8" w:rsidRP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sz w:val="24"/>
                <w:szCs w:val="24"/>
              </w:rPr>
              <w:t>In the Joint Vision for 2030, the EU and</w:t>
            </w:r>
            <w:r w:rsidR="004076EE">
              <w:rPr>
                <w:rFonts w:ascii="Times New Roman" w:hAnsi="Times New Roman"/>
                <w:sz w:val="24"/>
                <w:szCs w:val="24"/>
              </w:rPr>
              <w:t xml:space="preserve"> the</w:t>
            </w:r>
            <w:r w:rsidRPr="005961EF">
              <w:rPr>
                <w:rFonts w:ascii="Times New Roman" w:hAnsi="Times New Roman"/>
                <w:sz w:val="24"/>
                <w:szCs w:val="24"/>
              </w:rPr>
              <w:t xml:space="preserve"> AU jointly subscribed to the protection of human rights for all, gender equality and women's empowerment in all spheres of life, the fight against inequalities, support for children’s rights, and the inclusion of women, young people and the most disadvantaged.</w:t>
            </w:r>
          </w:p>
          <w:p w14:paraId="19FA99E5" w14:textId="77777777" w:rsidR="005961EF" w:rsidRDefault="00B122C8" w:rsidP="005961EF">
            <w:pPr>
              <w:widowControl w:val="0"/>
              <w:spacing w:before="120" w:after="120"/>
              <w:ind w:left="148" w:right="148"/>
              <w:jc w:val="both"/>
              <w:rPr>
                <w:rFonts w:ascii="Times New Roman" w:eastAsia="Times New Roman" w:hAnsi="Times New Roman"/>
                <w:bCs/>
                <w:i/>
                <w:iCs/>
                <w:sz w:val="24"/>
                <w:szCs w:val="24"/>
                <w:lang w:eastAsia="en-GB"/>
              </w:rPr>
            </w:pPr>
            <w:r w:rsidRPr="005961EF">
              <w:rPr>
                <w:rFonts w:ascii="Times New Roman" w:eastAsia="Times New Roman" w:hAnsi="Times New Roman"/>
                <w:bCs/>
                <w:i/>
                <w:iCs/>
                <w:sz w:val="24"/>
                <w:szCs w:val="24"/>
                <w:lang w:eastAsia="en-GB"/>
              </w:rPr>
              <w:t>On point 3.1.14.:</w:t>
            </w:r>
          </w:p>
          <w:p w14:paraId="0F52AD99" w14:textId="7344B933" w:rsidR="00B122C8" w:rsidRPr="005961EF" w:rsidRDefault="00B122C8" w:rsidP="005961EF">
            <w:pPr>
              <w:widowControl w:val="0"/>
              <w:spacing w:before="120" w:after="120"/>
              <w:ind w:left="148" w:right="148"/>
              <w:jc w:val="both"/>
              <w:rPr>
                <w:rFonts w:ascii="Times New Roman" w:hAnsi="Times New Roman"/>
                <w:sz w:val="24"/>
                <w:szCs w:val="24"/>
              </w:rPr>
            </w:pPr>
            <w:r w:rsidRPr="005961EF">
              <w:rPr>
                <w:rFonts w:ascii="Times New Roman" w:hAnsi="Times New Roman"/>
                <w:sz w:val="24"/>
                <w:szCs w:val="24"/>
              </w:rPr>
              <w:t>Supporting free and fair elections is a key priority of the EU, as reflected by EU Elections Observation Missions and the significance of the EU as a donor of Electoral Assistance</w:t>
            </w:r>
            <w:r w:rsidR="00C46DA1">
              <w:rPr>
                <w:rFonts w:ascii="Times New Roman" w:hAnsi="Times New Roman"/>
                <w:sz w:val="24"/>
                <w:szCs w:val="24"/>
              </w:rPr>
              <w:t>.</w:t>
            </w:r>
          </w:p>
          <w:p w14:paraId="67B080BE" w14:textId="77777777" w:rsidR="00B122C8" w:rsidRDefault="00B122C8" w:rsidP="005961EF">
            <w:pPr>
              <w:widowControl w:val="0"/>
              <w:spacing w:before="120" w:after="120"/>
              <w:ind w:left="148" w:right="148"/>
              <w:jc w:val="both"/>
              <w:rPr>
                <w:rFonts w:ascii="Times New Roman" w:eastAsia="Times New Roman" w:hAnsi="Times New Roman"/>
                <w:bCs/>
                <w:i/>
                <w:iCs/>
                <w:sz w:val="24"/>
                <w:szCs w:val="24"/>
                <w:lang w:eastAsia="en-GB"/>
              </w:rPr>
            </w:pPr>
            <w:r w:rsidRPr="005961EF">
              <w:rPr>
                <w:rFonts w:ascii="Times New Roman" w:eastAsia="Times New Roman" w:hAnsi="Times New Roman"/>
                <w:bCs/>
                <w:i/>
                <w:iCs/>
                <w:sz w:val="24"/>
                <w:szCs w:val="24"/>
                <w:lang w:eastAsia="en-GB"/>
              </w:rPr>
              <w:t>On point 3.2.</w:t>
            </w:r>
            <w:r w:rsidR="005961EF">
              <w:rPr>
                <w:rFonts w:ascii="Times New Roman" w:eastAsia="Times New Roman" w:hAnsi="Times New Roman"/>
                <w:bCs/>
                <w:i/>
                <w:iCs/>
                <w:sz w:val="24"/>
                <w:szCs w:val="24"/>
                <w:lang w:eastAsia="en-GB"/>
              </w:rPr>
              <w:t>6</w:t>
            </w:r>
            <w:r w:rsidRPr="005961EF">
              <w:rPr>
                <w:rFonts w:ascii="Times New Roman" w:eastAsia="Times New Roman" w:hAnsi="Times New Roman"/>
                <w:bCs/>
                <w:i/>
                <w:iCs/>
                <w:sz w:val="24"/>
                <w:szCs w:val="24"/>
                <w:lang w:eastAsia="en-GB"/>
              </w:rPr>
              <w:t>.:</w:t>
            </w:r>
          </w:p>
          <w:p w14:paraId="7261D182" w14:textId="77777777" w:rsidR="005961EF" w:rsidRDefault="005961EF" w:rsidP="005961EF">
            <w:pPr>
              <w:widowControl w:val="0"/>
              <w:spacing w:before="120" w:after="120"/>
              <w:ind w:left="148" w:right="148"/>
              <w:jc w:val="both"/>
              <w:rPr>
                <w:rFonts w:ascii="Times New Roman" w:hAnsi="Times New Roman"/>
                <w:sz w:val="24"/>
                <w:szCs w:val="24"/>
              </w:rPr>
            </w:pPr>
            <w:r>
              <w:rPr>
                <w:rFonts w:ascii="Times New Roman" w:hAnsi="Times New Roman"/>
                <w:sz w:val="24"/>
                <w:szCs w:val="24"/>
              </w:rPr>
              <w:t xml:space="preserve">Africa is a geopolitical priority for the EU. EU </w:t>
            </w:r>
            <w:r w:rsidRPr="00BE3BE7">
              <w:rPr>
                <w:rFonts w:ascii="Times New Roman" w:hAnsi="Times New Roman"/>
                <w:sz w:val="24"/>
                <w:szCs w:val="24"/>
              </w:rPr>
              <w:t>engagement with Africa demonstrates political commitment, concrete results and strong ambition.</w:t>
            </w:r>
          </w:p>
          <w:p w14:paraId="2DAF5181" w14:textId="524BEAE3" w:rsidR="005961EF" w:rsidRPr="00B66943" w:rsidRDefault="005961EF" w:rsidP="005961EF">
            <w:pPr>
              <w:widowControl w:val="0"/>
              <w:spacing w:before="120" w:after="120"/>
              <w:ind w:left="148" w:right="148"/>
              <w:jc w:val="both"/>
              <w:rPr>
                <w:rFonts w:ascii="Times New Roman" w:hAnsi="Times New Roman"/>
                <w:sz w:val="24"/>
                <w:szCs w:val="24"/>
              </w:rPr>
            </w:pPr>
            <w:r>
              <w:rPr>
                <w:rFonts w:ascii="Times New Roman" w:hAnsi="Times New Roman"/>
                <w:sz w:val="24"/>
                <w:szCs w:val="24"/>
              </w:rPr>
              <w:t>The EU</w:t>
            </w:r>
            <w:r w:rsidRPr="00B66943">
              <w:rPr>
                <w:rFonts w:ascii="Times New Roman" w:hAnsi="Times New Roman"/>
                <w:sz w:val="24"/>
                <w:szCs w:val="24"/>
              </w:rPr>
              <w:t xml:space="preserve"> pay</w:t>
            </w:r>
            <w:r>
              <w:rPr>
                <w:rFonts w:ascii="Times New Roman" w:hAnsi="Times New Roman"/>
                <w:sz w:val="24"/>
                <w:szCs w:val="24"/>
              </w:rPr>
              <w:t>s</w:t>
            </w:r>
            <w:r w:rsidRPr="00B66943">
              <w:rPr>
                <w:rFonts w:ascii="Times New Roman" w:hAnsi="Times New Roman"/>
                <w:sz w:val="24"/>
                <w:szCs w:val="24"/>
              </w:rPr>
              <w:t xml:space="preserve"> particular attention to reinforce political, economic and people to people engagement establishing mutually beneficial partnerships with our African partners. </w:t>
            </w:r>
            <w:r>
              <w:rPr>
                <w:rFonts w:ascii="Times New Roman" w:hAnsi="Times New Roman"/>
                <w:sz w:val="24"/>
                <w:szCs w:val="24"/>
              </w:rPr>
              <w:t xml:space="preserve">The EU </w:t>
            </w:r>
            <w:r w:rsidRPr="00B66943">
              <w:rPr>
                <w:rFonts w:ascii="Times New Roman" w:hAnsi="Times New Roman"/>
                <w:sz w:val="24"/>
                <w:szCs w:val="24"/>
              </w:rPr>
              <w:t>always give</w:t>
            </w:r>
            <w:r>
              <w:rPr>
                <w:rFonts w:ascii="Times New Roman" w:hAnsi="Times New Roman"/>
                <w:sz w:val="24"/>
                <w:szCs w:val="24"/>
              </w:rPr>
              <w:t>s</w:t>
            </w:r>
            <w:r w:rsidRPr="00B66943">
              <w:rPr>
                <w:rFonts w:ascii="Times New Roman" w:hAnsi="Times New Roman"/>
                <w:sz w:val="24"/>
                <w:szCs w:val="24"/>
              </w:rPr>
              <w:t xml:space="preserve"> top priority to </w:t>
            </w:r>
            <w:proofErr w:type="spellStart"/>
            <w:r w:rsidR="00C46DA1">
              <w:rPr>
                <w:rFonts w:ascii="Times New Roman" w:hAnsi="Times New Roman"/>
                <w:sz w:val="24"/>
                <w:szCs w:val="24"/>
              </w:rPr>
              <w:t>ʻ</w:t>
            </w:r>
            <w:r w:rsidRPr="00B66943">
              <w:rPr>
                <w:rFonts w:ascii="Times New Roman" w:hAnsi="Times New Roman"/>
                <w:sz w:val="24"/>
                <w:szCs w:val="24"/>
              </w:rPr>
              <w:t>African</w:t>
            </w:r>
            <w:proofErr w:type="spellEnd"/>
            <w:r w:rsidRPr="00B66943">
              <w:rPr>
                <w:rFonts w:ascii="Times New Roman" w:hAnsi="Times New Roman"/>
                <w:sz w:val="24"/>
                <w:szCs w:val="24"/>
              </w:rPr>
              <w:t xml:space="preserve"> solutions for African problems</w:t>
            </w:r>
            <w:r w:rsidR="00C46DA1">
              <w:rPr>
                <w:rFonts w:ascii="Times New Roman" w:hAnsi="Times New Roman"/>
                <w:sz w:val="24"/>
                <w:szCs w:val="24"/>
              </w:rPr>
              <w:t>’</w:t>
            </w:r>
            <w:r w:rsidRPr="00B66943">
              <w:rPr>
                <w:rFonts w:ascii="Times New Roman" w:hAnsi="Times New Roman"/>
                <w:sz w:val="24"/>
                <w:szCs w:val="24"/>
              </w:rPr>
              <w:t xml:space="preserve">. </w:t>
            </w:r>
            <w:r>
              <w:rPr>
                <w:rFonts w:ascii="Times New Roman" w:hAnsi="Times New Roman"/>
                <w:sz w:val="24"/>
                <w:szCs w:val="24"/>
              </w:rPr>
              <w:t>It does</w:t>
            </w:r>
            <w:r w:rsidRPr="00B66943">
              <w:rPr>
                <w:rFonts w:ascii="Times New Roman" w:hAnsi="Times New Roman"/>
                <w:sz w:val="24"/>
                <w:szCs w:val="24"/>
              </w:rPr>
              <w:t xml:space="preserve"> not impose </w:t>
            </w:r>
            <w:r>
              <w:rPr>
                <w:rFonts w:ascii="Times New Roman" w:hAnsi="Times New Roman"/>
                <w:sz w:val="24"/>
                <w:szCs w:val="24"/>
              </w:rPr>
              <w:t xml:space="preserve">its </w:t>
            </w:r>
            <w:r w:rsidRPr="00B66943">
              <w:rPr>
                <w:rFonts w:ascii="Times New Roman" w:hAnsi="Times New Roman"/>
                <w:sz w:val="24"/>
                <w:szCs w:val="24"/>
              </w:rPr>
              <w:t>agenda unilaterally.</w:t>
            </w:r>
            <w:r>
              <w:rPr>
                <w:rFonts w:ascii="Times New Roman" w:hAnsi="Times New Roman"/>
                <w:sz w:val="24"/>
                <w:szCs w:val="24"/>
              </w:rPr>
              <w:t xml:space="preserve"> The EU is </w:t>
            </w:r>
            <w:r w:rsidRPr="00B66943">
              <w:rPr>
                <w:rFonts w:ascii="Times New Roman" w:hAnsi="Times New Roman"/>
                <w:sz w:val="24"/>
                <w:szCs w:val="24"/>
              </w:rPr>
              <w:t>working to reinforce the EU’s strategic autonomy, supporting Africa to do the same.</w:t>
            </w:r>
          </w:p>
          <w:p w14:paraId="39D67D48" w14:textId="77777777" w:rsidR="005961EF" w:rsidRPr="0049347E" w:rsidRDefault="005961EF" w:rsidP="005961EF">
            <w:pPr>
              <w:widowControl w:val="0"/>
              <w:spacing w:before="120" w:after="120"/>
              <w:ind w:left="148" w:right="148"/>
              <w:jc w:val="both"/>
              <w:rPr>
                <w:rFonts w:ascii="Times New Roman" w:hAnsi="Times New Roman"/>
                <w:sz w:val="24"/>
                <w:szCs w:val="24"/>
              </w:rPr>
            </w:pPr>
            <w:r>
              <w:rPr>
                <w:rFonts w:ascii="Times New Roman" w:hAnsi="Times New Roman"/>
                <w:sz w:val="24"/>
                <w:szCs w:val="24"/>
              </w:rPr>
              <w:t>T</w:t>
            </w:r>
            <w:r w:rsidRPr="00B66943">
              <w:rPr>
                <w:rFonts w:ascii="Times New Roman" w:hAnsi="Times New Roman"/>
                <w:sz w:val="24"/>
                <w:szCs w:val="24"/>
              </w:rPr>
              <w:t>he EU continues to support Africa’s quest for greater representation in multilateral fora and welcome</w:t>
            </w:r>
            <w:r>
              <w:rPr>
                <w:rFonts w:ascii="Times New Roman" w:hAnsi="Times New Roman"/>
                <w:sz w:val="24"/>
                <w:szCs w:val="24"/>
              </w:rPr>
              <w:t>s</w:t>
            </w:r>
            <w:r w:rsidRPr="00B66943">
              <w:rPr>
                <w:rFonts w:ascii="Times New Roman" w:hAnsi="Times New Roman"/>
                <w:sz w:val="24"/>
                <w:szCs w:val="24"/>
              </w:rPr>
              <w:t xml:space="preserve"> the African Union taking its place as full G20 member. The EU </w:t>
            </w:r>
            <w:r>
              <w:rPr>
                <w:rFonts w:ascii="Times New Roman" w:hAnsi="Times New Roman"/>
                <w:sz w:val="24"/>
                <w:szCs w:val="24"/>
              </w:rPr>
              <w:t xml:space="preserve">is </w:t>
            </w:r>
            <w:r w:rsidRPr="00B66943">
              <w:rPr>
                <w:rFonts w:ascii="Times New Roman" w:hAnsi="Times New Roman"/>
                <w:sz w:val="24"/>
                <w:szCs w:val="24"/>
              </w:rPr>
              <w:t xml:space="preserve">a strong advocate and </w:t>
            </w:r>
            <w:r w:rsidRPr="00B66943">
              <w:rPr>
                <w:rFonts w:ascii="Times New Roman" w:hAnsi="Times New Roman"/>
                <w:sz w:val="24"/>
                <w:szCs w:val="24"/>
              </w:rPr>
              <w:lastRenderedPageBreak/>
              <w:t xml:space="preserve">supporter, as Africa’s voice is essential when discussing global </w:t>
            </w:r>
            <w:r w:rsidRPr="0049347E">
              <w:rPr>
                <w:rFonts w:ascii="Times New Roman" w:hAnsi="Times New Roman"/>
                <w:sz w:val="24"/>
                <w:szCs w:val="24"/>
              </w:rPr>
              <w:t>challenges.</w:t>
            </w:r>
          </w:p>
          <w:p w14:paraId="74910E91" w14:textId="665FCDEF" w:rsidR="005961EF" w:rsidRDefault="005961EF" w:rsidP="005961EF">
            <w:pPr>
              <w:widowControl w:val="0"/>
              <w:spacing w:before="120" w:after="120"/>
              <w:ind w:left="148" w:right="148"/>
              <w:jc w:val="both"/>
              <w:rPr>
                <w:rFonts w:ascii="Times New Roman" w:hAnsi="Times New Roman"/>
                <w:sz w:val="24"/>
                <w:szCs w:val="24"/>
              </w:rPr>
            </w:pPr>
            <w:r w:rsidRPr="0049347E">
              <w:rPr>
                <w:rFonts w:ascii="Times New Roman" w:hAnsi="Times New Roman"/>
                <w:sz w:val="24"/>
                <w:szCs w:val="24"/>
              </w:rPr>
              <w:t>2025 marks the 25</w:t>
            </w:r>
            <w:r w:rsidRPr="0049347E">
              <w:rPr>
                <w:rFonts w:ascii="Times New Roman" w:hAnsi="Times New Roman"/>
                <w:sz w:val="24"/>
                <w:szCs w:val="24"/>
                <w:vertAlign w:val="superscript"/>
              </w:rPr>
              <w:t>th</w:t>
            </w:r>
            <w:r w:rsidRPr="0049347E">
              <w:rPr>
                <w:rFonts w:ascii="Times New Roman" w:hAnsi="Times New Roman"/>
                <w:sz w:val="24"/>
                <w:szCs w:val="24"/>
              </w:rPr>
              <w:t xml:space="preserve"> anniversary of EU-AU relations. High level meetings planned include the 3</w:t>
            </w:r>
            <w:r w:rsidRPr="0049347E">
              <w:rPr>
                <w:rFonts w:ascii="Times New Roman" w:hAnsi="Times New Roman"/>
                <w:sz w:val="24"/>
                <w:szCs w:val="24"/>
                <w:vertAlign w:val="superscript"/>
              </w:rPr>
              <w:t>rd</w:t>
            </w:r>
            <w:r w:rsidR="00E04B37" w:rsidRPr="0049347E">
              <w:rPr>
                <w:rFonts w:ascii="Times New Roman" w:hAnsi="Times New Roman"/>
                <w:sz w:val="24"/>
                <w:szCs w:val="24"/>
              </w:rPr>
              <w:t> </w:t>
            </w:r>
            <w:r w:rsidRPr="0049347E">
              <w:rPr>
                <w:rFonts w:ascii="Times New Roman" w:hAnsi="Times New Roman"/>
                <w:sz w:val="24"/>
                <w:szCs w:val="24"/>
              </w:rPr>
              <w:t xml:space="preserve">EU-AU Ministerial co-chaired by </w:t>
            </w:r>
            <w:r w:rsidR="000C10F9" w:rsidRPr="0049347E">
              <w:rPr>
                <w:rFonts w:ascii="Times New Roman" w:hAnsi="Times New Roman"/>
                <w:bCs/>
                <w:sz w:val="24"/>
                <w:szCs w:val="24"/>
              </w:rPr>
              <w:t>High Representative/Vice-President</w:t>
            </w:r>
            <w:r w:rsidR="000C10F9" w:rsidRPr="0049347E">
              <w:rPr>
                <w:rFonts w:ascii="Times New Roman" w:hAnsi="Times New Roman"/>
                <w:b/>
                <w:sz w:val="24"/>
                <w:szCs w:val="24"/>
              </w:rPr>
              <w:t xml:space="preserve"> </w:t>
            </w:r>
            <w:r w:rsidR="00E04B37" w:rsidRPr="0049347E">
              <w:rPr>
                <w:rFonts w:ascii="Times New Roman" w:hAnsi="Times New Roman"/>
                <w:sz w:val="24"/>
                <w:szCs w:val="24"/>
              </w:rPr>
              <w:t>KALLAS</w:t>
            </w:r>
            <w:r w:rsidRPr="0049347E">
              <w:rPr>
                <w:rFonts w:ascii="Times New Roman" w:hAnsi="Times New Roman"/>
                <w:sz w:val="24"/>
                <w:szCs w:val="24"/>
              </w:rPr>
              <w:t xml:space="preserve"> and Angolan F</w:t>
            </w:r>
            <w:r w:rsidR="000C10F9" w:rsidRPr="0049347E">
              <w:rPr>
                <w:rFonts w:ascii="Times New Roman" w:hAnsi="Times New Roman"/>
                <w:sz w:val="24"/>
                <w:szCs w:val="24"/>
              </w:rPr>
              <w:t xml:space="preserve">oreign Affairs </w:t>
            </w:r>
            <w:r w:rsidRPr="0049347E">
              <w:rPr>
                <w:rFonts w:ascii="Times New Roman" w:hAnsi="Times New Roman"/>
                <w:sz w:val="24"/>
                <w:szCs w:val="24"/>
              </w:rPr>
              <w:t>M</w:t>
            </w:r>
            <w:r w:rsidR="000C10F9" w:rsidRPr="0049347E">
              <w:rPr>
                <w:rFonts w:ascii="Times New Roman" w:hAnsi="Times New Roman"/>
                <w:sz w:val="24"/>
                <w:szCs w:val="24"/>
              </w:rPr>
              <w:t>inister</w:t>
            </w:r>
            <w:r w:rsidRPr="0049347E">
              <w:rPr>
                <w:rFonts w:ascii="Times New Roman" w:hAnsi="Times New Roman"/>
                <w:sz w:val="24"/>
                <w:szCs w:val="24"/>
              </w:rPr>
              <w:t xml:space="preserve"> </w:t>
            </w:r>
            <w:r w:rsidR="000C10F9" w:rsidRPr="0049347E">
              <w:rPr>
                <w:rFonts w:ascii="Times New Roman" w:hAnsi="Times New Roman"/>
                <w:sz w:val="24"/>
                <w:szCs w:val="24"/>
              </w:rPr>
              <w:t xml:space="preserve">ANTÓNIO </w:t>
            </w:r>
            <w:r w:rsidRPr="0049347E">
              <w:rPr>
                <w:rFonts w:ascii="Times New Roman" w:hAnsi="Times New Roman"/>
                <w:sz w:val="24"/>
                <w:szCs w:val="24"/>
              </w:rPr>
              <w:t>and the 7</w:t>
            </w:r>
            <w:r w:rsidRPr="0049347E">
              <w:rPr>
                <w:rFonts w:ascii="Times New Roman" w:hAnsi="Times New Roman"/>
                <w:sz w:val="24"/>
                <w:szCs w:val="24"/>
                <w:vertAlign w:val="superscript"/>
              </w:rPr>
              <w:t>th</w:t>
            </w:r>
            <w:r w:rsidR="00E04B37" w:rsidRPr="0049347E">
              <w:rPr>
                <w:rFonts w:ascii="Times New Roman" w:hAnsi="Times New Roman"/>
                <w:sz w:val="24"/>
                <w:szCs w:val="24"/>
              </w:rPr>
              <w:t> </w:t>
            </w:r>
            <w:r w:rsidRPr="0049347E">
              <w:rPr>
                <w:rFonts w:ascii="Times New Roman" w:hAnsi="Times New Roman"/>
                <w:sz w:val="24"/>
                <w:szCs w:val="24"/>
              </w:rPr>
              <w:t xml:space="preserve">EU-AU Summit, co-chaired by </w:t>
            </w:r>
            <w:r w:rsidR="000C10F9" w:rsidRPr="0049347E">
              <w:rPr>
                <w:rFonts w:ascii="Times New Roman" w:hAnsi="Times New Roman"/>
                <w:sz w:val="24"/>
                <w:szCs w:val="24"/>
              </w:rPr>
              <w:t xml:space="preserve">President of the European Council COSTA </w:t>
            </w:r>
            <w:r w:rsidRPr="0049347E">
              <w:rPr>
                <w:rFonts w:ascii="Times New Roman" w:hAnsi="Times New Roman"/>
                <w:sz w:val="24"/>
                <w:szCs w:val="24"/>
              </w:rPr>
              <w:t>and the President of Angola</w:t>
            </w:r>
            <w:r w:rsidR="000C10F9" w:rsidRPr="0049347E">
              <w:rPr>
                <w:rFonts w:ascii="Times New Roman" w:hAnsi="Times New Roman"/>
                <w:sz w:val="24"/>
                <w:szCs w:val="24"/>
              </w:rPr>
              <w:t xml:space="preserve"> GONÇALVES LOURENÇO</w:t>
            </w:r>
            <w:r w:rsidRPr="0049347E">
              <w:rPr>
                <w:rFonts w:ascii="Times New Roman" w:hAnsi="Times New Roman"/>
                <w:sz w:val="24"/>
                <w:szCs w:val="24"/>
              </w:rPr>
              <w:t>.</w:t>
            </w:r>
          </w:p>
          <w:p w14:paraId="30D14481" w14:textId="7BE8C197" w:rsidR="005961EF" w:rsidRPr="004F6117" w:rsidRDefault="005961EF" w:rsidP="005961EF">
            <w:pPr>
              <w:widowControl w:val="0"/>
              <w:spacing w:before="120" w:after="120"/>
              <w:ind w:left="148" w:right="148"/>
              <w:jc w:val="both"/>
              <w:rPr>
                <w:rFonts w:ascii="Times New Roman" w:hAnsi="Times New Roman"/>
                <w:b/>
                <w:sz w:val="24"/>
                <w:szCs w:val="24"/>
              </w:rPr>
            </w:pPr>
            <w:r>
              <w:rPr>
                <w:rFonts w:ascii="Times New Roman" w:hAnsi="Times New Roman"/>
                <w:sz w:val="24"/>
                <w:szCs w:val="24"/>
              </w:rPr>
              <w:t xml:space="preserve">The EU is Africa’s largest investment, security, aid and humanitarian partner, </w:t>
            </w:r>
            <w:r w:rsidRPr="00B66943">
              <w:rPr>
                <w:rFonts w:ascii="Times New Roman" w:hAnsi="Times New Roman"/>
                <w:sz w:val="24"/>
                <w:szCs w:val="24"/>
              </w:rPr>
              <w:t>offer</w:t>
            </w:r>
            <w:r>
              <w:rPr>
                <w:rFonts w:ascii="Times New Roman" w:hAnsi="Times New Roman"/>
                <w:sz w:val="24"/>
                <w:szCs w:val="24"/>
              </w:rPr>
              <w:t>ing</w:t>
            </w:r>
            <w:r w:rsidRPr="00B66943">
              <w:rPr>
                <w:rFonts w:ascii="Times New Roman" w:hAnsi="Times New Roman"/>
                <w:sz w:val="24"/>
                <w:szCs w:val="24"/>
              </w:rPr>
              <w:t xml:space="preserve"> an alternative </w:t>
            </w:r>
            <w:r>
              <w:rPr>
                <w:rFonts w:ascii="Times New Roman" w:hAnsi="Times New Roman"/>
                <w:sz w:val="24"/>
                <w:szCs w:val="24"/>
              </w:rPr>
              <w:t xml:space="preserve">to other actors </w:t>
            </w:r>
            <w:r w:rsidRPr="00B66943">
              <w:rPr>
                <w:rFonts w:ascii="Times New Roman" w:hAnsi="Times New Roman"/>
                <w:sz w:val="24"/>
                <w:szCs w:val="24"/>
              </w:rPr>
              <w:t>with a quality off</w:t>
            </w:r>
            <w:r>
              <w:rPr>
                <w:rFonts w:ascii="Times New Roman" w:hAnsi="Times New Roman"/>
                <w:sz w:val="24"/>
                <w:szCs w:val="24"/>
              </w:rPr>
              <w:t>er for value driven investments.</w:t>
            </w:r>
          </w:p>
        </w:tc>
      </w:tr>
    </w:tbl>
    <w:p w14:paraId="4B31F071" w14:textId="77777777" w:rsidR="00077C4F" w:rsidRPr="0042100B" w:rsidRDefault="00077C4F" w:rsidP="0042100B">
      <w:pPr>
        <w:widowControl w:val="0"/>
        <w:spacing w:after="0" w:line="240" w:lineRule="auto"/>
        <w:ind w:left="-567"/>
        <w:rPr>
          <w:rFonts w:ascii="Times New Roman" w:hAnsi="Times New Roman"/>
          <w:sz w:val="16"/>
          <w:szCs w:val="16"/>
        </w:rPr>
      </w:pPr>
    </w:p>
    <w:sectPr w:rsidR="00077C4F" w:rsidRPr="004210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07E8" w14:textId="77777777" w:rsidR="00E975D2" w:rsidRDefault="00E975D2" w:rsidP="00FF63EA">
      <w:pPr>
        <w:spacing w:after="0" w:line="240" w:lineRule="auto"/>
      </w:pPr>
      <w:r>
        <w:separator/>
      </w:r>
    </w:p>
  </w:endnote>
  <w:endnote w:type="continuationSeparator" w:id="0">
    <w:p w14:paraId="65F1EE0A" w14:textId="77777777" w:rsidR="00E975D2" w:rsidRDefault="00E975D2"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02C8" w14:textId="77777777" w:rsidR="00E975D2" w:rsidRDefault="00E975D2" w:rsidP="00FF63EA">
      <w:pPr>
        <w:spacing w:after="0" w:line="240" w:lineRule="auto"/>
      </w:pPr>
      <w:r>
        <w:separator/>
      </w:r>
    </w:p>
  </w:footnote>
  <w:footnote w:type="continuationSeparator" w:id="0">
    <w:p w14:paraId="3F7FD0B5" w14:textId="77777777" w:rsidR="00E975D2" w:rsidRDefault="00E975D2" w:rsidP="00FF63EA">
      <w:pPr>
        <w:spacing w:after="0" w:line="240" w:lineRule="auto"/>
      </w:pPr>
      <w:r>
        <w:continuationSeparator/>
      </w:r>
    </w:p>
  </w:footnote>
  <w:footnote w:id="1">
    <w:p w14:paraId="41591CC8" w14:textId="52A56635" w:rsidR="00864667" w:rsidRPr="001436E2" w:rsidRDefault="00864667" w:rsidP="001436E2">
      <w:pPr>
        <w:pStyle w:val="FootnoteText"/>
        <w:widowControl w:val="0"/>
        <w:spacing w:after="0" w:line="240" w:lineRule="auto"/>
        <w:ind w:left="-141" w:right="-426" w:hanging="284"/>
        <w:jc w:val="both"/>
        <w:rPr>
          <w:rFonts w:ascii="Times New Roman" w:hAnsi="Times New Roman"/>
        </w:rPr>
      </w:pPr>
      <w:r w:rsidRPr="001436E2">
        <w:rPr>
          <w:rStyle w:val="FootnoteReference"/>
          <w:rFonts w:ascii="Times New Roman" w:hAnsi="Times New Roman"/>
        </w:rPr>
        <w:footnoteRef/>
      </w:r>
      <w:r w:rsidRPr="001436E2">
        <w:rPr>
          <w:rFonts w:ascii="Times New Roman" w:hAnsi="Times New Roman"/>
        </w:rPr>
        <w:t xml:space="preserve"> </w:t>
      </w:r>
      <w:r w:rsidRPr="001436E2">
        <w:rPr>
          <w:rFonts w:ascii="Times New Roman" w:hAnsi="Times New Roman"/>
        </w:rPr>
        <w:tab/>
      </w:r>
      <w:hyperlink r:id="rId1" w:history="1">
        <w:r w:rsidRPr="001436E2">
          <w:rPr>
            <w:rStyle w:val="Hyperlink"/>
            <w:rFonts w:ascii="Times New Roman" w:hAnsi="Times New Roman"/>
          </w:rPr>
          <w:t>Microsoft Word - PR- 6th European Union - African Union Summit - A Joint Vision for 2030.docx</w:t>
        </w:r>
      </w:hyperlink>
      <w:r w:rsidRPr="001436E2">
        <w:rPr>
          <w:rFonts w:ascii="Times New Roman" w:hAnsi="Times New Roman"/>
        </w:rPr>
        <w:t>.</w:t>
      </w:r>
    </w:p>
  </w:footnote>
  <w:footnote w:id="2">
    <w:p w14:paraId="4FD84ECF" w14:textId="41DBD920" w:rsidR="00864667" w:rsidRPr="001436E2" w:rsidRDefault="00864667" w:rsidP="001436E2">
      <w:pPr>
        <w:pStyle w:val="FootnoteText"/>
        <w:widowControl w:val="0"/>
        <w:spacing w:after="0" w:line="240" w:lineRule="auto"/>
        <w:ind w:left="-142" w:hanging="284"/>
        <w:jc w:val="both"/>
        <w:rPr>
          <w:rFonts w:ascii="Times New Roman" w:hAnsi="Times New Roman"/>
          <w:lang w:val="fr-BE"/>
        </w:rPr>
      </w:pPr>
      <w:r w:rsidRPr="001436E2">
        <w:rPr>
          <w:rStyle w:val="FootnoteReference"/>
          <w:rFonts w:ascii="Times New Roman" w:hAnsi="Times New Roman"/>
        </w:rPr>
        <w:footnoteRef/>
      </w:r>
      <w:r w:rsidRPr="001436E2">
        <w:rPr>
          <w:rFonts w:ascii="Times New Roman" w:hAnsi="Times New Roman"/>
          <w:lang w:val="fr-BE"/>
        </w:rPr>
        <w:t xml:space="preserve"> </w:t>
      </w:r>
      <w:r w:rsidRPr="001436E2">
        <w:rPr>
          <w:rFonts w:ascii="Times New Roman" w:hAnsi="Times New Roman"/>
          <w:lang w:val="fr-BE"/>
        </w:rPr>
        <w:tab/>
      </w:r>
      <w:proofErr w:type="gramStart"/>
      <w:r w:rsidRPr="001436E2">
        <w:rPr>
          <w:rFonts w:ascii="Times New Roman" w:hAnsi="Times New Roman"/>
          <w:lang w:val="fr-BE"/>
        </w:rPr>
        <w:t>JOIN(</w:t>
      </w:r>
      <w:proofErr w:type="gramEnd"/>
      <w:r w:rsidRPr="001436E2">
        <w:rPr>
          <w:rFonts w:ascii="Times New Roman" w:hAnsi="Times New Roman"/>
          <w:lang w:val="fr-BE"/>
        </w:rPr>
        <w:t>2020) 4 final (</w:t>
      </w:r>
      <w:hyperlink r:id="rId2" w:history="1">
        <w:r w:rsidRPr="001436E2">
          <w:rPr>
            <w:rStyle w:val="Hyperlink"/>
            <w:rFonts w:ascii="Times New Roman" w:hAnsi="Times New Roman"/>
            <w:lang w:val="fr-BE"/>
          </w:rPr>
          <w:t>eur-lex.europa.eu/legal-content/EN/TXT/PDF/?uri=CELEX:52020JC0004</w:t>
        </w:r>
      </w:hyperlink>
      <w:r w:rsidRPr="001436E2">
        <w:rPr>
          <w:rFonts w:ascii="Times New Roman" w:hAnsi="Times New Roman"/>
          <w:lang w:val="fr-BE"/>
        </w:rPr>
        <w:t>).</w:t>
      </w:r>
    </w:p>
  </w:footnote>
  <w:footnote w:id="3">
    <w:p w14:paraId="2361AE46" w14:textId="046C2DDC" w:rsidR="00B122C8" w:rsidRPr="00C46DA1" w:rsidRDefault="00B122C8" w:rsidP="001436E2">
      <w:pPr>
        <w:pStyle w:val="FootnoteText"/>
        <w:widowControl w:val="0"/>
        <w:spacing w:after="0" w:line="240" w:lineRule="auto"/>
        <w:ind w:left="-142" w:right="-425" w:hanging="283"/>
        <w:jc w:val="both"/>
        <w:rPr>
          <w:rFonts w:ascii="Times New Roman" w:hAnsi="Times New Roman"/>
        </w:rPr>
      </w:pPr>
      <w:r w:rsidRPr="001436E2">
        <w:rPr>
          <w:rStyle w:val="FootnoteReference"/>
          <w:rFonts w:ascii="Times New Roman" w:hAnsi="Times New Roman"/>
        </w:rPr>
        <w:footnoteRef/>
      </w:r>
      <w:r w:rsidRPr="00C46DA1">
        <w:rPr>
          <w:rFonts w:ascii="Times New Roman" w:hAnsi="Times New Roman"/>
        </w:rPr>
        <w:t xml:space="preserve"> </w:t>
      </w:r>
      <w:r w:rsidR="00C46DA1" w:rsidRPr="00C46DA1">
        <w:rPr>
          <w:rFonts w:ascii="Times New Roman" w:hAnsi="Times New Roman"/>
        </w:rPr>
        <w:tab/>
      </w:r>
      <w:r w:rsidRPr="00C46DA1">
        <w:rPr>
          <w:rFonts w:ascii="Times New Roman" w:hAnsi="Times New Roman"/>
        </w:rPr>
        <w:t>This proposed action is in line with Sustainable Development Goals 4 (quality education), 5 (gender equality), and 9</w:t>
      </w:r>
      <w:r w:rsidR="00C46DA1">
        <w:rPr>
          <w:rFonts w:ascii="Times New Roman" w:hAnsi="Times New Roman"/>
        </w:rPr>
        <w:t> </w:t>
      </w:r>
      <w:r w:rsidRPr="00C46DA1">
        <w:rPr>
          <w:rFonts w:ascii="Times New Roman" w:hAnsi="Times New Roman"/>
        </w:rPr>
        <w:t>(industry, innovation and infrastructure).</w:t>
      </w:r>
    </w:p>
  </w:footnote>
  <w:footnote w:id="4">
    <w:p w14:paraId="46F65101" w14:textId="3C4BD358" w:rsidR="00864667" w:rsidRPr="001436E2" w:rsidRDefault="00864667" w:rsidP="001436E2">
      <w:pPr>
        <w:pStyle w:val="FootnoteText"/>
        <w:widowControl w:val="0"/>
        <w:spacing w:after="0" w:line="240" w:lineRule="auto"/>
        <w:ind w:left="-142" w:right="-426" w:hanging="284"/>
        <w:jc w:val="both"/>
        <w:rPr>
          <w:rFonts w:ascii="Times New Roman" w:hAnsi="Times New Roman"/>
          <w:lang w:val="en-IE"/>
        </w:rPr>
      </w:pPr>
      <w:r w:rsidRPr="001436E2">
        <w:rPr>
          <w:rStyle w:val="FootnoteReference"/>
          <w:rFonts w:ascii="Times New Roman" w:hAnsi="Times New Roman"/>
        </w:rPr>
        <w:footnoteRef/>
      </w:r>
      <w:r w:rsidRPr="001436E2">
        <w:rPr>
          <w:rFonts w:ascii="Times New Roman" w:hAnsi="Times New Roman"/>
        </w:rPr>
        <w:t xml:space="preserve"> </w:t>
      </w:r>
      <w:r w:rsidRPr="001436E2">
        <w:rPr>
          <w:rFonts w:ascii="Times New Roman" w:hAnsi="Times New Roman"/>
          <w:lang w:val="en-IE"/>
        </w:rPr>
        <w:tab/>
      </w:r>
      <w:r w:rsidR="00AB3814" w:rsidRPr="001436E2">
        <w:rPr>
          <w:rFonts w:ascii="Times New Roman" w:hAnsi="Times New Roman"/>
        </w:rPr>
        <w:t>Partnership Agreement between the European Union and its Member States, of the one part, and the Members of the Organisation of African, Caribbean and Pacific States, of the other part (</w:t>
      </w:r>
      <w:hyperlink r:id="rId3" w:tooltip="Gives access to this document through its ELI URI." w:history="1">
        <w:r w:rsidR="00AB3814" w:rsidRPr="001436E2">
          <w:rPr>
            <w:rStyle w:val="Hyperlink"/>
            <w:rFonts w:ascii="Times New Roman" w:hAnsi="Times New Roman"/>
          </w:rPr>
          <w:t>http://data.europa.eu/eli/agree_internation/2023/2862/oj</w:t>
        </w:r>
      </w:hyperlink>
      <w:r w:rsidR="00AB3814" w:rsidRPr="001436E2">
        <w:rPr>
          <w:rFonts w:ascii="Times New Roman" w:hAnsi="Times New Roman"/>
        </w:rPr>
        <w:t>)</w:t>
      </w:r>
      <w:r w:rsidRPr="001436E2">
        <w:rPr>
          <w:rFonts w:ascii="Times New Roman" w:hAnsi="Times New Roman"/>
          <w:lang w:val="en-IE"/>
        </w:rPr>
        <w:t>.</w:t>
      </w:r>
    </w:p>
  </w:footnote>
  <w:footnote w:id="5">
    <w:p w14:paraId="2F525251" w14:textId="413C793C" w:rsidR="00AB3814" w:rsidRPr="001436E2" w:rsidRDefault="00AB3814" w:rsidP="001436E2">
      <w:pPr>
        <w:pStyle w:val="FootnoteText"/>
        <w:widowControl w:val="0"/>
        <w:spacing w:after="0" w:line="240" w:lineRule="auto"/>
        <w:ind w:left="-142" w:right="-426" w:hanging="284"/>
        <w:jc w:val="both"/>
        <w:rPr>
          <w:lang w:val="en-IE"/>
        </w:rPr>
      </w:pPr>
      <w:r w:rsidRPr="001436E2">
        <w:rPr>
          <w:rStyle w:val="FootnoteReference"/>
          <w:rFonts w:ascii="Times New Roman" w:hAnsi="Times New Roman"/>
        </w:rPr>
        <w:footnoteRef/>
      </w:r>
      <w:r w:rsidRPr="001436E2">
        <w:rPr>
          <w:rFonts w:ascii="Times New Roman" w:hAnsi="Times New Roman"/>
        </w:rPr>
        <w:t xml:space="preserve"> </w:t>
      </w:r>
      <w:r w:rsidRPr="001436E2">
        <w:rPr>
          <w:rFonts w:ascii="Times New Roman" w:hAnsi="Times New Roman"/>
          <w:lang w:val="en-IE"/>
        </w:rPr>
        <w:tab/>
      </w:r>
      <w:hyperlink r:id="rId4" w:history="1">
        <w:r w:rsidRPr="001436E2">
          <w:rPr>
            <w:rStyle w:val="Hyperlink"/>
            <w:rFonts w:ascii="Times New Roman" w:hAnsi="Times New Roman"/>
          </w:rPr>
          <w:t>combattingcorruptionconventiona5v2enreduced.pdf</w:t>
        </w:r>
      </w:hyperlink>
      <w:r w:rsidR="00400802">
        <w:t>.</w:t>
      </w:r>
    </w:p>
  </w:footnote>
  <w:footnote w:id="6">
    <w:p w14:paraId="3D42E500" w14:textId="04CA4716" w:rsidR="00D90A07" w:rsidRPr="001436E2" w:rsidRDefault="00D90A07" w:rsidP="001436E2">
      <w:pPr>
        <w:pStyle w:val="FootnoteText"/>
        <w:widowControl w:val="0"/>
        <w:spacing w:after="0" w:line="240" w:lineRule="auto"/>
        <w:ind w:left="-141" w:right="-567" w:hanging="284"/>
        <w:jc w:val="both"/>
        <w:rPr>
          <w:rFonts w:ascii="Times New Roman" w:hAnsi="Times New Roman"/>
          <w:lang w:val="en-IE"/>
        </w:rPr>
      </w:pPr>
      <w:r w:rsidRPr="001436E2">
        <w:rPr>
          <w:rStyle w:val="FootnoteReference"/>
          <w:rFonts w:ascii="Times New Roman" w:hAnsi="Times New Roman"/>
        </w:rPr>
        <w:footnoteRef/>
      </w:r>
      <w:r w:rsidRPr="001436E2">
        <w:rPr>
          <w:rFonts w:ascii="Times New Roman" w:hAnsi="Times New Roman"/>
        </w:rPr>
        <w:t xml:space="preserve"> </w:t>
      </w:r>
      <w:r w:rsidRPr="001436E2">
        <w:rPr>
          <w:rFonts w:ascii="Times New Roman" w:hAnsi="Times New Roman"/>
          <w:lang w:val="en-IE"/>
        </w:rPr>
        <w:tab/>
      </w:r>
      <w:r w:rsidRPr="001436E2">
        <w:rPr>
          <w:rFonts w:ascii="Times New Roman" w:hAnsi="Times New Roman"/>
        </w:rPr>
        <w:t>The African CSO Platform is in service to civil society organizations (</w:t>
      </w:r>
      <w:hyperlink r:id="rId5" w:history="1">
        <w:r w:rsidRPr="001436E2">
          <w:rPr>
            <w:rStyle w:val="Hyperlink"/>
            <w:rFonts w:ascii="Times New Roman" w:hAnsi="Times New Roman"/>
          </w:rPr>
          <w:t>EPIC Africa - African CSO Platform</w:t>
        </w:r>
      </w:hyperlink>
      <w:r w:rsidRPr="001436E2">
        <w:rPr>
          <w:rFonts w:ascii="Times New Roman" w:hAnsi="Times New Roman"/>
        </w:rPr>
        <w:t>).</w:t>
      </w:r>
    </w:p>
  </w:footnote>
  <w:footnote w:id="7">
    <w:p w14:paraId="0A7DDC90" w14:textId="4803C1EC" w:rsidR="00D90A07" w:rsidRPr="001436E2" w:rsidRDefault="00D90A07" w:rsidP="001436E2">
      <w:pPr>
        <w:pStyle w:val="FootnoteText"/>
        <w:widowControl w:val="0"/>
        <w:spacing w:after="0" w:line="240" w:lineRule="auto"/>
        <w:ind w:left="-141" w:right="-426" w:hanging="284"/>
        <w:jc w:val="both"/>
        <w:rPr>
          <w:rFonts w:ascii="Times New Roman" w:hAnsi="Times New Roman"/>
          <w:lang w:val="en-IE"/>
        </w:rPr>
      </w:pPr>
      <w:r w:rsidRPr="001436E2">
        <w:rPr>
          <w:rStyle w:val="FootnoteReference"/>
          <w:rFonts w:ascii="Times New Roman" w:hAnsi="Times New Roman"/>
        </w:rPr>
        <w:footnoteRef/>
      </w:r>
      <w:r w:rsidRPr="001436E2">
        <w:rPr>
          <w:rFonts w:ascii="Times New Roman" w:hAnsi="Times New Roman"/>
        </w:rPr>
        <w:t xml:space="preserve"> </w:t>
      </w:r>
      <w:r w:rsidRPr="001436E2">
        <w:rPr>
          <w:rFonts w:ascii="Times New Roman" w:hAnsi="Times New Roman"/>
          <w:lang w:val="en-IE"/>
        </w:rPr>
        <w:tab/>
      </w:r>
      <w:hyperlink r:id="rId6" w:anchor=":~:text=The%20CSO%20Thematic%20Programme%20%E2%80%99s%20goal%20is%20to,expert%20advice%2C%20and%20opportunities%20to%20network%20and%20collaborate." w:history="1">
        <w:r w:rsidRPr="001436E2">
          <w:rPr>
            <w:rStyle w:val="Hyperlink"/>
            <w:rFonts w:ascii="Times New Roman" w:hAnsi="Times New Roman"/>
          </w:rPr>
          <w:t xml:space="preserve">Thematic programme for Civil Society Organisations Multiannual Indicative Programme 2021-2027 | </w:t>
        </w:r>
        <w:r w:rsidRPr="001436E2">
          <w:rPr>
            <w:rStyle w:val="Hyperlink"/>
            <w:rFonts w:ascii="Times New Roman" w:hAnsi="Times New Roman"/>
          </w:rPr>
          <w:t>Capacity4dev</w:t>
        </w:r>
      </w:hyperlink>
      <w:r w:rsidR="0040080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6B94"/>
    <w:multiLevelType w:val="multilevel"/>
    <w:tmpl w:val="B8CA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fr-B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77C4F"/>
    <w:rsid w:val="00001FF3"/>
    <w:rsid w:val="00012A37"/>
    <w:rsid w:val="00046B15"/>
    <w:rsid w:val="00050DC7"/>
    <w:rsid w:val="00070F3E"/>
    <w:rsid w:val="00076109"/>
    <w:rsid w:val="00077C4F"/>
    <w:rsid w:val="000836B0"/>
    <w:rsid w:val="00093299"/>
    <w:rsid w:val="000C10F9"/>
    <w:rsid w:val="000F5FD8"/>
    <w:rsid w:val="001138F0"/>
    <w:rsid w:val="001167C0"/>
    <w:rsid w:val="00135C2A"/>
    <w:rsid w:val="001436E2"/>
    <w:rsid w:val="001602CD"/>
    <w:rsid w:val="001632E8"/>
    <w:rsid w:val="001B0E0B"/>
    <w:rsid w:val="001C371A"/>
    <w:rsid w:val="001C4138"/>
    <w:rsid w:val="001F2EC6"/>
    <w:rsid w:val="001F65D0"/>
    <w:rsid w:val="002009C9"/>
    <w:rsid w:val="00217E59"/>
    <w:rsid w:val="002E2496"/>
    <w:rsid w:val="002F03FA"/>
    <w:rsid w:val="002F1A07"/>
    <w:rsid w:val="003004D2"/>
    <w:rsid w:val="00306649"/>
    <w:rsid w:val="003349A3"/>
    <w:rsid w:val="00367260"/>
    <w:rsid w:val="00377967"/>
    <w:rsid w:val="00386143"/>
    <w:rsid w:val="003B58DC"/>
    <w:rsid w:val="003F465B"/>
    <w:rsid w:val="003F686E"/>
    <w:rsid w:val="00400802"/>
    <w:rsid w:val="004076EE"/>
    <w:rsid w:val="0042100B"/>
    <w:rsid w:val="00430CB5"/>
    <w:rsid w:val="00442552"/>
    <w:rsid w:val="00455A1C"/>
    <w:rsid w:val="004675B5"/>
    <w:rsid w:val="004770D6"/>
    <w:rsid w:val="0049246C"/>
    <w:rsid w:val="0049347E"/>
    <w:rsid w:val="004A060A"/>
    <w:rsid w:val="004B4BF0"/>
    <w:rsid w:val="004F6117"/>
    <w:rsid w:val="004F63F1"/>
    <w:rsid w:val="004F651E"/>
    <w:rsid w:val="005200F4"/>
    <w:rsid w:val="00523243"/>
    <w:rsid w:val="0052596B"/>
    <w:rsid w:val="005266FA"/>
    <w:rsid w:val="00554D8D"/>
    <w:rsid w:val="00573835"/>
    <w:rsid w:val="0057449C"/>
    <w:rsid w:val="00581306"/>
    <w:rsid w:val="005961EF"/>
    <w:rsid w:val="005C3105"/>
    <w:rsid w:val="005C6035"/>
    <w:rsid w:val="005D2356"/>
    <w:rsid w:val="005D789F"/>
    <w:rsid w:val="0065670E"/>
    <w:rsid w:val="00671FD1"/>
    <w:rsid w:val="00686F13"/>
    <w:rsid w:val="00692C2F"/>
    <w:rsid w:val="00695797"/>
    <w:rsid w:val="00696A5E"/>
    <w:rsid w:val="006B3B69"/>
    <w:rsid w:val="006C1C28"/>
    <w:rsid w:val="006C1F7D"/>
    <w:rsid w:val="006C2D83"/>
    <w:rsid w:val="00734613"/>
    <w:rsid w:val="00751910"/>
    <w:rsid w:val="00751E60"/>
    <w:rsid w:val="007547B5"/>
    <w:rsid w:val="00755FBB"/>
    <w:rsid w:val="007669F5"/>
    <w:rsid w:val="00776B77"/>
    <w:rsid w:val="00795A9E"/>
    <w:rsid w:val="007A52CB"/>
    <w:rsid w:val="007A606D"/>
    <w:rsid w:val="007C2214"/>
    <w:rsid w:val="00807B48"/>
    <w:rsid w:val="008135CA"/>
    <w:rsid w:val="0081584F"/>
    <w:rsid w:val="00841021"/>
    <w:rsid w:val="00864667"/>
    <w:rsid w:val="008703BF"/>
    <w:rsid w:val="008925CE"/>
    <w:rsid w:val="008C4D41"/>
    <w:rsid w:val="009041E8"/>
    <w:rsid w:val="009145FE"/>
    <w:rsid w:val="009225A5"/>
    <w:rsid w:val="00941079"/>
    <w:rsid w:val="009611B4"/>
    <w:rsid w:val="009624B4"/>
    <w:rsid w:val="009646D0"/>
    <w:rsid w:val="00967331"/>
    <w:rsid w:val="00981F45"/>
    <w:rsid w:val="00994D12"/>
    <w:rsid w:val="009B128B"/>
    <w:rsid w:val="009B3175"/>
    <w:rsid w:val="009C11D3"/>
    <w:rsid w:val="00A136DC"/>
    <w:rsid w:val="00A16F07"/>
    <w:rsid w:val="00A23B45"/>
    <w:rsid w:val="00A27CB2"/>
    <w:rsid w:val="00A42C41"/>
    <w:rsid w:val="00A62C7B"/>
    <w:rsid w:val="00A7709A"/>
    <w:rsid w:val="00AB25C1"/>
    <w:rsid w:val="00AB3814"/>
    <w:rsid w:val="00AE1842"/>
    <w:rsid w:val="00AE3C7C"/>
    <w:rsid w:val="00B122C8"/>
    <w:rsid w:val="00B31306"/>
    <w:rsid w:val="00B42814"/>
    <w:rsid w:val="00B664DD"/>
    <w:rsid w:val="00B83936"/>
    <w:rsid w:val="00BD6EB7"/>
    <w:rsid w:val="00C02F2D"/>
    <w:rsid w:val="00C46DA1"/>
    <w:rsid w:val="00C54D27"/>
    <w:rsid w:val="00C76EEB"/>
    <w:rsid w:val="00C9394B"/>
    <w:rsid w:val="00CD2D78"/>
    <w:rsid w:val="00CF26F3"/>
    <w:rsid w:val="00D01F5A"/>
    <w:rsid w:val="00D05D54"/>
    <w:rsid w:val="00D1716E"/>
    <w:rsid w:val="00D64E05"/>
    <w:rsid w:val="00D90A07"/>
    <w:rsid w:val="00D92FD3"/>
    <w:rsid w:val="00D94330"/>
    <w:rsid w:val="00DA3B6E"/>
    <w:rsid w:val="00DB7581"/>
    <w:rsid w:val="00DC70C1"/>
    <w:rsid w:val="00E04B37"/>
    <w:rsid w:val="00E11086"/>
    <w:rsid w:val="00E118A5"/>
    <w:rsid w:val="00E83C12"/>
    <w:rsid w:val="00E87CF8"/>
    <w:rsid w:val="00E904C8"/>
    <w:rsid w:val="00E975D2"/>
    <w:rsid w:val="00EA1BBF"/>
    <w:rsid w:val="00EB29A9"/>
    <w:rsid w:val="00EB77D2"/>
    <w:rsid w:val="00EE068F"/>
    <w:rsid w:val="00F00C03"/>
    <w:rsid w:val="00F316C8"/>
    <w:rsid w:val="00F632DE"/>
    <w:rsid w:val="00F735E4"/>
    <w:rsid w:val="00F9507C"/>
    <w:rsid w:val="00FA12EF"/>
    <w:rsid w:val="00FA7E7D"/>
    <w:rsid w:val="00FB7834"/>
    <w:rsid w:val="00FD4B6A"/>
    <w:rsid w:val="00FE2E10"/>
    <w:rsid w:val="00FE7BF4"/>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26F3"/>
    <w:rPr>
      <w:sz w:val="20"/>
      <w:szCs w:val="20"/>
    </w:rPr>
  </w:style>
  <w:style w:type="character" w:customStyle="1" w:styleId="FootnoteTextChar">
    <w:name w:val="Footnote Text Char"/>
    <w:basedOn w:val="DefaultParagraphFont"/>
    <w:link w:val="FootnoteText"/>
    <w:uiPriority w:val="99"/>
    <w:semiHidden/>
    <w:rsid w:val="00CF26F3"/>
    <w:rPr>
      <w:lang w:eastAsia="en-US"/>
    </w:rPr>
  </w:style>
  <w:style w:type="character" w:styleId="FootnoteReference">
    <w:name w:val="footnote reference"/>
    <w:basedOn w:val="DefaultParagraphFont"/>
    <w:uiPriority w:val="99"/>
    <w:semiHidden/>
    <w:unhideWhenUsed/>
    <w:rsid w:val="00CF26F3"/>
    <w:rPr>
      <w:vertAlign w:val="superscript"/>
    </w:rPr>
  </w:style>
  <w:style w:type="character" w:styleId="Hyperlink">
    <w:name w:val="Hyperlink"/>
    <w:basedOn w:val="DefaultParagraphFont"/>
    <w:uiPriority w:val="99"/>
    <w:unhideWhenUsed/>
    <w:rsid w:val="007669F5"/>
    <w:rPr>
      <w:color w:val="0563C1" w:themeColor="hyperlink"/>
      <w:u w:val="single"/>
    </w:rPr>
  </w:style>
  <w:style w:type="character" w:customStyle="1" w:styleId="UnresolvedMention1">
    <w:name w:val="Unresolved Mention1"/>
    <w:basedOn w:val="DefaultParagraphFont"/>
    <w:uiPriority w:val="99"/>
    <w:semiHidden/>
    <w:unhideWhenUsed/>
    <w:rsid w:val="007669F5"/>
    <w:rPr>
      <w:color w:val="605E5C"/>
      <w:shd w:val="clear" w:color="auto" w:fill="E1DFDD"/>
    </w:rPr>
  </w:style>
  <w:style w:type="paragraph" w:styleId="Revision">
    <w:name w:val="Revision"/>
    <w:hidden/>
    <w:uiPriority w:val="99"/>
    <w:semiHidden/>
    <w:rsid w:val="00B664DD"/>
    <w:rPr>
      <w:sz w:val="22"/>
      <w:szCs w:val="22"/>
      <w:lang w:eastAsia="en-US"/>
    </w:rPr>
  </w:style>
  <w:style w:type="character" w:styleId="CommentReference">
    <w:name w:val="annotation reference"/>
    <w:basedOn w:val="DefaultParagraphFont"/>
    <w:uiPriority w:val="99"/>
    <w:semiHidden/>
    <w:unhideWhenUsed/>
    <w:rsid w:val="001138F0"/>
    <w:rPr>
      <w:sz w:val="16"/>
      <w:szCs w:val="16"/>
    </w:rPr>
  </w:style>
  <w:style w:type="paragraph" w:styleId="CommentText">
    <w:name w:val="annotation text"/>
    <w:basedOn w:val="Normal"/>
    <w:link w:val="CommentTextChar"/>
    <w:uiPriority w:val="99"/>
    <w:unhideWhenUsed/>
    <w:rsid w:val="001138F0"/>
    <w:rPr>
      <w:sz w:val="20"/>
      <w:szCs w:val="20"/>
    </w:rPr>
  </w:style>
  <w:style w:type="character" w:customStyle="1" w:styleId="CommentTextChar">
    <w:name w:val="Comment Text Char"/>
    <w:basedOn w:val="DefaultParagraphFont"/>
    <w:link w:val="CommentText"/>
    <w:uiPriority w:val="99"/>
    <w:rsid w:val="001138F0"/>
    <w:rPr>
      <w:lang w:eastAsia="en-US"/>
    </w:rPr>
  </w:style>
  <w:style w:type="paragraph" w:styleId="CommentSubject">
    <w:name w:val="annotation subject"/>
    <w:basedOn w:val="CommentText"/>
    <w:next w:val="CommentText"/>
    <w:link w:val="CommentSubjectChar"/>
    <w:uiPriority w:val="99"/>
    <w:semiHidden/>
    <w:unhideWhenUsed/>
    <w:rsid w:val="001138F0"/>
    <w:rPr>
      <w:b/>
      <w:bCs/>
    </w:rPr>
  </w:style>
  <w:style w:type="character" w:customStyle="1" w:styleId="CommentSubjectChar">
    <w:name w:val="Comment Subject Char"/>
    <w:basedOn w:val="CommentTextChar"/>
    <w:link w:val="CommentSubject"/>
    <w:uiPriority w:val="99"/>
    <w:semiHidden/>
    <w:rsid w:val="001138F0"/>
    <w:rPr>
      <w:b/>
      <w:bCs/>
      <w:lang w:eastAsia="en-US"/>
    </w:rPr>
  </w:style>
  <w:style w:type="paragraph" w:styleId="NormalWeb">
    <w:name w:val="Normal (Web)"/>
    <w:basedOn w:val="Normal"/>
    <w:uiPriority w:val="99"/>
    <w:unhideWhenUsed/>
    <w:rsid w:val="00B122C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122C8"/>
    <w:rPr>
      <w:b/>
      <w:bCs/>
    </w:rPr>
  </w:style>
  <w:style w:type="character" w:styleId="FollowedHyperlink">
    <w:name w:val="FollowedHyperlink"/>
    <w:basedOn w:val="DefaultParagraphFont"/>
    <w:uiPriority w:val="99"/>
    <w:semiHidden/>
    <w:unhideWhenUsed/>
    <w:rsid w:val="00AB3814"/>
    <w:rPr>
      <w:color w:val="954F72" w:themeColor="followedHyperlink"/>
      <w:u w:val="single"/>
    </w:rPr>
  </w:style>
  <w:style w:type="paragraph" w:styleId="BalloonText">
    <w:name w:val="Balloon Text"/>
    <w:basedOn w:val="Normal"/>
    <w:link w:val="BalloonTextChar"/>
    <w:uiPriority w:val="99"/>
    <w:semiHidden/>
    <w:unhideWhenUsed/>
    <w:rsid w:val="005D7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89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cronyms.com/CSO/Civil_Society_Organis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agree_internation/2023/2862/oj" TargetMode="External"/><Relationship Id="rId2" Type="http://schemas.openxmlformats.org/officeDocument/2006/relationships/hyperlink" Target="https://eur-lex.europa.eu/legal-content/EN/TXT/PDF/?uri=CELEX:52020JC0004" TargetMode="External"/><Relationship Id="rId1" Type="http://schemas.openxmlformats.org/officeDocument/2006/relationships/hyperlink" Target="https://au.int/sites/default/files/pressreleases/41509-pr-PR-_6th_European_Union_-_African_Union_Summit_-_A_Joint_Vision_for_2030.pdf" TargetMode="External"/><Relationship Id="rId6" Type="http://schemas.openxmlformats.org/officeDocument/2006/relationships/hyperlink" Target="https://capacity4dev.europa.eu/groups/public-governance-civilsociety/info/thematic-programmes_en" TargetMode="External"/><Relationship Id="rId5" Type="http://schemas.openxmlformats.org/officeDocument/2006/relationships/hyperlink" Target="https://www.csoplatform.africa/about" TargetMode="External"/><Relationship Id="rId4" Type="http://schemas.openxmlformats.org/officeDocument/2006/relationships/hyperlink" Target="https://anticorruption.au.int/sites/default/files/files/2021-06/combattingcorruptionconventiona5v2enreduc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6A48-C08C-488F-966F-4CBBB3B3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8010</Characters>
  <Application>Microsoft Office Word</Application>
  <DocSecurity>0</DocSecurity>
  <Lines>117</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2025-12-16T14:40:00Z</dcterms:created>
  <dcterms:modified xsi:type="dcterms:W3CDTF">2025-12-16T14:40:00Z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