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46CCF714">
        <w:trPr>
          <w:jc w:val="center"/>
        </w:trPr>
        <w:tc>
          <w:tcPr>
            <w:tcW w:w="9711" w:type="dxa"/>
          </w:tcPr>
          <w:p w14:paraId="3A4EDC3A" w14:textId="4EF5DEC7" w:rsidR="001C4138" w:rsidRPr="00AF7BEE" w:rsidRDefault="6D9BF56D" w:rsidP="00585EEB">
            <w:pPr>
              <w:widowControl w:val="0"/>
              <w:spacing w:before="120" w:after="120"/>
              <w:ind w:left="74"/>
              <w:rPr>
                <w:rFonts w:ascii="Times New Roman" w:hAnsi="Times New Roman"/>
                <w:b/>
                <w:bCs/>
                <w:sz w:val="24"/>
                <w:szCs w:val="24"/>
              </w:rPr>
            </w:pPr>
            <w:r w:rsidRPr="00AF7BEE">
              <w:rPr>
                <w:rFonts w:ascii="Times New Roman" w:eastAsia="Times New Roman" w:hAnsi="Times New Roman"/>
                <w:b/>
                <w:bCs/>
                <w:sz w:val="24"/>
                <w:szCs w:val="24"/>
              </w:rPr>
              <w:t>Artificial Intelligence: the way forward</w:t>
            </w:r>
            <w:r w:rsidR="001C4138" w:rsidRPr="00AF7BEE">
              <w:rPr>
                <w:rFonts w:ascii="Times New Roman" w:hAnsi="Times New Roman"/>
                <w:sz w:val="24"/>
                <w:szCs w:val="24"/>
              </w:rPr>
              <w:br/>
            </w:r>
            <w:r w:rsidR="00CA000F" w:rsidRPr="00AF7BEE">
              <w:rPr>
                <w:rFonts w:ascii="Times New Roman" w:hAnsi="Times New Roman"/>
                <w:b/>
                <w:bCs/>
                <w:sz w:val="24"/>
                <w:szCs w:val="24"/>
              </w:rPr>
              <w:t>(exploratory opinion requested by the European Commission</w:t>
            </w:r>
            <w:r w:rsidR="007503B1" w:rsidRPr="00AF7BEE">
              <w:rPr>
                <w:rFonts w:ascii="Times New Roman" w:hAnsi="Times New Roman"/>
                <w:b/>
                <w:bCs/>
                <w:sz w:val="24"/>
                <w:szCs w:val="24"/>
              </w:rPr>
              <w:t xml:space="preserve"> and the Hungarian Presidency)</w:t>
            </w:r>
            <w:r w:rsidR="001C4138" w:rsidRPr="00AF7BEE">
              <w:rPr>
                <w:rFonts w:ascii="Times New Roman" w:hAnsi="Times New Roman"/>
                <w:sz w:val="24"/>
                <w:szCs w:val="24"/>
              </w:rPr>
              <w:br/>
            </w:r>
            <w:r w:rsidR="3AF95060" w:rsidRPr="00AF7BEE">
              <w:rPr>
                <w:rFonts w:ascii="Times New Roman" w:hAnsi="Times New Roman"/>
                <w:b/>
                <w:bCs/>
                <w:sz w:val="24"/>
                <w:szCs w:val="24"/>
                <w:lang w:val="en-IE"/>
              </w:rPr>
              <w:t>EESC-2024-00602</w:t>
            </w:r>
            <w:r w:rsidR="00AF7BEE">
              <w:rPr>
                <w:rFonts w:ascii="Times New Roman" w:hAnsi="Times New Roman"/>
                <w:b/>
                <w:bCs/>
                <w:sz w:val="24"/>
                <w:szCs w:val="24"/>
                <w:lang w:val="en-IE"/>
              </w:rPr>
              <w:t xml:space="preserve"> </w:t>
            </w:r>
            <w:r w:rsidR="00AF7BEE" w:rsidRPr="00AF7BEE">
              <w:rPr>
                <w:rFonts w:ascii="Times New Roman" w:hAnsi="Times New Roman"/>
                <w:b/>
                <w:bCs/>
                <w:sz w:val="24"/>
                <w:szCs w:val="24"/>
              </w:rPr>
              <w:t>–</w:t>
            </w:r>
            <w:r w:rsidR="00AF7BEE">
              <w:rPr>
                <w:rFonts w:ascii="Times New Roman" w:hAnsi="Times New Roman"/>
                <w:b/>
                <w:bCs/>
                <w:sz w:val="24"/>
                <w:szCs w:val="24"/>
              </w:rPr>
              <w:t xml:space="preserve"> INT/1055</w:t>
            </w:r>
            <w:r w:rsidR="001C4138" w:rsidRPr="00AF7BEE">
              <w:rPr>
                <w:rFonts w:ascii="Times New Roman" w:hAnsi="Times New Roman"/>
                <w:sz w:val="24"/>
                <w:szCs w:val="24"/>
              </w:rPr>
              <w:br/>
            </w:r>
            <w:r w:rsidR="1DDE4D30" w:rsidRPr="00AF7BEE">
              <w:rPr>
                <w:rFonts w:ascii="Times New Roman" w:hAnsi="Times New Roman"/>
                <w:b/>
                <w:bCs/>
                <w:sz w:val="24"/>
                <w:szCs w:val="24"/>
              </w:rPr>
              <w:t>591</w:t>
            </w:r>
            <w:proofErr w:type="spellStart"/>
            <w:r w:rsidR="001C4138" w:rsidRPr="00AF7BEE">
              <w:rPr>
                <w:rFonts w:ascii="Times New Roman" w:hAnsi="Times New Roman"/>
                <w:b/>
                <w:bCs/>
                <w:sz w:val="24"/>
                <w:szCs w:val="24"/>
                <w:vertAlign w:val="superscript"/>
                <w:lang w:val="en-IE"/>
              </w:rPr>
              <w:t>st</w:t>
            </w:r>
            <w:proofErr w:type="spellEnd"/>
            <w:r w:rsidR="001C4138" w:rsidRPr="00AF7BEE">
              <w:rPr>
                <w:rFonts w:ascii="Times New Roman" w:hAnsi="Times New Roman"/>
                <w:b/>
                <w:bCs/>
                <w:sz w:val="24"/>
                <w:szCs w:val="24"/>
                <w:lang w:val="en-IE"/>
              </w:rPr>
              <w:t xml:space="preserve"> </w:t>
            </w:r>
            <w:r w:rsidR="001C4138" w:rsidRPr="00AF7BEE">
              <w:rPr>
                <w:rFonts w:ascii="Times New Roman" w:hAnsi="Times New Roman"/>
                <w:b/>
                <w:bCs/>
                <w:sz w:val="24"/>
                <w:szCs w:val="24"/>
              </w:rPr>
              <w:t xml:space="preserve">Plenary Session – </w:t>
            </w:r>
            <w:r w:rsidR="34A97684" w:rsidRPr="00AF7BEE">
              <w:rPr>
                <w:rFonts w:ascii="Times New Roman" w:hAnsi="Times New Roman"/>
                <w:b/>
                <w:bCs/>
                <w:sz w:val="24"/>
                <w:szCs w:val="24"/>
              </w:rPr>
              <w:t>October 2024</w:t>
            </w:r>
            <w:r w:rsidR="001C4138" w:rsidRPr="00AF7BEE">
              <w:rPr>
                <w:rFonts w:ascii="Times New Roman" w:hAnsi="Times New Roman"/>
                <w:sz w:val="24"/>
                <w:szCs w:val="24"/>
              </w:rPr>
              <w:br/>
            </w:r>
            <w:r w:rsidR="001C4138" w:rsidRPr="00AF7BEE">
              <w:rPr>
                <w:rFonts w:ascii="Times New Roman" w:hAnsi="Times New Roman"/>
                <w:b/>
                <w:bCs/>
                <w:sz w:val="24"/>
                <w:szCs w:val="24"/>
              </w:rPr>
              <w:t xml:space="preserve">Rapporteur: </w:t>
            </w:r>
            <w:r w:rsidR="4FBCEC26" w:rsidRPr="00AF7BEE">
              <w:rPr>
                <w:rFonts w:ascii="Times New Roman" w:eastAsia="Times New Roman" w:hAnsi="Times New Roman"/>
                <w:b/>
                <w:bCs/>
                <w:sz w:val="24"/>
                <w:szCs w:val="24"/>
                <w:lang w:val="en-IE"/>
              </w:rPr>
              <w:t>Sandra PARTHIE (DE-I)</w:t>
            </w:r>
            <w:r w:rsidR="001C4138" w:rsidRPr="00AF7BEE">
              <w:rPr>
                <w:rFonts w:ascii="Times New Roman" w:hAnsi="Times New Roman"/>
                <w:sz w:val="24"/>
                <w:szCs w:val="24"/>
              </w:rPr>
              <w:br/>
            </w:r>
            <w:r w:rsidR="001C4138" w:rsidRPr="00AF7BEE">
              <w:rPr>
                <w:rFonts w:ascii="Times New Roman" w:hAnsi="Times New Roman"/>
                <w:b/>
                <w:bCs/>
                <w:sz w:val="24"/>
                <w:szCs w:val="24"/>
              </w:rPr>
              <w:t xml:space="preserve">DG </w:t>
            </w:r>
            <w:r w:rsidR="46D3C974" w:rsidRPr="00AF7BEE">
              <w:rPr>
                <w:rFonts w:ascii="Times New Roman" w:hAnsi="Times New Roman"/>
                <w:b/>
                <w:bCs/>
                <w:sz w:val="24"/>
                <w:szCs w:val="24"/>
              </w:rPr>
              <w:t xml:space="preserve">CNECT </w:t>
            </w:r>
            <w:r w:rsidR="001C4138" w:rsidRPr="00AF7BEE">
              <w:rPr>
                <w:rFonts w:ascii="Times New Roman" w:hAnsi="Times New Roman"/>
                <w:b/>
                <w:bCs/>
                <w:sz w:val="24"/>
                <w:szCs w:val="24"/>
              </w:rPr>
              <w:t xml:space="preserve">– Commissioner </w:t>
            </w:r>
            <w:r w:rsidR="00AD6F13" w:rsidRPr="00AF7BEE">
              <w:rPr>
                <w:rFonts w:ascii="Times New Roman" w:hAnsi="Times New Roman"/>
                <w:b/>
                <w:bCs/>
                <w:caps/>
                <w:sz w:val="24"/>
                <w:szCs w:val="24"/>
              </w:rPr>
              <w:t>VIRKKUNEN</w:t>
            </w:r>
          </w:p>
        </w:tc>
      </w:tr>
      <w:tr w:rsidR="00734613" w:rsidRPr="00442552" w14:paraId="1937071F" w14:textId="77777777" w:rsidTr="46CCF714">
        <w:trPr>
          <w:jc w:val="center"/>
        </w:trPr>
        <w:tc>
          <w:tcPr>
            <w:tcW w:w="9711" w:type="dxa"/>
          </w:tcPr>
          <w:p w14:paraId="1E50B4DB" w14:textId="3ECCD1E7"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263F71">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46CCF714">
        <w:trPr>
          <w:jc w:val="center"/>
        </w:trPr>
        <w:tc>
          <w:tcPr>
            <w:tcW w:w="9711" w:type="dxa"/>
          </w:tcPr>
          <w:p w14:paraId="2C6134CD" w14:textId="4970470B" w:rsidR="005229BF" w:rsidRPr="00AF7BEE" w:rsidRDefault="00070307" w:rsidP="00AF7BEE">
            <w:pPr>
              <w:widowControl w:val="0"/>
              <w:spacing w:before="120" w:after="120"/>
              <w:ind w:left="74" w:right="74"/>
              <w:jc w:val="both"/>
              <w:rPr>
                <w:rFonts w:ascii="Times New Roman" w:hAnsi="Times New Roman"/>
                <w:sz w:val="24"/>
                <w:szCs w:val="24"/>
              </w:rPr>
            </w:pPr>
            <w:r w:rsidRPr="00AF7BEE">
              <w:rPr>
                <w:rFonts w:ascii="Times New Roman" w:hAnsi="Times New Roman"/>
                <w:sz w:val="24"/>
                <w:szCs w:val="24"/>
              </w:rPr>
              <w:t xml:space="preserve">The Commission welcomes the </w:t>
            </w:r>
            <w:r w:rsidR="00EC3777" w:rsidRPr="00AF7BEE">
              <w:rPr>
                <w:rFonts w:ascii="Times New Roman" w:hAnsi="Times New Roman"/>
                <w:sz w:val="24"/>
                <w:szCs w:val="24"/>
              </w:rPr>
              <w:t xml:space="preserve">exploratory </w:t>
            </w:r>
            <w:r w:rsidRPr="00AF7BEE">
              <w:rPr>
                <w:rFonts w:ascii="Times New Roman" w:hAnsi="Times New Roman"/>
                <w:sz w:val="24"/>
                <w:szCs w:val="24"/>
              </w:rPr>
              <w:t xml:space="preserve">opinion of the Committee and particularly </w:t>
            </w:r>
            <w:r w:rsidR="00892846" w:rsidRPr="00AF7BEE">
              <w:rPr>
                <w:rFonts w:ascii="Times New Roman" w:hAnsi="Times New Roman"/>
                <w:sz w:val="24"/>
                <w:szCs w:val="24"/>
              </w:rPr>
              <w:t>shares</w:t>
            </w:r>
            <w:r w:rsidRPr="00AF7BEE">
              <w:rPr>
                <w:rFonts w:ascii="Times New Roman" w:hAnsi="Times New Roman"/>
                <w:sz w:val="24"/>
                <w:szCs w:val="24"/>
              </w:rPr>
              <w:t xml:space="preserve"> the Committee</w:t>
            </w:r>
            <w:r w:rsidR="00892846" w:rsidRPr="00AF7BEE">
              <w:rPr>
                <w:rFonts w:ascii="Times New Roman" w:hAnsi="Times New Roman"/>
                <w:sz w:val="24"/>
                <w:szCs w:val="24"/>
              </w:rPr>
              <w:t xml:space="preserve">’s view on </w:t>
            </w:r>
            <w:r w:rsidR="008A6670" w:rsidRPr="00AF7BEE">
              <w:rPr>
                <w:rFonts w:ascii="Times New Roman" w:hAnsi="Times New Roman"/>
                <w:sz w:val="24"/>
                <w:szCs w:val="24"/>
              </w:rPr>
              <w:t>the importance of a</w:t>
            </w:r>
            <w:r w:rsidR="00042F52" w:rsidRPr="00AF7BEE">
              <w:rPr>
                <w:rFonts w:ascii="Times New Roman" w:hAnsi="Times New Roman"/>
                <w:sz w:val="24"/>
                <w:szCs w:val="24"/>
              </w:rPr>
              <w:t>ddressing the risk</w:t>
            </w:r>
            <w:r w:rsidR="00466CAD" w:rsidRPr="00AF7BEE">
              <w:rPr>
                <w:rFonts w:ascii="Times New Roman" w:hAnsi="Times New Roman"/>
                <w:sz w:val="24"/>
                <w:szCs w:val="24"/>
              </w:rPr>
              <w:t>s that stem f</w:t>
            </w:r>
            <w:r w:rsidR="002109D1" w:rsidRPr="00AF7BEE">
              <w:rPr>
                <w:rFonts w:ascii="Times New Roman" w:hAnsi="Times New Roman"/>
                <w:sz w:val="24"/>
                <w:szCs w:val="24"/>
              </w:rPr>
              <w:t xml:space="preserve">rom </w:t>
            </w:r>
            <w:r w:rsidR="00D04544" w:rsidRPr="00AF7BEE">
              <w:rPr>
                <w:rFonts w:ascii="Times New Roman" w:hAnsi="Times New Roman"/>
                <w:sz w:val="24"/>
                <w:szCs w:val="24"/>
              </w:rPr>
              <w:t>the development</w:t>
            </w:r>
            <w:r w:rsidR="00C34712" w:rsidRPr="00AF7BEE">
              <w:rPr>
                <w:rFonts w:ascii="Times New Roman" w:hAnsi="Times New Roman"/>
                <w:sz w:val="24"/>
                <w:szCs w:val="24"/>
              </w:rPr>
              <w:t xml:space="preserve"> and </w:t>
            </w:r>
            <w:r w:rsidR="00D04544" w:rsidRPr="00AF7BEE">
              <w:rPr>
                <w:rFonts w:ascii="Times New Roman" w:hAnsi="Times New Roman"/>
                <w:sz w:val="24"/>
                <w:szCs w:val="24"/>
              </w:rPr>
              <w:t>use of</w:t>
            </w:r>
            <w:r w:rsidR="00042F52" w:rsidRPr="00AF7BEE">
              <w:rPr>
                <w:rFonts w:ascii="Times New Roman" w:hAnsi="Times New Roman"/>
                <w:sz w:val="24"/>
                <w:szCs w:val="24"/>
              </w:rPr>
              <w:t xml:space="preserve"> </w:t>
            </w:r>
            <w:r w:rsidR="00672537" w:rsidRPr="00AF7BEE">
              <w:rPr>
                <w:rFonts w:ascii="Times New Roman" w:hAnsi="Times New Roman"/>
                <w:sz w:val="24"/>
                <w:szCs w:val="24"/>
              </w:rPr>
              <w:t xml:space="preserve">General-Purpose </w:t>
            </w:r>
            <w:r w:rsidR="00AF7BEE" w:rsidRPr="00AF7BEE">
              <w:rPr>
                <w:rFonts w:ascii="Times New Roman" w:hAnsi="Times New Roman"/>
                <w:sz w:val="24"/>
                <w:szCs w:val="24"/>
              </w:rPr>
              <w:t>A</w:t>
            </w:r>
            <w:r w:rsidR="00AF7BEE">
              <w:rPr>
                <w:rFonts w:ascii="Times New Roman" w:hAnsi="Times New Roman"/>
                <w:sz w:val="24"/>
                <w:szCs w:val="24"/>
              </w:rPr>
              <w:t xml:space="preserve">rtificial </w:t>
            </w:r>
            <w:r w:rsidR="00672537" w:rsidRPr="00AF7BEE">
              <w:rPr>
                <w:rFonts w:ascii="Times New Roman" w:hAnsi="Times New Roman"/>
                <w:sz w:val="24"/>
                <w:szCs w:val="24"/>
              </w:rPr>
              <w:t>I</w:t>
            </w:r>
            <w:r w:rsidR="00AF7BEE">
              <w:rPr>
                <w:rFonts w:ascii="Times New Roman" w:hAnsi="Times New Roman"/>
                <w:sz w:val="24"/>
                <w:szCs w:val="24"/>
              </w:rPr>
              <w:t>ntelligence</w:t>
            </w:r>
            <w:r w:rsidR="00672537" w:rsidRPr="00AF7BEE">
              <w:rPr>
                <w:rFonts w:ascii="Times New Roman" w:hAnsi="Times New Roman"/>
                <w:sz w:val="24"/>
                <w:szCs w:val="24"/>
              </w:rPr>
              <w:t xml:space="preserve"> </w:t>
            </w:r>
            <w:r w:rsidR="00DA425E" w:rsidRPr="00AF7BEE">
              <w:rPr>
                <w:rFonts w:ascii="Times New Roman" w:hAnsi="Times New Roman"/>
                <w:sz w:val="24"/>
                <w:szCs w:val="24"/>
              </w:rPr>
              <w:t xml:space="preserve">(‘GPAI’) </w:t>
            </w:r>
            <w:r w:rsidR="00672537" w:rsidRPr="00AF7BEE">
              <w:rPr>
                <w:rFonts w:ascii="Times New Roman" w:hAnsi="Times New Roman"/>
                <w:sz w:val="24"/>
                <w:szCs w:val="24"/>
              </w:rPr>
              <w:t>model</w:t>
            </w:r>
            <w:r w:rsidR="00D04544" w:rsidRPr="00AF7BEE">
              <w:rPr>
                <w:rFonts w:ascii="Times New Roman" w:hAnsi="Times New Roman"/>
                <w:sz w:val="24"/>
                <w:szCs w:val="24"/>
              </w:rPr>
              <w:t>s.</w:t>
            </w:r>
          </w:p>
          <w:p w14:paraId="43622784" w14:textId="4E12BE60" w:rsidR="004D5347" w:rsidRPr="00AF7BEE" w:rsidRDefault="004D5347" w:rsidP="00AF7BEE">
            <w:pPr>
              <w:widowControl w:val="0"/>
              <w:spacing w:before="120" w:after="120"/>
              <w:ind w:left="74" w:right="74"/>
              <w:jc w:val="both"/>
              <w:rPr>
                <w:rFonts w:ascii="Times New Roman" w:hAnsi="Times New Roman"/>
                <w:sz w:val="24"/>
                <w:szCs w:val="24"/>
              </w:rPr>
            </w:pPr>
            <w:r w:rsidRPr="00AF7BEE">
              <w:rPr>
                <w:rFonts w:ascii="Times New Roman" w:hAnsi="Times New Roman"/>
                <w:sz w:val="24"/>
                <w:szCs w:val="24"/>
              </w:rPr>
              <w:t xml:space="preserve">The Commission takes due account </w:t>
            </w:r>
            <w:r w:rsidR="00FB1B64" w:rsidRPr="00AF7BEE">
              <w:rPr>
                <w:rFonts w:ascii="Times New Roman" w:hAnsi="Times New Roman"/>
                <w:sz w:val="24"/>
                <w:szCs w:val="24"/>
              </w:rPr>
              <w:t>of</w:t>
            </w:r>
            <w:r w:rsidRPr="00AF7BEE">
              <w:rPr>
                <w:rFonts w:ascii="Times New Roman" w:hAnsi="Times New Roman"/>
                <w:sz w:val="24"/>
                <w:szCs w:val="24"/>
              </w:rPr>
              <w:t xml:space="preserve"> </w:t>
            </w:r>
            <w:r w:rsidR="009E0A0D" w:rsidRPr="00AF7BEE">
              <w:rPr>
                <w:rFonts w:ascii="Times New Roman" w:hAnsi="Times New Roman"/>
                <w:sz w:val="24"/>
                <w:szCs w:val="24"/>
              </w:rPr>
              <w:t xml:space="preserve">the Committee’s remark on </w:t>
            </w:r>
            <w:r w:rsidR="00FB1B64" w:rsidRPr="00AF7BEE">
              <w:rPr>
                <w:rFonts w:ascii="Times New Roman" w:hAnsi="Times New Roman"/>
                <w:sz w:val="24"/>
                <w:szCs w:val="24"/>
              </w:rPr>
              <w:t xml:space="preserve">the </w:t>
            </w:r>
            <w:r w:rsidR="009E0A0D" w:rsidRPr="00AF7BEE">
              <w:rPr>
                <w:rFonts w:ascii="Times New Roman" w:hAnsi="Times New Roman"/>
                <w:sz w:val="24"/>
                <w:szCs w:val="24"/>
              </w:rPr>
              <w:t>rapid pace of AI development</w:t>
            </w:r>
            <w:r w:rsidR="005C2B6E" w:rsidRPr="00AF7BEE">
              <w:rPr>
                <w:rFonts w:ascii="Times New Roman" w:hAnsi="Times New Roman"/>
                <w:sz w:val="24"/>
                <w:szCs w:val="24"/>
              </w:rPr>
              <w:t xml:space="preserve"> (point </w:t>
            </w:r>
            <w:r w:rsidR="004E510E" w:rsidRPr="00AF7BEE">
              <w:rPr>
                <w:rFonts w:ascii="Times New Roman" w:hAnsi="Times New Roman"/>
                <w:sz w:val="24"/>
                <w:szCs w:val="24"/>
              </w:rPr>
              <w:t>2.1 of the opinion)</w:t>
            </w:r>
            <w:r w:rsidR="003E1631" w:rsidRPr="00AF7BEE">
              <w:rPr>
                <w:rFonts w:ascii="Times New Roman" w:hAnsi="Times New Roman"/>
                <w:sz w:val="24"/>
                <w:szCs w:val="24"/>
              </w:rPr>
              <w:t xml:space="preserve">. </w:t>
            </w:r>
            <w:r w:rsidR="00FB1B64" w:rsidRPr="00AF7BEE">
              <w:rPr>
                <w:rFonts w:ascii="Times New Roman" w:hAnsi="Times New Roman"/>
                <w:sz w:val="24"/>
                <w:szCs w:val="24"/>
              </w:rPr>
              <w:t xml:space="preserve">When </w:t>
            </w:r>
            <w:r w:rsidR="003E1631" w:rsidRPr="00AF7BEE">
              <w:rPr>
                <w:rFonts w:ascii="Times New Roman" w:hAnsi="Times New Roman"/>
                <w:sz w:val="24"/>
                <w:szCs w:val="24"/>
              </w:rPr>
              <w:t xml:space="preserve">regulating new and evolving technologies </w:t>
            </w:r>
            <w:r w:rsidR="00FB1B64" w:rsidRPr="00AF7BEE">
              <w:rPr>
                <w:rFonts w:ascii="Times New Roman" w:hAnsi="Times New Roman"/>
                <w:sz w:val="24"/>
                <w:szCs w:val="24"/>
              </w:rPr>
              <w:t xml:space="preserve">such as </w:t>
            </w:r>
            <w:r w:rsidR="003E1631" w:rsidRPr="00AF7BEE">
              <w:rPr>
                <w:rFonts w:ascii="Times New Roman" w:hAnsi="Times New Roman"/>
                <w:sz w:val="24"/>
                <w:szCs w:val="24"/>
              </w:rPr>
              <w:t>AI, it is crucial to build a framework that is flexible and future-proof.</w:t>
            </w:r>
            <w:r w:rsidR="00D0102C" w:rsidRPr="00AF7BEE">
              <w:rPr>
                <w:rFonts w:ascii="Times New Roman" w:hAnsi="Times New Roman"/>
                <w:sz w:val="24"/>
                <w:szCs w:val="24"/>
              </w:rPr>
              <w:t xml:space="preserve"> </w:t>
            </w:r>
            <w:r w:rsidR="00D61506" w:rsidRPr="00AF7BEE">
              <w:rPr>
                <w:rFonts w:ascii="Times New Roman" w:hAnsi="Times New Roman"/>
                <w:sz w:val="24"/>
                <w:szCs w:val="24"/>
              </w:rPr>
              <w:t>For this reason, t</w:t>
            </w:r>
            <w:r w:rsidR="00D0102C" w:rsidRPr="00AF7BEE">
              <w:rPr>
                <w:rFonts w:ascii="Times New Roman" w:hAnsi="Times New Roman"/>
                <w:sz w:val="24"/>
                <w:szCs w:val="24"/>
              </w:rPr>
              <w:t>he Commission</w:t>
            </w:r>
            <w:r w:rsidR="001060E0" w:rsidRPr="00AF7BEE">
              <w:rPr>
                <w:rFonts w:ascii="Times New Roman" w:hAnsi="Times New Roman"/>
                <w:sz w:val="24"/>
                <w:szCs w:val="24"/>
              </w:rPr>
              <w:t xml:space="preserve"> </w:t>
            </w:r>
            <w:r w:rsidR="00D61506" w:rsidRPr="00AF7BEE">
              <w:rPr>
                <w:rFonts w:ascii="Times New Roman" w:hAnsi="Times New Roman"/>
                <w:sz w:val="24"/>
                <w:szCs w:val="24"/>
              </w:rPr>
              <w:t>is empowered to</w:t>
            </w:r>
            <w:r w:rsidR="001060E0" w:rsidRPr="00AF7BEE">
              <w:rPr>
                <w:rFonts w:ascii="Times New Roman" w:hAnsi="Times New Roman"/>
                <w:sz w:val="24"/>
                <w:szCs w:val="24"/>
              </w:rPr>
              <w:t xml:space="preserve"> update elements of the AI Act</w:t>
            </w:r>
            <w:r w:rsidR="00AF7BEE">
              <w:rPr>
                <w:rStyle w:val="FootnoteReference"/>
                <w:rFonts w:ascii="Times New Roman" w:hAnsi="Times New Roman"/>
                <w:sz w:val="24"/>
                <w:szCs w:val="24"/>
              </w:rPr>
              <w:footnoteReference w:id="2"/>
            </w:r>
            <w:r w:rsidR="001060E0" w:rsidRPr="00AF7BEE">
              <w:rPr>
                <w:rFonts w:ascii="Times New Roman" w:hAnsi="Times New Roman"/>
                <w:sz w:val="24"/>
                <w:szCs w:val="24"/>
              </w:rPr>
              <w:t xml:space="preserve"> through delegated and implementing acts.</w:t>
            </w:r>
            <w:r w:rsidR="00D61506" w:rsidRPr="00AF7BEE">
              <w:rPr>
                <w:rFonts w:ascii="Times New Roman" w:hAnsi="Times New Roman"/>
                <w:sz w:val="24"/>
                <w:szCs w:val="24"/>
              </w:rPr>
              <w:t xml:space="preserve"> Moreover, </w:t>
            </w:r>
            <w:r w:rsidR="004759B6" w:rsidRPr="00AF7BEE">
              <w:rPr>
                <w:rFonts w:ascii="Times New Roman" w:hAnsi="Times New Roman"/>
                <w:sz w:val="24"/>
                <w:szCs w:val="24"/>
              </w:rPr>
              <w:t xml:space="preserve">the Commission </w:t>
            </w:r>
            <w:r w:rsidR="0C4A7C5B" w:rsidRPr="00AF7BEE">
              <w:rPr>
                <w:rFonts w:ascii="Times New Roman" w:hAnsi="Times New Roman"/>
                <w:sz w:val="24"/>
                <w:szCs w:val="24"/>
              </w:rPr>
              <w:t>will carry out evaluations as foreseen in the AI Act, making sure that any need for revision is promptly identified and addressed</w:t>
            </w:r>
            <w:r w:rsidR="005C2B6E" w:rsidRPr="00AF7BEE">
              <w:rPr>
                <w:rFonts w:ascii="Times New Roman" w:hAnsi="Times New Roman"/>
                <w:sz w:val="24"/>
                <w:szCs w:val="24"/>
              </w:rPr>
              <w:t>.</w:t>
            </w:r>
          </w:p>
          <w:p w14:paraId="734EA42E" w14:textId="6F2B1603" w:rsidR="00ED0BC3" w:rsidRPr="00AF7BEE" w:rsidRDefault="30AE0C4D" w:rsidP="00AF7BEE">
            <w:pPr>
              <w:widowControl w:val="0"/>
              <w:spacing w:before="120" w:after="120"/>
              <w:ind w:left="74" w:right="74"/>
              <w:jc w:val="both"/>
              <w:rPr>
                <w:rFonts w:ascii="Times New Roman" w:hAnsi="Times New Roman"/>
                <w:sz w:val="24"/>
                <w:szCs w:val="24"/>
              </w:rPr>
            </w:pPr>
            <w:r w:rsidRPr="00AF7BEE">
              <w:rPr>
                <w:rFonts w:ascii="Times New Roman" w:hAnsi="Times New Roman"/>
                <w:sz w:val="24"/>
                <w:szCs w:val="24"/>
              </w:rPr>
              <w:t>Having said that, t</w:t>
            </w:r>
            <w:r w:rsidR="7F94DB27" w:rsidRPr="00AF7BEE">
              <w:rPr>
                <w:rFonts w:ascii="Times New Roman" w:hAnsi="Times New Roman"/>
                <w:sz w:val="24"/>
                <w:szCs w:val="24"/>
              </w:rPr>
              <w:t xml:space="preserve">he Commission </w:t>
            </w:r>
            <w:r w:rsidR="21E075E8" w:rsidRPr="00AF7BEE">
              <w:rPr>
                <w:rFonts w:ascii="Times New Roman" w:hAnsi="Times New Roman"/>
                <w:sz w:val="24"/>
                <w:szCs w:val="24"/>
              </w:rPr>
              <w:t>welcomes</w:t>
            </w:r>
            <w:r w:rsidR="34283926" w:rsidRPr="00AF7BEE">
              <w:rPr>
                <w:rFonts w:ascii="Times New Roman" w:hAnsi="Times New Roman"/>
                <w:sz w:val="24"/>
                <w:szCs w:val="24"/>
              </w:rPr>
              <w:t xml:space="preserve"> </w:t>
            </w:r>
            <w:r w:rsidR="7F94DB27" w:rsidRPr="00AF7BEE">
              <w:rPr>
                <w:rFonts w:ascii="Times New Roman" w:hAnsi="Times New Roman"/>
                <w:sz w:val="24"/>
                <w:szCs w:val="24"/>
              </w:rPr>
              <w:t xml:space="preserve">the </w:t>
            </w:r>
            <w:r w:rsidR="00FB1B64" w:rsidRPr="00AF7BEE">
              <w:rPr>
                <w:rFonts w:ascii="Times New Roman" w:hAnsi="Times New Roman"/>
                <w:sz w:val="24"/>
                <w:szCs w:val="24"/>
              </w:rPr>
              <w:t>Committee’s</w:t>
            </w:r>
            <w:r w:rsidR="7F94DB27" w:rsidRPr="00AF7BEE">
              <w:rPr>
                <w:rFonts w:ascii="Times New Roman" w:hAnsi="Times New Roman"/>
                <w:sz w:val="24"/>
                <w:szCs w:val="24"/>
              </w:rPr>
              <w:t xml:space="preserve"> emphasis </w:t>
            </w:r>
            <w:r w:rsidR="7984A31A" w:rsidRPr="00AF7BEE">
              <w:rPr>
                <w:rFonts w:ascii="Times New Roman" w:hAnsi="Times New Roman"/>
                <w:sz w:val="24"/>
                <w:szCs w:val="24"/>
              </w:rPr>
              <w:t>on the</w:t>
            </w:r>
            <w:r w:rsidR="258E819E" w:rsidRPr="00AF7BEE">
              <w:rPr>
                <w:rFonts w:ascii="Times New Roman" w:hAnsi="Times New Roman"/>
                <w:sz w:val="24"/>
                <w:szCs w:val="24"/>
              </w:rPr>
              <w:t xml:space="preserve"> crucial</w:t>
            </w:r>
            <w:r w:rsidR="7984A31A" w:rsidRPr="00AF7BEE">
              <w:rPr>
                <w:rFonts w:ascii="Times New Roman" w:hAnsi="Times New Roman"/>
                <w:sz w:val="24"/>
                <w:szCs w:val="24"/>
              </w:rPr>
              <w:t xml:space="preserve"> role of the AI Office </w:t>
            </w:r>
            <w:r w:rsidR="258E819E" w:rsidRPr="00AF7BEE">
              <w:rPr>
                <w:rFonts w:ascii="Times New Roman" w:hAnsi="Times New Roman"/>
                <w:sz w:val="24"/>
                <w:szCs w:val="24"/>
              </w:rPr>
              <w:t>in implementing and enforcing the AI Act’s provisions (</w:t>
            </w:r>
            <w:r w:rsidR="7DC784BA" w:rsidRPr="00AF7BEE">
              <w:rPr>
                <w:rFonts w:ascii="Times New Roman" w:hAnsi="Times New Roman"/>
                <w:sz w:val="24"/>
                <w:szCs w:val="24"/>
              </w:rPr>
              <w:t xml:space="preserve">points </w:t>
            </w:r>
            <w:r w:rsidR="7F94DB27" w:rsidRPr="00AF7BEE">
              <w:rPr>
                <w:rFonts w:ascii="Times New Roman" w:hAnsi="Times New Roman"/>
                <w:sz w:val="24"/>
                <w:szCs w:val="24"/>
              </w:rPr>
              <w:t>3.1.3 and 3.1.8</w:t>
            </w:r>
            <w:r w:rsidR="34283926" w:rsidRPr="00AF7BEE">
              <w:rPr>
                <w:rFonts w:ascii="Times New Roman" w:hAnsi="Times New Roman"/>
                <w:sz w:val="24"/>
                <w:szCs w:val="24"/>
              </w:rPr>
              <w:t xml:space="preserve"> of the opinion</w:t>
            </w:r>
            <w:r w:rsidR="258E819E" w:rsidRPr="00AF7BEE">
              <w:rPr>
                <w:rFonts w:ascii="Times New Roman" w:hAnsi="Times New Roman"/>
                <w:sz w:val="24"/>
                <w:szCs w:val="24"/>
              </w:rPr>
              <w:t>)</w:t>
            </w:r>
            <w:r w:rsidR="7F94DB27" w:rsidRPr="00AF7BEE">
              <w:rPr>
                <w:rFonts w:ascii="Times New Roman" w:hAnsi="Times New Roman"/>
                <w:sz w:val="24"/>
                <w:szCs w:val="24"/>
              </w:rPr>
              <w:t xml:space="preserve">. </w:t>
            </w:r>
            <w:r w:rsidR="008B8B5B" w:rsidRPr="00AF7BEE">
              <w:rPr>
                <w:rFonts w:ascii="Times New Roman" w:hAnsi="Times New Roman"/>
                <w:sz w:val="24"/>
                <w:szCs w:val="24"/>
              </w:rPr>
              <w:t xml:space="preserve">As the Committee </w:t>
            </w:r>
            <w:r w:rsidR="69EE4DDB" w:rsidRPr="00AF7BEE">
              <w:rPr>
                <w:rFonts w:ascii="Times New Roman" w:hAnsi="Times New Roman"/>
                <w:sz w:val="24"/>
                <w:szCs w:val="24"/>
              </w:rPr>
              <w:t xml:space="preserve">rightfully </w:t>
            </w:r>
            <w:r w:rsidR="7456ED7E" w:rsidRPr="00AF7BEE">
              <w:rPr>
                <w:rFonts w:ascii="Times New Roman" w:hAnsi="Times New Roman"/>
                <w:sz w:val="24"/>
                <w:szCs w:val="24"/>
              </w:rPr>
              <w:t>underline</w:t>
            </w:r>
            <w:r w:rsidR="69EE4DDB" w:rsidRPr="00AF7BEE">
              <w:rPr>
                <w:rFonts w:ascii="Times New Roman" w:hAnsi="Times New Roman"/>
                <w:sz w:val="24"/>
                <w:szCs w:val="24"/>
              </w:rPr>
              <w:t>d</w:t>
            </w:r>
            <w:r w:rsidR="7456ED7E" w:rsidRPr="00AF7BEE">
              <w:rPr>
                <w:rFonts w:ascii="Times New Roman" w:hAnsi="Times New Roman"/>
                <w:sz w:val="24"/>
                <w:szCs w:val="24"/>
              </w:rPr>
              <w:t xml:space="preserve">, </w:t>
            </w:r>
            <w:r w:rsidR="00FB1B64" w:rsidRPr="00AF7BEE">
              <w:rPr>
                <w:rFonts w:ascii="Times New Roman" w:hAnsi="Times New Roman"/>
                <w:sz w:val="24"/>
                <w:szCs w:val="24"/>
              </w:rPr>
              <w:t xml:space="preserve">sufficiently funding </w:t>
            </w:r>
            <w:r w:rsidR="7456ED7E" w:rsidRPr="00AF7BEE">
              <w:rPr>
                <w:rFonts w:ascii="Times New Roman" w:hAnsi="Times New Roman"/>
                <w:sz w:val="24"/>
                <w:szCs w:val="24"/>
              </w:rPr>
              <w:t xml:space="preserve">the </w:t>
            </w:r>
            <w:r w:rsidR="33D7476A" w:rsidRPr="00AF7BEE">
              <w:rPr>
                <w:rFonts w:ascii="Times New Roman" w:hAnsi="Times New Roman"/>
                <w:sz w:val="24"/>
                <w:szCs w:val="24"/>
              </w:rPr>
              <w:t>AI Office</w:t>
            </w:r>
            <w:r w:rsidR="66085270" w:rsidRPr="00AF7BEE">
              <w:rPr>
                <w:rFonts w:ascii="Times New Roman" w:hAnsi="Times New Roman"/>
                <w:sz w:val="24"/>
                <w:szCs w:val="24"/>
              </w:rPr>
              <w:t xml:space="preserve"> </w:t>
            </w:r>
            <w:r w:rsidR="7456ED7E" w:rsidRPr="00AF7BEE">
              <w:rPr>
                <w:rFonts w:ascii="Times New Roman" w:hAnsi="Times New Roman"/>
                <w:sz w:val="24"/>
                <w:szCs w:val="24"/>
              </w:rPr>
              <w:t xml:space="preserve">is </w:t>
            </w:r>
            <w:r w:rsidR="7B0BC341" w:rsidRPr="00AF7BEE">
              <w:rPr>
                <w:rFonts w:ascii="Times New Roman" w:hAnsi="Times New Roman"/>
                <w:sz w:val="24"/>
                <w:szCs w:val="24"/>
              </w:rPr>
              <w:t>of importance</w:t>
            </w:r>
            <w:r w:rsidR="00FB1B64" w:rsidRPr="00AF7BEE">
              <w:rPr>
                <w:rFonts w:ascii="Times New Roman" w:hAnsi="Times New Roman"/>
                <w:sz w:val="24"/>
                <w:szCs w:val="24"/>
              </w:rPr>
              <w:t>,</w:t>
            </w:r>
            <w:r w:rsidR="086435F5" w:rsidRPr="00AF7BEE">
              <w:rPr>
                <w:rFonts w:ascii="Times New Roman" w:hAnsi="Times New Roman"/>
                <w:sz w:val="24"/>
                <w:szCs w:val="24"/>
              </w:rPr>
              <w:t xml:space="preserve"> so </w:t>
            </w:r>
            <w:r w:rsidR="00FB1B64" w:rsidRPr="00AF7BEE">
              <w:rPr>
                <w:rFonts w:ascii="Times New Roman" w:hAnsi="Times New Roman"/>
                <w:sz w:val="24"/>
                <w:szCs w:val="24"/>
              </w:rPr>
              <w:t>that</w:t>
            </w:r>
            <w:r w:rsidR="086435F5" w:rsidRPr="00AF7BEE">
              <w:rPr>
                <w:rFonts w:ascii="Times New Roman" w:hAnsi="Times New Roman"/>
                <w:sz w:val="24"/>
                <w:szCs w:val="24"/>
              </w:rPr>
              <w:t xml:space="preserve"> it can </w:t>
            </w:r>
            <w:r w:rsidR="4D487FE6" w:rsidRPr="00AF7BEE">
              <w:rPr>
                <w:rFonts w:ascii="Times New Roman" w:hAnsi="Times New Roman"/>
                <w:sz w:val="24"/>
                <w:szCs w:val="24"/>
              </w:rPr>
              <w:t>attract</w:t>
            </w:r>
            <w:r w:rsidR="4F880330" w:rsidRPr="00AF7BEE">
              <w:rPr>
                <w:rFonts w:ascii="Times New Roman" w:hAnsi="Times New Roman"/>
                <w:sz w:val="24"/>
                <w:szCs w:val="24"/>
              </w:rPr>
              <w:t xml:space="preserve"> and </w:t>
            </w:r>
            <w:r w:rsidR="00FB1B64" w:rsidRPr="00AF7BEE">
              <w:rPr>
                <w:rFonts w:ascii="Times New Roman" w:hAnsi="Times New Roman"/>
                <w:sz w:val="24"/>
                <w:szCs w:val="24"/>
              </w:rPr>
              <w:t xml:space="preserve">retain </w:t>
            </w:r>
            <w:r w:rsidR="4D487FE6" w:rsidRPr="00AF7BEE">
              <w:rPr>
                <w:rFonts w:ascii="Times New Roman" w:hAnsi="Times New Roman"/>
                <w:sz w:val="24"/>
                <w:szCs w:val="24"/>
              </w:rPr>
              <w:t>talented AI exp</w:t>
            </w:r>
            <w:r w:rsidR="4F880330" w:rsidRPr="00AF7BEE">
              <w:rPr>
                <w:rFonts w:ascii="Times New Roman" w:hAnsi="Times New Roman"/>
                <w:sz w:val="24"/>
                <w:szCs w:val="24"/>
              </w:rPr>
              <w:t>erts</w:t>
            </w:r>
            <w:r w:rsidR="108C02A1" w:rsidRPr="00AF7BEE">
              <w:rPr>
                <w:rFonts w:ascii="Times New Roman" w:hAnsi="Times New Roman"/>
                <w:sz w:val="24"/>
                <w:szCs w:val="24"/>
              </w:rPr>
              <w:t>.</w:t>
            </w:r>
          </w:p>
          <w:p w14:paraId="41326458" w14:textId="6A5CF798" w:rsidR="00040CF3" w:rsidRPr="00AF7BEE" w:rsidRDefault="00784245" w:rsidP="00AF7BEE">
            <w:pPr>
              <w:pStyle w:val="NormalWeb"/>
              <w:widowControl w:val="0"/>
              <w:spacing w:before="120" w:beforeAutospacing="0" w:after="120" w:afterAutospacing="0" w:line="276" w:lineRule="auto"/>
              <w:ind w:left="74" w:right="74"/>
              <w:jc w:val="both"/>
            </w:pPr>
            <w:r w:rsidRPr="00AF7BEE">
              <w:t xml:space="preserve">The </w:t>
            </w:r>
            <w:r w:rsidR="00174549" w:rsidRPr="00AF7BEE">
              <w:t xml:space="preserve">Commission </w:t>
            </w:r>
            <w:r w:rsidR="00F80CD2" w:rsidRPr="00AF7BEE">
              <w:t xml:space="preserve">takes due account </w:t>
            </w:r>
            <w:r w:rsidR="00FB1B64" w:rsidRPr="00AF7BEE">
              <w:t>of</w:t>
            </w:r>
            <w:r w:rsidR="00F80CD2" w:rsidRPr="00AF7BEE">
              <w:t xml:space="preserve"> the </w:t>
            </w:r>
            <w:r w:rsidR="002020DB" w:rsidRPr="00AF7BEE">
              <w:t>Committee’s</w:t>
            </w:r>
            <w:r w:rsidR="004B5644" w:rsidRPr="00AF7BEE">
              <w:t xml:space="preserve"> </w:t>
            </w:r>
            <w:r w:rsidR="00F80CD2" w:rsidRPr="00AF7BEE">
              <w:t xml:space="preserve">recommendation </w:t>
            </w:r>
            <w:r w:rsidR="00174549" w:rsidRPr="00AF7BEE">
              <w:t xml:space="preserve">to organise dialogues with stakeholders, including social partners, </w:t>
            </w:r>
            <w:r w:rsidR="00263F71" w:rsidRPr="00AF7BEE">
              <w:t xml:space="preserve">on </w:t>
            </w:r>
            <w:r w:rsidR="00174549" w:rsidRPr="00AF7BEE">
              <w:t xml:space="preserve">the </w:t>
            </w:r>
            <w:r w:rsidR="001E6143" w:rsidRPr="00AF7BEE">
              <w:t xml:space="preserve">GPAI </w:t>
            </w:r>
            <w:r w:rsidR="007E0FF3" w:rsidRPr="00AF7BEE">
              <w:t>C</w:t>
            </w:r>
            <w:r w:rsidR="00174549" w:rsidRPr="00AF7BEE">
              <w:t>ode</w:t>
            </w:r>
            <w:r w:rsidR="001E6143" w:rsidRPr="00AF7BEE">
              <w:t xml:space="preserve"> </w:t>
            </w:r>
            <w:r w:rsidR="00174549" w:rsidRPr="00AF7BEE">
              <w:t xml:space="preserve">of </w:t>
            </w:r>
            <w:r w:rsidR="007E0FF3" w:rsidRPr="00AF7BEE">
              <w:t>P</w:t>
            </w:r>
            <w:r w:rsidR="00174549" w:rsidRPr="00AF7BEE">
              <w:t xml:space="preserve">ractice </w:t>
            </w:r>
            <w:r w:rsidR="004B5644" w:rsidRPr="00AF7BEE">
              <w:t xml:space="preserve">(point </w:t>
            </w:r>
            <w:r w:rsidR="006575D5" w:rsidRPr="00AF7BEE">
              <w:t>3.1.2 of the opinion)</w:t>
            </w:r>
            <w:r w:rsidR="00174549" w:rsidRPr="00AF7BEE">
              <w:t>.</w:t>
            </w:r>
            <w:r w:rsidR="00E73176" w:rsidRPr="00AF7BEE">
              <w:t xml:space="preserve"> The Code </w:t>
            </w:r>
            <w:r w:rsidR="00FB1B64" w:rsidRPr="00AF7BEE">
              <w:t>will</w:t>
            </w:r>
            <w:r w:rsidR="00AE28AC" w:rsidRPr="00AF7BEE">
              <w:t xml:space="preserve"> provide</w:t>
            </w:r>
            <w:r w:rsidR="00E73176" w:rsidRPr="00AF7BEE">
              <w:t xml:space="preserve"> detailed guidance on the AI Act's rules for providers of general-purpose AI models and those with systemic risks.</w:t>
            </w:r>
            <w:r w:rsidR="00F87753" w:rsidRPr="00AF7BEE">
              <w:t xml:space="preserve"> By involving a broad range of stakeholders, the Commission </w:t>
            </w:r>
            <w:r w:rsidR="0065008B" w:rsidRPr="00AF7BEE">
              <w:t>aims to ensure</w:t>
            </w:r>
            <w:r w:rsidR="00F87753" w:rsidRPr="00AF7BEE">
              <w:t xml:space="preserve"> tha</w:t>
            </w:r>
            <w:r w:rsidR="00AD0E61" w:rsidRPr="00AF7BEE">
              <w:t>t the</w:t>
            </w:r>
            <w:r w:rsidR="00F87753" w:rsidRPr="00AF7BEE">
              <w:t xml:space="preserve"> Code is comprehensive, effective, and take</w:t>
            </w:r>
            <w:r w:rsidR="0065008B" w:rsidRPr="00AF7BEE">
              <w:t>s</w:t>
            </w:r>
            <w:r w:rsidR="00F87753" w:rsidRPr="00AF7BEE">
              <w:t xml:space="preserve"> into consideration the perspectives of all parties involved</w:t>
            </w:r>
            <w:r w:rsidR="00121540" w:rsidRPr="00AF7BEE">
              <w:t xml:space="preserve"> in the drafting process.</w:t>
            </w:r>
          </w:p>
          <w:p w14:paraId="0302504A" w14:textId="3093573A" w:rsidR="00616DAB" w:rsidRPr="00AF7BEE" w:rsidRDefault="00135944" w:rsidP="00AF7BEE">
            <w:pPr>
              <w:pStyle w:val="NormalWeb"/>
              <w:widowControl w:val="0"/>
              <w:spacing w:before="120" w:beforeAutospacing="0" w:after="120" w:afterAutospacing="0" w:line="276" w:lineRule="auto"/>
              <w:ind w:left="74" w:right="74"/>
              <w:jc w:val="both"/>
            </w:pPr>
            <w:r w:rsidRPr="00AF7BEE">
              <w:t xml:space="preserve">In this </w:t>
            </w:r>
            <w:r w:rsidR="00A42177" w:rsidRPr="00AF7BEE">
              <w:t>vein, t</w:t>
            </w:r>
            <w:r w:rsidR="000141DF" w:rsidRPr="00AF7BEE">
              <w:t>he Commission recognises the Committee’s support on the implementation of the AI Pact</w:t>
            </w:r>
            <w:r w:rsidR="001D662F" w:rsidRPr="00AF7BEE">
              <w:t xml:space="preserve"> (point </w:t>
            </w:r>
            <w:r w:rsidR="00616DAB" w:rsidRPr="00AF7BEE">
              <w:t>2.4 of the opinion)</w:t>
            </w:r>
            <w:r w:rsidR="000141DF" w:rsidRPr="00AF7BEE">
              <w:t>, which is instrumental in bringing together various stakeholders to promote responsible AI development and use.</w:t>
            </w:r>
            <w:r w:rsidR="008311CE" w:rsidRPr="00AF7BEE">
              <w:t xml:space="preserve"> </w:t>
            </w:r>
            <w:r w:rsidR="00FB1B64" w:rsidRPr="00AF7BEE">
              <w:t xml:space="preserve">The </w:t>
            </w:r>
            <w:r w:rsidR="00C17A73" w:rsidRPr="00AF7BEE">
              <w:t xml:space="preserve">AI </w:t>
            </w:r>
            <w:r w:rsidR="00FB1B64" w:rsidRPr="00AF7BEE">
              <w:t>Pact</w:t>
            </w:r>
            <w:r w:rsidR="653F7F9E" w:rsidRPr="00AF7BEE">
              <w:t xml:space="preserve"> provides another efficient tool to ensure </w:t>
            </w:r>
            <w:r w:rsidR="00FB1B64" w:rsidRPr="00AF7BEE">
              <w:t xml:space="preserve">a </w:t>
            </w:r>
            <w:r w:rsidR="653F7F9E" w:rsidRPr="00AF7BEE">
              <w:t xml:space="preserve">multistakeholder dialogue. </w:t>
            </w:r>
            <w:r w:rsidR="008311CE" w:rsidRPr="00AF7BEE">
              <w:t>As part of the AI Pact</w:t>
            </w:r>
            <w:r w:rsidR="00FB1B64" w:rsidRPr="00AF7BEE">
              <w:t>’s</w:t>
            </w:r>
            <w:r w:rsidR="00127F1D" w:rsidRPr="00AF7BEE">
              <w:t xml:space="preserve"> implementation</w:t>
            </w:r>
            <w:r w:rsidR="008311CE" w:rsidRPr="00AF7BEE">
              <w:t xml:space="preserve">, the Commission is organising a series of online seminars </w:t>
            </w:r>
            <w:r w:rsidR="00871991" w:rsidRPr="00AF7BEE">
              <w:t xml:space="preserve">at the beginning of 2025 </w:t>
            </w:r>
            <w:r w:rsidR="008311CE" w:rsidRPr="00AF7BEE">
              <w:t xml:space="preserve">on different aspects of the AI Act. All companies and stakeholders are invited to join the AI Pact and to attend the </w:t>
            </w:r>
            <w:r w:rsidR="007B1749" w:rsidRPr="00AF7BEE">
              <w:t>online</w:t>
            </w:r>
            <w:r w:rsidR="008311CE" w:rsidRPr="00AF7BEE">
              <w:t xml:space="preserve"> seminars.</w:t>
            </w:r>
          </w:p>
          <w:p w14:paraId="1137D727" w14:textId="35547CD9" w:rsidR="007B1749" w:rsidRPr="00AF7BEE" w:rsidRDefault="007B1749" w:rsidP="00AF7BEE">
            <w:pPr>
              <w:pStyle w:val="NormalWeb"/>
              <w:widowControl w:val="0"/>
              <w:spacing w:before="120" w:beforeAutospacing="0" w:after="120" w:afterAutospacing="0" w:line="276" w:lineRule="auto"/>
              <w:ind w:left="74" w:right="74"/>
              <w:jc w:val="both"/>
            </w:pPr>
            <w:r w:rsidRPr="00AF7BEE">
              <w:lastRenderedPageBreak/>
              <w:t xml:space="preserve">The Commission </w:t>
            </w:r>
            <w:r w:rsidR="00561909" w:rsidRPr="00AF7BEE">
              <w:t>acknowledges</w:t>
            </w:r>
            <w:r w:rsidR="00970087" w:rsidRPr="00AF7BEE">
              <w:t xml:space="preserve"> the</w:t>
            </w:r>
            <w:r w:rsidR="00561909" w:rsidRPr="00AF7BEE">
              <w:t xml:space="preserve"> importance of </w:t>
            </w:r>
            <w:r w:rsidR="00AF5AB4" w:rsidRPr="00AF7BEE">
              <w:t>having access to</w:t>
            </w:r>
            <w:r w:rsidR="007431C1" w:rsidRPr="00AF7BEE">
              <w:t xml:space="preserve"> the resources needed to develop GPAI models (as expressed in the </w:t>
            </w:r>
            <w:r w:rsidRPr="00AF7BEE">
              <w:t>point 3.4.4 of the opinion).</w:t>
            </w:r>
            <w:r w:rsidR="009D52DD" w:rsidRPr="00AF7BEE">
              <w:t xml:space="preserve"> </w:t>
            </w:r>
            <w:r w:rsidR="007703B5" w:rsidRPr="00AF7BEE">
              <w:t>It</w:t>
            </w:r>
            <w:r w:rsidR="007B2CFF" w:rsidRPr="00AF7BEE">
              <w:t xml:space="preserve"> i</w:t>
            </w:r>
            <w:r w:rsidR="007703B5" w:rsidRPr="00AF7BEE">
              <w:t xml:space="preserve">s the Commission’s priority to </w:t>
            </w:r>
            <w:r w:rsidR="00C8510A" w:rsidRPr="00AF7BEE">
              <w:t>ensure that E</w:t>
            </w:r>
            <w:r w:rsidR="00F05C5E" w:rsidRPr="00AF7BEE">
              <w:t>uropean start-ups</w:t>
            </w:r>
            <w:r w:rsidR="00C7734B" w:rsidRPr="00AF7BEE">
              <w:t xml:space="preserve"> </w:t>
            </w:r>
            <w:r w:rsidR="00DE4CE3" w:rsidRPr="00AF7BEE">
              <w:t xml:space="preserve">and </w:t>
            </w:r>
            <w:r w:rsidR="4222ACF0" w:rsidRPr="00AF7BEE">
              <w:t>relevant players</w:t>
            </w:r>
            <w:r w:rsidR="006E15BB" w:rsidRPr="00AF7BEE">
              <w:t xml:space="preserve"> </w:t>
            </w:r>
            <w:r w:rsidR="00F05C5E" w:rsidRPr="00AF7BEE">
              <w:t xml:space="preserve">have access to </w:t>
            </w:r>
            <w:r w:rsidR="00DE4CE3" w:rsidRPr="00AF7BEE">
              <w:t>tailored</w:t>
            </w:r>
            <w:r w:rsidR="00F05C5E" w:rsidRPr="00AF7BEE">
              <w:t xml:space="preserve"> supercomputing capacity </w:t>
            </w:r>
            <w:r w:rsidR="00DE4CE3" w:rsidRPr="00AF7BEE">
              <w:t xml:space="preserve">through the </w:t>
            </w:r>
            <w:r w:rsidR="00BD533F" w:rsidRPr="00AF7BEE">
              <w:t>AI Factories initiat</w:t>
            </w:r>
            <w:r w:rsidR="00ED7FC7" w:rsidRPr="00AF7BEE">
              <w:t>ive.</w:t>
            </w:r>
          </w:p>
          <w:p w14:paraId="7FAF9B70" w14:textId="675D077D" w:rsidR="00376E29" w:rsidRPr="00AF7BEE" w:rsidRDefault="00263F71" w:rsidP="00AF7BEE">
            <w:pPr>
              <w:pStyle w:val="NormalWeb"/>
              <w:widowControl w:val="0"/>
              <w:spacing w:before="120" w:beforeAutospacing="0" w:after="120" w:afterAutospacing="0" w:line="276" w:lineRule="auto"/>
              <w:ind w:left="74" w:right="74"/>
              <w:jc w:val="both"/>
            </w:pPr>
            <w:r w:rsidRPr="00AF7BEE">
              <w:t>Moreover, t</w:t>
            </w:r>
            <w:r w:rsidR="62594C84" w:rsidRPr="00AF7BEE">
              <w:t>his initiative addresses</w:t>
            </w:r>
            <w:r w:rsidR="7F5B5F38" w:rsidRPr="00AF7BEE">
              <w:t xml:space="preserve"> the </w:t>
            </w:r>
            <w:r w:rsidR="3320C66D" w:rsidRPr="00AF7BEE">
              <w:t>Committee’s</w:t>
            </w:r>
            <w:r w:rsidR="7F5B5F38" w:rsidRPr="00AF7BEE">
              <w:t xml:space="preserve"> remark </w:t>
            </w:r>
            <w:r w:rsidR="2143D93F" w:rsidRPr="00AF7BEE">
              <w:t xml:space="preserve">on </w:t>
            </w:r>
            <w:r w:rsidR="2719D3AE" w:rsidRPr="00AF7BEE">
              <w:t xml:space="preserve">the risk of </w:t>
            </w:r>
            <w:r w:rsidR="2143D93F" w:rsidRPr="00AF7BEE">
              <w:t>decreasing competitiveness among European companies</w:t>
            </w:r>
            <w:r w:rsidR="31A73D08" w:rsidRPr="00AF7BEE">
              <w:t xml:space="preserve"> (point 2.5 of the opinion)</w:t>
            </w:r>
            <w:r w:rsidR="2A82C7B7" w:rsidRPr="00AF7BEE">
              <w:t xml:space="preserve"> if GPAI is not sufficiently developed and used. The AI Factories</w:t>
            </w:r>
            <w:r w:rsidR="50F9F673" w:rsidRPr="00AF7BEE">
              <w:t>, as part of the AI Innovation package of January 2024,</w:t>
            </w:r>
            <w:r w:rsidR="2A82C7B7" w:rsidRPr="00AF7BEE">
              <w:t xml:space="preserve"> tackle one of the main obstacles identified to the development of large AI models in the EU, namely, the </w:t>
            </w:r>
            <w:r w:rsidR="74DA083E" w:rsidRPr="00AF7BEE">
              <w:t>limited access to computing power.</w:t>
            </w:r>
            <w:r w:rsidR="293E1D6A" w:rsidRPr="00AF7BEE">
              <w:t xml:space="preserve"> Additional support to </w:t>
            </w:r>
            <w:r w:rsidR="6B6DC9A1" w:rsidRPr="00AF7BEE">
              <w:t xml:space="preserve">AI </w:t>
            </w:r>
            <w:r w:rsidR="293E1D6A" w:rsidRPr="00AF7BEE">
              <w:t xml:space="preserve">research and innovation made in Europe comes from the GenAI4EU initiative, which has made generative AI </w:t>
            </w:r>
            <w:r w:rsidR="7F5805E8" w:rsidRPr="00AF7BEE">
              <w:t>applications a focus theme across EU funding areas.</w:t>
            </w:r>
            <w:r w:rsidR="74DA083E" w:rsidRPr="00AF7BEE">
              <w:t xml:space="preserve"> Furthermore, the application and adoption of AI </w:t>
            </w:r>
            <w:r w:rsidR="18BF50BE" w:rsidRPr="00AF7BEE">
              <w:t xml:space="preserve">by </w:t>
            </w:r>
            <w:r w:rsidR="74DA083E" w:rsidRPr="00AF7BEE">
              <w:t xml:space="preserve">key economic sectors is a core priority of the Commission, </w:t>
            </w:r>
            <w:r w:rsidR="2036DC2D" w:rsidRPr="00AF7BEE">
              <w:t xml:space="preserve">notably in </w:t>
            </w:r>
            <w:r w:rsidR="0F89E22D" w:rsidRPr="00AF7BEE">
              <w:t xml:space="preserve">the </w:t>
            </w:r>
            <w:r w:rsidR="2036DC2D" w:rsidRPr="00AF7BEE">
              <w:t xml:space="preserve">context of the </w:t>
            </w:r>
            <w:r w:rsidR="0F89E22D" w:rsidRPr="00AF7BEE">
              <w:t>upcoming Apply AI strategy</w:t>
            </w:r>
            <w:r w:rsidR="2036DC2D" w:rsidRPr="00AF7BEE">
              <w:t xml:space="preserve">, which will </w:t>
            </w:r>
            <w:r w:rsidR="2FFA2D43" w:rsidRPr="00AF7BEE">
              <w:t>support the development of world-class AI models and the adoption of AI applications and systems in EU’s most strategic sectors, including the public sector</w:t>
            </w:r>
            <w:r w:rsidR="0F89E22D" w:rsidRPr="00AF7BEE">
              <w:t>.</w:t>
            </w:r>
          </w:p>
          <w:p w14:paraId="18AA5F3F" w14:textId="7C31AE9D" w:rsidR="00376E29" w:rsidRPr="00AF7BEE" w:rsidRDefault="772E3584" w:rsidP="00AF7BEE">
            <w:pPr>
              <w:pStyle w:val="NormalWeb"/>
              <w:widowControl w:val="0"/>
              <w:spacing w:before="120" w:beforeAutospacing="0" w:after="120" w:afterAutospacing="0" w:line="276" w:lineRule="auto"/>
              <w:ind w:left="74" w:right="74"/>
              <w:jc w:val="both"/>
            </w:pPr>
            <w:r w:rsidRPr="00AF7BEE">
              <w:t xml:space="preserve">Moreover, </w:t>
            </w:r>
            <w:r w:rsidR="09A37E83" w:rsidRPr="00AF7BEE">
              <w:t>the Commission</w:t>
            </w:r>
            <w:r w:rsidR="6C1FD37E" w:rsidRPr="00AF7BEE">
              <w:t xml:space="preserve"> recalls that the AI Act ensure</w:t>
            </w:r>
            <w:r w:rsidR="2CCCCE52" w:rsidRPr="00AF7BEE">
              <w:t>s</w:t>
            </w:r>
            <w:r w:rsidR="6C1FD37E" w:rsidRPr="00AF7BEE">
              <w:t xml:space="preserve"> that AI </w:t>
            </w:r>
            <w:r w:rsidR="2CCCCE52" w:rsidRPr="00AF7BEE">
              <w:t>systems</w:t>
            </w:r>
            <w:r w:rsidR="6C1FD37E" w:rsidRPr="00AF7BEE">
              <w:t xml:space="preserve"> in Europe </w:t>
            </w:r>
            <w:r w:rsidR="2CCCCE52" w:rsidRPr="00AF7BEE">
              <w:t>are</w:t>
            </w:r>
            <w:r w:rsidR="6C1FD37E" w:rsidRPr="00AF7BEE">
              <w:t xml:space="preserve"> safe and trustworthy, </w:t>
            </w:r>
            <w:r w:rsidR="2CCCCE52" w:rsidRPr="00AF7BEE">
              <w:t>fostering</w:t>
            </w:r>
            <w:r w:rsidR="6C1FD37E" w:rsidRPr="00AF7BEE">
              <w:t xml:space="preserve"> its uptake</w:t>
            </w:r>
            <w:r w:rsidR="705F9775" w:rsidRPr="00AF7BEE">
              <w:t xml:space="preserve">. </w:t>
            </w:r>
            <w:r w:rsidR="65EFD0AD" w:rsidRPr="00AF7BEE">
              <w:t>Th</w:t>
            </w:r>
            <w:r w:rsidR="3320C66D" w:rsidRPr="00AF7BEE">
              <w:t>e AI Act</w:t>
            </w:r>
            <w:r w:rsidR="705F9775" w:rsidRPr="00AF7BEE">
              <w:t xml:space="preserve"> addresses the risks posed by </w:t>
            </w:r>
            <w:r w:rsidR="2CCCCE52" w:rsidRPr="00AF7BEE">
              <w:t xml:space="preserve">certain </w:t>
            </w:r>
            <w:r w:rsidR="705F9775" w:rsidRPr="00AF7BEE">
              <w:t xml:space="preserve">AI </w:t>
            </w:r>
            <w:r w:rsidR="2CCCCE52" w:rsidRPr="00AF7BEE">
              <w:t>systems</w:t>
            </w:r>
            <w:r w:rsidR="705F9775" w:rsidRPr="00AF7BEE">
              <w:t xml:space="preserve"> to safety, health and fundamental rights. </w:t>
            </w:r>
            <w:r w:rsidR="4144535D" w:rsidRPr="00AF7BEE">
              <w:t xml:space="preserve">With its risk-based approach, </w:t>
            </w:r>
            <w:r w:rsidR="01CA5AB4" w:rsidRPr="00AF7BEE">
              <w:t>the Act</w:t>
            </w:r>
            <w:r w:rsidR="4144535D" w:rsidRPr="00AF7BEE">
              <w:t xml:space="preserve"> aims</w:t>
            </w:r>
            <w:r w:rsidR="705F9775" w:rsidRPr="00AF7BEE">
              <w:t xml:space="preserve"> to support rather than stifle innovation</w:t>
            </w:r>
            <w:r w:rsidR="5295EDC4" w:rsidRPr="00AF7BEE">
              <w:t>,</w:t>
            </w:r>
            <w:r w:rsidR="7FCD7397" w:rsidRPr="00AF7BEE">
              <w:t xml:space="preserve"> </w:t>
            </w:r>
            <w:proofErr w:type="gramStart"/>
            <w:r w:rsidR="3320C66D" w:rsidRPr="00AF7BEE">
              <w:t>tak</w:t>
            </w:r>
            <w:r w:rsidR="5295EDC4" w:rsidRPr="00AF7BEE">
              <w:t>ing</w:t>
            </w:r>
            <w:r w:rsidR="3320C66D" w:rsidRPr="00AF7BEE">
              <w:t xml:space="preserve"> into account</w:t>
            </w:r>
            <w:proofErr w:type="gramEnd"/>
            <w:r w:rsidR="218585CB" w:rsidRPr="00AF7BEE">
              <w:t xml:space="preserve"> the size of the companies in order not to overburden </w:t>
            </w:r>
            <w:r w:rsidR="00E54786">
              <w:t>s</w:t>
            </w:r>
            <w:r w:rsidR="00E54786" w:rsidRPr="00E54786">
              <w:rPr>
                <w:lang w:val="en-GB"/>
              </w:rPr>
              <w:t xml:space="preserve">mall and medium-sized enterprises </w:t>
            </w:r>
            <w:r w:rsidR="00E54786">
              <w:t>(</w:t>
            </w:r>
            <w:r w:rsidR="218585CB" w:rsidRPr="00AF7BEE">
              <w:t>SMEs</w:t>
            </w:r>
            <w:r w:rsidR="00E54786">
              <w:t>)</w:t>
            </w:r>
            <w:r w:rsidR="218585CB" w:rsidRPr="00AF7BEE">
              <w:t xml:space="preserve"> and start-ups</w:t>
            </w:r>
            <w:r w:rsidR="1AD50C1B" w:rsidRPr="00AF7BEE">
              <w:t>.</w:t>
            </w:r>
          </w:p>
          <w:p w14:paraId="05140949" w14:textId="063791D6" w:rsidR="0029378D" w:rsidRPr="00AF7BEE" w:rsidRDefault="414E050D" w:rsidP="00AF7BEE">
            <w:pPr>
              <w:pStyle w:val="NormalWeb"/>
              <w:widowControl w:val="0"/>
              <w:spacing w:before="120" w:beforeAutospacing="0" w:after="120" w:afterAutospacing="0" w:line="276" w:lineRule="auto"/>
              <w:ind w:left="74" w:right="74"/>
              <w:jc w:val="both"/>
            </w:pPr>
            <w:r w:rsidRPr="00AF7BEE">
              <w:t>Specifically on research and innovation, the Commission placed an exemption in the AI Act for systems developed for the sole purpose of scientific research and development. This ensures that researchers across Europe can continue cutting-edge AI research. The strong appetite for this topic within the research community can be seen through the concentration of projects engaging with AI-systems funded through excellence-based programmes, notably the European Research Council</w:t>
            </w:r>
            <w:r w:rsidR="00E54786">
              <w:rPr>
                <w:rStyle w:val="FootnoteReference"/>
              </w:rPr>
              <w:footnoteReference w:id="3"/>
            </w:r>
            <w:r w:rsidRPr="00AF7BEE">
              <w:t xml:space="preserve"> and the Marie </w:t>
            </w:r>
            <w:proofErr w:type="spellStart"/>
            <w:r w:rsidRPr="00AF7BEE">
              <w:t>Skłodowska</w:t>
            </w:r>
            <w:proofErr w:type="spellEnd"/>
            <w:r w:rsidRPr="00AF7BEE">
              <w:t>-Curie Actions</w:t>
            </w:r>
            <w:r w:rsidR="00E54786">
              <w:rPr>
                <w:rStyle w:val="FootnoteReference"/>
              </w:rPr>
              <w:footnoteReference w:id="4"/>
            </w:r>
            <w:r w:rsidRPr="00AF7BEE">
              <w:t>.</w:t>
            </w:r>
          </w:p>
          <w:p w14:paraId="6CB4DA28" w14:textId="67710854" w:rsidR="0029378D" w:rsidRPr="00AF7BEE" w:rsidRDefault="0029378D" w:rsidP="00AF7BEE">
            <w:pPr>
              <w:pStyle w:val="NormalWeb"/>
              <w:widowControl w:val="0"/>
              <w:spacing w:before="120" w:beforeAutospacing="0" w:after="120" w:afterAutospacing="0" w:line="276" w:lineRule="auto"/>
              <w:ind w:left="74" w:right="74"/>
              <w:jc w:val="both"/>
            </w:pPr>
            <w:r w:rsidRPr="00AF7BEE">
              <w:t>The Commission acknowledges the Committee’s remark that the effects of the AI transition must be addressed through education, reskilling and upskilling (point 3.3.1 of the opinion).</w:t>
            </w:r>
            <w:r w:rsidR="001B67CB" w:rsidRPr="00AF7BEE">
              <w:t xml:space="preserve"> </w:t>
            </w:r>
            <w:r w:rsidR="00621E9C" w:rsidRPr="00AF7BEE">
              <w:t>The Commission</w:t>
            </w:r>
            <w:r w:rsidR="003C20E2" w:rsidRPr="00AF7BEE">
              <w:t xml:space="preserve"> is engaged in</w:t>
            </w:r>
            <w:r w:rsidR="009C56EE" w:rsidRPr="00AF7BEE">
              <w:t xml:space="preserve"> </w:t>
            </w:r>
            <w:r w:rsidR="007B2953" w:rsidRPr="00AF7BEE">
              <w:t>promot</w:t>
            </w:r>
            <w:r w:rsidR="003C20E2" w:rsidRPr="00AF7BEE">
              <w:t>ing</w:t>
            </w:r>
            <w:r w:rsidR="007B2953" w:rsidRPr="00AF7BEE">
              <w:t xml:space="preserve"> AI literacy, notably via</w:t>
            </w:r>
            <w:r w:rsidR="009C56EE" w:rsidRPr="00AF7BEE">
              <w:t xml:space="preserve"> Article 4 of the AI Ac</w:t>
            </w:r>
            <w:r w:rsidR="007B2953" w:rsidRPr="00AF7BEE">
              <w:t>t</w:t>
            </w:r>
            <w:r w:rsidR="00B80E6F" w:rsidRPr="00AF7BEE">
              <w:t>.</w:t>
            </w:r>
            <w:r w:rsidR="007B2953" w:rsidRPr="00AF7BEE">
              <w:t xml:space="preserve"> </w:t>
            </w:r>
            <w:r w:rsidR="00E467AA" w:rsidRPr="00AF7BEE">
              <w:t>To support the compliance wit</w:t>
            </w:r>
            <w:r w:rsidR="000012F3" w:rsidRPr="00AF7BEE">
              <w:t>h</w:t>
            </w:r>
            <w:r w:rsidR="00E467AA" w:rsidRPr="00AF7BEE">
              <w:t xml:space="preserve"> this article</w:t>
            </w:r>
            <w:r w:rsidR="007B2953" w:rsidRPr="00AF7BEE">
              <w:t>, the Commission has orga</w:t>
            </w:r>
            <w:r w:rsidR="00E467AA" w:rsidRPr="00AF7BEE">
              <w:t>nise</w:t>
            </w:r>
            <w:r w:rsidR="000012F3" w:rsidRPr="00AF7BEE">
              <w:t>d</w:t>
            </w:r>
            <w:r w:rsidR="00E467AA" w:rsidRPr="00AF7BEE">
              <w:t xml:space="preserve"> one hybrid workshop </w:t>
            </w:r>
            <w:r w:rsidR="000012F3" w:rsidRPr="00AF7BEE">
              <w:t xml:space="preserve">with AI Pact pledgers </w:t>
            </w:r>
            <w:r w:rsidR="003C20E2" w:rsidRPr="00AF7BEE">
              <w:t xml:space="preserve">in December 2024 </w:t>
            </w:r>
            <w:r w:rsidR="00E467AA" w:rsidRPr="00AF7BEE">
              <w:t xml:space="preserve">and plans to have a second </w:t>
            </w:r>
            <w:r w:rsidR="000012F3" w:rsidRPr="00AF7BEE">
              <w:t>public webinar in February 2025. A</w:t>
            </w:r>
            <w:r w:rsidR="00E54786">
              <w:t> </w:t>
            </w:r>
            <w:r w:rsidR="000012F3" w:rsidRPr="00AF7BEE">
              <w:t xml:space="preserve">voluntary guidance on the article is foreseen for </w:t>
            </w:r>
            <w:r w:rsidR="000A0EF9">
              <w:t>the fourth quarter of</w:t>
            </w:r>
            <w:r w:rsidR="000012F3" w:rsidRPr="00AF7BEE">
              <w:t xml:space="preserve"> 2025.</w:t>
            </w:r>
            <w:r w:rsidR="009C56EE" w:rsidRPr="00AF7BEE">
              <w:t xml:space="preserve"> </w:t>
            </w:r>
            <w:r w:rsidR="00AC6FDC" w:rsidRPr="00AF7BEE">
              <w:t xml:space="preserve">In addition to this, the </w:t>
            </w:r>
            <w:r w:rsidR="001B67CB" w:rsidRPr="00AF7BEE">
              <w:t>upcoming Apply AI Strategy will include actions</w:t>
            </w:r>
            <w:r w:rsidR="003C2327" w:rsidRPr="00AF7BEE">
              <w:t xml:space="preserve"> </w:t>
            </w:r>
            <w:r w:rsidR="00FF7819" w:rsidRPr="00AF7BEE">
              <w:t xml:space="preserve">to </w:t>
            </w:r>
            <w:r w:rsidR="00AC6FDC" w:rsidRPr="00AF7BEE">
              <w:t xml:space="preserve">increase AI skills and talent in Europe, among others via the Digital Europe Programme. </w:t>
            </w:r>
            <w:r w:rsidR="138A6E79" w:rsidRPr="00AF7BEE">
              <w:t xml:space="preserve">The </w:t>
            </w:r>
            <w:r w:rsidR="0D80629B" w:rsidRPr="00AF7BEE">
              <w:t>upcoming Digital Europe Programme</w:t>
            </w:r>
            <w:r w:rsidR="6F5E562D" w:rsidRPr="00AF7BEE">
              <w:t xml:space="preserve"> 2025</w:t>
            </w:r>
            <w:r w:rsidR="138A6E79" w:rsidRPr="00AF7BEE">
              <w:t xml:space="preserve"> </w:t>
            </w:r>
            <w:r w:rsidR="00AC6FDC" w:rsidRPr="00AF7BEE">
              <w:t xml:space="preserve">will in fact </w:t>
            </w:r>
            <w:r w:rsidR="138A6E79" w:rsidRPr="00AF7BEE">
              <w:t xml:space="preserve">address the increasing need for advanced skilling and upskilling on AI </w:t>
            </w:r>
            <w:r w:rsidR="67E03898" w:rsidRPr="00AF7BEE">
              <w:t>with a focus on key economic sectors</w:t>
            </w:r>
            <w:r w:rsidR="442A82F8" w:rsidRPr="00AF7BEE">
              <w:t>.</w:t>
            </w:r>
            <w:r w:rsidR="138A6E79" w:rsidRPr="00AF7BEE">
              <w:t xml:space="preserve"> </w:t>
            </w:r>
            <w:r w:rsidR="44EA974C" w:rsidRPr="00AF7BEE">
              <w:t xml:space="preserve">Additionally, </w:t>
            </w:r>
            <w:r w:rsidRPr="00AF7BEE">
              <w:t xml:space="preserve">European transnational cooperation is key to enabling Europeans to acquire AI-relevant skills and qualifications. To this end, the Commission is supporting innovative learning and training approaches that equip students, lifelong learners </w:t>
            </w:r>
            <w:r w:rsidRPr="00AF7BEE">
              <w:lastRenderedPageBreak/>
              <w:t>and researchers with the skills needed for a fast-changing labour market, notably through the blueprint for a European Degree</w:t>
            </w:r>
            <w:r w:rsidRPr="00AF7BEE">
              <w:rPr>
                <w:rStyle w:val="FootnoteReference"/>
              </w:rPr>
              <w:footnoteReference w:id="5"/>
            </w:r>
            <w:r w:rsidRPr="00AF7BEE">
              <w:t xml:space="preserve"> and the European Universities Initiative</w:t>
            </w:r>
            <w:r w:rsidRPr="00AF7BEE">
              <w:rPr>
                <w:rStyle w:val="FootnoteReference"/>
              </w:rPr>
              <w:footnoteReference w:id="6"/>
            </w:r>
            <w:r w:rsidRPr="00AF7BEE">
              <w:t>.</w:t>
            </w:r>
          </w:p>
          <w:p w14:paraId="712229EA" w14:textId="01384934" w:rsidR="0029378D" w:rsidRPr="00AF7BEE" w:rsidRDefault="0029378D" w:rsidP="00AF7BEE">
            <w:pPr>
              <w:pStyle w:val="NormalWeb"/>
              <w:widowControl w:val="0"/>
              <w:spacing w:before="120" w:beforeAutospacing="0" w:after="120" w:afterAutospacing="0" w:line="276" w:lineRule="auto"/>
              <w:ind w:left="74" w:right="74"/>
              <w:jc w:val="both"/>
            </w:pPr>
            <w:r w:rsidRPr="00AF7BEE">
              <w:t>The European Institute of Innovation and Technology</w:t>
            </w:r>
            <w:r w:rsidRPr="00AF7BEE">
              <w:rPr>
                <w:rStyle w:val="FootnoteReference"/>
              </w:rPr>
              <w:footnoteReference w:id="7"/>
            </w:r>
            <w:r w:rsidRPr="00AF7BEE">
              <w:t xml:space="preserve"> (EIT) and its Knowledge and Innovation Communities (KICs) already partner up with leading education institutions, research organisations and businesses to boost the EU’s innovation capacity in AI and modernise training and talent management systems that support the labour market and increase the employability of trainees. EIT initiatives such as the Deep Tech Talent Initiative</w:t>
            </w:r>
            <w:r w:rsidRPr="00AF7BEE">
              <w:rPr>
                <w:rStyle w:val="FootnoteReference"/>
              </w:rPr>
              <w:footnoteReference w:id="8"/>
            </w:r>
            <w:r w:rsidRPr="00AF7BEE">
              <w:t>, the EIT AI Community</w:t>
            </w:r>
            <w:r w:rsidRPr="00AF7BEE">
              <w:rPr>
                <w:rStyle w:val="FootnoteReference"/>
              </w:rPr>
              <w:footnoteReference w:id="9"/>
            </w:r>
            <w:r w:rsidRPr="00AF7BEE">
              <w:t xml:space="preserve"> and the EIT Campus</w:t>
            </w:r>
            <w:r w:rsidRPr="00AF7BEE">
              <w:rPr>
                <w:rStyle w:val="FootnoteReference"/>
              </w:rPr>
              <w:footnoteReference w:id="10"/>
            </w:r>
            <w:r w:rsidRPr="00AF7BEE">
              <w:t xml:space="preserve"> directly contribute to these objectives.</w:t>
            </w:r>
            <w:r w:rsidR="006E2731" w:rsidRPr="00AF7BEE">
              <w:t xml:space="preserve"> </w:t>
            </w:r>
            <w:r w:rsidR="006B152B" w:rsidRPr="00AF7BEE">
              <w:t xml:space="preserve">Moreover, the European Digital Innovation Hubs – </w:t>
            </w:r>
            <w:r w:rsidR="00615C2F" w:rsidRPr="00AF7BEE">
              <w:t xml:space="preserve">one-stop-shops </w:t>
            </w:r>
            <w:r w:rsidR="006B152B" w:rsidRPr="00AF7BEE">
              <w:t>funded by the Digital Europe Programme</w:t>
            </w:r>
            <w:r w:rsidR="00615C2F" w:rsidRPr="00AF7BEE">
              <w:t xml:space="preserve"> across 30 European</w:t>
            </w:r>
            <w:r w:rsidR="00EC3777" w:rsidRPr="00AF7BEE">
              <w:t xml:space="preserve"> </w:t>
            </w:r>
            <w:r w:rsidR="0AF9BF05" w:rsidRPr="00AF7BEE">
              <w:t>countries</w:t>
            </w:r>
            <w:r w:rsidR="006B152B" w:rsidRPr="00AF7BEE">
              <w:t xml:space="preserve"> </w:t>
            </w:r>
            <w:r w:rsidR="00E71697" w:rsidRPr="00AF7BEE">
              <w:t>–</w:t>
            </w:r>
            <w:r w:rsidR="006B152B" w:rsidRPr="00AF7BEE">
              <w:t xml:space="preserve"> </w:t>
            </w:r>
            <w:r w:rsidR="00E71697" w:rsidRPr="00AF7BEE">
              <w:t>provide</w:t>
            </w:r>
            <w:r w:rsidR="00615C2F" w:rsidRPr="00AF7BEE">
              <w:t xml:space="preserve"> among their services for SMEs and Public Sector Organisations </w:t>
            </w:r>
            <w:r w:rsidR="00E71697" w:rsidRPr="00AF7BEE">
              <w:t xml:space="preserve">several trainings </w:t>
            </w:r>
            <w:r w:rsidR="00615C2F" w:rsidRPr="00AF7BEE">
              <w:t>on AI and generative AI.</w:t>
            </w:r>
          </w:p>
          <w:p w14:paraId="46AED9BD" w14:textId="77777777" w:rsidR="0029378D" w:rsidRPr="00AF7BEE" w:rsidRDefault="0029378D" w:rsidP="00AF7BEE">
            <w:pPr>
              <w:pStyle w:val="NormalWeb"/>
              <w:widowControl w:val="0"/>
              <w:spacing w:before="120" w:beforeAutospacing="0" w:after="120" w:afterAutospacing="0" w:line="276" w:lineRule="auto"/>
              <w:ind w:left="74" w:right="74"/>
              <w:jc w:val="both"/>
            </w:pPr>
            <w:r w:rsidRPr="00AF7BEE">
              <w:t>To support the digital readiness of education and training systems, the Commission is also scaling up the European Student Card Initiative</w:t>
            </w:r>
            <w:r w:rsidRPr="00AF7BEE">
              <w:rPr>
                <w:rStyle w:val="FootnoteReference"/>
              </w:rPr>
              <w:footnoteReference w:id="11"/>
            </w:r>
            <w:r w:rsidRPr="00AF7BEE">
              <w:t>, which enables interoperability and secure digital exchanges of student data among European higher education institutions, contributing to secure and resilient connectivity and infrastructure (point 3.2.2 of the opinion) in the higher education sector.</w:t>
            </w:r>
          </w:p>
          <w:p w14:paraId="3CE3F882" w14:textId="016E5826" w:rsidR="0029378D" w:rsidRPr="00AF7BEE" w:rsidRDefault="0029378D" w:rsidP="00AF7BEE">
            <w:pPr>
              <w:widowControl w:val="0"/>
              <w:spacing w:before="120" w:after="120"/>
              <w:ind w:left="74" w:right="74"/>
              <w:jc w:val="both"/>
              <w:rPr>
                <w:rFonts w:ascii="Times New Roman" w:eastAsia="Times New Roman" w:hAnsi="Times New Roman"/>
                <w:sz w:val="24"/>
                <w:szCs w:val="24"/>
                <w:lang w:val="en-IE"/>
              </w:rPr>
            </w:pPr>
            <w:r w:rsidRPr="00AF7BEE">
              <w:rPr>
                <w:rFonts w:ascii="Times New Roman" w:eastAsia="Times New Roman" w:hAnsi="Times New Roman"/>
                <w:sz w:val="24"/>
                <w:szCs w:val="24"/>
                <w:lang w:val="en-IE"/>
              </w:rPr>
              <w:t>The AI Act classif</w:t>
            </w:r>
            <w:r w:rsidR="3923003F" w:rsidRPr="00AF7BEE">
              <w:rPr>
                <w:rFonts w:ascii="Times New Roman" w:eastAsia="Times New Roman" w:hAnsi="Times New Roman"/>
                <w:sz w:val="24"/>
                <w:szCs w:val="24"/>
                <w:lang w:val="en-IE"/>
              </w:rPr>
              <w:t>ies</w:t>
            </w:r>
            <w:r w:rsidRPr="00AF7BEE">
              <w:rPr>
                <w:rFonts w:ascii="Times New Roman" w:eastAsia="Times New Roman" w:hAnsi="Times New Roman"/>
                <w:sz w:val="24"/>
                <w:szCs w:val="24"/>
                <w:lang w:val="en-IE"/>
              </w:rPr>
              <w:t xml:space="preserve"> education as a high-risk domain (point 2.6 of the opinion). </w:t>
            </w:r>
            <w:r w:rsidRPr="00AF7BEE">
              <w:rPr>
                <w:rFonts w:ascii="Times New Roman" w:eastAsia="Times New Roman" w:hAnsi="Times New Roman"/>
                <w:sz w:val="24"/>
                <w:szCs w:val="24"/>
                <w:lang w:val="en-IE" w:eastAsia="en-IE"/>
              </w:rPr>
              <w:t>The Commission supports Member States and the education and training community through the Digital Education Action Plan</w:t>
            </w:r>
            <w:r w:rsidRPr="00AF7BEE">
              <w:rPr>
                <w:rStyle w:val="FootnoteReference"/>
                <w:rFonts w:ascii="Times New Roman" w:eastAsia="Times New Roman" w:hAnsi="Times New Roman"/>
                <w:sz w:val="24"/>
                <w:szCs w:val="24"/>
                <w:lang w:val="en-IE"/>
              </w:rPr>
              <w:footnoteReference w:id="12"/>
            </w:r>
            <w:r w:rsidRPr="00AF7BEE">
              <w:rPr>
                <w:rFonts w:ascii="Times New Roman" w:hAnsi="Times New Roman"/>
                <w:sz w:val="24"/>
                <w:szCs w:val="24"/>
              </w:rPr>
              <w:t xml:space="preserve"> </w:t>
            </w:r>
            <w:r w:rsidRPr="00AF7BEE">
              <w:rPr>
                <w:rFonts w:ascii="Times New Roman" w:eastAsia="Times New Roman" w:hAnsi="Times New Roman"/>
                <w:sz w:val="24"/>
                <w:szCs w:val="24"/>
              </w:rPr>
              <w:t>to adapt education</w:t>
            </w:r>
            <w:r w:rsidRPr="00AF7BEE">
              <w:rPr>
                <w:rFonts w:ascii="Times New Roman" w:hAnsi="Times New Roman"/>
                <w:sz w:val="24"/>
                <w:szCs w:val="24"/>
              </w:rPr>
              <w:t xml:space="preserve"> </w:t>
            </w:r>
            <w:r w:rsidRPr="00AF7BEE">
              <w:rPr>
                <w:rFonts w:ascii="Times New Roman" w:eastAsia="Times New Roman" w:hAnsi="Times New Roman"/>
                <w:sz w:val="24"/>
                <w:szCs w:val="24"/>
                <w:lang w:val="en-IE"/>
              </w:rPr>
              <w:t>to the AI disruption (3.3.1). Regular exchanges and structured dialogue with Member States and stakeholders on AI in education are taking place in the context of the European Education Area working group ‘Digital Education Learning Teaching and Assessment’</w:t>
            </w:r>
            <w:r w:rsidRPr="00585EEB">
              <w:rPr>
                <w:rFonts w:ascii="Times New Roman" w:hAnsi="Times New Roman"/>
                <w:sz w:val="24"/>
                <w:szCs w:val="24"/>
                <w:vertAlign w:val="superscript"/>
                <w:lang w:eastAsia="en-IE"/>
              </w:rPr>
              <w:footnoteReference w:id="13"/>
            </w:r>
            <w:r w:rsidRPr="00AF7BEE">
              <w:rPr>
                <w:rFonts w:ascii="Times New Roman" w:eastAsia="Times New Roman" w:hAnsi="Times New Roman"/>
                <w:sz w:val="24"/>
                <w:szCs w:val="24"/>
                <w:lang w:val="en-IE" w:eastAsia="en-IE"/>
              </w:rPr>
              <w:t xml:space="preserve"> </w:t>
            </w:r>
            <w:r w:rsidRPr="00AF7BEE">
              <w:rPr>
                <w:rFonts w:ascii="Times New Roman" w:eastAsia="Times New Roman" w:hAnsi="Times New Roman"/>
                <w:sz w:val="24"/>
                <w:szCs w:val="24"/>
                <w:lang w:val="en-IE"/>
              </w:rPr>
              <w:t>(DELTA), and within the AI channel within the European Digital Education Hub</w:t>
            </w:r>
            <w:r w:rsidRPr="00AF7BEE">
              <w:rPr>
                <w:rStyle w:val="FootnoteReference"/>
                <w:rFonts w:ascii="Times New Roman" w:eastAsia="Times New Roman" w:hAnsi="Times New Roman"/>
                <w:sz w:val="24"/>
                <w:szCs w:val="24"/>
                <w:lang w:val="en-IE"/>
              </w:rPr>
              <w:footnoteReference w:id="14"/>
            </w:r>
            <w:r w:rsidRPr="00AF7BEE">
              <w:rPr>
                <w:rFonts w:ascii="Times New Roman" w:eastAsia="Times New Roman" w:hAnsi="Times New Roman"/>
                <w:sz w:val="24"/>
                <w:szCs w:val="24"/>
                <w:lang w:val="en-IE"/>
              </w:rPr>
              <w:t xml:space="preserve"> (DEH). The Commission also published Ethical Guidelines on the use of AI and data in teaching and learning for educators</w:t>
            </w:r>
            <w:r w:rsidRPr="00AF7BEE">
              <w:rPr>
                <w:rStyle w:val="FootnoteReference"/>
                <w:rFonts w:ascii="Times New Roman" w:eastAsia="Times New Roman" w:hAnsi="Times New Roman"/>
                <w:sz w:val="24"/>
                <w:szCs w:val="24"/>
                <w:lang w:val="en-IE"/>
              </w:rPr>
              <w:footnoteReference w:id="15"/>
            </w:r>
            <w:r w:rsidRPr="00AF7BEE">
              <w:rPr>
                <w:rFonts w:ascii="Times New Roman" w:eastAsia="Times New Roman" w:hAnsi="Times New Roman"/>
                <w:sz w:val="24"/>
                <w:szCs w:val="24"/>
                <w:lang w:val="en-IE"/>
              </w:rPr>
              <w:t xml:space="preserve"> in October 2022.</w:t>
            </w:r>
          </w:p>
          <w:p w14:paraId="10C16CB2" w14:textId="77AEA149" w:rsidR="0029378D" w:rsidRPr="00AF7BEE" w:rsidRDefault="414E050D" w:rsidP="00AF7BEE">
            <w:pPr>
              <w:widowControl w:val="0"/>
              <w:spacing w:before="120" w:after="120"/>
              <w:ind w:left="74" w:right="74"/>
              <w:jc w:val="both"/>
              <w:rPr>
                <w:rStyle w:val="Hyperlink"/>
                <w:rFonts w:ascii="Times New Roman" w:eastAsia="Times New Roman" w:hAnsi="Times New Roman"/>
                <w:color w:val="auto"/>
                <w:sz w:val="24"/>
                <w:szCs w:val="24"/>
                <w:lang w:val="en-IE"/>
              </w:rPr>
            </w:pPr>
            <w:r w:rsidRPr="00AF7BEE">
              <w:rPr>
                <w:rFonts w:ascii="Times New Roman" w:eastAsia="Times New Roman" w:hAnsi="Times New Roman"/>
                <w:sz w:val="24"/>
                <w:szCs w:val="24"/>
              </w:rPr>
              <w:t>On point 3.1.2</w:t>
            </w:r>
            <w:r w:rsidR="34FB04F6" w:rsidRPr="00AF7BEE">
              <w:rPr>
                <w:rFonts w:ascii="Times New Roman" w:eastAsia="Times New Roman" w:hAnsi="Times New Roman"/>
                <w:sz w:val="24"/>
                <w:szCs w:val="24"/>
              </w:rPr>
              <w:t>., t</w:t>
            </w:r>
            <w:r w:rsidRPr="00AF7BEE">
              <w:rPr>
                <w:rFonts w:ascii="Times New Roman" w:eastAsia="Times New Roman" w:hAnsi="Times New Roman"/>
                <w:sz w:val="24"/>
                <w:szCs w:val="24"/>
              </w:rPr>
              <w:t>he Commission has convened an Expert group to develop guidelines on high-quality informatics, delivering on the Council Recommendation on improving the provision of digital skills and competences in education and training</w:t>
            </w:r>
            <w:r w:rsidR="0029378D" w:rsidRPr="00AF7BEE">
              <w:rPr>
                <w:rStyle w:val="FootnoteReference"/>
                <w:rFonts w:ascii="Times New Roman" w:eastAsia="Times New Roman" w:hAnsi="Times New Roman"/>
                <w:sz w:val="24"/>
                <w:szCs w:val="24"/>
              </w:rPr>
              <w:footnoteReference w:id="16"/>
            </w:r>
            <w:r w:rsidRPr="00AF7BEE">
              <w:rPr>
                <w:rFonts w:ascii="Times New Roman" w:eastAsia="Times New Roman" w:hAnsi="Times New Roman"/>
                <w:sz w:val="24"/>
                <w:szCs w:val="24"/>
              </w:rPr>
              <w:t xml:space="preserve"> and on key enabling factors for successful digital education and training</w:t>
            </w:r>
            <w:r w:rsidR="0029378D" w:rsidRPr="00AF7BEE">
              <w:rPr>
                <w:rStyle w:val="FootnoteReference"/>
                <w:rFonts w:ascii="Times New Roman" w:eastAsia="Times New Roman" w:hAnsi="Times New Roman"/>
                <w:sz w:val="24"/>
                <w:szCs w:val="24"/>
              </w:rPr>
              <w:footnoteReference w:id="17"/>
            </w:r>
            <w:r w:rsidRPr="00AF7BEE">
              <w:rPr>
                <w:rFonts w:ascii="Times New Roman" w:eastAsia="Times New Roman" w:hAnsi="Times New Roman"/>
                <w:sz w:val="24"/>
                <w:szCs w:val="24"/>
              </w:rPr>
              <w:t xml:space="preserve"> of November 2023. The Commission is also collaborating with the Organisation for Economic Co-operation and Development on the development of an AI literacy framework for primary and secondary level of education</w:t>
            </w:r>
            <w:r w:rsidR="0DFF1CEE" w:rsidRPr="00AF7BEE">
              <w:rPr>
                <w:rFonts w:ascii="Times New Roman" w:eastAsia="Times New Roman" w:hAnsi="Times New Roman"/>
                <w:sz w:val="24"/>
                <w:szCs w:val="24"/>
              </w:rPr>
              <w:t>.</w:t>
            </w:r>
            <w:r w:rsidR="40152358" w:rsidRPr="00AF7BEE">
              <w:rPr>
                <w:rFonts w:ascii="Times New Roman" w:eastAsia="Times New Roman" w:hAnsi="Times New Roman"/>
                <w:sz w:val="24"/>
                <w:szCs w:val="24"/>
              </w:rPr>
              <w:t xml:space="preserve"> Such framework will be also aligned with upcoming initiatives of the Commission, </w:t>
            </w:r>
            <w:r w:rsidR="14CE25A0" w:rsidRPr="00AF7BEE">
              <w:rPr>
                <w:rFonts w:ascii="Times New Roman" w:eastAsia="Times New Roman" w:hAnsi="Times New Roman"/>
                <w:sz w:val="24"/>
                <w:szCs w:val="24"/>
              </w:rPr>
              <w:t xml:space="preserve">notable the AI literacy and skills actions of the Apply AI Strategy. </w:t>
            </w:r>
            <w:r w:rsidRPr="00AF7BEE">
              <w:rPr>
                <w:rFonts w:ascii="Times New Roman" w:eastAsia="Times New Roman" w:hAnsi="Times New Roman"/>
                <w:sz w:val="24"/>
                <w:szCs w:val="24"/>
              </w:rPr>
              <w:t xml:space="preserve">The Commission is </w:t>
            </w:r>
            <w:r w:rsidRPr="00AF7BEE">
              <w:rPr>
                <w:rFonts w:ascii="Times New Roman" w:eastAsia="Times New Roman" w:hAnsi="Times New Roman"/>
                <w:sz w:val="24"/>
                <w:szCs w:val="24"/>
                <w:lang w:val="en-IE" w:eastAsia="en-IE"/>
              </w:rPr>
              <w:t>preparing</w:t>
            </w:r>
            <w:r w:rsidRPr="00AF7BEE">
              <w:rPr>
                <w:rFonts w:ascii="Times New Roman" w:eastAsia="Times New Roman" w:hAnsi="Times New Roman"/>
                <w:sz w:val="24"/>
                <w:szCs w:val="24"/>
              </w:rPr>
              <w:t xml:space="preserve"> a study on the impact of EU digital legislation on education and training (including the AI Act and other recent EU digital legislation) that would help educational stakeholders to anticipate its implementation and build preparedness.</w:t>
            </w:r>
          </w:p>
          <w:p w14:paraId="490F302F" w14:textId="57F0DFAC" w:rsidR="0029378D" w:rsidRPr="00AF7BEE" w:rsidRDefault="414E050D" w:rsidP="00AF7BEE">
            <w:pPr>
              <w:widowControl w:val="0"/>
              <w:spacing w:before="120" w:after="120"/>
              <w:ind w:left="74" w:right="74"/>
              <w:jc w:val="both"/>
              <w:rPr>
                <w:rFonts w:ascii="Times New Roman" w:hAnsi="Times New Roman"/>
                <w:sz w:val="24"/>
                <w:szCs w:val="24"/>
              </w:rPr>
            </w:pPr>
            <w:r w:rsidRPr="00AF7BEE">
              <w:rPr>
                <w:rFonts w:ascii="Times New Roman" w:eastAsia="Times New Roman" w:hAnsi="Times New Roman"/>
                <w:sz w:val="24"/>
                <w:szCs w:val="24"/>
              </w:rPr>
              <w:t>On points</w:t>
            </w:r>
            <w:r w:rsidR="4237CEF4" w:rsidRPr="00AF7BEE">
              <w:rPr>
                <w:rFonts w:ascii="Times New Roman" w:eastAsia="Times New Roman" w:hAnsi="Times New Roman"/>
                <w:sz w:val="24"/>
                <w:szCs w:val="24"/>
              </w:rPr>
              <w:t xml:space="preserve"> </w:t>
            </w:r>
            <w:r w:rsidR="4237CEF4" w:rsidRPr="00AF7BEE">
              <w:rPr>
                <w:rFonts w:ascii="Times New Roman" w:hAnsi="Times New Roman"/>
                <w:sz w:val="24"/>
                <w:szCs w:val="24"/>
              </w:rPr>
              <w:t>1.6, 3.1.6</w:t>
            </w:r>
            <w:r w:rsidR="4237CEF4" w:rsidRPr="00AF7BEE">
              <w:rPr>
                <w:rFonts w:ascii="Times New Roman" w:eastAsia="Times New Roman" w:hAnsi="Times New Roman"/>
                <w:sz w:val="24"/>
                <w:szCs w:val="24"/>
              </w:rPr>
              <w:t xml:space="preserve"> and</w:t>
            </w:r>
            <w:r w:rsidR="4237CEF4" w:rsidRPr="00AF7BEE">
              <w:rPr>
                <w:rFonts w:ascii="Times New Roman" w:hAnsi="Times New Roman"/>
                <w:sz w:val="24"/>
                <w:szCs w:val="24"/>
              </w:rPr>
              <w:t xml:space="preserve"> 3.3.4</w:t>
            </w:r>
            <w:r w:rsidRPr="00AF7BEE">
              <w:rPr>
                <w:rFonts w:ascii="Times New Roman" w:eastAsia="Times New Roman" w:hAnsi="Times New Roman"/>
                <w:sz w:val="24"/>
                <w:szCs w:val="24"/>
              </w:rPr>
              <w:t>, regarding content creators</w:t>
            </w:r>
            <w:r w:rsidR="00EC3777" w:rsidRPr="00AF7BEE">
              <w:rPr>
                <w:rFonts w:ascii="Times New Roman" w:eastAsia="Times New Roman" w:hAnsi="Times New Roman"/>
                <w:sz w:val="24"/>
                <w:szCs w:val="24"/>
              </w:rPr>
              <w:t>’</w:t>
            </w:r>
            <w:r w:rsidRPr="00AF7BEE">
              <w:rPr>
                <w:rFonts w:ascii="Times New Roman" w:eastAsia="Times New Roman" w:hAnsi="Times New Roman"/>
                <w:sz w:val="24"/>
                <w:szCs w:val="24"/>
              </w:rPr>
              <w:t xml:space="preserve"> protection when their work is used by AI developers,</w:t>
            </w:r>
            <w:r w:rsidR="030CB672" w:rsidRPr="00AF7BEE">
              <w:rPr>
                <w:rFonts w:ascii="Times New Roman" w:eastAsia="Times New Roman" w:hAnsi="Times New Roman"/>
                <w:sz w:val="24"/>
                <w:szCs w:val="24"/>
              </w:rPr>
              <w:t xml:space="preserve"> </w:t>
            </w:r>
            <w:r w:rsidRPr="00AF7BEE">
              <w:rPr>
                <w:rFonts w:ascii="Times New Roman" w:eastAsia="Times New Roman" w:hAnsi="Times New Roman"/>
                <w:sz w:val="24"/>
                <w:szCs w:val="24"/>
              </w:rPr>
              <w:t>the</w:t>
            </w:r>
            <w:r w:rsidR="5B684AE0" w:rsidRPr="00AF7BEE">
              <w:rPr>
                <w:rFonts w:ascii="Times New Roman" w:eastAsia="Times New Roman" w:hAnsi="Times New Roman"/>
                <w:sz w:val="24"/>
                <w:szCs w:val="24"/>
              </w:rPr>
              <w:t xml:space="preserve"> Commission recognises the Committee’s call to ensure that all the GPAI providers comply with the EU copyright framewo</w:t>
            </w:r>
            <w:r w:rsidR="030CB672" w:rsidRPr="00AF7BEE">
              <w:rPr>
                <w:rFonts w:ascii="Times New Roman" w:eastAsia="Times New Roman" w:hAnsi="Times New Roman"/>
                <w:sz w:val="24"/>
                <w:szCs w:val="24"/>
              </w:rPr>
              <w:t>rk</w:t>
            </w:r>
            <w:r w:rsidR="5B684AE0" w:rsidRPr="00AF7BEE">
              <w:rPr>
                <w:rFonts w:ascii="Times New Roman" w:eastAsia="Times New Roman" w:hAnsi="Times New Roman"/>
                <w:sz w:val="24"/>
                <w:szCs w:val="24"/>
              </w:rPr>
              <w:t xml:space="preserve">. For this reason, the AI Act imposes the obligations on providers of GPAI models to put in place a policy to comply with Union copyright law and make publicly available a summary of the content used for the training. The </w:t>
            </w:r>
            <w:r w:rsidR="33802912" w:rsidRPr="00AF7BEE">
              <w:rPr>
                <w:rFonts w:ascii="Times New Roman" w:eastAsia="Times New Roman" w:hAnsi="Times New Roman"/>
                <w:sz w:val="24"/>
                <w:szCs w:val="24"/>
              </w:rPr>
              <w:t>Commission</w:t>
            </w:r>
            <w:r w:rsidR="5B684AE0" w:rsidRPr="00AF7BEE">
              <w:rPr>
                <w:rFonts w:ascii="Times New Roman" w:eastAsia="Times New Roman" w:hAnsi="Times New Roman"/>
                <w:sz w:val="24"/>
                <w:szCs w:val="24"/>
              </w:rPr>
              <w:t xml:space="preserve"> will monitor whether the provider has fulfilled those obligations. This compliance should take due account of the size of the GPAI provider and allow simplified ways of compliance for SMEs, including start-ups. It should not represent an excessive cost and not discourage the use of GPAI models.</w:t>
            </w:r>
            <w:r w:rsidR="2713DB0C" w:rsidRPr="00AF7BEE">
              <w:rPr>
                <w:rFonts w:ascii="Times New Roman" w:eastAsia="Times New Roman" w:hAnsi="Times New Roman"/>
                <w:sz w:val="24"/>
                <w:szCs w:val="24"/>
              </w:rPr>
              <w:t xml:space="preserve"> </w:t>
            </w:r>
            <w:r w:rsidRPr="00AF7BEE">
              <w:rPr>
                <w:rFonts w:ascii="Times New Roman" w:eastAsia="Times New Roman" w:hAnsi="Times New Roman"/>
                <w:sz w:val="24"/>
                <w:szCs w:val="24"/>
              </w:rPr>
              <w:t>Copyright compliance and a fair licensing market are basic principles of a broader vision for AI, culture and creativity. The Commission intends to translate these principles into its future work on a European Artificial Intelligence strategy for the cultural and creative sectors and industries. The aims will be i) to ensure that AI enables and reinforces human creativity and ii) safeguards cultural and linguistic diversity, while strengthening competitiveness in the global market.</w:t>
            </w:r>
          </w:p>
          <w:p w14:paraId="7F0038E7" w14:textId="47245580" w:rsidR="00000F78" w:rsidRPr="00AF7BEE" w:rsidRDefault="00AC5A45" w:rsidP="00AF7BEE">
            <w:pPr>
              <w:pStyle w:val="NormalWeb"/>
              <w:widowControl w:val="0"/>
              <w:spacing w:before="120" w:beforeAutospacing="0" w:after="120" w:afterAutospacing="0" w:line="276" w:lineRule="auto"/>
              <w:ind w:left="74" w:right="74"/>
              <w:jc w:val="both"/>
            </w:pPr>
            <w:r w:rsidRPr="00AF7BEE">
              <w:t xml:space="preserve">The Commission takes note of the Committee’s recommendation </w:t>
            </w:r>
            <w:r w:rsidR="000178C0" w:rsidRPr="00AF7BEE">
              <w:t>to</w:t>
            </w:r>
            <w:r w:rsidR="00B943BD" w:rsidRPr="00AF7BEE">
              <w:t xml:space="preserve"> promote international cooperation </w:t>
            </w:r>
            <w:r w:rsidR="0EA891F9" w:rsidRPr="00AF7BEE">
              <w:t>on</w:t>
            </w:r>
            <w:r w:rsidR="00B943BD" w:rsidRPr="00AF7BEE">
              <w:t xml:space="preserve"> AI</w:t>
            </w:r>
            <w:r w:rsidR="002C419D" w:rsidRPr="00AF7BEE">
              <w:t xml:space="preserve"> (</w:t>
            </w:r>
            <w:r w:rsidR="000B771A" w:rsidRPr="00AF7BEE">
              <w:t>point 3.1.3 of the opinion)</w:t>
            </w:r>
            <w:r w:rsidR="0028446B" w:rsidRPr="00AF7BEE">
              <w:t xml:space="preserve"> and standards (point 3.1.4)</w:t>
            </w:r>
            <w:r w:rsidR="000B771A" w:rsidRPr="00AF7BEE">
              <w:t xml:space="preserve">. </w:t>
            </w:r>
            <w:r w:rsidR="00376819" w:rsidRPr="00AF7BEE">
              <w:t xml:space="preserve">Bringing the </w:t>
            </w:r>
            <w:r w:rsidR="00FB1B64" w:rsidRPr="00AF7BEE">
              <w:t xml:space="preserve">EU’s </w:t>
            </w:r>
            <w:r w:rsidR="00956A68" w:rsidRPr="00AF7BEE">
              <w:t xml:space="preserve">AI </w:t>
            </w:r>
            <w:r w:rsidR="00FB1B64" w:rsidRPr="00AF7BEE">
              <w:t>regulatory</w:t>
            </w:r>
            <w:r w:rsidR="00956A68" w:rsidRPr="00AF7BEE">
              <w:t xml:space="preserve"> framework and international approaches </w:t>
            </w:r>
            <w:r w:rsidR="00FB1B64" w:rsidRPr="00AF7BEE">
              <w:t>to AI</w:t>
            </w:r>
            <w:r w:rsidR="00956A68" w:rsidRPr="00AF7BEE">
              <w:t xml:space="preserve"> closer together is</w:t>
            </w:r>
            <w:r w:rsidR="00D01EB8" w:rsidRPr="00AF7BEE">
              <w:t xml:space="preserve"> </w:t>
            </w:r>
            <w:r w:rsidR="00027EE5" w:rsidRPr="00AF7BEE">
              <w:t>undoubtfully valuable for the entire AI ecosystem.</w:t>
            </w:r>
            <w:r w:rsidR="003D3E27" w:rsidRPr="00AF7BEE">
              <w:t xml:space="preserve"> </w:t>
            </w:r>
            <w:r w:rsidR="10226314" w:rsidRPr="00AF7BEE">
              <w:t xml:space="preserve">The Commission </w:t>
            </w:r>
            <w:r w:rsidR="47869B5E" w:rsidRPr="00AF7BEE">
              <w:t xml:space="preserve">regularly </w:t>
            </w:r>
            <w:r w:rsidR="10226314" w:rsidRPr="00AF7BEE">
              <w:t xml:space="preserve">discusses international approaches on AI in the AI Board </w:t>
            </w:r>
            <w:proofErr w:type="gramStart"/>
            <w:r w:rsidR="10226314" w:rsidRPr="00AF7BEE">
              <w:t>in order to</w:t>
            </w:r>
            <w:proofErr w:type="gramEnd"/>
            <w:r w:rsidR="10226314" w:rsidRPr="00AF7BEE">
              <w:t xml:space="preserve"> ensure a uniform approach throughout the Union. Obviously</w:t>
            </w:r>
            <w:r w:rsidR="2E482BE7" w:rsidRPr="00AF7BEE">
              <w:t>,</w:t>
            </w:r>
            <w:r w:rsidR="10226314" w:rsidRPr="00AF7BEE">
              <w:t xml:space="preserve"> the level of possible cooperation depends on the approach taken by </w:t>
            </w:r>
            <w:r w:rsidR="286E1DDA" w:rsidRPr="00AF7BEE">
              <w:t>the respective</w:t>
            </w:r>
            <w:r w:rsidR="00CF3F22" w:rsidRPr="00AF7BEE">
              <w:t xml:space="preserve"> </w:t>
            </w:r>
            <w:r w:rsidR="10226314" w:rsidRPr="00AF7BEE">
              <w:t>international partner.</w:t>
            </w:r>
          </w:p>
          <w:p w14:paraId="373D40D9" w14:textId="586FF59F" w:rsidR="0049246C" w:rsidRPr="00AF7BEE" w:rsidRDefault="00C92558" w:rsidP="00AF7BEE">
            <w:pPr>
              <w:pStyle w:val="NormalWeb"/>
              <w:widowControl w:val="0"/>
              <w:spacing w:before="120" w:beforeAutospacing="0" w:after="120" w:afterAutospacing="0" w:line="276" w:lineRule="auto"/>
              <w:ind w:left="74" w:right="74"/>
              <w:jc w:val="both"/>
            </w:pPr>
            <w:r w:rsidRPr="00AF7BEE">
              <w:t>Regarding the</w:t>
            </w:r>
            <w:r w:rsidR="00FB1B64" w:rsidRPr="00AF7BEE">
              <w:t xml:space="preserve"> Committee’s</w:t>
            </w:r>
            <w:r w:rsidR="006031DB" w:rsidRPr="00AF7BEE">
              <w:t xml:space="preserve"> remark on </w:t>
            </w:r>
            <w:r w:rsidR="00717AF4" w:rsidRPr="00AF7BEE">
              <w:t>promoting competition in the AI ecosystem</w:t>
            </w:r>
            <w:r w:rsidR="005C0BA1" w:rsidRPr="00AF7BEE">
              <w:t xml:space="preserve"> (point </w:t>
            </w:r>
            <w:r w:rsidR="005723AC" w:rsidRPr="00AF7BEE">
              <w:t>3.4.1 of the opinion)</w:t>
            </w:r>
            <w:r w:rsidR="00717AF4" w:rsidRPr="00AF7BEE">
              <w:t>, the</w:t>
            </w:r>
            <w:r w:rsidRPr="00AF7BEE">
              <w:t xml:space="preserve"> </w:t>
            </w:r>
            <w:r w:rsidR="009966E7" w:rsidRPr="00AF7BEE">
              <w:t>Commission notes that t</w:t>
            </w:r>
            <w:r w:rsidR="00130CBC" w:rsidRPr="00AF7BEE">
              <w:t>here</w:t>
            </w:r>
            <w:r w:rsidR="00717AF4" w:rsidRPr="00AF7BEE">
              <w:t xml:space="preserve"> is</w:t>
            </w:r>
            <w:r w:rsidR="00130CBC" w:rsidRPr="00AF7BEE">
              <w:t xml:space="preserve"> no inconsistency between the </w:t>
            </w:r>
            <w:r w:rsidR="00882AFF" w:rsidRPr="00AF7BEE">
              <w:t>Digital Markets</w:t>
            </w:r>
            <w:r w:rsidR="00D8091C">
              <w:rPr>
                <w:rStyle w:val="FootnoteReference"/>
              </w:rPr>
              <w:footnoteReference w:id="18"/>
            </w:r>
            <w:r w:rsidR="00882AFF" w:rsidRPr="00AF7BEE">
              <w:t xml:space="preserve"> Act and the AI Act</w:t>
            </w:r>
            <w:r w:rsidR="00130CBC" w:rsidRPr="00AF7BEE">
              <w:t xml:space="preserve">. </w:t>
            </w:r>
            <w:r w:rsidR="00882AFF" w:rsidRPr="00AF7BEE">
              <w:t xml:space="preserve">Both </w:t>
            </w:r>
            <w:r w:rsidR="0DC27E5C" w:rsidRPr="00AF7BEE">
              <w:t>A</w:t>
            </w:r>
            <w:r w:rsidR="00FB1B64" w:rsidRPr="00AF7BEE">
              <w:t>cts</w:t>
            </w:r>
            <w:r w:rsidR="005723AC" w:rsidRPr="00AF7BEE">
              <w:t xml:space="preserve"> are complementary</w:t>
            </w:r>
            <w:r w:rsidR="004A58EC" w:rsidRPr="00AF7BEE">
              <w:t xml:space="preserve"> to each other.</w:t>
            </w:r>
            <w:r w:rsidR="00726F6D" w:rsidRPr="00AF7BEE">
              <w:t xml:space="preserve"> U</w:t>
            </w:r>
            <w:r w:rsidR="005723AC" w:rsidRPr="00AF7BEE">
              <w:t>nder the Digital Markets Act</w:t>
            </w:r>
            <w:r w:rsidR="00726F6D" w:rsidRPr="00AF7BEE">
              <w:t>, certain</w:t>
            </w:r>
            <w:r w:rsidR="005723AC" w:rsidRPr="00AF7BEE">
              <w:t xml:space="preserve"> </w:t>
            </w:r>
            <w:r w:rsidR="00C9217E" w:rsidRPr="00AF7BEE">
              <w:t>identified</w:t>
            </w:r>
            <w:r w:rsidR="005723AC" w:rsidRPr="00AF7BEE">
              <w:t xml:space="preserve"> </w:t>
            </w:r>
            <w:r w:rsidR="00726F6D" w:rsidRPr="00AF7BEE">
              <w:t xml:space="preserve">services that </w:t>
            </w:r>
            <w:r w:rsidR="7E9BDB92" w:rsidRPr="00AF7BEE">
              <w:t>operate</w:t>
            </w:r>
            <w:r w:rsidR="00726F6D" w:rsidRPr="00AF7BEE">
              <w:t xml:space="preserve"> as a </w:t>
            </w:r>
            <w:r w:rsidR="00EC3777" w:rsidRPr="00AF7BEE">
              <w:t>‘</w:t>
            </w:r>
            <w:r w:rsidR="00726F6D" w:rsidRPr="00AF7BEE">
              <w:t>gateway</w:t>
            </w:r>
            <w:r w:rsidR="00EC3777" w:rsidRPr="00AF7BEE">
              <w:t>’</w:t>
            </w:r>
            <w:r w:rsidR="00726F6D" w:rsidRPr="00AF7BEE">
              <w:t xml:space="preserve"> between business users and </w:t>
            </w:r>
            <w:r w:rsidR="00FB1B64" w:rsidRPr="00AF7BEE">
              <w:t xml:space="preserve">end users </w:t>
            </w:r>
            <w:r w:rsidR="00726F6D" w:rsidRPr="00AF7BEE">
              <w:t xml:space="preserve">are </w:t>
            </w:r>
            <w:r w:rsidR="00C9217E" w:rsidRPr="00AF7BEE">
              <w:t>subject to specific obligations</w:t>
            </w:r>
            <w:r w:rsidR="00130CBC" w:rsidRPr="00AF7BEE">
              <w:t xml:space="preserve">. Therefore, if </w:t>
            </w:r>
            <w:r w:rsidR="00FB1B64" w:rsidRPr="00AF7BEE">
              <w:t>AI</w:t>
            </w:r>
            <w:r w:rsidR="00130CBC" w:rsidRPr="00AF7BEE">
              <w:t xml:space="preserve"> </w:t>
            </w:r>
            <w:r w:rsidR="008007B6" w:rsidRPr="00AF7BEE">
              <w:t>applications</w:t>
            </w:r>
            <w:r w:rsidR="009768D2" w:rsidRPr="00AF7BEE">
              <w:t xml:space="preserve"> </w:t>
            </w:r>
            <w:r w:rsidR="00130CBC" w:rsidRPr="00AF7BEE">
              <w:t xml:space="preserve">take the form of </w:t>
            </w:r>
            <w:r w:rsidR="009768D2" w:rsidRPr="00AF7BEE">
              <w:t xml:space="preserve">or are embedded in designated core platform services like </w:t>
            </w:r>
            <w:r w:rsidR="00130CBC" w:rsidRPr="00AF7BEE">
              <w:t>search engines or app stores, they will b</w:t>
            </w:r>
            <w:r w:rsidR="003B775D" w:rsidRPr="00AF7BEE">
              <w:t xml:space="preserve">e </w:t>
            </w:r>
            <w:r w:rsidR="00130CBC" w:rsidRPr="00AF7BEE">
              <w:t xml:space="preserve">captured by the rules of </w:t>
            </w:r>
            <w:r w:rsidR="00FB1B64" w:rsidRPr="00AF7BEE">
              <w:t>both acts</w:t>
            </w:r>
            <w:r w:rsidR="003B775D" w:rsidRPr="00AF7BEE">
              <w:t>.</w:t>
            </w:r>
          </w:p>
          <w:p w14:paraId="4F314AB9" w14:textId="7428AA71" w:rsidR="0081428F" w:rsidRPr="00AF7BEE" w:rsidRDefault="00E27471" w:rsidP="00AF7BEE">
            <w:pPr>
              <w:pStyle w:val="NormalWeb"/>
              <w:widowControl w:val="0"/>
              <w:spacing w:before="120" w:beforeAutospacing="0" w:after="120" w:afterAutospacing="0" w:line="276" w:lineRule="auto"/>
              <w:ind w:left="74" w:right="74"/>
              <w:jc w:val="both"/>
              <w:rPr>
                <w:highlight w:val="yellow"/>
              </w:rPr>
            </w:pPr>
            <w:r w:rsidRPr="00AF7BEE">
              <w:t xml:space="preserve">Given the </w:t>
            </w:r>
            <w:r w:rsidR="000A598A" w:rsidRPr="00AF7BEE">
              <w:t xml:space="preserve">risks that the </w:t>
            </w:r>
            <w:r w:rsidR="003C155D" w:rsidRPr="00AF7BEE">
              <w:t>AI</w:t>
            </w:r>
            <w:r w:rsidRPr="00AF7BEE">
              <w:t xml:space="preserve"> </w:t>
            </w:r>
            <w:r w:rsidR="00392091" w:rsidRPr="00AF7BEE">
              <w:t xml:space="preserve">technology </w:t>
            </w:r>
            <w:r w:rsidR="000A598A" w:rsidRPr="00AF7BEE">
              <w:t>might entail</w:t>
            </w:r>
            <w:r w:rsidRPr="00AF7BEE">
              <w:t>, the Commission actively monitor</w:t>
            </w:r>
            <w:r w:rsidR="00AA0028" w:rsidRPr="00AF7BEE">
              <w:t>s</w:t>
            </w:r>
            <w:r w:rsidRPr="00AF7BEE">
              <w:t xml:space="preserve"> the AI and virtual worlds sectors</w:t>
            </w:r>
            <w:r w:rsidR="00CF3F22" w:rsidRPr="00AF7BEE">
              <w:t>.</w:t>
            </w:r>
            <w:r w:rsidR="00232522" w:rsidRPr="00AF7BEE">
              <w:t xml:space="preserve"> Recently, a </w:t>
            </w:r>
            <w:hyperlink r:id="rId10" w:history="1">
              <w:r w:rsidR="00232522" w:rsidRPr="00585EEB">
                <w:t>policy brief</w:t>
              </w:r>
            </w:hyperlink>
            <w:r w:rsidR="00D8091C">
              <w:rPr>
                <w:rStyle w:val="FootnoteReference"/>
                <w:color w:val="0563C1"/>
                <w:u w:val="single"/>
              </w:rPr>
              <w:footnoteReference w:id="19"/>
            </w:r>
            <w:r w:rsidR="00232522" w:rsidRPr="00AF7BEE">
              <w:t xml:space="preserve"> has been published on competition in generative artificial intelligence and virtual worlds</w:t>
            </w:r>
            <w:r w:rsidR="000662A5" w:rsidRPr="00AF7BEE">
              <w:t xml:space="preserve">, </w:t>
            </w:r>
            <w:r w:rsidR="00232522" w:rsidRPr="00AF7BEE">
              <w:t>following the two calls for contributions launched in January 2024.</w:t>
            </w:r>
            <w:r w:rsidR="006C21DE" w:rsidRPr="00AF7BEE">
              <w:t xml:space="preserve"> </w:t>
            </w:r>
            <w:r w:rsidR="00796E6E" w:rsidRPr="00AF7BEE">
              <w:t>The brief</w:t>
            </w:r>
            <w:r w:rsidR="006C21DE" w:rsidRPr="00AF7BEE">
              <w:t xml:space="preserve"> looks at what types of anticompetitive concerns may emerge in the AI sector and at the possible tools to address them, including antitrust enforcement and merger control as well as the Digital Markets Act.</w:t>
            </w:r>
          </w:p>
          <w:p w14:paraId="30D14481" w14:textId="1B5E0A29" w:rsidR="0049246C" w:rsidRPr="00846AB3" w:rsidRDefault="51FABDDA" w:rsidP="00AF7BEE">
            <w:pPr>
              <w:pStyle w:val="NormalWeb"/>
              <w:widowControl w:val="0"/>
              <w:spacing w:before="120" w:beforeAutospacing="0" w:after="120" w:afterAutospacing="0" w:line="276" w:lineRule="auto"/>
              <w:ind w:left="74" w:right="74"/>
              <w:jc w:val="both"/>
            </w:pPr>
            <w:r w:rsidRPr="00AF7BEE">
              <w:t xml:space="preserve">Furthermore, the </w:t>
            </w:r>
            <w:r w:rsidR="00D23E40" w:rsidRPr="00AF7BEE">
              <w:t>Commission</w:t>
            </w:r>
            <w:r w:rsidRPr="00AF7BEE">
              <w:t xml:space="preserve"> welcomes and agrees with the statement in point</w:t>
            </w:r>
            <w:r w:rsidR="00037A02" w:rsidRPr="00AF7BEE">
              <w:t xml:space="preserve"> </w:t>
            </w:r>
            <w:r w:rsidRPr="00AF7BEE">
              <w:t>3.4</w:t>
            </w:r>
            <w:r w:rsidR="04635879" w:rsidRPr="00AF7BEE">
              <w:t>.2</w:t>
            </w:r>
            <w:r w:rsidRPr="00AF7BEE">
              <w:t xml:space="preserve"> that coordinated European and national investment in innovation is needed to help develop EU value chains and value creation in AI.</w:t>
            </w:r>
            <w:r w:rsidR="00037A02" w:rsidRPr="00AF7BEE">
              <w:t xml:space="preserve"> Also, the Commission takes due </w:t>
            </w:r>
            <w:r w:rsidR="00227EDC" w:rsidRPr="00AF7BEE">
              <w:t>account on Committee’s remark on AI’s</w:t>
            </w:r>
            <w:r w:rsidR="00227EDC" w:rsidRPr="00AF7BEE">
              <w:rPr>
                <w:rStyle w:val="normaltextrun"/>
                <w:color w:val="000000"/>
                <w:shd w:val="clear" w:color="auto" w:fill="FFFFFF"/>
              </w:rPr>
              <w:t xml:space="preserve"> impact on the environment and energy usage, which must be accurately measured and considered (point 1.7 of the opinion).</w:t>
            </w:r>
          </w:p>
        </w:tc>
      </w:tr>
    </w:tbl>
    <w:p w14:paraId="6AF07B14" w14:textId="26AEAB66" w:rsidR="004F6117" w:rsidRPr="00AF7BEE" w:rsidRDefault="004F6117" w:rsidP="00585EEB">
      <w:pPr>
        <w:spacing w:after="0" w:line="240" w:lineRule="auto"/>
        <w:ind w:left="-426"/>
        <w:rPr>
          <w:rFonts w:ascii="Times New Roman" w:hAnsi="Times New Roman"/>
          <w:bCs/>
          <w:sz w:val="16"/>
          <w:szCs w:val="16"/>
        </w:rPr>
      </w:pPr>
    </w:p>
    <w:sectPr w:rsidR="004F6117" w:rsidRPr="00AF7B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DE3B" w14:textId="77777777" w:rsidR="001069C6" w:rsidRDefault="001069C6" w:rsidP="00FF63EA">
      <w:pPr>
        <w:spacing w:after="0" w:line="240" w:lineRule="auto"/>
      </w:pPr>
      <w:r>
        <w:separator/>
      </w:r>
    </w:p>
  </w:endnote>
  <w:endnote w:type="continuationSeparator" w:id="0">
    <w:p w14:paraId="4DD49315" w14:textId="77777777" w:rsidR="001069C6" w:rsidRDefault="001069C6" w:rsidP="00FF63EA">
      <w:pPr>
        <w:spacing w:after="0" w:line="240" w:lineRule="auto"/>
      </w:pPr>
      <w:r>
        <w:continuationSeparator/>
      </w:r>
    </w:p>
  </w:endnote>
  <w:endnote w:type="continuationNotice" w:id="1">
    <w:p w14:paraId="08736410" w14:textId="77777777" w:rsidR="001069C6" w:rsidRDefault="00106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7B86" w14:textId="77777777" w:rsidR="001069C6" w:rsidRDefault="001069C6" w:rsidP="00FF63EA">
      <w:pPr>
        <w:spacing w:after="0" w:line="240" w:lineRule="auto"/>
      </w:pPr>
      <w:r>
        <w:separator/>
      </w:r>
    </w:p>
  </w:footnote>
  <w:footnote w:type="continuationSeparator" w:id="0">
    <w:p w14:paraId="25935B19" w14:textId="77777777" w:rsidR="001069C6" w:rsidRDefault="001069C6" w:rsidP="00FF63EA">
      <w:pPr>
        <w:spacing w:after="0" w:line="240" w:lineRule="auto"/>
      </w:pPr>
      <w:r>
        <w:continuationSeparator/>
      </w:r>
    </w:p>
  </w:footnote>
  <w:footnote w:type="continuationNotice" w:id="1">
    <w:p w14:paraId="11115AD0" w14:textId="77777777" w:rsidR="001069C6" w:rsidRDefault="001069C6">
      <w:pPr>
        <w:spacing w:after="0" w:line="240" w:lineRule="auto"/>
      </w:pPr>
    </w:p>
  </w:footnote>
  <w:footnote w:id="2">
    <w:p w14:paraId="401E3CA5" w14:textId="530C838D" w:rsidR="00AF7BEE" w:rsidRPr="00585EEB" w:rsidRDefault="00AF7BEE" w:rsidP="00585EEB">
      <w:pPr>
        <w:pStyle w:val="FootnoteText"/>
        <w:widowControl w:val="0"/>
        <w:spacing w:after="0" w:line="240" w:lineRule="auto"/>
        <w:ind w:left="284" w:right="-284" w:hanging="284"/>
        <w:jc w:val="both"/>
        <w:rPr>
          <w:rFonts w:ascii="Times New Roman" w:hAnsi="Times New Roman"/>
          <w:lang w:val="en-IE"/>
        </w:rPr>
      </w:pPr>
      <w:r w:rsidRPr="00585EEB">
        <w:rPr>
          <w:rStyle w:val="FootnoteReference"/>
          <w:rFonts w:ascii="Times New Roman" w:hAnsi="Times New Roman"/>
        </w:rPr>
        <w:footnoteRef/>
      </w:r>
      <w:r w:rsidRPr="00585EEB">
        <w:rPr>
          <w:rFonts w:ascii="Times New Roman" w:hAnsi="Times New Roman"/>
        </w:rPr>
        <w:t xml:space="preserve"> </w:t>
      </w:r>
      <w:r w:rsidRPr="00585EEB">
        <w:rPr>
          <w:rFonts w:ascii="Times New Roman" w:hAnsi="Times New Roman"/>
          <w:lang w:val="en-IE"/>
        </w:rPr>
        <w:tab/>
      </w:r>
      <w:r w:rsidRPr="00585EEB">
        <w:rPr>
          <w:rFonts w:ascii="Times New Roman" w:hAnsi="Times New Roman"/>
        </w:rPr>
        <w:t xml:space="preserve">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w:t>
      </w:r>
      <w:hyperlink r:id="rId1" w:tooltip="Gives access to this document through its ELI URI." w:history="1">
        <w:r w:rsidRPr="00585EEB">
          <w:rPr>
            <w:rStyle w:val="Hyperlink"/>
            <w:rFonts w:ascii="Times New Roman" w:hAnsi="Times New Roman"/>
          </w:rPr>
          <w:t>http://data.europa.eu/eli/reg/2024/1689/oj</w:t>
        </w:r>
      </w:hyperlink>
      <w:r w:rsidRPr="00585EEB">
        <w:rPr>
          <w:rFonts w:ascii="Times New Roman" w:hAnsi="Times New Roman"/>
        </w:rPr>
        <w:t>.</w:t>
      </w:r>
    </w:p>
  </w:footnote>
  <w:footnote w:id="3">
    <w:p w14:paraId="51F0CE31" w14:textId="484BB97F" w:rsidR="00E54786" w:rsidRPr="00E54786" w:rsidRDefault="00E54786" w:rsidP="00E54786">
      <w:pPr>
        <w:pStyle w:val="FootnoteText"/>
        <w:widowControl w:val="0"/>
        <w:spacing w:after="0" w:line="240" w:lineRule="auto"/>
        <w:ind w:left="284" w:hanging="284"/>
        <w:jc w:val="both"/>
        <w:rPr>
          <w:rFonts w:ascii="Times New Roman" w:hAnsi="Times New Roman"/>
        </w:rPr>
      </w:pPr>
      <w:r w:rsidRPr="00E54786">
        <w:rPr>
          <w:rStyle w:val="FootnoteReference"/>
          <w:rFonts w:ascii="Times New Roman" w:hAnsi="Times New Roman"/>
        </w:rPr>
        <w:footnoteRef/>
      </w:r>
      <w:r w:rsidRPr="00E54786">
        <w:rPr>
          <w:rFonts w:ascii="Times New Roman" w:hAnsi="Times New Roman"/>
        </w:rPr>
        <w:t xml:space="preserve"> </w:t>
      </w:r>
      <w:r w:rsidRPr="00E54786">
        <w:rPr>
          <w:rFonts w:ascii="Times New Roman" w:hAnsi="Times New Roman"/>
        </w:rPr>
        <w:tab/>
      </w:r>
      <w:hyperlink r:id="rId2" w:history="1">
        <w:r w:rsidRPr="00E54786">
          <w:rPr>
            <w:rStyle w:val="Hyperlink"/>
            <w:rFonts w:ascii="Times New Roman" w:hAnsi="Times New Roman"/>
          </w:rPr>
          <w:t>https://erc.europa.eu/homepage</w:t>
        </w:r>
      </w:hyperlink>
      <w:r w:rsidR="00780871">
        <w:t>.</w:t>
      </w:r>
    </w:p>
  </w:footnote>
  <w:footnote w:id="4">
    <w:p w14:paraId="589AB18A" w14:textId="1C18193A" w:rsidR="00E54786" w:rsidRPr="00E54786" w:rsidRDefault="00E54786" w:rsidP="00E54786">
      <w:pPr>
        <w:pStyle w:val="FootnoteText"/>
        <w:widowControl w:val="0"/>
        <w:spacing w:after="0" w:line="240" w:lineRule="auto"/>
        <w:ind w:left="284" w:hanging="284"/>
      </w:pPr>
      <w:r>
        <w:rPr>
          <w:rStyle w:val="FootnoteReference"/>
        </w:rPr>
        <w:footnoteRef/>
      </w:r>
      <w:r>
        <w:t xml:space="preserve"> </w:t>
      </w:r>
      <w:r>
        <w:tab/>
      </w:r>
      <w:hyperlink r:id="rId3" w:history="1">
        <w:r w:rsidRPr="000A0EF9">
          <w:rPr>
            <w:rStyle w:val="Hyperlink"/>
            <w:rFonts w:ascii="Times New Roman" w:hAnsi="Times New Roman"/>
            <w:lang w:val="en-IE"/>
          </w:rPr>
          <w:t>https://marie-sklodowska-curie-actions.ec.europa.eu/</w:t>
        </w:r>
      </w:hyperlink>
      <w:r w:rsidR="00780871">
        <w:t>.</w:t>
      </w:r>
    </w:p>
  </w:footnote>
  <w:footnote w:id="5">
    <w:p w14:paraId="75151B35" w14:textId="638C829C"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Pr>
          <w:rFonts w:ascii="Times New Roman" w:hAnsi="Times New Roman"/>
          <w:lang w:val="en-IE"/>
        </w:rPr>
        <w:tab/>
      </w:r>
      <w:hyperlink r:id="rId4" w:history="1">
        <w:r w:rsidR="000A0EF9" w:rsidRPr="00585EEB">
          <w:rPr>
            <w:rStyle w:val="Hyperlink"/>
            <w:rFonts w:ascii="Times New Roman" w:hAnsi="Times New Roman"/>
            <w:lang w:val="en-IE"/>
          </w:rPr>
          <w:t>https://commission.europa.eu/news/commission-rolls-out-plans-european-degree-2024-03-27_en</w:t>
        </w:r>
      </w:hyperlink>
      <w:r w:rsidR="00780871">
        <w:t>.</w:t>
      </w:r>
    </w:p>
  </w:footnote>
  <w:footnote w:id="6">
    <w:p w14:paraId="45C1BE22" w14:textId="207B91E3"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hyperlink r:id="rId5" w:history="1">
        <w:r w:rsidR="000A0EF9" w:rsidRPr="00585EEB">
          <w:rPr>
            <w:rStyle w:val="Hyperlink"/>
            <w:rFonts w:ascii="Times New Roman" w:hAnsi="Times New Roman"/>
            <w:lang w:val="en-IE"/>
          </w:rPr>
          <w:t>https://education.ec.europa.eu/education-levels/higher-education/european-universities-initiative</w:t>
        </w:r>
      </w:hyperlink>
      <w:r w:rsidR="00780871">
        <w:t>.</w:t>
      </w:r>
    </w:p>
  </w:footnote>
  <w:footnote w:id="7">
    <w:p w14:paraId="34A7FE30" w14:textId="3F986491"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hyperlink r:id="rId6" w:history="1">
        <w:r w:rsidR="000A0EF9" w:rsidRPr="00585EEB">
          <w:rPr>
            <w:rStyle w:val="Hyperlink"/>
            <w:rFonts w:ascii="Times New Roman" w:hAnsi="Times New Roman"/>
            <w:lang w:val="en-IE"/>
          </w:rPr>
          <w:t>https://eit.europa.eu/</w:t>
        </w:r>
      </w:hyperlink>
      <w:r w:rsidR="00780871">
        <w:t>.</w:t>
      </w:r>
    </w:p>
  </w:footnote>
  <w:footnote w:id="8">
    <w:p w14:paraId="2BCF3721" w14:textId="5456E3DE"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hyperlink r:id="rId7" w:history="1">
        <w:r w:rsidR="000A0EF9" w:rsidRPr="00585EEB">
          <w:rPr>
            <w:rStyle w:val="Hyperlink"/>
            <w:rFonts w:ascii="Times New Roman" w:hAnsi="Times New Roman"/>
            <w:lang w:val="en-IE"/>
          </w:rPr>
          <w:t>https://www.eitdeeptechtalent.eu/</w:t>
        </w:r>
      </w:hyperlink>
      <w:r w:rsidR="00780871">
        <w:t>.</w:t>
      </w:r>
    </w:p>
  </w:footnote>
  <w:footnote w:id="9">
    <w:p w14:paraId="4782AF99" w14:textId="2470A9A5"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hyperlink r:id="rId8" w:history="1">
        <w:r w:rsidR="000A0EF9" w:rsidRPr="00585EEB">
          <w:rPr>
            <w:rStyle w:val="Hyperlink"/>
            <w:rFonts w:ascii="Times New Roman" w:hAnsi="Times New Roman"/>
            <w:lang w:val="en-IE"/>
          </w:rPr>
          <w:t>https://ai.eitcommunity.eu/</w:t>
        </w:r>
      </w:hyperlink>
      <w:r w:rsidR="00780871">
        <w:t>.</w:t>
      </w:r>
    </w:p>
  </w:footnote>
  <w:footnote w:id="10">
    <w:p w14:paraId="7B976CC6" w14:textId="1128EB4C"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hyperlink r:id="rId9" w:history="1">
        <w:r w:rsidR="000A0EF9" w:rsidRPr="00585EEB">
          <w:rPr>
            <w:rStyle w:val="Hyperlink"/>
            <w:rFonts w:ascii="Times New Roman" w:hAnsi="Times New Roman"/>
            <w:lang w:val="en-IE"/>
          </w:rPr>
          <w:t>https://eit-campus.eu/</w:t>
        </w:r>
      </w:hyperlink>
      <w:r w:rsidR="00780871">
        <w:t>.</w:t>
      </w:r>
    </w:p>
  </w:footnote>
  <w:footnote w:id="11">
    <w:p w14:paraId="7B34F338" w14:textId="1BE08C4A"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hyperlink r:id="rId10" w:history="1">
        <w:r w:rsidR="000A0EF9" w:rsidRPr="00585EEB">
          <w:rPr>
            <w:rStyle w:val="Hyperlink"/>
            <w:rFonts w:ascii="Times New Roman" w:hAnsi="Times New Roman"/>
            <w:lang w:val="en-IE"/>
          </w:rPr>
          <w:t>https://erasmus-plus.ec.europa.eu/european-student-card-initiative</w:t>
        </w:r>
      </w:hyperlink>
    </w:p>
  </w:footnote>
  <w:footnote w:id="12">
    <w:p w14:paraId="39639EF5" w14:textId="397DE6FC" w:rsidR="0029378D" w:rsidRPr="000E158E" w:rsidRDefault="0029378D" w:rsidP="00585EEB">
      <w:pPr>
        <w:pStyle w:val="FootnoteText"/>
        <w:spacing w:after="0" w:line="240" w:lineRule="auto"/>
        <w:ind w:left="284" w:right="-284" w:hanging="284"/>
        <w:jc w:val="both"/>
        <w:rPr>
          <w:rFonts w:ascii="Times New Roman" w:hAnsi="Times New Roman"/>
          <w:lang w:val="fr-BE"/>
        </w:rPr>
      </w:pPr>
      <w:r w:rsidRPr="000E158E">
        <w:rPr>
          <w:rStyle w:val="FootnoteReference"/>
          <w:rFonts w:ascii="Times New Roman" w:hAnsi="Times New Roman"/>
        </w:rPr>
        <w:footnoteRef/>
      </w:r>
      <w:r w:rsidRPr="000E158E">
        <w:rPr>
          <w:rFonts w:ascii="Times New Roman" w:hAnsi="Times New Roman"/>
          <w:lang w:val="fr-BE"/>
        </w:rPr>
        <w:t xml:space="preserve"> </w:t>
      </w:r>
      <w:r w:rsidR="000A0EF9">
        <w:rPr>
          <w:rFonts w:ascii="Times New Roman" w:hAnsi="Times New Roman"/>
          <w:lang w:val="fr-BE"/>
        </w:rPr>
        <w:tab/>
      </w:r>
      <w:proofErr w:type="gramStart"/>
      <w:r w:rsidR="000A0EF9" w:rsidRPr="00585EEB">
        <w:rPr>
          <w:rFonts w:ascii="Times New Roman" w:hAnsi="Times New Roman"/>
          <w:lang w:val="fr-BE"/>
        </w:rPr>
        <w:t>COM</w:t>
      </w:r>
      <w:r w:rsidR="003168C8">
        <w:rPr>
          <w:rFonts w:ascii="Times New Roman" w:hAnsi="Times New Roman"/>
          <w:lang w:val="fr-BE"/>
        </w:rPr>
        <w:t>(</w:t>
      </w:r>
      <w:proofErr w:type="gramEnd"/>
      <w:r w:rsidR="000A0EF9" w:rsidRPr="00585EEB">
        <w:rPr>
          <w:rFonts w:ascii="Times New Roman" w:hAnsi="Times New Roman"/>
          <w:lang w:val="fr-BE"/>
        </w:rPr>
        <w:t>2020</w:t>
      </w:r>
      <w:r w:rsidR="003168C8">
        <w:rPr>
          <w:rFonts w:ascii="Times New Roman" w:hAnsi="Times New Roman"/>
          <w:lang w:val="fr-BE"/>
        </w:rPr>
        <w:t xml:space="preserve">) </w:t>
      </w:r>
      <w:r w:rsidR="000A0EF9" w:rsidRPr="00585EEB">
        <w:rPr>
          <w:rFonts w:ascii="Times New Roman" w:hAnsi="Times New Roman"/>
          <w:lang w:val="fr-BE"/>
        </w:rPr>
        <w:t>624 final</w:t>
      </w:r>
      <w:r w:rsidR="000A0EF9" w:rsidRPr="000A0EF9">
        <w:rPr>
          <w:rFonts w:ascii="Times New Roman" w:hAnsi="Times New Roman"/>
          <w:lang w:val="fr-BE"/>
        </w:rPr>
        <w:t xml:space="preserve"> </w:t>
      </w:r>
      <w:r w:rsidR="000A0EF9">
        <w:rPr>
          <w:rFonts w:ascii="Times New Roman" w:hAnsi="Times New Roman"/>
          <w:lang w:val="fr-BE"/>
        </w:rPr>
        <w:t>(</w:t>
      </w:r>
      <w:hyperlink r:id="rId11" w:history="1">
        <w:r w:rsidR="000A0EF9" w:rsidRPr="00585EEB">
          <w:rPr>
            <w:rStyle w:val="Hyperlink"/>
            <w:rFonts w:ascii="Times New Roman" w:hAnsi="Times New Roman"/>
            <w:lang w:val="fr-BE"/>
          </w:rPr>
          <w:t>EUR-Lex - 52020DC0624 - EN - EUR-Lex</w:t>
        </w:r>
      </w:hyperlink>
      <w:r w:rsidR="000A0EF9">
        <w:rPr>
          <w:rFonts w:ascii="Times New Roman" w:hAnsi="Times New Roman"/>
          <w:lang w:val="fr-BE"/>
        </w:rPr>
        <w:t>).</w:t>
      </w:r>
    </w:p>
  </w:footnote>
  <w:footnote w:id="13">
    <w:p w14:paraId="3DD60155" w14:textId="0E3F5A3F" w:rsidR="0029378D" w:rsidRPr="00780871" w:rsidRDefault="0029378D" w:rsidP="00585EEB">
      <w:pPr>
        <w:pStyle w:val="FootnoteText"/>
        <w:spacing w:after="0" w:line="240" w:lineRule="auto"/>
        <w:ind w:left="284" w:right="-284" w:hanging="284"/>
        <w:jc w:val="both"/>
        <w:rPr>
          <w:rFonts w:ascii="Times New Roman" w:hAnsi="Times New Roman"/>
          <w:lang w:val="fr-BE"/>
        </w:rPr>
      </w:pPr>
      <w:r w:rsidRPr="000E158E">
        <w:rPr>
          <w:rStyle w:val="FootnoteReference"/>
          <w:rFonts w:ascii="Times New Roman" w:hAnsi="Times New Roman"/>
        </w:rPr>
        <w:footnoteRef/>
      </w:r>
      <w:r w:rsidRPr="000E158E">
        <w:rPr>
          <w:rFonts w:ascii="Times New Roman" w:hAnsi="Times New Roman"/>
          <w:lang w:val="fr-BE"/>
        </w:rPr>
        <w:t xml:space="preserve"> </w:t>
      </w:r>
      <w:r w:rsidR="000A0EF9">
        <w:rPr>
          <w:rFonts w:ascii="Times New Roman" w:hAnsi="Times New Roman"/>
          <w:lang w:val="fr-BE"/>
        </w:rPr>
        <w:tab/>
      </w:r>
      <w:hyperlink r:id="rId12" w:history="1">
        <w:r w:rsidR="000A0EF9" w:rsidRPr="000A0EF9">
          <w:rPr>
            <w:rStyle w:val="Hyperlink"/>
            <w:rFonts w:ascii="Times New Roman" w:hAnsi="Times New Roman"/>
            <w:lang w:val="fr-BE"/>
          </w:rPr>
          <w:t>https://wikis.ec.europa.eu/display/EAC/DELTA</w:t>
        </w:r>
      </w:hyperlink>
    </w:p>
  </w:footnote>
  <w:footnote w:id="14">
    <w:p w14:paraId="55FDFC09" w14:textId="00ACA8E7" w:rsidR="0029378D" w:rsidRPr="00585EEB" w:rsidRDefault="0029378D" w:rsidP="00585EEB">
      <w:pPr>
        <w:pStyle w:val="FootnoteText"/>
        <w:widowControl w:val="0"/>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r w:rsidR="003168C8" w:rsidRPr="003168C8">
        <w:rPr>
          <w:rFonts w:ascii="Times New Roman" w:hAnsi="Times New Roman"/>
        </w:rPr>
        <w:t>European Commission: European Education and Culture Executive Agency, </w:t>
      </w:r>
      <w:r w:rsidR="003168C8" w:rsidRPr="00585EEB">
        <w:rPr>
          <w:rFonts w:ascii="Times New Roman" w:hAnsi="Times New Roman"/>
        </w:rPr>
        <w:t>AI report – By the European Digital Education Hub’s Squad on artificial intelligence in education</w:t>
      </w:r>
      <w:r w:rsidR="003168C8" w:rsidRPr="003168C8">
        <w:rPr>
          <w:rFonts w:ascii="Times New Roman" w:hAnsi="Times New Roman"/>
        </w:rPr>
        <w:t>, Publications Office of the European Union, 2023</w:t>
      </w:r>
      <w:r w:rsidR="003168C8">
        <w:rPr>
          <w:rFonts w:ascii="Times New Roman" w:hAnsi="Times New Roman"/>
        </w:rPr>
        <w:t xml:space="preserve"> (</w:t>
      </w:r>
      <w:hyperlink r:id="rId13" w:history="1">
        <w:r w:rsidR="003168C8" w:rsidRPr="00585EEB">
          <w:rPr>
            <w:rStyle w:val="Hyperlink"/>
            <w:rFonts w:ascii="Times New Roman" w:hAnsi="Times New Roman"/>
          </w:rPr>
          <w:t>https://data.europa.eu/doi/10.2797/828281</w:t>
        </w:r>
      </w:hyperlink>
      <w:r w:rsidR="003168C8" w:rsidRPr="00585EEB">
        <w:rPr>
          <w:rFonts w:ascii="Times New Roman" w:hAnsi="Times New Roman"/>
          <w:lang w:val="en-IE"/>
        </w:rPr>
        <w:t>).</w:t>
      </w:r>
    </w:p>
  </w:footnote>
  <w:footnote w:id="15">
    <w:p w14:paraId="0BBABD2A" w14:textId="4E274D7D" w:rsidR="0029378D" w:rsidRPr="00585EEB" w:rsidRDefault="0029378D" w:rsidP="00585EEB">
      <w:pPr>
        <w:pStyle w:val="FootnoteText"/>
        <w:widowControl w:val="0"/>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r w:rsidR="003168C8" w:rsidRPr="003168C8">
        <w:rPr>
          <w:rFonts w:ascii="Times New Roman" w:hAnsi="Times New Roman"/>
        </w:rPr>
        <w:t>European Commission: Directorate-General for Education, Youth, Sport and Culture, </w:t>
      </w:r>
      <w:r w:rsidR="003168C8" w:rsidRPr="00585EEB">
        <w:rPr>
          <w:rFonts w:ascii="Times New Roman" w:hAnsi="Times New Roman"/>
        </w:rPr>
        <w:t>Ethical guidelines on the use of artificial intelligence (AI) and data in teaching and learning for educators</w:t>
      </w:r>
      <w:r w:rsidR="003168C8" w:rsidRPr="003168C8">
        <w:rPr>
          <w:rFonts w:ascii="Times New Roman" w:hAnsi="Times New Roman"/>
        </w:rPr>
        <w:t>, Publications Office of the European Union, 2022</w:t>
      </w:r>
      <w:r w:rsidR="003168C8">
        <w:rPr>
          <w:rFonts w:ascii="Times New Roman" w:hAnsi="Times New Roman"/>
        </w:rPr>
        <w:t xml:space="preserve"> (</w:t>
      </w:r>
      <w:hyperlink r:id="rId14" w:history="1">
        <w:r w:rsidR="003168C8" w:rsidRPr="00585EEB">
          <w:rPr>
            <w:rStyle w:val="Hyperlink"/>
            <w:rFonts w:ascii="Times New Roman" w:hAnsi="Times New Roman"/>
          </w:rPr>
          <w:t>https://data.europa.eu/doi/10.2766/153756</w:t>
        </w:r>
      </w:hyperlink>
      <w:r w:rsidR="003168C8" w:rsidRPr="00585EEB">
        <w:rPr>
          <w:rFonts w:ascii="Times New Roman" w:hAnsi="Times New Roman"/>
          <w:lang w:val="en-IE"/>
        </w:rPr>
        <w:t>)</w:t>
      </w:r>
      <w:r w:rsidR="003168C8">
        <w:rPr>
          <w:rFonts w:ascii="Times New Roman" w:hAnsi="Times New Roman"/>
          <w:lang w:val="en-IE"/>
        </w:rPr>
        <w:t>.</w:t>
      </w:r>
    </w:p>
  </w:footnote>
  <w:footnote w:id="16">
    <w:p w14:paraId="15F7AA36" w14:textId="2E1326D1" w:rsidR="0029378D" w:rsidRPr="00585EEB" w:rsidRDefault="0029378D" w:rsidP="00585EEB">
      <w:pPr>
        <w:pStyle w:val="FootnoteText"/>
        <w:widowControl w:val="0"/>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r w:rsidR="003168C8" w:rsidRPr="003168C8">
        <w:rPr>
          <w:rFonts w:ascii="Roboto" w:hAnsi="Roboto"/>
          <w:b/>
          <w:bCs/>
          <w:color w:val="333333"/>
          <w:sz w:val="21"/>
          <w:szCs w:val="21"/>
          <w:shd w:val="clear" w:color="auto" w:fill="FFFFFF"/>
        </w:rPr>
        <w:t xml:space="preserve"> </w:t>
      </w:r>
      <w:r w:rsidR="003168C8" w:rsidRPr="00585EEB">
        <w:rPr>
          <w:rFonts w:ascii="Times New Roman" w:hAnsi="Times New Roman"/>
        </w:rPr>
        <w:t>Council Recommendation of 23 November 2023 on improving the provision of digital skills and competences in education and training (</w:t>
      </w:r>
      <w:hyperlink r:id="rId15" w:tooltip="Gives access to this document through its ELI URI." w:history="1">
        <w:r w:rsidR="003168C8" w:rsidRPr="00585EEB">
          <w:rPr>
            <w:rStyle w:val="Hyperlink"/>
            <w:rFonts w:ascii="Times New Roman" w:hAnsi="Times New Roman"/>
          </w:rPr>
          <w:t>http://data.europa.eu/eli/C/2024/1030/oj</w:t>
        </w:r>
      </w:hyperlink>
      <w:r w:rsidR="003168C8" w:rsidRPr="00585EEB">
        <w:rPr>
          <w:rFonts w:ascii="Times New Roman" w:hAnsi="Times New Roman"/>
        </w:rPr>
        <w:t>)</w:t>
      </w:r>
      <w:r w:rsidR="003168C8">
        <w:rPr>
          <w:rFonts w:ascii="Times New Roman" w:hAnsi="Times New Roman"/>
        </w:rPr>
        <w:t>.</w:t>
      </w:r>
    </w:p>
  </w:footnote>
  <w:footnote w:id="17">
    <w:p w14:paraId="594984B3" w14:textId="30FF7946" w:rsidR="0029378D" w:rsidRPr="00585EEB" w:rsidRDefault="0029378D" w:rsidP="00585EEB">
      <w:pPr>
        <w:pStyle w:val="FootnoteText"/>
        <w:spacing w:after="0" w:line="240" w:lineRule="auto"/>
        <w:ind w:left="284" w:right="-284" w:hanging="284"/>
        <w:jc w:val="both"/>
        <w:rPr>
          <w:rFonts w:ascii="Times New Roman" w:hAnsi="Times New Roman"/>
          <w:lang w:val="en-IE"/>
        </w:rPr>
      </w:pPr>
      <w:r w:rsidRPr="000E158E">
        <w:rPr>
          <w:rStyle w:val="FootnoteReference"/>
          <w:rFonts w:ascii="Times New Roman" w:hAnsi="Times New Roman"/>
        </w:rPr>
        <w:footnoteRef/>
      </w:r>
      <w:r w:rsidRPr="00585EEB">
        <w:rPr>
          <w:rFonts w:ascii="Times New Roman" w:hAnsi="Times New Roman"/>
          <w:lang w:val="en-IE"/>
        </w:rPr>
        <w:t xml:space="preserve"> </w:t>
      </w:r>
      <w:r w:rsidR="000A0EF9" w:rsidRPr="00585EEB">
        <w:rPr>
          <w:rFonts w:ascii="Times New Roman" w:hAnsi="Times New Roman"/>
          <w:lang w:val="en-IE"/>
        </w:rPr>
        <w:tab/>
      </w:r>
      <w:r w:rsidR="00D8091C" w:rsidRPr="00585EEB">
        <w:rPr>
          <w:rFonts w:ascii="Times New Roman" w:hAnsi="Times New Roman"/>
        </w:rPr>
        <w:t>Council Recommendation of 23 November 2023 on the key enabling factors for successful digital education and training (</w:t>
      </w:r>
      <w:hyperlink r:id="rId16" w:tooltip="Gives access to this document through its ELI URI." w:history="1">
        <w:r w:rsidR="00D8091C" w:rsidRPr="00585EEB">
          <w:rPr>
            <w:rStyle w:val="Hyperlink"/>
            <w:rFonts w:ascii="Times New Roman" w:hAnsi="Times New Roman"/>
          </w:rPr>
          <w:t>http://data.europa.eu/eli/C/2024/1115/oj</w:t>
        </w:r>
      </w:hyperlink>
      <w:r w:rsidR="00D8091C" w:rsidRPr="00585EEB">
        <w:rPr>
          <w:rFonts w:ascii="Times New Roman" w:hAnsi="Times New Roman"/>
        </w:rPr>
        <w:t>).</w:t>
      </w:r>
    </w:p>
  </w:footnote>
  <w:footnote w:id="18">
    <w:p w14:paraId="5A2ECA66" w14:textId="0493E1AE" w:rsidR="00D8091C" w:rsidRPr="00585EEB" w:rsidRDefault="00D8091C" w:rsidP="00585EEB">
      <w:pPr>
        <w:pStyle w:val="FootnoteText"/>
        <w:widowControl w:val="0"/>
        <w:spacing w:after="0" w:line="240" w:lineRule="auto"/>
        <w:ind w:left="284" w:right="-284" w:hanging="284"/>
        <w:jc w:val="both"/>
        <w:rPr>
          <w:rFonts w:ascii="Times New Roman" w:hAnsi="Times New Roman"/>
          <w:lang w:val="en-IE"/>
        </w:rPr>
      </w:pPr>
      <w:r w:rsidRPr="00585EEB">
        <w:rPr>
          <w:rStyle w:val="FootnoteReference"/>
          <w:rFonts w:ascii="Times New Roman" w:hAnsi="Times New Roman"/>
        </w:rPr>
        <w:footnoteRef/>
      </w:r>
      <w:r w:rsidRPr="00585EEB">
        <w:rPr>
          <w:rFonts w:ascii="Times New Roman" w:hAnsi="Times New Roman"/>
        </w:rPr>
        <w:t xml:space="preserve"> </w:t>
      </w:r>
      <w:r w:rsidRPr="00585EEB">
        <w:rPr>
          <w:rFonts w:ascii="Times New Roman" w:hAnsi="Times New Roman"/>
          <w:lang w:val="en-IE"/>
        </w:rPr>
        <w:tab/>
      </w:r>
      <w:r w:rsidRPr="00585EEB">
        <w:rPr>
          <w:rFonts w:ascii="Times New Roman" w:hAnsi="Times New Roman"/>
        </w:rPr>
        <w:t>Regulation (EU) 2022/1925 of the European Parliament and of the Council of 14 September 2022 on contestable and fair markets in the digital sector and amending Directives (EU) 2019/1937 and (EU) 2020/1828 (Digital Markets Act); (</w:t>
      </w:r>
      <w:hyperlink r:id="rId17" w:history="1">
        <w:r w:rsidR="00585EEB" w:rsidRPr="00380C2C">
          <w:rPr>
            <w:rStyle w:val="Hyperlink"/>
            <w:rFonts w:ascii="Times New Roman" w:hAnsi="Times New Roman"/>
          </w:rPr>
          <w:t>http://data.europa.eu/eli/reg/2022/1925/oj</w:t>
        </w:r>
      </w:hyperlink>
      <w:r w:rsidRPr="00585EEB">
        <w:rPr>
          <w:rFonts w:ascii="Times New Roman" w:hAnsi="Times New Roman"/>
        </w:rPr>
        <w:t>).</w:t>
      </w:r>
    </w:p>
  </w:footnote>
  <w:footnote w:id="19">
    <w:p w14:paraId="571FB5BF" w14:textId="6F96F314" w:rsidR="00D8091C" w:rsidRPr="00585EEB" w:rsidRDefault="00D8091C" w:rsidP="00585EEB">
      <w:pPr>
        <w:pStyle w:val="FootnoteText"/>
        <w:widowControl w:val="0"/>
        <w:spacing w:after="0" w:line="240" w:lineRule="auto"/>
        <w:ind w:left="284" w:hanging="284"/>
        <w:jc w:val="both"/>
        <w:rPr>
          <w:rFonts w:ascii="Times New Roman" w:hAnsi="Times New Roman"/>
          <w:lang w:val="en-IE"/>
        </w:rPr>
      </w:pPr>
      <w:r w:rsidRPr="00585EEB">
        <w:rPr>
          <w:rStyle w:val="FootnoteReference"/>
          <w:rFonts w:ascii="Times New Roman" w:hAnsi="Times New Roman"/>
        </w:rPr>
        <w:footnoteRef/>
      </w:r>
      <w:r w:rsidRPr="00585EEB">
        <w:rPr>
          <w:rFonts w:ascii="Times New Roman" w:hAnsi="Times New Roman"/>
        </w:rPr>
        <w:t xml:space="preserve"> </w:t>
      </w:r>
      <w:r w:rsidRPr="00585EEB">
        <w:rPr>
          <w:rFonts w:ascii="Times New Roman" w:hAnsi="Times New Roman"/>
          <w:lang w:val="en-IE"/>
        </w:rPr>
        <w:tab/>
      </w:r>
      <w:hyperlink r:id="rId18" w:history="1">
        <w:r w:rsidRPr="00585EEB">
          <w:rPr>
            <w:rStyle w:val="Hyperlink"/>
            <w:rFonts w:ascii="Times New Roman" w:hAnsi="Times New Roman"/>
          </w:rPr>
          <w:t>Commission publishes policy brief on competition in generative AI and virtual worlds | Shaping Europe’s digital future</w:t>
        </w:r>
      </w:hyperlink>
      <w:r w:rsidRPr="00585EEB">
        <w:rPr>
          <w:rFonts w:ascii="Times New Roman" w:hAnsi="Times New Roman"/>
          <w:lang w:val="en-I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0F78"/>
    <w:rsid w:val="000012F3"/>
    <w:rsid w:val="00003BAB"/>
    <w:rsid w:val="000128E2"/>
    <w:rsid w:val="00012A37"/>
    <w:rsid w:val="000141DF"/>
    <w:rsid w:val="00016F1F"/>
    <w:rsid w:val="000178C0"/>
    <w:rsid w:val="0002295B"/>
    <w:rsid w:val="00027BA8"/>
    <w:rsid w:val="00027EE5"/>
    <w:rsid w:val="00037A02"/>
    <w:rsid w:val="00040CF3"/>
    <w:rsid w:val="00042F52"/>
    <w:rsid w:val="00043C8C"/>
    <w:rsid w:val="00046B15"/>
    <w:rsid w:val="00050DC7"/>
    <w:rsid w:val="00053B66"/>
    <w:rsid w:val="000644C3"/>
    <w:rsid w:val="000662A5"/>
    <w:rsid w:val="0007007F"/>
    <w:rsid w:val="00070307"/>
    <w:rsid w:val="00070CEF"/>
    <w:rsid w:val="00076109"/>
    <w:rsid w:val="00077C4F"/>
    <w:rsid w:val="00091C8C"/>
    <w:rsid w:val="000A0EF9"/>
    <w:rsid w:val="000A598A"/>
    <w:rsid w:val="000B16A6"/>
    <w:rsid w:val="000B771A"/>
    <w:rsid w:val="000B79AE"/>
    <w:rsid w:val="000C12A5"/>
    <w:rsid w:val="000D4547"/>
    <w:rsid w:val="000E1597"/>
    <w:rsid w:val="000E25A3"/>
    <w:rsid w:val="000F4811"/>
    <w:rsid w:val="000F5FD8"/>
    <w:rsid w:val="001060E0"/>
    <w:rsid w:val="001069C6"/>
    <w:rsid w:val="0010734E"/>
    <w:rsid w:val="00110A60"/>
    <w:rsid w:val="001167C0"/>
    <w:rsid w:val="00121540"/>
    <w:rsid w:val="0012233C"/>
    <w:rsid w:val="00127F1D"/>
    <w:rsid w:val="00130CBC"/>
    <w:rsid w:val="00135944"/>
    <w:rsid w:val="00135C2A"/>
    <w:rsid w:val="00136385"/>
    <w:rsid w:val="00137C4D"/>
    <w:rsid w:val="00141447"/>
    <w:rsid w:val="001568B6"/>
    <w:rsid w:val="0016256A"/>
    <w:rsid w:val="00174549"/>
    <w:rsid w:val="00174ECA"/>
    <w:rsid w:val="0018217C"/>
    <w:rsid w:val="001A3123"/>
    <w:rsid w:val="001A4BAF"/>
    <w:rsid w:val="001B0E0B"/>
    <w:rsid w:val="001B67CB"/>
    <w:rsid w:val="001C4138"/>
    <w:rsid w:val="001C4293"/>
    <w:rsid w:val="001D662F"/>
    <w:rsid w:val="001E6143"/>
    <w:rsid w:val="001F2EC6"/>
    <w:rsid w:val="001F65D0"/>
    <w:rsid w:val="002020DB"/>
    <w:rsid w:val="00203C67"/>
    <w:rsid w:val="002109D1"/>
    <w:rsid w:val="00217E59"/>
    <w:rsid w:val="0022176B"/>
    <w:rsid w:val="00227EDC"/>
    <w:rsid w:val="00232522"/>
    <w:rsid w:val="00232A1B"/>
    <w:rsid w:val="002437D3"/>
    <w:rsid w:val="0024538D"/>
    <w:rsid w:val="00246625"/>
    <w:rsid w:val="00250D54"/>
    <w:rsid w:val="0025244A"/>
    <w:rsid w:val="0025766F"/>
    <w:rsid w:val="00263F71"/>
    <w:rsid w:val="00271273"/>
    <w:rsid w:val="0028446B"/>
    <w:rsid w:val="0029378D"/>
    <w:rsid w:val="002A73E4"/>
    <w:rsid w:val="002B30A5"/>
    <w:rsid w:val="002B4954"/>
    <w:rsid w:val="002C419D"/>
    <w:rsid w:val="002E38F3"/>
    <w:rsid w:val="002F03FA"/>
    <w:rsid w:val="002F1645"/>
    <w:rsid w:val="002F299A"/>
    <w:rsid w:val="002F3B43"/>
    <w:rsid w:val="003004D2"/>
    <w:rsid w:val="003061DD"/>
    <w:rsid w:val="00307FAF"/>
    <w:rsid w:val="003168C8"/>
    <w:rsid w:val="003222AB"/>
    <w:rsid w:val="00324A95"/>
    <w:rsid w:val="003258B3"/>
    <w:rsid w:val="003349A3"/>
    <w:rsid w:val="00353273"/>
    <w:rsid w:val="00376819"/>
    <w:rsid w:val="00376E29"/>
    <w:rsid w:val="00377967"/>
    <w:rsid w:val="00386143"/>
    <w:rsid w:val="00390977"/>
    <w:rsid w:val="00392091"/>
    <w:rsid w:val="003B58DC"/>
    <w:rsid w:val="003B775D"/>
    <w:rsid w:val="003B7F79"/>
    <w:rsid w:val="003C155D"/>
    <w:rsid w:val="003C20E2"/>
    <w:rsid w:val="003C2327"/>
    <w:rsid w:val="003D3E27"/>
    <w:rsid w:val="003E1631"/>
    <w:rsid w:val="003E38E6"/>
    <w:rsid w:val="003F686E"/>
    <w:rsid w:val="0040716E"/>
    <w:rsid w:val="00420612"/>
    <w:rsid w:val="0042730A"/>
    <w:rsid w:val="00434E09"/>
    <w:rsid w:val="00442552"/>
    <w:rsid w:val="00455329"/>
    <w:rsid w:val="00455A1C"/>
    <w:rsid w:val="00466CAD"/>
    <w:rsid w:val="004675B5"/>
    <w:rsid w:val="004759B6"/>
    <w:rsid w:val="004770D6"/>
    <w:rsid w:val="0049246C"/>
    <w:rsid w:val="004A01AB"/>
    <w:rsid w:val="004A58EC"/>
    <w:rsid w:val="004B02DC"/>
    <w:rsid w:val="004B4CFC"/>
    <w:rsid w:val="004B5644"/>
    <w:rsid w:val="004C010E"/>
    <w:rsid w:val="004C1D48"/>
    <w:rsid w:val="004C2A38"/>
    <w:rsid w:val="004C4859"/>
    <w:rsid w:val="004D5347"/>
    <w:rsid w:val="004E510E"/>
    <w:rsid w:val="004F5DE8"/>
    <w:rsid w:val="004F6117"/>
    <w:rsid w:val="004F63F1"/>
    <w:rsid w:val="004F651E"/>
    <w:rsid w:val="0050535A"/>
    <w:rsid w:val="00510910"/>
    <w:rsid w:val="005229BF"/>
    <w:rsid w:val="0052596B"/>
    <w:rsid w:val="005307E2"/>
    <w:rsid w:val="005338E1"/>
    <w:rsid w:val="00551647"/>
    <w:rsid w:val="00554D8D"/>
    <w:rsid w:val="00556465"/>
    <w:rsid w:val="00560F7F"/>
    <w:rsid w:val="00561909"/>
    <w:rsid w:val="005659D4"/>
    <w:rsid w:val="005723AC"/>
    <w:rsid w:val="00573835"/>
    <w:rsid w:val="00581306"/>
    <w:rsid w:val="00585EEB"/>
    <w:rsid w:val="005A759A"/>
    <w:rsid w:val="005B046C"/>
    <w:rsid w:val="005C0BA1"/>
    <w:rsid w:val="005C2B6E"/>
    <w:rsid w:val="005C3105"/>
    <w:rsid w:val="005D27B5"/>
    <w:rsid w:val="005D33A7"/>
    <w:rsid w:val="005D7D64"/>
    <w:rsid w:val="005F0DEB"/>
    <w:rsid w:val="005F1001"/>
    <w:rsid w:val="006031DB"/>
    <w:rsid w:val="0060707E"/>
    <w:rsid w:val="00607302"/>
    <w:rsid w:val="00611ED9"/>
    <w:rsid w:val="00615C2F"/>
    <w:rsid w:val="006162E7"/>
    <w:rsid w:val="00616DAB"/>
    <w:rsid w:val="00621E9C"/>
    <w:rsid w:val="0065008B"/>
    <w:rsid w:val="006575D5"/>
    <w:rsid w:val="00664467"/>
    <w:rsid w:val="00672537"/>
    <w:rsid w:val="00675FA6"/>
    <w:rsid w:val="00682D0A"/>
    <w:rsid w:val="006842EC"/>
    <w:rsid w:val="00692C2F"/>
    <w:rsid w:val="00693619"/>
    <w:rsid w:val="00694D60"/>
    <w:rsid w:val="00695797"/>
    <w:rsid w:val="00696A5E"/>
    <w:rsid w:val="006A7DA6"/>
    <w:rsid w:val="006B152B"/>
    <w:rsid w:val="006B3B69"/>
    <w:rsid w:val="006B6039"/>
    <w:rsid w:val="006C21DE"/>
    <w:rsid w:val="006C4C32"/>
    <w:rsid w:val="006E15BB"/>
    <w:rsid w:val="006E2731"/>
    <w:rsid w:val="006E667F"/>
    <w:rsid w:val="00703403"/>
    <w:rsid w:val="00717AF4"/>
    <w:rsid w:val="00717DCC"/>
    <w:rsid w:val="007211AE"/>
    <w:rsid w:val="00723E00"/>
    <w:rsid w:val="0072453D"/>
    <w:rsid w:val="00726F6D"/>
    <w:rsid w:val="00734613"/>
    <w:rsid w:val="007364AA"/>
    <w:rsid w:val="007378DB"/>
    <w:rsid w:val="007431C1"/>
    <w:rsid w:val="007503B1"/>
    <w:rsid w:val="00751910"/>
    <w:rsid w:val="00751E60"/>
    <w:rsid w:val="007547B5"/>
    <w:rsid w:val="00765E0A"/>
    <w:rsid w:val="007703B5"/>
    <w:rsid w:val="007728DE"/>
    <w:rsid w:val="0077472A"/>
    <w:rsid w:val="00774E41"/>
    <w:rsid w:val="00780871"/>
    <w:rsid w:val="00784245"/>
    <w:rsid w:val="00793E8F"/>
    <w:rsid w:val="00795A9E"/>
    <w:rsid w:val="00796A89"/>
    <w:rsid w:val="00796E6E"/>
    <w:rsid w:val="007A606D"/>
    <w:rsid w:val="007B13B5"/>
    <w:rsid w:val="007B1749"/>
    <w:rsid w:val="007B2953"/>
    <w:rsid w:val="007B2CFF"/>
    <w:rsid w:val="007B4F7C"/>
    <w:rsid w:val="007B5698"/>
    <w:rsid w:val="007B7E34"/>
    <w:rsid w:val="007C2214"/>
    <w:rsid w:val="007E0FF3"/>
    <w:rsid w:val="007E37FE"/>
    <w:rsid w:val="007F015F"/>
    <w:rsid w:val="008007B6"/>
    <w:rsid w:val="00807276"/>
    <w:rsid w:val="00807B48"/>
    <w:rsid w:val="008135CA"/>
    <w:rsid w:val="0081428F"/>
    <w:rsid w:val="0081584F"/>
    <w:rsid w:val="00830605"/>
    <w:rsid w:val="008311CE"/>
    <w:rsid w:val="00833755"/>
    <w:rsid w:val="0084120D"/>
    <w:rsid w:val="0084362A"/>
    <w:rsid w:val="00846AB3"/>
    <w:rsid w:val="008554C3"/>
    <w:rsid w:val="00866D17"/>
    <w:rsid w:val="008703BF"/>
    <w:rsid w:val="00871991"/>
    <w:rsid w:val="008720EF"/>
    <w:rsid w:val="008736A9"/>
    <w:rsid w:val="00882AFF"/>
    <w:rsid w:val="00887ED8"/>
    <w:rsid w:val="008925CE"/>
    <w:rsid w:val="00892846"/>
    <w:rsid w:val="00896013"/>
    <w:rsid w:val="008A50EE"/>
    <w:rsid w:val="008A6670"/>
    <w:rsid w:val="008B04FB"/>
    <w:rsid w:val="008B8B5B"/>
    <w:rsid w:val="008C09D3"/>
    <w:rsid w:val="008C4D41"/>
    <w:rsid w:val="00920A55"/>
    <w:rsid w:val="00935AF9"/>
    <w:rsid w:val="0094421E"/>
    <w:rsid w:val="009523AF"/>
    <w:rsid w:val="00956A68"/>
    <w:rsid w:val="00970087"/>
    <w:rsid w:val="009768D2"/>
    <w:rsid w:val="00981F45"/>
    <w:rsid w:val="00991F87"/>
    <w:rsid w:val="00992E25"/>
    <w:rsid w:val="00994D12"/>
    <w:rsid w:val="009966E7"/>
    <w:rsid w:val="009A5761"/>
    <w:rsid w:val="009B128B"/>
    <w:rsid w:val="009B4041"/>
    <w:rsid w:val="009C56EE"/>
    <w:rsid w:val="009C5E1E"/>
    <w:rsid w:val="009D52DD"/>
    <w:rsid w:val="009E0427"/>
    <w:rsid w:val="009E0A0D"/>
    <w:rsid w:val="009E3011"/>
    <w:rsid w:val="009F1F10"/>
    <w:rsid w:val="00A01623"/>
    <w:rsid w:val="00A1221C"/>
    <w:rsid w:val="00A1598F"/>
    <w:rsid w:val="00A16F07"/>
    <w:rsid w:val="00A17B19"/>
    <w:rsid w:val="00A42177"/>
    <w:rsid w:val="00A62C7B"/>
    <w:rsid w:val="00A76C4E"/>
    <w:rsid w:val="00A7709A"/>
    <w:rsid w:val="00A77186"/>
    <w:rsid w:val="00A927BC"/>
    <w:rsid w:val="00AA0028"/>
    <w:rsid w:val="00AA0B17"/>
    <w:rsid w:val="00AA119C"/>
    <w:rsid w:val="00AA2B99"/>
    <w:rsid w:val="00AB4B67"/>
    <w:rsid w:val="00AC2A0F"/>
    <w:rsid w:val="00AC5A45"/>
    <w:rsid w:val="00AC6FDC"/>
    <w:rsid w:val="00AC8DF0"/>
    <w:rsid w:val="00AD0E61"/>
    <w:rsid w:val="00AD6F13"/>
    <w:rsid w:val="00AD729E"/>
    <w:rsid w:val="00AE1842"/>
    <w:rsid w:val="00AE28AC"/>
    <w:rsid w:val="00AE3C7C"/>
    <w:rsid w:val="00AE4876"/>
    <w:rsid w:val="00AF5AB4"/>
    <w:rsid w:val="00AF7BEE"/>
    <w:rsid w:val="00B01310"/>
    <w:rsid w:val="00B052EE"/>
    <w:rsid w:val="00B05E67"/>
    <w:rsid w:val="00B211AA"/>
    <w:rsid w:val="00B3032D"/>
    <w:rsid w:val="00B31306"/>
    <w:rsid w:val="00B42814"/>
    <w:rsid w:val="00B51AAB"/>
    <w:rsid w:val="00B55C76"/>
    <w:rsid w:val="00B57720"/>
    <w:rsid w:val="00B61DC4"/>
    <w:rsid w:val="00B73ED1"/>
    <w:rsid w:val="00B7484B"/>
    <w:rsid w:val="00B80E6F"/>
    <w:rsid w:val="00B812FD"/>
    <w:rsid w:val="00B82981"/>
    <w:rsid w:val="00B83936"/>
    <w:rsid w:val="00B943BD"/>
    <w:rsid w:val="00BA2805"/>
    <w:rsid w:val="00BA7F7D"/>
    <w:rsid w:val="00BC4449"/>
    <w:rsid w:val="00BD533F"/>
    <w:rsid w:val="00BD6688"/>
    <w:rsid w:val="00BD6EB7"/>
    <w:rsid w:val="00BE44B3"/>
    <w:rsid w:val="00BE75C5"/>
    <w:rsid w:val="00BF480D"/>
    <w:rsid w:val="00BF5683"/>
    <w:rsid w:val="00C012B3"/>
    <w:rsid w:val="00C06C2C"/>
    <w:rsid w:val="00C10AD5"/>
    <w:rsid w:val="00C16018"/>
    <w:rsid w:val="00C160DF"/>
    <w:rsid w:val="00C17A73"/>
    <w:rsid w:val="00C21531"/>
    <w:rsid w:val="00C34712"/>
    <w:rsid w:val="00C3758C"/>
    <w:rsid w:val="00C44938"/>
    <w:rsid w:val="00C51B91"/>
    <w:rsid w:val="00C51E8B"/>
    <w:rsid w:val="00C52675"/>
    <w:rsid w:val="00C54D27"/>
    <w:rsid w:val="00C600AE"/>
    <w:rsid w:val="00C64BC9"/>
    <w:rsid w:val="00C72ECE"/>
    <w:rsid w:val="00C76EEB"/>
    <w:rsid w:val="00C7734B"/>
    <w:rsid w:val="00C80108"/>
    <w:rsid w:val="00C8510A"/>
    <w:rsid w:val="00C9217E"/>
    <w:rsid w:val="00C92558"/>
    <w:rsid w:val="00C9394B"/>
    <w:rsid w:val="00CA000F"/>
    <w:rsid w:val="00CA5DE4"/>
    <w:rsid w:val="00CB5FFB"/>
    <w:rsid w:val="00CC23F1"/>
    <w:rsid w:val="00CD05E6"/>
    <w:rsid w:val="00CD4575"/>
    <w:rsid w:val="00CE5987"/>
    <w:rsid w:val="00CF3F22"/>
    <w:rsid w:val="00D0102C"/>
    <w:rsid w:val="00D01EB8"/>
    <w:rsid w:val="00D01F5A"/>
    <w:rsid w:val="00D04544"/>
    <w:rsid w:val="00D15772"/>
    <w:rsid w:val="00D1716E"/>
    <w:rsid w:val="00D23A76"/>
    <w:rsid w:val="00D23E40"/>
    <w:rsid w:val="00D304A9"/>
    <w:rsid w:val="00D35BD7"/>
    <w:rsid w:val="00D61506"/>
    <w:rsid w:val="00D64B10"/>
    <w:rsid w:val="00D64E05"/>
    <w:rsid w:val="00D668D3"/>
    <w:rsid w:val="00D8091C"/>
    <w:rsid w:val="00D9054A"/>
    <w:rsid w:val="00D92FD3"/>
    <w:rsid w:val="00D93C99"/>
    <w:rsid w:val="00D96FEE"/>
    <w:rsid w:val="00DA3B6E"/>
    <w:rsid w:val="00DA425E"/>
    <w:rsid w:val="00DB7581"/>
    <w:rsid w:val="00DC6410"/>
    <w:rsid w:val="00DC70C1"/>
    <w:rsid w:val="00DD1090"/>
    <w:rsid w:val="00DE4CE3"/>
    <w:rsid w:val="00DE6367"/>
    <w:rsid w:val="00DF33AA"/>
    <w:rsid w:val="00E01F87"/>
    <w:rsid w:val="00E02BBB"/>
    <w:rsid w:val="00E03694"/>
    <w:rsid w:val="00E07870"/>
    <w:rsid w:val="00E27471"/>
    <w:rsid w:val="00E302A1"/>
    <w:rsid w:val="00E42569"/>
    <w:rsid w:val="00E436A2"/>
    <w:rsid w:val="00E467AA"/>
    <w:rsid w:val="00E54786"/>
    <w:rsid w:val="00E57681"/>
    <w:rsid w:val="00E663D6"/>
    <w:rsid w:val="00E70086"/>
    <w:rsid w:val="00E71697"/>
    <w:rsid w:val="00E73176"/>
    <w:rsid w:val="00E830D9"/>
    <w:rsid w:val="00E83C12"/>
    <w:rsid w:val="00E87BA4"/>
    <w:rsid w:val="00E904C8"/>
    <w:rsid w:val="00E9405E"/>
    <w:rsid w:val="00E9520E"/>
    <w:rsid w:val="00EA1BBF"/>
    <w:rsid w:val="00EB29A9"/>
    <w:rsid w:val="00EB39FC"/>
    <w:rsid w:val="00EB77D2"/>
    <w:rsid w:val="00EC3777"/>
    <w:rsid w:val="00ED0BC3"/>
    <w:rsid w:val="00ED3AED"/>
    <w:rsid w:val="00ED7802"/>
    <w:rsid w:val="00ED7FC7"/>
    <w:rsid w:val="00EF0286"/>
    <w:rsid w:val="00EF5251"/>
    <w:rsid w:val="00EF6F55"/>
    <w:rsid w:val="00F05C5E"/>
    <w:rsid w:val="00F2223B"/>
    <w:rsid w:val="00F24A42"/>
    <w:rsid w:val="00F25966"/>
    <w:rsid w:val="00F316C8"/>
    <w:rsid w:val="00F34B6C"/>
    <w:rsid w:val="00F35751"/>
    <w:rsid w:val="00F35D68"/>
    <w:rsid w:val="00F41F39"/>
    <w:rsid w:val="00F632DE"/>
    <w:rsid w:val="00F6439E"/>
    <w:rsid w:val="00F65B90"/>
    <w:rsid w:val="00F735E4"/>
    <w:rsid w:val="00F737DE"/>
    <w:rsid w:val="00F77286"/>
    <w:rsid w:val="00F80CD2"/>
    <w:rsid w:val="00F87753"/>
    <w:rsid w:val="00F934DB"/>
    <w:rsid w:val="00F97B50"/>
    <w:rsid w:val="00FA12EF"/>
    <w:rsid w:val="00FA23C9"/>
    <w:rsid w:val="00FB1B64"/>
    <w:rsid w:val="00FB7834"/>
    <w:rsid w:val="00FC2B6B"/>
    <w:rsid w:val="00FC785F"/>
    <w:rsid w:val="00FD4B6A"/>
    <w:rsid w:val="00FE104E"/>
    <w:rsid w:val="00FE33EC"/>
    <w:rsid w:val="00FF03A8"/>
    <w:rsid w:val="00FF597D"/>
    <w:rsid w:val="00FF63EA"/>
    <w:rsid w:val="00FF7819"/>
    <w:rsid w:val="0179658B"/>
    <w:rsid w:val="01CA5AB4"/>
    <w:rsid w:val="01EBBDDF"/>
    <w:rsid w:val="029F9668"/>
    <w:rsid w:val="02B8041C"/>
    <w:rsid w:val="030CB672"/>
    <w:rsid w:val="0312A56E"/>
    <w:rsid w:val="037D5CA3"/>
    <w:rsid w:val="044FEBDA"/>
    <w:rsid w:val="04635879"/>
    <w:rsid w:val="04913632"/>
    <w:rsid w:val="07832EDE"/>
    <w:rsid w:val="086435F5"/>
    <w:rsid w:val="08B77D40"/>
    <w:rsid w:val="08E3D9BB"/>
    <w:rsid w:val="093DAC11"/>
    <w:rsid w:val="09A37E83"/>
    <w:rsid w:val="09E6C4AE"/>
    <w:rsid w:val="0ACA493C"/>
    <w:rsid w:val="0AF9BF05"/>
    <w:rsid w:val="0C0989A1"/>
    <w:rsid w:val="0C4A7C5B"/>
    <w:rsid w:val="0D0BC11A"/>
    <w:rsid w:val="0D80629B"/>
    <w:rsid w:val="0DA6FE2C"/>
    <w:rsid w:val="0DC27E5C"/>
    <w:rsid w:val="0DFF1CEE"/>
    <w:rsid w:val="0EA891F9"/>
    <w:rsid w:val="0F503E6E"/>
    <w:rsid w:val="0F89E22D"/>
    <w:rsid w:val="10226314"/>
    <w:rsid w:val="108C02A1"/>
    <w:rsid w:val="11CFE95F"/>
    <w:rsid w:val="134B7C83"/>
    <w:rsid w:val="138A6E79"/>
    <w:rsid w:val="14CE25A0"/>
    <w:rsid w:val="154D2031"/>
    <w:rsid w:val="158E7D62"/>
    <w:rsid w:val="16D08DAD"/>
    <w:rsid w:val="18BF50BE"/>
    <w:rsid w:val="19D3123C"/>
    <w:rsid w:val="19EDBEFF"/>
    <w:rsid w:val="1AB00A02"/>
    <w:rsid w:val="1AD50C1B"/>
    <w:rsid w:val="1C16C4EF"/>
    <w:rsid w:val="1DDE4D30"/>
    <w:rsid w:val="2036DC2D"/>
    <w:rsid w:val="20D4B7C6"/>
    <w:rsid w:val="2143D93F"/>
    <w:rsid w:val="218585CB"/>
    <w:rsid w:val="21E075E8"/>
    <w:rsid w:val="2299C324"/>
    <w:rsid w:val="2311EF60"/>
    <w:rsid w:val="25367DA4"/>
    <w:rsid w:val="258E819E"/>
    <w:rsid w:val="26515F12"/>
    <w:rsid w:val="2713DB0C"/>
    <w:rsid w:val="2719D3AE"/>
    <w:rsid w:val="27C95FD8"/>
    <w:rsid w:val="286E1DDA"/>
    <w:rsid w:val="28FD45E6"/>
    <w:rsid w:val="293E1D6A"/>
    <w:rsid w:val="2A82C7B7"/>
    <w:rsid w:val="2AAFACFF"/>
    <w:rsid w:val="2ACBD749"/>
    <w:rsid w:val="2B8FA91D"/>
    <w:rsid w:val="2BD21F59"/>
    <w:rsid w:val="2CCCCE52"/>
    <w:rsid w:val="2D40CE56"/>
    <w:rsid w:val="2E482BE7"/>
    <w:rsid w:val="2F0BFE17"/>
    <w:rsid w:val="2FA2FB4C"/>
    <w:rsid w:val="2FFA2D43"/>
    <w:rsid w:val="30AE0C4D"/>
    <w:rsid w:val="31487BF9"/>
    <w:rsid w:val="31775546"/>
    <w:rsid w:val="31A73D08"/>
    <w:rsid w:val="3274B587"/>
    <w:rsid w:val="3320C66D"/>
    <w:rsid w:val="3367E566"/>
    <w:rsid w:val="33802912"/>
    <w:rsid w:val="33D7476A"/>
    <w:rsid w:val="34283926"/>
    <w:rsid w:val="34A97684"/>
    <w:rsid w:val="34FB04F6"/>
    <w:rsid w:val="35478340"/>
    <w:rsid w:val="3923003F"/>
    <w:rsid w:val="39C90A9C"/>
    <w:rsid w:val="39E0B500"/>
    <w:rsid w:val="3AD3DF29"/>
    <w:rsid w:val="3AF95060"/>
    <w:rsid w:val="3BF1129A"/>
    <w:rsid w:val="3D69660B"/>
    <w:rsid w:val="3FE4A76B"/>
    <w:rsid w:val="40152358"/>
    <w:rsid w:val="4144535D"/>
    <w:rsid w:val="414E050D"/>
    <w:rsid w:val="4184A634"/>
    <w:rsid w:val="4222ACF0"/>
    <w:rsid w:val="4237CEF4"/>
    <w:rsid w:val="43B8965B"/>
    <w:rsid w:val="43F5B9FF"/>
    <w:rsid w:val="442A82F8"/>
    <w:rsid w:val="44CAB55E"/>
    <w:rsid w:val="44EA974C"/>
    <w:rsid w:val="46CCF714"/>
    <w:rsid w:val="46D3C974"/>
    <w:rsid w:val="47869B5E"/>
    <w:rsid w:val="47FCA3B1"/>
    <w:rsid w:val="487288C2"/>
    <w:rsid w:val="49F5C2FB"/>
    <w:rsid w:val="49FA9434"/>
    <w:rsid w:val="4A54627A"/>
    <w:rsid w:val="4ACFBA42"/>
    <w:rsid w:val="4AF3BF6E"/>
    <w:rsid w:val="4B00C51C"/>
    <w:rsid w:val="4D487FE6"/>
    <w:rsid w:val="4D78EE03"/>
    <w:rsid w:val="4DDBBB7B"/>
    <w:rsid w:val="4E52A996"/>
    <w:rsid w:val="4F880330"/>
    <w:rsid w:val="4FBCEC26"/>
    <w:rsid w:val="4FE16B5B"/>
    <w:rsid w:val="50F9F673"/>
    <w:rsid w:val="51FABDDA"/>
    <w:rsid w:val="5295EDC4"/>
    <w:rsid w:val="55746807"/>
    <w:rsid w:val="55B941BC"/>
    <w:rsid w:val="55C7118D"/>
    <w:rsid w:val="55EFE0FF"/>
    <w:rsid w:val="56B219AF"/>
    <w:rsid w:val="59348A20"/>
    <w:rsid w:val="59977E00"/>
    <w:rsid w:val="5B684AE0"/>
    <w:rsid w:val="5B7EA416"/>
    <w:rsid w:val="5C80364A"/>
    <w:rsid w:val="5CCFA3D2"/>
    <w:rsid w:val="62594C84"/>
    <w:rsid w:val="6283EE4B"/>
    <w:rsid w:val="649A6A35"/>
    <w:rsid w:val="65394252"/>
    <w:rsid w:val="653F7F9E"/>
    <w:rsid w:val="65EFD0AD"/>
    <w:rsid w:val="66085270"/>
    <w:rsid w:val="6628ABC7"/>
    <w:rsid w:val="66FA8E80"/>
    <w:rsid w:val="67E03898"/>
    <w:rsid w:val="68B74B47"/>
    <w:rsid w:val="69EE4DDB"/>
    <w:rsid w:val="6A7400B8"/>
    <w:rsid w:val="6AA27C1C"/>
    <w:rsid w:val="6B6DC9A1"/>
    <w:rsid w:val="6BE0BBF4"/>
    <w:rsid w:val="6C1FD37E"/>
    <w:rsid w:val="6C5B2AEB"/>
    <w:rsid w:val="6CD77B2A"/>
    <w:rsid w:val="6D0EFADA"/>
    <w:rsid w:val="6D1B953E"/>
    <w:rsid w:val="6D9BF56D"/>
    <w:rsid w:val="6DA3F5DD"/>
    <w:rsid w:val="6E395859"/>
    <w:rsid w:val="6ECF4BD4"/>
    <w:rsid w:val="6F033D10"/>
    <w:rsid w:val="6F1CEECE"/>
    <w:rsid w:val="6F5E562D"/>
    <w:rsid w:val="705F9775"/>
    <w:rsid w:val="70CCF94C"/>
    <w:rsid w:val="72C12DC2"/>
    <w:rsid w:val="7456ED7E"/>
    <w:rsid w:val="747740FC"/>
    <w:rsid w:val="74DA083E"/>
    <w:rsid w:val="7650BC8B"/>
    <w:rsid w:val="76924FE8"/>
    <w:rsid w:val="772E3584"/>
    <w:rsid w:val="7984A31A"/>
    <w:rsid w:val="7A2C3E2C"/>
    <w:rsid w:val="7B0BC341"/>
    <w:rsid w:val="7DC784BA"/>
    <w:rsid w:val="7E9BDB92"/>
    <w:rsid w:val="7F545AAA"/>
    <w:rsid w:val="7F5805E8"/>
    <w:rsid w:val="7F5B5F38"/>
    <w:rsid w:val="7F94DB27"/>
    <w:rsid w:val="7FCD73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BE77446C-CFA1-4566-B885-F25B1A9F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549"/>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Header">
    <w:name w:val="header"/>
    <w:basedOn w:val="Normal"/>
    <w:link w:val="HeaderChar"/>
    <w:uiPriority w:val="99"/>
    <w:unhideWhenUsed/>
    <w:rsid w:val="006162E7"/>
    <w:pPr>
      <w:tabs>
        <w:tab w:val="center" w:pos="4513"/>
        <w:tab w:val="right" w:pos="9026"/>
      </w:tabs>
    </w:pPr>
  </w:style>
  <w:style w:type="character" w:customStyle="1" w:styleId="HeaderChar">
    <w:name w:val="Header Char"/>
    <w:basedOn w:val="DefaultParagraphFont"/>
    <w:link w:val="Header"/>
    <w:uiPriority w:val="99"/>
    <w:rsid w:val="006162E7"/>
    <w:rPr>
      <w:sz w:val="22"/>
      <w:szCs w:val="22"/>
      <w:lang w:val="en-GB" w:eastAsia="en-US"/>
    </w:rPr>
  </w:style>
  <w:style w:type="paragraph" w:styleId="Footer">
    <w:name w:val="footer"/>
    <w:basedOn w:val="Normal"/>
    <w:link w:val="FooterChar"/>
    <w:uiPriority w:val="99"/>
    <w:unhideWhenUsed/>
    <w:rsid w:val="006162E7"/>
    <w:pPr>
      <w:tabs>
        <w:tab w:val="center" w:pos="4513"/>
        <w:tab w:val="right" w:pos="9026"/>
      </w:tabs>
    </w:pPr>
  </w:style>
  <w:style w:type="character" w:customStyle="1" w:styleId="FooterChar">
    <w:name w:val="Footer Char"/>
    <w:basedOn w:val="DefaultParagraphFont"/>
    <w:link w:val="Footer"/>
    <w:uiPriority w:val="99"/>
    <w:rsid w:val="006162E7"/>
    <w:rPr>
      <w:sz w:val="22"/>
      <w:szCs w:val="22"/>
      <w:lang w:val="en-GB" w:eastAsia="en-US"/>
    </w:rPr>
  </w:style>
  <w:style w:type="paragraph" w:styleId="Revision">
    <w:name w:val="Revision"/>
    <w:hidden/>
    <w:uiPriority w:val="99"/>
    <w:semiHidden/>
    <w:rsid w:val="001C4293"/>
    <w:rPr>
      <w:sz w:val="22"/>
      <w:szCs w:val="22"/>
      <w:lang w:val="en-GB" w:eastAsia="en-US"/>
    </w:rPr>
  </w:style>
  <w:style w:type="paragraph" w:styleId="FootnoteText">
    <w:name w:val="footnote text"/>
    <w:basedOn w:val="Normal"/>
    <w:link w:val="FootnoteTextChar"/>
    <w:uiPriority w:val="99"/>
    <w:semiHidden/>
    <w:unhideWhenUsed/>
    <w:rsid w:val="0029378D"/>
    <w:rPr>
      <w:sz w:val="20"/>
      <w:szCs w:val="20"/>
    </w:rPr>
  </w:style>
  <w:style w:type="character" w:customStyle="1" w:styleId="FootnoteTextChar">
    <w:name w:val="Footnote Text Char"/>
    <w:basedOn w:val="DefaultParagraphFont"/>
    <w:link w:val="FootnoteText"/>
    <w:uiPriority w:val="99"/>
    <w:semiHidden/>
    <w:rsid w:val="0029378D"/>
    <w:rPr>
      <w:lang w:val="en-GB" w:eastAsia="en-US"/>
    </w:rPr>
  </w:style>
  <w:style w:type="character" w:styleId="FootnoteReference">
    <w:name w:val="footnote reference"/>
    <w:uiPriority w:val="99"/>
    <w:semiHidden/>
    <w:unhideWhenUsed/>
    <w:rsid w:val="0029378D"/>
    <w:rPr>
      <w:vertAlign w:val="superscript"/>
    </w:rPr>
  </w:style>
  <w:style w:type="character" w:styleId="Hyperlink">
    <w:name w:val="Hyperlink"/>
    <w:uiPriority w:val="99"/>
    <w:unhideWhenUsed/>
    <w:rsid w:val="0029378D"/>
    <w:rPr>
      <w:color w:val="0563C1"/>
      <w:u w:val="single"/>
    </w:rPr>
  </w:style>
  <w:style w:type="character" w:styleId="CommentReference">
    <w:name w:val="annotation reference"/>
    <w:uiPriority w:val="99"/>
    <w:semiHidden/>
    <w:unhideWhenUsed/>
    <w:rsid w:val="000F4811"/>
    <w:rPr>
      <w:sz w:val="16"/>
      <w:szCs w:val="16"/>
    </w:rPr>
  </w:style>
  <w:style w:type="paragraph" w:styleId="CommentText">
    <w:name w:val="annotation text"/>
    <w:basedOn w:val="Normal"/>
    <w:link w:val="CommentTextChar"/>
    <w:uiPriority w:val="99"/>
    <w:unhideWhenUsed/>
    <w:rsid w:val="000F4811"/>
    <w:rPr>
      <w:sz w:val="20"/>
      <w:szCs w:val="20"/>
    </w:rPr>
  </w:style>
  <w:style w:type="character" w:customStyle="1" w:styleId="CommentTextChar">
    <w:name w:val="Comment Text Char"/>
    <w:basedOn w:val="DefaultParagraphFont"/>
    <w:link w:val="CommentText"/>
    <w:uiPriority w:val="99"/>
    <w:rsid w:val="000F4811"/>
    <w:rPr>
      <w:lang w:val="en-GB" w:eastAsia="en-US"/>
    </w:rPr>
  </w:style>
  <w:style w:type="paragraph" w:styleId="CommentSubject">
    <w:name w:val="annotation subject"/>
    <w:basedOn w:val="CommentText"/>
    <w:next w:val="CommentText"/>
    <w:link w:val="CommentSubjectChar"/>
    <w:uiPriority w:val="99"/>
    <w:semiHidden/>
    <w:unhideWhenUsed/>
    <w:rsid w:val="000F4811"/>
    <w:rPr>
      <w:b/>
      <w:bCs/>
    </w:rPr>
  </w:style>
  <w:style w:type="character" w:customStyle="1" w:styleId="CommentSubjectChar">
    <w:name w:val="Comment Subject Char"/>
    <w:basedOn w:val="CommentTextChar"/>
    <w:link w:val="CommentSubject"/>
    <w:uiPriority w:val="99"/>
    <w:semiHidden/>
    <w:rsid w:val="000F4811"/>
    <w:rPr>
      <w:b/>
      <w:bCs/>
      <w:lang w:val="en-GB" w:eastAsia="en-US"/>
    </w:rPr>
  </w:style>
  <w:style w:type="character" w:styleId="UnresolvedMention">
    <w:name w:val="Unresolved Mention"/>
    <w:uiPriority w:val="99"/>
    <w:semiHidden/>
    <w:unhideWhenUsed/>
    <w:rsid w:val="000F4811"/>
    <w:rPr>
      <w:color w:val="605E5C"/>
      <w:shd w:val="clear" w:color="auto" w:fill="E1DFDD"/>
    </w:rPr>
  </w:style>
  <w:style w:type="character" w:styleId="Mention">
    <w:name w:val="Mention"/>
    <w:basedOn w:val="DefaultParagraphFont"/>
    <w:uiPriority w:val="99"/>
    <w:unhideWhenUsed/>
    <w:rsid w:val="00141447"/>
    <w:rPr>
      <w:color w:val="2B579A"/>
      <w:shd w:val="clear" w:color="auto" w:fill="E1DFDD"/>
    </w:rPr>
  </w:style>
  <w:style w:type="character" w:customStyle="1" w:styleId="cf01">
    <w:name w:val="cf01"/>
    <w:basedOn w:val="DefaultParagraphFont"/>
    <w:rsid w:val="00607302"/>
    <w:rPr>
      <w:rFonts w:ascii="Segoe UI" w:hAnsi="Segoe UI" w:cs="Segoe UI" w:hint="default"/>
      <w:sz w:val="18"/>
      <w:szCs w:val="18"/>
    </w:rPr>
  </w:style>
  <w:style w:type="character" w:customStyle="1" w:styleId="normaltextrun">
    <w:name w:val="normaltextrun"/>
    <w:basedOn w:val="DefaultParagraphFont"/>
    <w:rsid w:val="00227EDC"/>
  </w:style>
  <w:style w:type="character" w:customStyle="1" w:styleId="eop">
    <w:name w:val="eop"/>
    <w:basedOn w:val="DefaultParagraphFont"/>
    <w:rsid w:val="00227EDC"/>
  </w:style>
  <w:style w:type="character" w:styleId="FollowedHyperlink">
    <w:name w:val="FollowedHyperlink"/>
    <w:basedOn w:val="DefaultParagraphFont"/>
    <w:uiPriority w:val="99"/>
    <w:semiHidden/>
    <w:unhideWhenUsed/>
    <w:rsid w:val="00976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84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igital-strategy.ec.europa.eu/en/news/commission-publishes-policy-brief-competition-generative-ai-and-virtual-worlds"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ai.eitcommunity.eu/" TargetMode="External"/><Relationship Id="rId13" Type="http://schemas.openxmlformats.org/officeDocument/2006/relationships/hyperlink" Target="https://data.europa.eu/doi/10.2797/828281" TargetMode="External"/><Relationship Id="rId18" Type="http://schemas.openxmlformats.org/officeDocument/2006/relationships/hyperlink" Target="https://digital-strategy.ec.europa.eu/en/news/commission-publishes-policy-brief-competition-generative-ai-and-virtual-worlds" TargetMode="External"/><Relationship Id="rId3" Type="http://schemas.openxmlformats.org/officeDocument/2006/relationships/hyperlink" Target="https://marie-sklodowska-curie-actions.ec.europa.eu/" TargetMode="External"/><Relationship Id="rId7" Type="http://schemas.openxmlformats.org/officeDocument/2006/relationships/hyperlink" Target="https://www.eitdeeptechtalent.eu/" TargetMode="External"/><Relationship Id="rId12" Type="http://schemas.openxmlformats.org/officeDocument/2006/relationships/hyperlink" Target="https://wikis.ec.europa.eu/display/EAC/DELTA" TargetMode="External"/><Relationship Id="rId17" Type="http://schemas.openxmlformats.org/officeDocument/2006/relationships/hyperlink" Target="http://data.europa.eu/eli/reg/2022/1925/oj" TargetMode="External"/><Relationship Id="rId2" Type="http://schemas.openxmlformats.org/officeDocument/2006/relationships/hyperlink" Target="https://erc.europa.eu/homepage" TargetMode="External"/><Relationship Id="rId16" Type="http://schemas.openxmlformats.org/officeDocument/2006/relationships/hyperlink" Target="http://data.europa.eu/eli/C/2024/1115/oj" TargetMode="External"/><Relationship Id="rId1" Type="http://schemas.openxmlformats.org/officeDocument/2006/relationships/hyperlink" Target="http://data.europa.eu/eli/reg/2024/1689/oj" TargetMode="External"/><Relationship Id="rId6" Type="http://schemas.openxmlformats.org/officeDocument/2006/relationships/hyperlink" Target="https://eit.europa.eu/" TargetMode="External"/><Relationship Id="rId11" Type="http://schemas.openxmlformats.org/officeDocument/2006/relationships/hyperlink" Target="https://eur-lex.europa.eu/legal-content/EN/TXT/?uri=CELEX:52020DC0624" TargetMode="External"/><Relationship Id="rId5" Type="http://schemas.openxmlformats.org/officeDocument/2006/relationships/hyperlink" Target="https://education.ec.europa.eu/education-levels/higher-education/european-universities-initiative" TargetMode="External"/><Relationship Id="rId15" Type="http://schemas.openxmlformats.org/officeDocument/2006/relationships/hyperlink" Target="http://data.europa.eu/eli/C/2024/1030/oj" TargetMode="External"/><Relationship Id="rId10" Type="http://schemas.openxmlformats.org/officeDocument/2006/relationships/hyperlink" Target="https://erasmus-plus.ec.europa.eu/european-student-card-initiative" TargetMode="External"/><Relationship Id="rId4" Type="http://schemas.openxmlformats.org/officeDocument/2006/relationships/hyperlink" Target="https://commission.europa.eu/news/commission-rolls-out-plans-european-degree-2024-03-27_en" TargetMode="External"/><Relationship Id="rId9" Type="http://schemas.openxmlformats.org/officeDocument/2006/relationships/hyperlink" Target="https://eit-campus.eu/" TargetMode="External"/><Relationship Id="rId14" Type="http://schemas.openxmlformats.org/officeDocument/2006/relationships/hyperlink" Target="https://data.europa.eu/doi/10.2766/153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42D2F5EDC8947AB1CB48BCF7FF082" ma:contentTypeVersion="4" ma:contentTypeDescription="Create a new document." ma:contentTypeScope="" ma:versionID="20740855274a9c5a0844f8879fc7f946">
  <xsd:schema xmlns:xsd="http://www.w3.org/2001/XMLSchema" xmlns:xs="http://www.w3.org/2001/XMLSchema" xmlns:p="http://schemas.microsoft.com/office/2006/metadata/properties" xmlns:ns2="bf46ec6c-a286-4146-8ec5-63d0edea22e8" targetNamespace="http://schemas.microsoft.com/office/2006/metadata/properties" ma:root="true" ma:fieldsID="d6e2ab48e72c4939d6ae01a773e4c24a" ns2:_="">
    <xsd:import namespace="bf46ec6c-a286-4146-8ec5-63d0edea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6ec6c-a286-4146-8ec5-63d0edea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9814-F9F0-45D1-92EC-E8DCE5763E12}">
  <ds:schemaRefs>
    <ds:schemaRef ds:uri="http://schemas.microsoft.com/sharepoint/v3/contenttype/forms"/>
  </ds:schemaRefs>
</ds:datastoreItem>
</file>

<file path=customXml/itemProps2.xml><?xml version="1.0" encoding="utf-8"?>
<ds:datastoreItem xmlns:ds="http://schemas.openxmlformats.org/officeDocument/2006/customXml" ds:itemID="{131EB5A4-E89B-434E-810C-C01C6661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6ec6c-a286-4146-8ec5-63d0edea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373D0-9FCB-45CE-938F-A68EAE0C123C}">
  <ds:schemaRefs>
    <ds:schemaRef ds:uri="http://schemas.microsoft.com/office/2006/metadata/properties"/>
    <ds:schemaRef ds:uri="http://schemas.microsoft.com/office/infopath/2007/PartnerControls"/>
    <ds:schemaRef ds:uri="6d5ad584-533d-4d9e-8d12-f1eda2044479"/>
  </ds:schemaRefs>
</ds:datastoreItem>
</file>

<file path=customXml/itemProps4.xml><?xml version="1.0" encoding="utf-8"?>
<ds:datastoreItem xmlns:ds="http://schemas.openxmlformats.org/officeDocument/2006/customXml" ds:itemID="{A0EC5BDA-33AF-4845-A55C-D78634B7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10548</Characters>
  <Application>Microsoft Office Word</Application>
  <DocSecurity>0</DocSecurity>
  <Lines>150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2024-12-19T16:06:00Z</cp:lastPrinted>
  <dcterms:created xsi:type="dcterms:W3CDTF">2025-12-16T13:42:00Z</dcterms:created>
  <dcterms:modified xsi:type="dcterms:W3CDTF">2025-12-16T13:42:00Z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0x01010060342D2F5EDC8947AB1CB48BCF7FF082</vt:lpwstr>
  </property>
  <property fmtid="{D5CDD505-2E9C-101B-9397-08002B2CF9AE}" pid="10" name="lcf76f155ced4ddcb4097134ff3c332f">
    <vt:lpwstr>|</vt:lpwstr>
  </property>
  <property fmtid="{D5CDD505-2E9C-101B-9397-08002B2CF9AE}" pid="11" name="EC_ARES_NUMBER">
    <vt:lpwstr>, </vt:lpwstr>
  </property>
</Properties>
</file>