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0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101"/>
      </w:tblGrid>
      <w:tr w:rsidR="001C4138" w:rsidRPr="00442552" w14:paraId="7E6372DC" w14:textId="77777777" w:rsidTr="00153879">
        <w:trPr>
          <w:jc w:val="center"/>
        </w:trPr>
        <w:tc>
          <w:tcPr>
            <w:tcW w:w="10101" w:type="dxa"/>
          </w:tcPr>
          <w:p w14:paraId="3A4EDC3A" w14:textId="56A5A681" w:rsidR="00F52376" w:rsidRPr="00153879" w:rsidRDefault="00A4553C" w:rsidP="00153879">
            <w:pPr>
              <w:spacing w:before="120" w:after="120"/>
              <w:rPr>
                <w:rFonts w:ascii="Times New Roman" w:hAnsi="Times New Roman"/>
                <w:b/>
                <w:bCs/>
                <w:sz w:val="24"/>
                <w:szCs w:val="24"/>
              </w:rPr>
            </w:pPr>
            <w:r w:rsidRPr="00153879">
              <w:rPr>
                <w:rFonts w:ascii="Times New Roman" w:hAnsi="Times New Roman"/>
                <w:b/>
                <w:bCs/>
                <w:sz w:val="24"/>
                <w:szCs w:val="24"/>
              </w:rPr>
              <w:t>Cybersecurity of hospitals action plan</w:t>
            </w:r>
            <w:r w:rsidRPr="00153879">
              <w:rPr>
                <w:rFonts w:ascii="Times New Roman" w:hAnsi="Times New Roman"/>
                <w:sz w:val="24"/>
                <w:szCs w:val="24"/>
              </w:rPr>
              <w:br/>
            </w:r>
            <w:proofErr w:type="gramStart"/>
            <w:r w:rsidR="002B43C2" w:rsidRPr="00153879">
              <w:rPr>
                <w:rFonts w:ascii="Times New Roman" w:hAnsi="Times New Roman"/>
                <w:b/>
                <w:bCs/>
                <w:sz w:val="24"/>
                <w:szCs w:val="24"/>
              </w:rPr>
              <w:t>COM(</w:t>
            </w:r>
            <w:proofErr w:type="gramEnd"/>
            <w:r w:rsidR="002B43C2" w:rsidRPr="00153879">
              <w:rPr>
                <w:rFonts w:ascii="Times New Roman" w:hAnsi="Times New Roman"/>
                <w:b/>
                <w:bCs/>
                <w:sz w:val="24"/>
                <w:szCs w:val="24"/>
              </w:rPr>
              <w:t xml:space="preserve">2025) 10 </w:t>
            </w:r>
            <w:r w:rsidR="001C4138" w:rsidRPr="00153879">
              <w:rPr>
                <w:rFonts w:ascii="Times New Roman" w:hAnsi="Times New Roman"/>
                <w:b/>
                <w:bCs/>
                <w:sz w:val="24"/>
                <w:szCs w:val="24"/>
              </w:rPr>
              <w:t>final</w:t>
            </w:r>
            <w:r w:rsidRPr="00153879">
              <w:rPr>
                <w:rFonts w:ascii="Times New Roman" w:hAnsi="Times New Roman"/>
                <w:sz w:val="24"/>
                <w:szCs w:val="24"/>
              </w:rPr>
              <w:br/>
            </w:r>
            <w:r w:rsidR="000336A6" w:rsidRPr="00153879">
              <w:rPr>
                <w:rFonts w:ascii="Times New Roman" w:hAnsi="Times New Roman"/>
                <w:b/>
                <w:bCs/>
                <w:sz w:val="24"/>
                <w:szCs w:val="24"/>
              </w:rPr>
              <w:t>EESC-2025-00633</w:t>
            </w:r>
            <w:r w:rsidR="003B40C3" w:rsidRPr="00153879">
              <w:rPr>
                <w:rFonts w:ascii="Times New Roman" w:hAnsi="Times New Roman"/>
                <w:b/>
                <w:bCs/>
                <w:sz w:val="24"/>
                <w:szCs w:val="24"/>
              </w:rPr>
              <w:t xml:space="preserve"> – CCMI/244</w:t>
            </w:r>
            <w:r w:rsidRPr="00153879">
              <w:rPr>
                <w:rFonts w:ascii="Times New Roman" w:hAnsi="Times New Roman"/>
                <w:sz w:val="24"/>
                <w:szCs w:val="24"/>
              </w:rPr>
              <w:br/>
            </w:r>
            <w:r w:rsidR="00D37933" w:rsidRPr="00153879">
              <w:rPr>
                <w:rFonts w:ascii="Times New Roman" w:hAnsi="Times New Roman"/>
                <w:b/>
                <w:bCs/>
                <w:sz w:val="24"/>
                <w:szCs w:val="24"/>
              </w:rPr>
              <w:t>597</w:t>
            </w:r>
            <w:proofErr w:type="spellStart"/>
            <w:r w:rsidR="001C4138" w:rsidRPr="00153879">
              <w:rPr>
                <w:rFonts w:ascii="Times New Roman" w:hAnsi="Times New Roman"/>
                <w:b/>
                <w:bCs/>
                <w:sz w:val="24"/>
                <w:szCs w:val="24"/>
                <w:vertAlign w:val="superscript"/>
                <w:lang w:val="en-IE"/>
              </w:rPr>
              <w:t>th</w:t>
            </w:r>
            <w:proofErr w:type="spellEnd"/>
            <w:r w:rsidR="001C4138" w:rsidRPr="00153879">
              <w:rPr>
                <w:rFonts w:ascii="Times New Roman" w:hAnsi="Times New Roman"/>
                <w:b/>
                <w:bCs/>
                <w:sz w:val="24"/>
                <w:szCs w:val="24"/>
                <w:lang w:val="en-IE"/>
              </w:rPr>
              <w:t xml:space="preserve"> </w:t>
            </w:r>
            <w:r w:rsidR="003B40C3" w:rsidRPr="00153879">
              <w:rPr>
                <w:rFonts w:ascii="Times New Roman" w:hAnsi="Times New Roman"/>
                <w:b/>
                <w:bCs/>
                <w:sz w:val="24"/>
                <w:szCs w:val="24"/>
              </w:rPr>
              <w:t>p</w:t>
            </w:r>
            <w:r w:rsidR="001C4138" w:rsidRPr="00153879">
              <w:rPr>
                <w:rFonts w:ascii="Times New Roman" w:hAnsi="Times New Roman"/>
                <w:b/>
                <w:bCs/>
                <w:sz w:val="24"/>
                <w:szCs w:val="24"/>
              </w:rPr>
              <w:t xml:space="preserve">lenary </w:t>
            </w:r>
            <w:r w:rsidR="003B40C3" w:rsidRPr="00153879">
              <w:rPr>
                <w:rFonts w:ascii="Times New Roman" w:hAnsi="Times New Roman"/>
                <w:b/>
                <w:bCs/>
                <w:sz w:val="24"/>
                <w:szCs w:val="24"/>
              </w:rPr>
              <w:t>s</w:t>
            </w:r>
            <w:r w:rsidR="001C4138" w:rsidRPr="00153879">
              <w:rPr>
                <w:rFonts w:ascii="Times New Roman" w:hAnsi="Times New Roman"/>
                <w:b/>
                <w:bCs/>
                <w:sz w:val="24"/>
                <w:szCs w:val="24"/>
              </w:rPr>
              <w:t xml:space="preserve">ession – </w:t>
            </w:r>
            <w:r w:rsidR="00C57777" w:rsidRPr="00153879">
              <w:rPr>
                <w:rFonts w:ascii="Times New Roman" w:hAnsi="Times New Roman"/>
                <w:b/>
                <w:bCs/>
                <w:sz w:val="24"/>
                <w:szCs w:val="24"/>
              </w:rPr>
              <w:t>June 2025</w:t>
            </w:r>
            <w:r w:rsidRPr="00153879">
              <w:rPr>
                <w:rFonts w:ascii="Times New Roman" w:hAnsi="Times New Roman"/>
                <w:sz w:val="24"/>
                <w:szCs w:val="24"/>
              </w:rPr>
              <w:br/>
            </w:r>
            <w:r w:rsidR="001C4138" w:rsidRPr="00153879">
              <w:rPr>
                <w:rFonts w:ascii="Times New Roman" w:hAnsi="Times New Roman"/>
                <w:b/>
                <w:bCs/>
                <w:sz w:val="24"/>
                <w:szCs w:val="24"/>
              </w:rPr>
              <w:t xml:space="preserve">Rapporteur: </w:t>
            </w:r>
            <w:r w:rsidR="003635BC" w:rsidRPr="00153879">
              <w:rPr>
                <w:rFonts w:ascii="Times New Roman" w:hAnsi="Times New Roman"/>
                <w:b/>
                <w:bCs/>
                <w:sz w:val="24"/>
                <w:szCs w:val="24"/>
              </w:rPr>
              <w:t>Alain COHEUR (BE-III)</w:t>
            </w:r>
            <w:r w:rsidRPr="00153879">
              <w:rPr>
                <w:rFonts w:ascii="Times New Roman" w:hAnsi="Times New Roman"/>
                <w:sz w:val="24"/>
                <w:szCs w:val="24"/>
              </w:rPr>
              <w:br/>
            </w:r>
            <w:r w:rsidR="003635BC" w:rsidRPr="00153879">
              <w:rPr>
                <w:rFonts w:ascii="Times New Roman" w:hAnsi="Times New Roman"/>
                <w:b/>
                <w:bCs/>
                <w:sz w:val="24"/>
                <w:szCs w:val="24"/>
              </w:rPr>
              <w:t xml:space="preserve">Co-rapporteur: </w:t>
            </w:r>
            <w:r w:rsidR="00D37933" w:rsidRPr="00153879">
              <w:rPr>
                <w:rFonts w:ascii="Times New Roman" w:hAnsi="Times New Roman"/>
                <w:b/>
                <w:bCs/>
                <w:sz w:val="24"/>
                <w:szCs w:val="24"/>
              </w:rPr>
              <w:t>Hervé JEANNIN (FR-</w:t>
            </w:r>
            <w:r w:rsidR="00263DD6">
              <w:rPr>
                <w:rFonts w:ascii="Times New Roman" w:hAnsi="Times New Roman"/>
                <w:b/>
                <w:bCs/>
                <w:sz w:val="24"/>
                <w:szCs w:val="24"/>
              </w:rPr>
              <w:t>II</w:t>
            </w:r>
            <w:r w:rsidR="00D37933" w:rsidRPr="00153879">
              <w:rPr>
                <w:rFonts w:ascii="Times New Roman" w:hAnsi="Times New Roman"/>
                <w:b/>
                <w:bCs/>
                <w:sz w:val="24"/>
                <w:szCs w:val="24"/>
              </w:rPr>
              <w:t>)</w:t>
            </w:r>
            <w:r w:rsidRPr="00153879">
              <w:rPr>
                <w:rFonts w:ascii="Times New Roman" w:hAnsi="Times New Roman"/>
                <w:sz w:val="24"/>
                <w:szCs w:val="24"/>
              </w:rPr>
              <w:br/>
            </w:r>
            <w:r w:rsidR="00A44901" w:rsidRPr="00153879">
              <w:rPr>
                <w:rFonts w:ascii="Times New Roman" w:hAnsi="Times New Roman"/>
                <w:b/>
                <w:bCs/>
                <w:sz w:val="24"/>
                <w:szCs w:val="24"/>
              </w:rPr>
              <w:t>DG CNECT – Executive Vice-President VIRKKUNEN</w:t>
            </w:r>
            <w:r w:rsidR="00600F90" w:rsidRPr="00153879">
              <w:rPr>
                <w:rFonts w:ascii="Times New Roman" w:hAnsi="Times New Roman"/>
                <w:b/>
                <w:bCs/>
                <w:sz w:val="24"/>
                <w:szCs w:val="24"/>
              </w:rPr>
              <w:br/>
            </w:r>
            <w:r w:rsidR="42D73FBD" w:rsidRPr="00153879">
              <w:rPr>
                <w:rFonts w:ascii="Times New Roman" w:hAnsi="Times New Roman"/>
                <w:b/>
                <w:bCs/>
                <w:sz w:val="24"/>
                <w:szCs w:val="24"/>
              </w:rPr>
              <w:t>DG SANTE – Commissioner V</w:t>
            </w:r>
            <w:r w:rsidR="004B36D5" w:rsidRPr="00153879">
              <w:rPr>
                <w:rFonts w:ascii="Times New Roman" w:hAnsi="Times New Roman"/>
                <w:b/>
                <w:bCs/>
                <w:sz w:val="24"/>
                <w:szCs w:val="24"/>
              </w:rPr>
              <w:t>Á</w:t>
            </w:r>
            <w:r w:rsidR="42D73FBD" w:rsidRPr="00153879">
              <w:rPr>
                <w:rFonts w:ascii="Times New Roman" w:hAnsi="Times New Roman"/>
                <w:b/>
                <w:bCs/>
                <w:sz w:val="24"/>
                <w:szCs w:val="24"/>
              </w:rPr>
              <w:t>RHEL</w:t>
            </w:r>
            <w:r w:rsidR="004B36D5" w:rsidRPr="00153879">
              <w:rPr>
                <w:rFonts w:ascii="Times New Roman" w:hAnsi="Times New Roman"/>
                <w:b/>
                <w:bCs/>
                <w:sz w:val="24"/>
                <w:szCs w:val="24"/>
              </w:rPr>
              <w:t>Y</w:t>
            </w:r>
            <w:r w:rsidR="42D73FBD" w:rsidRPr="00153879">
              <w:rPr>
                <w:rFonts w:ascii="Times New Roman" w:hAnsi="Times New Roman"/>
                <w:b/>
                <w:bCs/>
                <w:sz w:val="24"/>
                <w:szCs w:val="24"/>
              </w:rPr>
              <w:t>I</w:t>
            </w:r>
          </w:p>
        </w:tc>
      </w:tr>
      <w:tr w:rsidR="00734613" w:rsidRPr="00442552" w14:paraId="1937071F" w14:textId="77777777" w:rsidTr="00153879">
        <w:trPr>
          <w:jc w:val="center"/>
        </w:trPr>
        <w:tc>
          <w:tcPr>
            <w:tcW w:w="10101" w:type="dxa"/>
          </w:tcPr>
          <w:p w14:paraId="1E50B4DB" w14:textId="02DD7911" w:rsidR="00734613" w:rsidRPr="00695797" w:rsidRDefault="004F6117" w:rsidP="004F6117">
            <w:pPr>
              <w:spacing w:before="120" w:after="120"/>
              <w:jc w:val="center"/>
              <w:rPr>
                <w:rFonts w:ascii="Times New Roman" w:hAnsi="Times New Roman"/>
                <w:b/>
                <w:sz w:val="24"/>
                <w:szCs w:val="24"/>
              </w:rPr>
            </w:pPr>
            <w:r w:rsidRPr="004F6117">
              <w:rPr>
                <w:rFonts w:ascii="Times New Roman" w:hAnsi="Times New Roman"/>
                <w:b/>
                <w:sz w:val="24"/>
                <w:szCs w:val="24"/>
              </w:rPr>
              <w:t>European Commission position on points</w:t>
            </w:r>
            <w:r>
              <w:rPr>
                <w:rFonts w:ascii="Times New Roman" w:hAnsi="Times New Roman"/>
                <w:b/>
                <w:sz w:val="24"/>
                <w:szCs w:val="24"/>
              </w:rPr>
              <w:br/>
            </w:r>
            <w:r w:rsidRPr="004F6117">
              <w:rPr>
                <w:rFonts w:ascii="Times New Roman" w:hAnsi="Times New Roman"/>
                <w:b/>
                <w:sz w:val="24"/>
                <w:szCs w:val="24"/>
              </w:rPr>
              <w:t xml:space="preserve">of the European Economic and Social Committee </w:t>
            </w:r>
            <w:r w:rsidR="00263DD6">
              <w:rPr>
                <w:rFonts w:ascii="Times New Roman" w:hAnsi="Times New Roman"/>
                <w:b/>
                <w:sz w:val="24"/>
                <w:szCs w:val="24"/>
              </w:rPr>
              <w:t xml:space="preserve">(EESC) </w:t>
            </w:r>
            <w:r w:rsidRPr="004F6117">
              <w:rPr>
                <w:rFonts w:ascii="Times New Roman" w:hAnsi="Times New Roman"/>
                <w:b/>
                <w:sz w:val="24"/>
                <w:szCs w:val="24"/>
              </w:rPr>
              <w:t>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734613" w:rsidRPr="004F6117" w14:paraId="673DDC1B" w14:textId="77777777" w:rsidTr="00153879">
        <w:trPr>
          <w:trHeight w:val="2532"/>
          <w:jc w:val="center"/>
        </w:trPr>
        <w:tc>
          <w:tcPr>
            <w:tcW w:w="10101" w:type="dxa"/>
          </w:tcPr>
          <w:p w14:paraId="674DDCB7" w14:textId="01D0372A" w:rsidR="003B278D" w:rsidRDefault="008C2494" w:rsidP="008C2494">
            <w:pPr>
              <w:spacing w:before="120" w:after="120"/>
              <w:jc w:val="both"/>
              <w:rPr>
                <w:rFonts w:ascii="Times New Roman" w:hAnsi="Times New Roman"/>
                <w:sz w:val="24"/>
                <w:szCs w:val="24"/>
              </w:rPr>
            </w:pPr>
            <w:r w:rsidRPr="1070EE0E">
              <w:rPr>
                <w:rFonts w:ascii="Times New Roman" w:hAnsi="Times New Roman"/>
                <w:sz w:val="24"/>
                <w:szCs w:val="24"/>
              </w:rPr>
              <w:t xml:space="preserve">The Commission welcomes the </w:t>
            </w:r>
            <w:r w:rsidR="004E3188" w:rsidRPr="1070EE0E">
              <w:rPr>
                <w:rFonts w:ascii="Times New Roman" w:hAnsi="Times New Roman"/>
                <w:sz w:val="24"/>
                <w:szCs w:val="24"/>
              </w:rPr>
              <w:t>Opinion</w:t>
            </w:r>
            <w:r w:rsidRPr="1070EE0E">
              <w:rPr>
                <w:rFonts w:ascii="Times New Roman" w:hAnsi="Times New Roman"/>
                <w:sz w:val="24"/>
                <w:szCs w:val="24"/>
              </w:rPr>
              <w:t xml:space="preserve"> and </w:t>
            </w:r>
            <w:r w:rsidR="004E3188" w:rsidRPr="1070EE0E">
              <w:rPr>
                <w:rFonts w:ascii="Times New Roman" w:hAnsi="Times New Roman"/>
                <w:sz w:val="24"/>
                <w:szCs w:val="24"/>
              </w:rPr>
              <w:t>agrees with the</w:t>
            </w:r>
            <w:r w:rsidR="00751E38" w:rsidRPr="1070EE0E">
              <w:rPr>
                <w:rFonts w:ascii="Times New Roman" w:hAnsi="Times New Roman"/>
                <w:sz w:val="24"/>
                <w:szCs w:val="24"/>
              </w:rPr>
              <w:t xml:space="preserve"> Committee </w:t>
            </w:r>
            <w:r w:rsidR="004E3188" w:rsidRPr="1070EE0E">
              <w:rPr>
                <w:rFonts w:ascii="Times New Roman" w:hAnsi="Times New Roman"/>
                <w:sz w:val="24"/>
                <w:szCs w:val="24"/>
              </w:rPr>
              <w:t xml:space="preserve">on the importance of guaranteeing a high level of cybersecurity </w:t>
            </w:r>
            <w:r w:rsidR="00857D91" w:rsidRPr="1070EE0E">
              <w:rPr>
                <w:rFonts w:ascii="Times New Roman" w:hAnsi="Times New Roman"/>
                <w:sz w:val="24"/>
                <w:szCs w:val="24"/>
              </w:rPr>
              <w:t>in the healthcare sector</w:t>
            </w:r>
            <w:r w:rsidR="00757E4D" w:rsidRPr="1070EE0E">
              <w:rPr>
                <w:rFonts w:ascii="Times New Roman" w:hAnsi="Times New Roman"/>
                <w:sz w:val="24"/>
                <w:szCs w:val="24"/>
              </w:rPr>
              <w:t>.</w:t>
            </w:r>
          </w:p>
          <w:p w14:paraId="5FF669B3" w14:textId="669BB925" w:rsidR="00BA0A93" w:rsidRDefault="00BA0A93" w:rsidP="008C2494">
            <w:pPr>
              <w:spacing w:before="120" w:after="120"/>
              <w:jc w:val="both"/>
              <w:rPr>
                <w:rFonts w:ascii="Times New Roman" w:hAnsi="Times New Roman"/>
                <w:sz w:val="24"/>
                <w:szCs w:val="24"/>
              </w:rPr>
            </w:pPr>
            <w:r>
              <w:rPr>
                <w:rFonts w:ascii="Times New Roman" w:hAnsi="Times New Roman"/>
                <w:sz w:val="24"/>
                <w:szCs w:val="24"/>
              </w:rPr>
              <w:t xml:space="preserve">The European action plan on the cybersecurity of hospitals and healthcare providers </w:t>
            </w:r>
            <w:r w:rsidR="00A84D2D">
              <w:rPr>
                <w:rFonts w:ascii="Times New Roman" w:hAnsi="Times New Roman"/>
                <w:sz w:val="24"/>
                <w:szCs w:val="24"/>
              </w:rPr>
              <w:t>(</w:t>
            </w:r>
            <w:r w:rsidR="00AC6521">
              <w:rPr>
                <w:rFonts w:ascii="Times New Roman" w:hAnsi="Times New Roman"/>
                <w:sz w:val="24"/>
                <w:szCs w:val="24"/>
              </w:rPr>
              <w:t>‘</w:t>
            </w:r>
            <w:r w:rsidR="00A84D2D">
              <w:rPr>
                <w:rFonts w:ascii="Times New Roman" w:hAnsi="Times New Roman"/>
                <w:sz w:val="24"/>
                <w:szCs w:val="24"/>
              </w:rPr>
              <w:t>the Action Plan</w:t>
            </w:r>
            <w:r w:rsidR="00AC6521">
              <w:rPr>
                <w:rFonts w:ascii="Times New Roman" w:hAnsi="Times New Roman"/>
                <w:sz w:val="24"/>
                <w:szCs w:val="24"/>
              </w:rPr>
              <w:t>’</w:t>
            </w:r>
            <w:r w:rsidR="00A641D9">
              <w:rPr>
                <w:rFonts w:ascii="Times New Roman" w:hAnsi="Times New Roman"/>
                <w:sz w:val="24"/>
                <w:szCs w:val="24"/>
              </w:rPr>
              <w:t>) addresses the subject through the angles of prevention, detection, response, recovery and deterrence against cyber</w:t>
            </w:r>
            <w:r w:rsidR="005A74C6">
              <w:rPr>
                <w:rFonts w:ascii="Times New Roman" w:hAnsi="Times New Roman"/>
                <w:sz w:val="24"/>
                <w:szCs w:val="24"/>
              </w:rPr>
              <w:t xml:space="preserve">security threats and incidents. </w:t>
            </w:r>
            <w:r w:rsidR="00FB5C8B">
              <w:rPr>
                <w:rFonts w:ascii="Times New Roman" w:hAnsi="Times New Roman"/>
                <w:sz w:val="24"/>
                <w:szCs w:val="24"/>
              </w:rPr>
              <w:t>It leverages the EU’s existing legislative framework for cybersecurity, with a focus on making practical tools and resources available for hospitals and healthcare providers, rather than imposing new regulatory burden for entities.</w:t>
            </w:r>
          </w:p>
          <w:p w14:paraId="26A7496C" w14:textId="42007263" w:rsidR="00FB5C8B" w:rsidRDefault="00D641BC" w:rsidP="008C2494">
            <w:pPr>
              <w:spacing w:before="120" w:after="120"/>
              <w:jc w:val="both"/>
              <w:rPr>
                <w:rFonts w:ascii="Times New Roman" w:hAnsi="Times New Roman"/>
                <w:sz w:val="24"/>
                <w:szCs w:val="24"/>
              </w:rPr>
            </w:pPr>
            <w:r>
              <w:rPr>
                <w:rFonts w:ascii="Times New Roman" w:hAnsi="Times New Roman"/>
                <w:sz w:val="24"/>
                <w:szCs w:val="24"/>
              </w:rPr>
              <w:t xml:space="preserve">In the coming months, the Commission </w:t>
            </w:r>
            <w:r w:rsidR="006F35B5">
              <w:rPr>
                <w:rFonts w:ascii="Times New Roman" w:hAnsi="Times New Roman"/>
                <w:sz w:val="24"/>
                <w:szCs w:val="24"/>
              </w:rPr>
              <w:t>intends to come forward with recommendations to further refine the Action Plan. In t</w:t>
            </w:r>
            <w:r w:rsidR="00476781">
              <w:rPr>
                <w:rFonts w:ascii="Times New Roman" w:hAnsi="Times New Roman"/>
                <w:sz w:val="24"/>
                <w:szCs w:val="24"/>
              </w:rPr>
              <w:t>he preparation of the recommendations</w:t>
            </w:r>
            <w:r w:rsidR="006F35B5">
              <w:rPr>
                <w:rFonts w:ascii="Times New Roman" w:hAnsi="Times New Roman"/>
                <w:sz w:val="24"/>
                <w:szCs w:val="24"/>
              </w:rPr>
              <w:t xml:space="preserve">, the Commission will take into </w:t>
            </w:r>
            <w:r w:rsidR="008F495E">
              <w:rPr>
                <w:rFonts w:ascii="Times New Roman" w:hAnsi="Times New Roman"/>
                <w:sz w:val="24"/>
                <w:szCs w:val="24"/>
              </w:rPr>
              <w:t>consideration</w:t>
            </w:r>
            <w:r w:rsidR="006F35B5">
              <w:rPr>
                <w:rFonts w:ascii="Times New Roman" w:hAnsi="Times New Roman"/>
                <w:sz w:val="24"/>
                <w:szCs w:val="24"/>
              </w:rPr>
              <w:t xml:space="preserve"> the Opinion provided by the EESC.</w:t>
            </w:r>
          </w:p>
          <w:p w14:paraId="5F647D98" w14:textId="793B077F" w:rsidR="006F35B5" w:rsidRDefault="00C7173C" w:rsidP="008C2494">
            <w:pPr>
              <w:spacing w:before="120" w:after="120"/>
              <w:jc w:val="both"/>
              <w:rPr>
                <w:rFonts w:ascii="Times New Roman" w:hAnsi="Times New Roman"/>
                <w:sz w:val="24"/>
                <w:szCs w:val="24"/>
              </w:rPr>
            </w:pPr>
            <w:r>
              <w:rPr>
                <w:rFonts w:ascii="Times New Roman" w:hAnsi="Times New Roman"/>
                <w:sz w:val="24"/>
                <w:szCs w:val="24"/>
              </w:rPr>
              <w:t xml:space="preserve">The Commission agrees that it is necessary to ensure financial support for </w:t>
            </w:r>
            <w:r w:rsidR="005A55D6">
              <w:rPr>
                <w:rFonts w:ascii="Times New Roman" w:hAnsi="Times New Roman"/>
                <w:sz w:val="24"/>
                <w:szCs w:val="24"/>
              </w:rPr>
              <w:t xml:space="preserve">hospitals and healthcare providers, as well as other relevant actors, </w:t>
            </w:r>
            <w:proofErr w:type="gramStart"/>
            <w:r w:rsidR="005A55D6">
              <w:rPr>
                <w:rFonts w:ascii="Times New Roman" w:hAnsi="Times New Roman"/>
                <w:sz w:val="24"/>
                <w:szCs w:val="24"/>
              </w:rPr>
              <w:t>in order to</w:t>
            </w:r>
            <w:proofErr w:type="gramEnd"/>
            <w:r w:rsidR="005A55D6">
              <w:rPr>
                <w:rFonts w:ascii="Times New Roman" w:hAnsi="Times New Roman"/>
                <w:sz w:val="24"/>
                <w:szCs w:val="24"/>
              </w:rPr>
              <w:t xml:space="preserve"> enhance the cybersecurity capacities of the sector. T</w:t>
            </w:r>
            <w:r w:rsidR="00563C70">
              <w:rPr>
                <w:rFonts w:ascii="Times New Roman" w:hAnsi="Times New Roman"/>
                <w:sz w:val="24"/>
                <w:szCs w:val="24"/>
              </w:rPr>
              <w:t xml:space="preserve">hrough the Contribution Agreement foreseen in the Digital Europe Work Programme 2025–2027, the Commission will provide dedicated resources to the EU Agency for Cybersecurity (ENISA) </w:t>
            </w:r>
            <w:r w:rsidR="006C57D3">
              <w:rPr>
                <w:rFonts w:ascii="Times New Roman" w:hAnsi="Times New Roman"/>
                <w:sz w:val="24"/>
                <w:szCs w:val="24"/>
              </w:rPr>
              <w:t xml:space="preserve">for implementing its activities under the Action Plan. Moreover, </w:t>
            </w:r>
            <w:r w:rsidR="003E1CA0">
              <w:rPr>
                <w:rFonts w:ascii="Times New Roman" w:hAnsi="Times New Roman"/>
                <w:sz w:val="24"/>
                <w:szCs w:val="24"/>
              </w:rPr>
              <w:t>on 12</w:t>
            </w:r>
            <w:r w:rsidR="006C57D3">
              <w:rPr>
                <w:rFonts w:ascii="Times New Roman" w:hAnsi="Times New Roman"/>
                <w:sz w:val="24"/>
                <w:szCs w:val="24"/>
              </w:rPr>
              <w:t xml:space="preserve"> June 2025, the</w:t>
            </w:r>
            <w:r w:rsidR="00BF0E27">
              <w:rPr>
                <w:rFonts w:ascii="Times New Roman" w:hAnsi="Times New Roman"/>
                <w:sz w:val="24"/>
                <w:szCs w:val="24"/>
              </w:rPr>
              <w:t xml:space="preserve"> European Cybersecurity Competence Centre</w:t>
            </w:r>
            <w:r w:rsidR="006C57D3">
              <w:rPr>
                <w:rFonts w:ascii="Times New Roman" w:hAnsi="Times New Roman"/>
                <w:sz w:val="24"/>
                <w:szCs w:val="24"/>
              </w:rPr>
              <w:t xml:space="preserve"> launched a</w:t>
            </w:r>
            <w:r w:rsidR="00D444AA">
              <w:rPr>
                <w:rFonts w:ascii="Times New Roman" w:hAnsi="Times New Roman"/>
                <w:sz w:val="24"/>
                <w:szCs w:val="24"/>
              </w:rPr>
              <w:t xml:space="preserve"> call for proposals dedicated</w:t>
            </w:r>
            <w:r w:rsidR="003E1CA0">
              <w:rPr>
                <w:rFonts w:ascii="Times New Roman" w:hAnsi="Times New Roman"/>
                <w:sz w:val="24"/>
                <w:szCs w:val="24"/>
              </w:rPr>
              <w:t xml:space="preserve"> to reinforcing cybersecurity of hospitals and healthcare providers</w:t>
            </w:r>
            <w:r w:rsidR="003E1CA0">
              <w:rPr>
                <w:rStyle w:val="FootnoteReference"/>
                <w:rFonts w:ascii="Times New Roman" w:hAnsi="Times New Roman"/>
                <w:sz w:val="24"/>
                <w:szCs w:val="24"/>
              </w:rPr>
              <w:footnoteReference w:id="2"/>
            </w:r>
            <w:r w:rsidR="003E1CA0">
              <w:rPr>
                <w:rFonts w:ascii="Times New Roman" w:hAnsi="Times New Roman"/>
                <w:sz w:val="24"/>
                <w:szCs w:val="24"/>
              </w:rPr>
              <w:t>.</w:t>
            </w:r>
            <w:r w:rsidR="009B14CE">
              <w:rPr>
                <w:rFonts w:ascii="Times New Roman" w:hAnsi="Times New Roman"/>
                <w:sz w:val="24"/>
                <w:szCs w:val="24"/>
              </w:rPr>
              <w:t xml:space="preserve"> </w:t>
            </w:r>
            <w:r w:rsidR="00B85753">
              <w:rPr>
                <w:rFonts w:ascii="Times New Roman" w:hAnsi="Times New Roman"/>
                <w:sz w:val="24"/>
                <w:szCs w:val="24"/>
              </w:rPr>
              <w:t xml:space="preserve">Additionally, the Commission continues its work to support the roll-out </w:t>
            </w:r>
            <w:r w:rsidR="00B27792">
              <w:rPr>
                <w:rFonts w:ascii="Times New Roman" w:hAnsi="Times New Roman"/>
                <w:sz w:val="24"/>
                <w:szCs w:val="24"/>
              </w:rPr>
              <w:t xml:space="preserve">of </w:t>
            </w:r>
            <w:r w:rsidR="00B85753">
              <w:rPr>
                <w:rFonts w:ascii="Times New Roman" w:hAnsi="Times New Roman"/>
                <w:sz w:val="24"/>
                <w:szCs w:val="24"/>
              </w:rPr>
              <w:t>financial measures envisaged in the Action Plan, including Cybersecurity Vouchers for hospitals and healthcare providers</w:t>
            </w:r>
            <w:r w:rsidR="00352D2C">
              <w:rPr>
                <w:rFonts w:ascii="Times New Roman" w:hAnsi="Times New Roman"/>
                <w:sz w:val="24"/>
                <w:szCs w:val="24"/>
              </w:rPr>
              <w:t xml:space="preserve"> to put in place specific cybersecurity risk-management measures</w:t>
            </w:r>
            <w:r w:rsidR="00B85753">
              <w:rPr>
                <w:rFonts w:ascii="Times New Roman" w:hAnsi="Times New Roman"/>
                <w:sz w:val="24"/>
                <w:szCs w:val="24"/>
              </w:rPr>
              <w:t>.</w:t>
            </w:r>
            <w:r w:rsidR="00110848" w:rsidRPr="5F27EEEC">
              <w:rPr>
                <w:rFonts w:ascii="Times New Roman" w:hAnsi="Times New Roman"/>
                <w:sz w:val="24"/>
                <w:szCs w:val="24"/>
              </w:rPr>
              <w:t xml:space="preserve"> </w:t>
            </w:r>
            <w:r w:rsidR="6000530B" w:rsidRPr="0BB518CE">
              <w:rPr>
                <w:rFonts w:ascii="Times New Roman" w:hAnsi="Times New Roman"/>
                <w:color w:val="000000" w:themeColor="text1"/>
                <w:sz w:val="24"/>
                <w:szCs w:val="24"/>
              </w:rPr>
              <w:t>Use of the European Regional Development Fund for the purpose of the Cybersecurity Vouchers would enable the participation of regional programme authorities of Member States in ensuring</w:t>
            </w:r>
            <w:r w:rsidR="6000530B" w:rsidRPr="00165584">
              <w:rPr>
                <w:rFonts w:ascii="Times New Roman" w:hAnsi="Times New Roman"/>
                <w:sz w:val="24"/>
                <w:szCs w:val="24"/>
              </w:rPr>
              <w:t xml:space="preserve"> </w:t>
            </w:r>
            <w:r w:rsidR="6000530B" w:rsidRPr="0BB518CE">
              <w:rPr>
                <w:rFonts w:ascii="Times New Roman" w:hAnsi="Times New Roman"/>
                <w:sz w:val="24"/>
                <w:szCs w:val="24"/>
                <w:u w:val="single"/>
              </w:rPr>
              <w:t>effective</w:t>
            </w:r>
            <w:r w:rsidR="6000530B" w:rsidRPr="0BB518CE">
              <w:rPr>
                <w:rFonts w:ascii="Times New Roman" w:hAnsi="Times New Roman"/>
                <w:color w:val="000000" w:themeColor="text1"/>
                <w:sz w:val="24"/>
                <w:szCs w:val="24"/>
              </w:rPr>
              <w:t xml:space="preserve"> investment in cybersecurity for the healthcare sector</w:t>
            </w:r>
            <w:r w:rsidR="6000530B" w:rsidRPr="00165584">
              <w:rPr>
                <w:rFonts w:ascii="Times New Roman" w:hAnsi="Times New Roman"/>
                <w:sz w:val="24"/>
                <w:szCs w:val="24"/>
              </w:rPr>
              <w:t xml:space="preserve"> </w:t>
            </w:r>
            <w:r w:rsidR="6000530B" w:rsidRPr="0BB518CE">
              <w:rPr>
                <w:rFonts w:ascii="Times New Roman" w:hAnsi="Times New Roman"/>
                <w:sz w:val="24"/>
                <w:szCs w:val="24"/>
                <w:u w:val="single"/>
              </w:rPr>
              <w:t>shaped by the local knowledge and context.</w:t>
            </w:r>
            <w:r w:rsidR="6000530B" w:rsidRPr="0BB518CE">
              <w:rPr>
                <w:rFonts w:ascii="Times New Roman" w:hAnsi="Times New Roman"/>
                <w:sz w:val="24"/>
                <w:szCs w:val="24"/>
              </w:rPr>
              <w:t xml:space="preserve"> </w:t>
            </w:r>
            <w:r w:rsidR="00110848" w:rsidRPr="5F27EEEC">
              <w:rPr>
                <w:rFonts w:ascii="Times New Roman" w:hAnsi="Times New Roman"/>
                <w:sz w:val="24"/>
                <w:szCs w:val="24"/>
              </w:rPr>
              <w:t xml:space="preserve">As regards collection of data, </w:t>
            </w:r>
            <w:r w:rsidR="00582BF3" w:rsidRPr="00582BF3">
              <w:rPr>
                <w:rFonts w:ascii="Times New Roman" w:hAnsi="Times New Roman"/>
                <w:sz w:val="24"/>
                <w:szCs w:val="24"/>
              </w:rPr>
              <w:t>The European Union Agency for Cybersecurity</w:t>
            </w:r>
            <w:r w:rsidR="00582BF3">
              <w:rPr>
                <w:rFonts w:ascii="Times New Roman" w:hAnsi="Times New Roman"/>
                <w:sz w:val="24"/>
                <w:szCs w:val="24"/>
              </w:rPr>
              <w:t> (</w:t>
            </w:r>
            <w:r w:rsidR="00110848" w:rsidRPr="5F27EEEC">
              <w:rPr>
                <w:rFonts w:ascii="Times New Roman" w:hAnsi="Times New Roman"/>
                <w:sz w:val="24"/>
                <w:szCs w:val="24"/>
              </w:rPr>
              <w:t>ENISA’s</w:t>
            </w:r>
            <w:r w:rsidR="00582BF3">
              <w:rPr>
                <w:rFonts w:ascii="Times New Roman" w:hAnsi="Times New Roman"/>
                <w:sz w:val="24"/>
                <w:szCs w:val="24"/>
              </w:rPr>
              <w:t>)</w:t>
            </w:r>
            <w:r w:rsidR="00110848" w:rsidRPr="5F27EEEC">
              <w:rPr>
                <w:rFonts w:ascii="Times New Roman" w:hAnsi="Times New Roman"/>
                <w:sz w:val="24"/>
                <w:szCs w:val="24"/>
              </w:rPr>
              <w:t xml:space="preserve"> annual NIS</w:t>
            </w:r>
            <w:r w:rsidR="00582BF3">
              <w:rPr>
                <w:rFonts w:ascii="Times New Roman" w:hAnsi="Times New Roman"/>
                <w:sz w:val="24"/>
                <w:szCs w:val="24"/>
              </w:rPr>
              <w:t> (</w:t>
            </w:r>
            <w:r w:rsidR="00582BF3" w:rsidRPr="0037719D">
              <w:rPr>
                <w:rFonts w:ascii="Times New Roman" w:hAnsi="Times New Roman"/>
                <w:sz w:val="24"/>
                <w:szCs w:val="24"/>
              </w:rPr>
              <w:t>network and information systems</w:t>
            </w:r>
            <w:r w:rsidR="00582BF3">
              <w:rPr>
                <w:rFonts w:ascii="Times New Roman" w:hAnsi="Times New Roman"/>
                <w:sz w:val="24"/>
                <w:szCs w:val="24"/>
              </w:rPr>
              <w:t>)</w:t>
            </w:r>
            <w:r w:rsidR="00110848" w:rsidRPr="5F27EEEC">
              <w:rPr>
                <w:rFonts w:ascii="Times New Roman" w:hAnsi="Times New Roman"/>
                <w:sz w:val="24"/>
                <w:szCs w:val="24"/>
              </w:rPr>
              <w:t xml:space="preserve"> Investments</w:t>
            </w:r>
            <w:r w:rsidR="00947D40" w:rsidRPr="5F27EEEC">
              <w:rPr>
                <w:rFonts w:ascii="Times New Roman" w:hAnsi="Times New Roman"/>
                <w:sz w:val="24"/>
                <w:szCs w:val="24"/>
              </w:rPr>
              <w:t xml:space="preserve"> report</w:t>
            </w:r>
            <w:r w:rsidR="00947D40">
              <w:rPr>
                <w:rStyle w:val="FootnoteReference"/>
                <w:rFonts w:ascii="Times New Roman" w:hAnsi="Times New Roman"/>
                <w:sz w:val="24"/>
                <w:szCs w:val="24"/>
              </w:rPr>
              <w:footnoteReference w:id="3"/>
            </w:r>
            <w:r w:rsidR="00D81347" w:rsidRPr="5F27EEEC">
              <w:rPr>
                <w:rFonts w:ascii="Times New Roman" w:hAnsi="Times New Roman"/>
                <w:sz w:val="24"/>
                <w:szCs w:val="24"/>
              </w:rPr>
              <w:t xml:space="preserve"> offers data on the level of cybersecurity investment in critical sectors, including health.</w:t>
            </w:r>
          </w:p>
          <w:p w14:paraId="154A1E55" w14:textId="33BD17BE" w:rsidR="00614897" w:rsidRDefault="00D70A54" w:rsidP="008C2494">
            <w:pPr>
              <w:spacing w:before="120" w:after="120"/>
              <w:jc w:val="both"/>
              <w:rPr>
                <w:rFonts w:ascii="Times New Roman" w:hAnsi="Times New Roman"/>
                <w:sz w:val="24"/>
                <w:szCs w:val="24"/>
              </w:rPr>
            </w:pPr>
            <w:r w:rsidRPr="5F27EEEC">
              <w:rPr>
                <w:rFonts w:ascii="Times New Roman" w:hAnsi="Times New Roman"/>
                <w:sz w:val="24"/>
                <w:szCs w:val="24"/>
              </w:rPr>
              <w:t>The</w:t>
            </w:r>
            <w:r w:rsidR="009B14CE" w:rsidRPr="5F27EEEC">
              <w:rPr>
                <w:rFonts w:ascii="Times New Roman" w:hAnsi="Times New Roman"/>
                <w:sz w:val="24"/>
                <w:szCs w:val="24"/>
              </w:rPr>
              <w:t xml:space="preserve"> Commission will </w:t>
            </w:r>
            <w:r w:rsidRPr="5F27EEEC">
              <w:rPr>
                <w:rFonts w:ascii="Times New Roman" w:hAnsi="Times New Roman"/>
                <w:sz w:val="24"/>
                <w:szCs w:val="24"/>
              </w:rPr>
              <w:t>continue exploring</w:t>
            </w:r>
            <w:r w:rsidR="009B14CE" w:rsidRPr="5F27EEEC">
              <w:rPr>
                <w:rFonts w:ascii="Times New Roman" w:hAnsi="Times New Roman"/>
                <w:sz w:val="24"/>
                <w:szCs w:val="24"/>
              </w:rPr>
              <w:t xml:space="preserve"> additional possibilities for </w:t>
            </w:r>
            <w:r w:rsidR="00352D2C" w:rsidRPr="5F27EEEC">
              <w:rPr>
                <w:rFonts w:ascii="Times New Roman" w:hAnsi="Times New Roman"/>
                <w:sz w:val="24"/>
                <w:szCs w:val="24"/>
              </w:rPr>
              <w:t>EU financial support for cybersecurity in the healthcare sector.</w:t>
            </w:r>
            <w:r w:rsidR="00FD05E1" w:rsidRPr="5F27EEEC">
              <w:rPr>
                <w:rFonts w:ascii="Times New Roman" w:hAnsi="Times New Roman"/>
                <w:sz w:val="24"/>
                <w:szCs w:val="24"/>
              </w:rPr>
              <w:t xml:space="preserve"> Moreover, the Commission encourages </w:t>
            </w:r>
            <w:r w:rsidR="00E36826" w:rsidRPr="5F27EEEC">
              <w:rPr>
                <w:rFonts w:ascii="Times New Roman" w:hAnsi="Times New Roman"/>
                <w:sz w:val="24"/>
                <w:szCs w:val="24"/>
              </w:rPr>
              <w:t xml:space="preserve">Member States to </w:t>
            </w:r>
            <w:r w:rsidR="00E36826" w:rsidRPr="5F27EEEC">
              <w:rPr>
                <w:rFonts w:ascii="Times New Roman" w:hAnsi="Times New Roman"/>
                <w:sz w:val="24"/>
                <w:szCs w:val="24"/>
              </w:rPr>
              <w:lastRenderedPageBreak/>
              <w:t xml:space="preserve">continue </w:t>
            </w:r>
            <w:r w:rsidR="003C1812" w:rsidRPr="5F27EEEC">
              <w:rPr>
                <w:rFonts w:ascii="Times New Roman" w:hAnsi="Times New Roman"/>
                <w:sz w:val="24"/>
                <w:szCs w:val="24"/>
              </w:rPr>
              <w:t>increasing the level of investment in cybersecurity within the health secto</w:t>
            </w:r>
            <w:r w:rsidR="00BA5A91" w:rsidRPr="5F27EEEC">
              <w:rPr>
                <w:rFonts w:ascii="Times New Roman" w:hAnsi="Times New Roman"/>
                <w:sz w:val="24"/>
                <w:szCs w:val="24"/>
              </w:rPr>
              <w:t>r</w:t>
            </w:r>
            <w:r w:rsidR="00A02E4A" w:rsidRPr="5F27EEEC">
              <w:rPr>
                <w:rFonts w:ascii="Times New Roman" w:hAnsi="Times New Roman"/>
                <w:sz w:val="24"/>
                <w:szCs w:val="24"/>
              </w:rPr>
              <w:t xml:space="preserve"> </w:t>
            </w:r>
            <w:r w:rsidR="00E96112" w:rsidRPr="70AC1249">
              <w:rPr>
                <w:rFonts w:ascii="Times New Roman" w:hAnsi="Times New Roman"/>
                <w:sz w:val="24"/>
                <w:szCs w:val="24"/>
              </w:rPr>
              <w:t>as,</w:t>
            </w:r>
            <w:r w:rsidR="002C63C0" w:rsidRPr="5F27EEEC">
              <w:rPr>
                <w:rFonts w:ascii="Times New Roman" w:hAnsi="Times New Roman"/>
                <w:sz w:val="24"/>
                <w:szCs w:val="24"/>
              </w:rPr>
              <w:t xml:space="preserve"> pursuant to Article</w:t>
            </w:r>
            <w:r w:rsidR="00654C83">
              <w:rPr>
                <w:rFonts w:ascii="Times New Roman" w:hAnsi="Times New Roman"/>
                <w:sz w:val="24"/>
                <w:szCs w:val="24"/>
              </w:rPr>
              <w:t> </w:t>
            </w:r>
            <w:r w:rsidR="002C63C0" w:rsidRPr="5F27EEEC">
              <w:rPr>
                <w:rFonts w:ascii="Times New Roman" w:hAnsi="Times New Roman"/>
                <w:sz w:val="24"/>
                <w:szCs w:val="24"/>
              </w:rPr>
              <w:t>168</w:t>
            </w:r>
            <w:r w:rsidR="132A598D" w:rsidRPr="5F27EEEC">
              <w:rPr>
                <w:rFonts w:ascii="Times New Roman" w:hAnsi="Times New Roman"/>
                <w:sz w:val="24"/>
                <w:szCs w:val="24"/>
              </w:rPr>
              <w:t>(7) of the</w:t>
            </w:r>
            <w:r w:rsidR="002C63C0" w:rsidRPr="5F27EEEC">
              <w:rPr>
                <w:rFonts w:ascii="Times New Roman" w:hAnsi="Times New Roman"/>
                <w:sz w:val="24"/>
                <w:szCs w:val="24"/>
              </w:rPr>
              <w:t xml:space="preserve"> </w:t>
            </w:r>
            <w:r w:rsidR="29EE8DDA" w:rsidRPr="5F27EEEC">
              <w:rPr>
                <w:rFonts w:ascii="Times New Roman" w:hAnsi="Times New Roman"/>
                <w:sz w:val="24"/>
                <w:szCs w:val="24"/>
              </w:rPr>
              <w:t>Treaty on the Functioning of the European Union</w:t>
            </w:r>
            <w:r w:rsidR="00654C83">
              <w:rPr>
                <w:rFonts w:ascii="Times New Roman" w:hAnsi="Times New Roman"/>
                <w:sz w:val="24"/>
                <w:szCs w:val="24"/>
              </w:rPr>
              <w:t> </w:t>
            </w:r>
            <w:r w:rsidR="29EE8DDA" w:rsidRPr="5F27EEEC">
              <w:rPr>
                <w:rFonts w:ascii="Times New Roman" w:hAnsi="Times New Roman"/>
                <w:sz w:val="24"/>
                <w:szCs w:val="24"/>
              </w:rPr>
              <w:t>(</w:t>
            </w:r>
            <w:r w:rsidR="002C63C0" w:rsidRPr="5F27EEEC">
              <w:rPr>
                <w:rFonts w:ascii="Times New Roman" w:hAnsi="Times New Roman"/>
                <w:sz w:val="24"/>
                <w:szCs w:val="24"/>
              </w:rPr>
              <w:t>TFEU</w:t>
            </w:r>
            <w:r w:rsidR="191A8643" w:rsidRPr="5F27EEEC">
              <w:rPr>
                <w:rFonts w:ascii="Times New Roman" w:hAnsi="Times New Roman"/>
                <w:sz w:val="24"/>
                <w:szCs w:val="24"/>
              </w:rPr>
              <w:t>)</w:t>
            </w:r>
            <w:r w:rsidRPr="5F27EEEC">
              <w:rPr>
                <w:rStyle w:val="FootnoteReference"/>
                <w:rFonts w:ascii="Times New Roman" w:hAnsi="Times New Roman"/>
                <w:sz w:val="24"/>
                <w:szCs w:val="24"/>
              </w:rPr>
              <w:footnoteReference w:id="4"/>
            </w:r>
            <w:r w:rsidR="002C63C0" w:rsidRPr="5F27EEEC">
              <w:rPr>
                <w:rFonts w:ascii="Times New Roman" w:hAnsi="Times New Roman"/>
                <w:sz w:val="24"/>
                <w:szCs w:val="24"/>
              </w:rPr>
              <w:t>,</w:t>
            </w:r>
            <w:r w:rsidR="00A02E4A" w:rsidRPr="5F27EEEC">
              <w:rPr>
                <w:rFonts w:ascii="Times New Roman" w:hAnsi="Times New Roman"/>
                <w:sz w:val="24"/>
                <w:szCs w:val="24"/>
              </w:rPr>
              <w:t xml:space="preserve"> </w:t>
            </w:r>
            <w:r w:rsidR="00302826" w:rsidRPr="5F27EEEC">
              <w:rPr>
                <w:rFonts w:ascii="Times New Roman" w:hAnsi="Times New Roman"/>
                <w:sz w:val="24"/>
                <w:szCs w:val="24"/>
              </w:rPr>
              <w:t>Member States are</w:t>
            </w:r>
            <w:r w:rsidR="002C63C0" w:rsidRPr="5F27EEEC">
              <w:rPr>
                <w:rFonts w:ascii="Times New Roman" w:hAnsi="Times New Roman"/>
                <w:sz w:val="24"/>
                <w:szCs w:val="24"/>
              </w:rPr>
              <w:t xml:space="preserve"> responsible for the</w:t>
            </w:r>
            <w:r w:rsidR="00302826" w:rsidRPr="5F27EEEC">
              <w:rPr>
                <w:rFonts w:ascii="Times New Roman" w:hAnsi="Times New Roman"/>
                <w:sz w:val="24"/>
                <w:szCs w:val="24"/>
              </w:rPr>
              <w:t xml:space="preserve"> </w:t>
            </w:r>
            <w:r w:rsidR="002C63C0" w:rsidRPr="5F27EEEC">
              <w:rPr>
                <w:rFonts w:ascii="Times New Roman" w:hAnsi="Times New Roman"/>
                <w:sz w:val="24"/>
                <w:szCs w:val="24"/>
              </w:rPr>
              <w:t>management of health services and medical care</w:t>
            </w:r>
            <w:r w:rsidR="00BA5A91" w:rsidRPr="5F27EEEC">
              <w:rPr>
                <w:rFonts w:ascii="Times New Roman" w:hAnsi="Times New Roman"/>
                <w:sz w:val="24"/>
                <w:szCs w:val="24"/>
              </w:rPr>
              <w:t xml:space="preserve">. </w:t>
            </w:r>
            <w:r w:rsidR="49536E0A" w:rsidRPr="70AC1249">
              <w:rPr>
                <w:rFonts w:ascii="Times New Roman" w:hAnsi="Times New Roman"/>
                <w:sz w:val="24"/>
                <w:szCs w:val="24"/>
              </w:rPr>
              <w:t>Cohesion policy, implemented through shared management, supports Member States in investing in health infrastructure and equipment, research and innovation linked to healthcare, digitalization, and e</w:t>
            </w:r>
            <w:r w:rsidR="00EC46CE">
              <w:rPr>
                <w:rFonts w:ascii="Times New Roman" w:hAnsi="Times New Roman"/>
                <w:sz w:val="24"/>
                <w:szCs w:val="24"/>
              </w:rPr>
              <w:noBreakHyphen/>
            </w:r>
            <w:r w:rsidR="49536E0A" w:rsidRPr="70AC1249">
              <w:rPr>
                <w:rFonts w:ascii="Times New Roman" w:hAnsi="Times New Roman"/>
                <w:sz w:val="24"/>
                <w:szCs w:val="24"/>
              </w:rPr>
              <w:t>health. In agreement with the Commi</w:t>
            </w:r>
            <w:r w:rsidR="507449B7" w:rsidRPr="70AC1249">
              <w:rPr>
                <w:rFonts w:ascii="Times New Roman" w:hAnsi="Times New Roman"/>
                <w:sz w:val="24"/>
                <w:szCs w:val="24"/>
              </w:rPr>
              <w:t>ssion, Member States tailor their investments within national or regional programmes, selecting the most appropriate geographical and territorial scale to effectively address their specific challenges and development needs.</w:t>
            </w:r>
          </w:p>
          <w:p w14:paraId="3FBA5E32" w14:textId="2119382E" w:rsidR="00863CD1" w:rsidRDefault="00863CD1" w:rsidP="008C2494">
            <w:pPr>
              <w:spacing w:before="120" w:after="120"/>
              <w:jc w:val="both"/>
              <w:rPr>
                <w:rFonts w:ascii="Times New Roman" w:hAnsi="Times New Roman"/>
                <w:sz w:val="24"/>
                <w:szCs w:val="24"/>
              </w:rPr>
            </w:pPr>
            <w:r>
              <w:rPr>
                <w:rFonts w:ascii="Times New Roman" w:hAnsi="Times New Roman"/>
                <w:sz w:val="24"/>
                <w:szCs w:val="24"/>
              </w:rPr>
              <w:t>Regarding the costs of cybercrime against the healthcare sector, the Commission agrees that the availability of accurate data is crucial. In this regard, the Commission takes note of the EESC’s suggestion to invest in tracking and tracing such costs.</w:t>
            </w:r>
          </w:p>
          <w:p w14:paraId="1F6BD347" w14:textId="6DF6E989" w:rsidR="00AE362C" w:rsidRDefault="00AE362C" w:rsidP="008C2494">
            <w:pPr>
              <w:spacing w:before="120" w:after="120"/>
              <w:jc w:val="both"/>
              <w:rPr>
                <w:rFonts w:ascii="Times New Roman" w:hAnsi="Times New Roman"/>
                <w:sz w:val="24"/>
                <w:szCs w:val="24"/>
              </w:rPr>
            </w:pPr>
            <w:r>
              <w:rPr>
                <w:rFonts w:ascii="Times New Roman" w:hAnsi="Times New Roman"/>
                <w:sz w:val="24"/>
                <w:szCs w:val="24"/>
              </w:rPr>
              <w:t xml:space="preserve">The Commission agrees that the cybersecurity of hospitals and healthcare providers should be seen in the context of the wider health ecosystem, as is also outlined in the Action Plan. </w:t>
            </w:r>
            <w:r w:rsidR="00673D45">
              <w:rPr>
                <w:rFonts w:ascii="Times New Roman" w:hAnsi="Times New Roman"/>
                <w:sz w:val="24"/>
                <w:szCs w:val="24"/>
              </w:rPr>
              <w:t>In this context, t</w:t>
            </w:r>
            <w:r>
              <w:rPr>
                <w:rFonts w:ascii="Times New Roman" w:hAnsi="Times New Roman"/>
                <w:sz w:val="24"/>
                <w:szCs w:val="24"/>
              </w:rPr>
              <w:t>he Commission takes note of the EESC’s recommendation to clarify the types of</w:t>
            </w:r>
            <w:r w:rsidR="002D2F8D">
              <w:rPr>
                <w:rFonts w:ascii="Times New Roman" w:hAnsi="Times New Roman"/>
                <w:sz w:val="24"/>
                <w:szCs w:val="24"/>
              </w:rPr>
              <w:t xml:space="preserve"> entities impacted by the Action Plan.</w:t>
            </w:r>
          </w:p>
          <w:p w14:paraId="2A208FF3" w14:textId="7AEC0A31" w:rsidR="0060781E" w:rsidRDefault="0060781E" w:rsidP="008C2494">
            <w:pPr>
              <w:spacing w:before="120" w:after="120"/>
              <w:jc w:val="both"/>
              <w:rPr>
                <w:rFonts w:ascii="Times New Roman" w:hAnsi="Times New Roman"/>
                <w:sz w:val="24"/>
                <w:szCs w:val="24"/>
              </w:rPr>
            </w:pPr>
            <w:r>
              <w:rPr>
                <w:rFonts w:ascii="Times New Roman" w:hAnsi="Times New Roman"/>
                <w:sz w:val="24"/>
                <w:szCs w:val="24"/>
              </w:rPr>
              <w:t xml:space="preserve">Concerning the EESC’s recommendation to consider the certification of cybersecurity providers, the Commission notes that the amendment to the Cybersecurity Act adopted by way of Regulation </w:t>
            </w:r>
            <w:r w:rsidR="00582BF3" w:rsidRPr="00582BF3">
              <w:rPr>
                <w:rFonts w:ascii="Times New Roman" w:hAnsi="Times New Roman"/>
                <w:sz w:val="24"/>
                <w:szCs w:val="24"/>
              </w:rPr>
              <w:t xml:space="preserve">on </w:t>
            </w:r>
            <w:r w:rsidR="00582BF3" w:rsidRPr="006C663D">
              <w:rPr>
                <w:rFonts w:ascii="Times New Roman" w:hAnsi="Times New Roman"/>
                <w:sz w:val="24"/>
                <w:szCs w:val="24"/>
              </w:rPr>
              <w:t>managed security services</w:t>
            </w:r>
            <w:r w:rsidR="00582BF3">
              <w:rPr>
                <w:rStyle w:val="FootnoteReference"/>
                <w:rFonts w:ascii="Times New Roman" w:hAnsi="Times New Roman"/>
                <w:sz w:val="24"/>
                <w:szCs w:val="24"/>
              </w:rPr>
              <w:footnoteReference w:id="5"/>
            </w:r>
            <w:r>
              <w:rPr>
                <w:rFonts w:ascii="Times New Roman" w:hAnsi="Times New Roman"/>
                <w:sz w:val="24"/>
                <w:szCs w:val="24"/>
              </w:rPr>
              <w:t xml:space="preserve"> provides a possibility for the certification of managed security services. Furthermore, the ongoing process of revi</w:t>
            </w:r>
            <w:r w:rsidR="004D2721">
              <w:rPr>
                <w:rFonts w:ascii="Times New Roman" w:hAnsi="Times New Roman"/>
                <w:sz w:val="24"/>
                <w:szCs w:val="24"/>
              </w:rPr>
              <w:t>ew</w:t>
            </w:r>
            <w:r>
              <w:rPr>
                <w:rFonts w:ascii="Times New Roman" w:hAnsi="Times New Roman"/>
                <w:sz w:val="24"/>
                <w:szCs w:val="24"/>
              </w:rPr>
              <w:t xml:space="preserve"> of the Cybersecurity Act aims, among other objectives, to </w:t>
            </w:r>
            <w:proofErr w:type="gramStart"/>
            <w:r w:rsidR="00BE7D5E">
              <w:rPr>
                <w:rFonts w:ascii="Times New Roman" w:hAnsi="Times New Roman"/>
                <w:sz w:val="24"/>
                <w:szCs w:val="24"/>
              </w:rPr>
              <w:t>look into</w:t>
            </w:r>
            <w:proofErr w:type="gramEnd"/>
            <w:r w:rsidR="00BE7D5E">
              <w:rPr>
                <w:rFonts w:ascii="Times New Roman" w:hAnsi="Times New Roman"/>
                <w:sz w:val="24"/>
                <w:szCs w:val="24"/>
              </w:rPr>
              <w:t xml:space="preserve"> potential </w:t>
            </w:r>
            <w:r>
              <w:rPr>
                <w:rFonts w:ascii="Times New Roman" w:hAnsi="Times New Roman"/>
                <w:sz w:val="24"/>
                <w:szCs w:val="24"/>
              </w:rPr>
              <w:t>improve</w:t>
            </w:r>
            <w:r w:rsidR="00BE7D5E">
              <w:rPr>
                <w:rFonts w:ascii="Times New Roman" w:hAnsi="Times New Roman"/>
                <w:sz w:val="24"/>
                <w:szCs w:val="24"/>
              </w:rPr>
              <w:t>ments of</w:t>
            </w:r>
            <w:r>
              <w:rPr>
                <w:rFonts w:ascii="Times New Roman" w:hAnsi="Times New Roman"/>
                <w:sz w:val="24"/>
                <w:szCs w:val="24"/>
              </w:rPr>
              <w:t xml:space="preserve"> the European Cybersecurity Certification Framework</w:t>
            </w:r>
            <w:r w:rsidR="004D2721">
              <w:rPr>
                <w:rFonts w:ascii="Times New Roman" w:hAnsi="Times New Roman"/>
                <w:sz w:val="24"/>
                <w:szCs w:val="24"/>
              </w:rPr>
              <w:t xml:space="preserve"> </w:t>
            </w:r>
            <w:r w:rsidR="00BE7D5E">
              <w:rPr>
                <w:rFonts w:ascii="Times New Roman" w:hAnsi="Times New Roman"/>
                <w:sz w:val="24"/>
                <w:szCs w:val="24"/>
              </w:rPr>
              <w:t>to</w:t>
            </w:r>
            <w:r w:rsidR="004D2721">
              <w:rPr>
                <w:rFonts w:ascii="Times New Roman" w:hAnsi="Times New Roman"/>
                <w:sz w:val="24"/>
                <w:szCs w:val="24"/>
              </w:rPr>
              <w:t xml:space="preserve"> render it more efficient</w:t>
            </w:r>
            <w:r>
              <w:rPr>
                <w:rFonts w:ascii="Times New Roman" w:hAnsi="Times New Roman"/>
                <w:sz w:val="24"/>
                <w:szCs w:val="24"/>
              </w:rPr>
              <w:t>.</w:t>
            </w:r>
          </w:p>
          <w:p w14:paraId="575FB69E" w14:textId="30E6A4C1" w:rsidR="00B750B6" w:rsidRDefault="187EF3AA" w:rsidP="008C2494">
            <w:pPr>
              <w:spacing w:before="120" w:after="120"/>
              <w:jc w:val="both"/>
              <w:rPr>
                <w:rFonts w:ascii="Times New Roman" w:hAnsi="Times New Roman"/>
                <w:sz w:val="24"/>
                <w:szCs w:val="24"/>
              </w:rPr>
            </w:pPr>
            <w:r w:rsidRPr="228892E5">
              <w:rPr>
                <w:rFonts w:ascii="Times New Roman" w:hAnsi="Times New Roman"/>
                <w:sz w:val="24"/>
                <w:szCs w:val="24"/>
              </w:rPr>
              <w:t xml:space="preserve">The Commission thanks the EESC for its recommendations regarding technical </w:t>
            </w:r>
            <w:r w:rsidR="43572F22" w:rsidRPr="228892E5">
              <w:rPr>
                <w:rFonts w:ascii="Times New Roman" w:hAnsi="Times New Roman"/>
                <w:sz w:val="24"/>
                <w:szCs w:val="24"/>
              </w:rPr>
              <w:t>and process</w:t>
            </w:r>
            <w:r w:rsidRPr="228892E5">
              <w:rPr>
                <w:rFonts w:ascii="Times New Roman" w:hAnsi="Times New Roman"/>
                <w:sz w:val="24"/>
                <w:szCs w:val="24"/>
              </w:rPr>
              <w:t xml:space="preserve"> measures to be taken by hospitals and healthcare providers</w:t>
            </w:r>
            <w:r w:rsidR="4404808A" w:rsidRPr="228892E5">
              <w:rPr>
                <w:rFonts w:ascii="Times New Roman" w:hAnsi="Times New Roman"/>
                <w:sz w:val="24"/>
                <w:szCs w:val="24"/>
              </w:rPr>
              <w:t>.</w:t>
            </w:r>
            <w:r w:rsidR="0A1567F4" w:rsidRPr="228892E5">
              <w:rPr>
                <w:rFonts w:ascii="Times New Roman" w:hAnsi="Times New Roman"/>
                <w:sz w:val="24"/>
                <w:szCs w:val="24"/>
              </w:rPr>
              <w:t xml:space="preserve"> </w:t>
            </w:r>
            <w:r w:rsidRPr="228892E5">
              <w:rPr>
                <w:rFonts w:ascii="Times New Roman" w:hAnsi="Times New Roman"/>
                <w:sz w:val="24"/>
                <w:szCs w:val="24"/>
              </w:rPr>
              <w:t xml:space="preserve">As part of the Action Plan, ENISA </w:t>
            </w:r>
            <w:r w:rsidR="000778ED" w:rsidRPr="228892E5">
              <w:rPr>
                <w:rFonts w:ascii="Times New Roman" w:hAnsi="Times New Roman"/>
                <w:sz w:val="24"/>
                <w:szCs w:val="24"/>
              </w:rPr>
              <w:t>w</w:t>
            </w:r>
            <w:r w:rsidR="000778ED">
              <w:rPr>
                <w:rFonts w:ascii="Times New Roman" w:hAnsi="Times New Roman"/>
                <w:sz w:val="24"/>
                <w:szCs w:val="24"/>
              </w:rPr>
              <w:t>ould</w:t>
            </w:r>
            <w:r w:rsidR="000778ED" w:rsidRPr="228892E5">
              <w:rPr>
                <w:rFonts w:ascii="Times New Roman" w:hAnsi="Times New Roman"/>
                <w:sz w:val="24"/>
                <w:szCs w:val="24"/>
              </w:rPr>
              <w:t xml:space="preserve"> </w:t>
            </w:r>
            <w:r w:rsidRPr="228892E5">
              <w:rPr>
                <w:rFonts w:ascii="Times New Roman" w:hAnsi="Times New Roman"/>
                <w:sz w:val="24"/>
                <w:szCs w:val="24"/>
              </w:rPr>
              <w:t xml:space="preserve">make available practical guidance on </w:t>
            </w:r>
            <w:r w:rsidR="2FD4A784" w:rsidRPr="228892E5">
              <w:rPr>
                <w:rFonts w:ascii="Times New Roman" w:hAnsi="Times New Roman"/>
                <w:sz w:val="24"/>
                <w:szCs w:val="24"/>
              </w:rPr>
              <w:t>cybersecurity measures for entities in th</w:t>
            </w:r>
            <w:r w:rsidR="66AFDF24" w:rsidRPr="228892E5">
              <w:rPr>
                <w:rFonts w:ascii="Times New Roman" w:hAnsi="Times New Roman"/>
                <w:sz w:val="24"/>
                <w:szCs w:val="24"/>
              </w:rPr>
              <w:t>at</w:t>
            </w:r>
            <w:r w:rsidR="2FD4A784" w:rsidRPr="228892E5">
              <w:rPr>
                <w:rFonts w:ascii="Times New Roman" w:hAnsi="Times New Roman"/>
                <w:sz w:val="24"/>
                <w:szCs w:val="24"/>
              </w:rPr>
              <w:t xml:space="preserve"> sector. The Commission will </w:t>
            </w:r>
            <w:r w:rsidR="589B1C61" w:rsidRPr="228892E5">
              <w:rPr>
                <w:rFonts w:ascii="Times New Roman" w:hAnsi="Times New Roman"/>
                <w:sz w:val="24"/>
                <w:szCs w:val="24"/>
              </w:rPr>
              <w:t xml:space="preserve">liaise </w:t>
            </w:r>
            <w:r w:rsidR="2FD4A784" w:rsidRPr="228892E5">
              <w:rPr>
                <w:rFonts w:ascii="Times New Roman" w:hAnsi="Times New Roman"/>
                <w:sz w:val="24"/>
                <w:szCs w:val="24"/>
              </w:rPr>
              <w:t>with ENISA to enable the EESC’s recommendations to be taken into consideration.</w:t>
            </w:r>
            <w:r w:rsidR="3ECE9F2A" w:rsidRPr="228892E5">
              <w:rPr>
                <w:rFonts w:ascii="Times New Roman" w:hAnsi="Times New Roman"/>
                <w:sz w:val="24"/>
                <w:szCs w:val="24"/>
              </w:rPr>
              <w:t xml:space="preserve"> </w:t>
            </w:r>
            <w:r w:rsidR="3805A139" w:rsidRPr="228892E5">
              <w:rPr>
                <w:rFonts w:ascii="Times New Roman" w:hAnsi="Times New Roman"/>
                <w:sz w:val="24"/>
                <w:szCs w:val="24"/>
              </w:rPr>
              <w:t xml:space="preserve">With regard to the suggestions </w:t>
            </w:r>
            <w:r w:rsidR="2E53F627" w:rsidRPr="228892E5">
              <w:rPr>
                <w:rFonts w:ascii="Times New Roman" w:hAnsi="Times New Roman"/>
                <w:sz w:val="24"/>
                <w:szCs w:val="24"/>
              </w:rPr>
              <w:t xml:space="preserve">in </w:t>
            </w:r>
            <w:r w:rsidR="00654C83">
              <w:rPr>
                <w:rFonts w:ascii="Times New Roman" w:hAnsi="Times New Roman"/>
                <w:sz w:val="24"/>
                <w:szCs w:val="24"/>
              </w:rPr>
              <w:t xml:space="preserve">points </w:t>
            </w:r>
            <w:r w:rsidR="2E53F627" w:rsidRPr="228892E5">
              <w:rPr>
                <w:rFonts w:ascii="Times New Roman" w:hAnsi="Times New Roman"/>
                <w:sz w:val="24"/>
                <w:szCs w:val="24"/>
              </w:rPr>
              <w:t xml:space="preserve">2.9 and 2.10 of the </w:t>
            </w:r>
            <w:r w:rsidR="3805A139" w:rsidRPr="228892E5">
              <w:rPr>
                <w:rFonts w:ascii="Times New Roman" w:hAnsi="Times New Roman"/>
                <w:sz w:val="24"/>
                <w:szCs w:val="24"/>
              </w:rPr>
              <w:t xml:space="preserve">EESC </w:t>
            </w:r>
            <w:r w:rsidR="3316625D" w:rsidRPr="228892E5">
              <w:rPr>
                <w:rFonts w:ascii="Times New Roman" w:hAnsi="Times New Roman"/>
                <w:sz w:val="24"/>
                <w:szCs w:val="24"/>
              </w:rPr>
              <w:t xml:space="preserve">Opinion </w:t>
            </w:r>
            <w:r w:rsidR="3805A139" w:rsidRPr="228892E5">
              <w:rPr>
                <w:rFonts w:ascii="Times New Roman" w:hAnsi="Times New Roman"/>
                <w:sz w:val="24"/>
                <w:szCs w:val="24"/>
              </w:rPr>
              <w:t xml:space="preserve">on disconnecting workstations </w:t>
            </w:r>
            <w:r w:rsidR="6F5C2DB3" w:rsidRPr="228892E5">
              <w:rPr>
                <w:rFonts w:ascii="Times New Roman" w:hAnsi="Times New Roman"/>
                <w:sz w:val="24"/>
                <w:szCs w:val="24"/>
              </w:rPr>
              <w:t xml:space="preserve">daily </w:t>
            </w:r>
            <w:r w:rsidR="3805A139" w:rsidRPr="228892E5">
              <w:rPr>
                <w:rFonts w:ascii="Times New Roman" w:hAnsi="Times New Roman"/>
                <w:sz w:val="24"/>
                <w:szCs w:val="24"/>
              </w:rPr>
              <w:t xml:space="preserve">from the hospital network and access to the unsecured web via PCs not connected to the hospital network, the Commission believes </w:t>
            </w:r>
            <w:r w:rsidR="1ED59382" w:rsidRPr="228892E5">
              <w:rPr>
                <w:rFonts w:ascii="Times New Roman" w:hAnsi="Times New Roman"/>
                <w:sz w:val="24"/>
                <w:szCs w:val="24"/>
              </w:rPr>
              <w:t xml:space="preserve">that </w:t>
            </w:r>
            <w:r w:rsidR="3805A139" w:rsidRPr="228892E5">
              <w:rPr>
                <w:rFonts w:ascii="Times New Roman" w:hAnsi="Times New Roman"/>
                <w:sz w:val="24"/>
                <w:szCs w:val="24"/>
              </w:rPr>
              <w:t xml:space="preserve">such an approach should be based on concrete risk assessments of systems and workflows and should </w:t>
            </w:r>
            <w:r w:rsidR="32BE198E" w:rsidRPr="228892E5">
              <w:rPr>
                <w:rFonts w:ascii="Times New Roman" w:hAnsi="Times New Roman"/>
                <w:sz w:val="24"/>
                <w:szCs w:val="24"/>
              </w:rPr>
              <w:t xml:space="preserve">also </w:t>
            </w:r>
            <w:r w:rsidR="3805A139" w:rsidRPr="228892E5">
              <w:rPr>
                <w:rFonts w:ascii="Times New Roman" w:hAnsi="Times New Roman"/>
                <w:sz w:val="24"/>
                <w:szCs w:val="24"/>
              </w:rPr>
              <w:t xml:space="preserve">consider the needs for sharing of </w:t>
            </w:r>
            <w:r w:rsidR="39091579" w:rsidRPr="228892E5">
              <w:rPr>
                <w:rFonts w:ascii="Times New Roman" w:hAnsi="Times New Roman"/>
                <w:sz w:val="24"/>
                <w:szCs w:val="24"/>
              </w:rPr>
              <w:t xml:space="preserve">relevant and necessary </w:t>
            </w:r>
            <w:r w:rsidR="3805A139" w:rsidRPr="228892E5">
              <w:rPr>
                <w:rFonts w:ascii="Times New Roman" w:hAnsi="Times New Roman"/>
                <w:sz w:val="24"/>
                <w:szCs w:val="24"/>
              </w:rPr>
              <w:t>data to provide safe and adequate patient treatment</w:t>
            </w:r>
            <w:r w:rsidR="00700C19">
              <w:rPr>
                <w:rFonts w:ascii="Times New Roman" w:hAnsi="Times New Roman"/>
                <w:sz w:val="24"/>
                <w:szCs w:val="24"/>
              </w:rPr>
              <w:t xml:space="preserve"> and to uphold the rights of patients, including</w:t>
            </w:r>
            <w:r w:rsidR="00AB3E21">
              <w:rPr>
                <w:rFonts w:ascii="Times New Roman" w:hAnsi="Times New Roman"/>
                <w:sz w:val="24"/>
                <w:szCs w:val="24"/>
              </w:rPr>
              <w:t xml:space="preserve"> those</w:t>
            </w:r>
            <w:r w:rsidR="42059A0C" w:rsidRPr="228892E5">
              <w:rPr>
                <w:rFonts w:ascii="Times New Roman" w:hAnsi="Times New Roman"/>
                <w:sz w:val="24"/>
                <w:szCs w:val="24"/>
              </w:rPr>
              <w:t xml:space="preserve"> under the European Health Data Space</w:t>
            </w:r>
            <w:r w:rsidR="00654C83">
              <w:rPr>
                <w:rFonts w:ascii="Times New Roman" w:hAnsi="Times New Roman"/>
                <w:sz w:val="24"/>
                <w:szCs w:val="24"/>
              </w:rPr>
              <w:t xml:space="preserve"> </w:t>
            </w:r>
            <w:r w:rsidR="00654C83" w:rsidRPr="228892E5">
              <w:rPr>
                <w:rFonts w:ascii="Times New Roman" w:hAnsi="Times New Roman"/>
                <w:sz w:val="24"/>
                <w:szCs w:val="24"/>
              </w:rPr>
              <w:t>(EHDS)</w:t>
            </w:r>
            <w:r w:rsidR="00B750B6" w:rsidRPr="228892E5">
              <w:rPr>
                <w:rStyle w:val="FootnoteReference"/>
                <w:rFonts w:ascii="Times New Roman" w:hAnsi="Times New Roman"/>
                <w:sz w:val="24"/>
                <w:szCs w:val="24"/>
              </w:rPr>
              <w:footnoteReference w:id="6"/>
            </w:r>
            <w:r w:rsidR="00700C19">
              <w:rPr>
                <w:rFonts w:ascii="Times New Roman" w:hAnsi="Times New Roman"/>
                <w:sz w:val="24"/>
                <w:szCs w:val="24"/>
              </w:rPr>
              <w:t>.</w:t>
            </w:r>
          </w:p>
          <w:p w14:paraId="40567C82" w14:textId="1B4B3F0E" w:rsidR="00975D6D" w:rsidRDefault="00975D6D" w:rsidP="008C2494">
            <w:pPr>
              <w:spacing w:before="120" w:after="120"/>
              <w:jc w:val="both"/>
              <w:rPr>
                <w:rFonts w:ascii="Times New Roman" w:hAnsi="Times New Roman"/>
                <w:sz w:val="24"/>
                <w:szCs w:val="24"/>
              </w:rPr>
            </w:pPr>
            <w:r w:rsidRPr="70AC1249">
              <w:rPr>
                <w:rFonts w:ascii="Times New Roman" w:hAnsi="Times New Roman"/>
                <w:sz w:val="24"/>
                <w:szCs w:val="24"/>
              </w:rPr>
              <w:t xml:space="preserve">ENISA will play an important role in the implementation of the Action Plan, </w:t>
            </w:r>
            <w:r w:rsidR="00E96112" w:rsidRPr="70AC1249">
              <w:rPr>
                <w:rFonts w:ascii="Times New Roman" w:hAnsi="Times New Roman"/>
                <w:sz w:val="24"/>
                <w:szCs w:val="24"/>
              </w:rPr>
              <w:t xml:space="preserve">in line </w:t>
            </w:r>
            <w:r w:rsidRPr="70AC1249">
              <w:rPr>
                <w:rFonts w:ascii="Times New Roman" w:hAnsi="Times New Roman"/>
                <w:sz w:val="24"/>
                <w:szCs w:val="24"/>
              </w:rPr>
              <w:t xml:space="preserve">with its mandate. Nonetheless, the Commission notes that ENISA’s role is not to directly manage </w:t>
            </w:r>
            <w:r w:rsidR="00013E4E">
              <w:rPr>
                <w:rFonts w:ascii="Times New Roman" w:hAnsi="Times New Roman"/>
                <w:sz w:val="24"/>
                <w:szCs w:val="24"/>
              </w:rPr>
              <w:t>information technology</w:t>
            </w:r>
            <w:r w:rsidR="00654C83">
              <w:rPr>
                <w:rFonts w:ascii="Times New Roman" w:hAnsi="Times New Roman"/>
                <w:sz w:val="24"/>
                <w:szCs w:val="24"/>
              </w:rPr>
              <w:t> </w:t>
            </w:r>
            <w:r w:rsidR="00013E4E">
              <w:rPr>
                <w:rFonts w:ascii="Times New Roman" w:hAnsi="Times New Roman"/>
                <w:sz w:val="24"/>
                <w:szCs w:val="24"/>
              </w:rPr>
              <w:t>(</w:t>
            </w:r>
            <w:r w:rsidRPr="70AC1249">
              <w:rPr>
                <w:rFonts w:ascii="Times New Roman" w:hAnsi="Times New Roman"/>
                <w:sz w:val="24"/>
                <w:szCs w:val="24"/>
              </w:rPr>
              <w:t>IT</w:t>
            </w:r>
            <w:r w:rsidR="00013E4E">
              <w:rPr>
                <w:rFonts w:ascii="Times New Roman" w:hAnsi="Times New Roman"/>
                <w:sz w:val="24"/>
                <w:szCs w:val="24"/>
              </w:rPr>
              <w:t>)</w:t>
            </w:r>
            <w:r w:rsidRPr="70AC1249">
              <w:rPr>
                <w:rFonts w:ascii="Times New Roman" w:hAnsi="Times New Roman"/>
                <w:sz w:val="24"/>
                <w:szCs w:val="24"/>
              </w:rPr>
              <w:t xml:space="preserve"> solutions for individual hospitals or healthcare providers. </w:t>
            </w:r>
            <w:r w:rsidR="00A949E5" w:rsidRPr="70AC1249">
              <w:rPr>
                <w:rFonts w:ascii="Times New Roman" w:hAnsi="Times New Roman"/>
                <w:sz w:val="24"/>
                <w:szCs w:val="24"/>
              </w:rPr>
              <w:t>As part of the implementation of the Action Plan,</w:t>
            </w:r>
            <w:r w:rsidRPr="70AC1249">
              <w:rPr>
                <w:rFonts w:ascii="Times New Roman" w:hAnsi="Times New Roman"/>
                <w:sz w:val="24"/>
                <w:szCs w:val="24"/>
              </w:rPr>
              <w:t xml:space="preserve"> ENISA</w:t>
            </w:r>
            <w:r w:rsidR="00A949E5" w:rsidRPr="70AC1249">
              <w:rPr>
                <w:rFonts w:ascii="Times New Roman" w:hAnsi="Times New Roman"/>
                <w:sz w:val="24"/>
                <w:szCs w:val="24"/>
              </w:rPr>
              <w:t xml:space="preserve"> should interact closely with Member State</w:t>
            </w:r>
            <w:r w:rsidR="22A56C3A" w:rsidRPr="70AC1249">
              <w:rPr>
                <w:rFonts w:ascii="Times New Roman" w:hAnsi="Times New Roman"/>
                <w:sz w:val="24"/>
                <w:szCs w:val="24"/>
              </w:rPr>
              <w:t>s</w:t>
            </w:r>
            <w:r w:rsidR="00A949E5" w:rsidRPr="70AC1249">
              <w:rPr>
                <w:rFonts w:ascii="Times New Roman" w:hAnsi="Times New Roman"/>
                <w:sz w:val="24"/>
                <w:szCs w:val="24"/>
              </w:rPr>
              <w:t xml:space="preserve"> authorities, </w:t>
            </w:r>
            <w:r w:rsidR="00A949E5" w:rsidRPr="70AC1249">
              <w:rPr>
                <w:rFonts w:ascii="Times New Roman" w:hAnsi="Times New Roman"/>
                <w:sz w:val="24"/>
                <w:szCs w:val="24"/>
              </w:rPr>
              <w:lastRenderedPageBreak/>
              <w:t xml:space="preserve">which </w:t>
            </w:r>
            <w:r w:rsidR="00747F5A" w:rsidRPr="70AC1249">
              <w:rPr>
                <w:rFonts w:ascii="Times New Roman" w:hAnsi="Times New Roman"/>
                <w:sz w:val="24"/>
                <w:szCs w:val="24"/>
              </w:rPr>
              <w:t xml:space="preserve">interact with hospitals and healthcare providers on a regular basis. </w:t>
            </w:r>
            <w:r w:rsidR="00B60262" w:rsidRPr="70AC1249">
              <w:rPr>
                <w:rFonts w:ascii="Times New Roman" w:hAnsi="Times New Roman"/>
                <w:sz w:val="24"/>
                <w:szCs w:val="24"/>
              </w:rPr>
              <w:t xml:space="preserve">The Commission does not envisage to provide loans to ENISA for </w:t>
            </w:r>
            <w:r w:rsidR="008F13C0" w:rsidRPr="70AC1249">
              <w:rPr>
                <w:rFonts w:ascii="Times New Roman" w:hAnsi="Times New Roman"/>
                <w:sz w:val="24"/>
                <w:szCs w:val="24"/>
              </w:rPr>
              <w:t>IT protection or cybersecurity tools intended to benefit entities in the healthcare sector.</w:t>
            </w:r>
          </w:p>
          <w:p w14:paraId="48389391" w14:textId="09338D48" w:rsidR="00034B79" w:rsidRPr="002C6381" w:rsidRDefault="00B27767" w:rsidP="008C2494">
            <w:pPr>
              <w:spacing w:before="120" w:after="120"/>
              <w:jc w:val="both"/>
              <w:rPr>
                <w:rFonts w:ascii="Times New Roman" w:hAnsi="Times New Roman"/>
                <w:sz w:val="24"/>
                <w:szCs w:val="24"/>
              </w:rPr>
            </w:pPr>
            <w:r>
              <w:rPr>
                <w:rFonts w:ascii="Times New Roman" w:hAnsi="Times New Roman"/>
                <w:sz w:val="24"/>
                <w:szCs w:val="24"/>
              </w:rPr>
              <w:t xml:space="preserve">The Commission </w:t>
            </w:r>
            <w:r w:rsidR="001E3672">
              <w:rPr>
                <w:rFonts w:ascii="Times New Roman" w:hAnsi="Times New Roman"/>
                <w:sz w:val="24"/>
                <w:szCs w:val="24"/>
              </w:rPr>
              <w:t>agrees on the importance of</w:t>
            </w:r>
            <w:r>
              <w:rPr>
                <w:rFonts w:ascii="Times New Roman" w:hAnsi="Times New Roman"/>
                <w:sz w:val="24"/>
                <w:szCs w:val="24"/>
              </w:rPr>
              <w:t xml:space="preserve"> educational measures intended to increase the level of cybersecurity awareness </w:t>
            </w:r>
            <w:r w:rsidR="001E3672">
              <w:rPr>
                <w:rFonts w:ascii="Times New Roman" w:hAnsi="Times New Roman"/>
                <w:sz w:val="24"/>
                <w:szCs w:val="24"/>
              </w:rPr>
              <w:t>among healthcare professionals as well as to enhance the availability of qualified cybersecurity professionals protecting healthcare entities.</w:t>
            </w:r>
            <w:r w:rsidR="00D16A50">
              <w:rPr>
                <w:rFonts w:ascii="Times New Roman" w:hAnsi="Times New Roman"/>
                <w:sz w:val="24"/>
                <w:szCs w:val="24"/>
              </w:rPr>
              <w:t xml:space="preserve"> The Action Plan envisages relevant measures, such as de</w:t>
            </w:r>
            <w:r w:rsidR="00A34A63">
              <w:rPr>
                <w:rFonts w:ascii="Times New Roman" w:hAnsi="Times New Roman"/>
                <w:sz w:val="24"/>
                <w:szCs w:val="24"/>
              </w:rPr>
              <w:t>signing and promoting training modules and courses for healthcare professionals, as well as providing possibilities for cybersecurity professionals in the healthcare sector to exchange with each other in an EU-wide network.</w:t>
            </w:r>
          </w:p>
          <w:p w14:paraId="285EC58B" w14:textId="6D816017" w:rsidR="00434E57" w:rsidRDefault="00A9312D" w:rsidP="008C2494">
            <w:pPr>
              <w:spacing w:before="120" w:after="120"/>
              <w:jc w:val="both"/>
              <w:rPr>
                <w:rFonts w:ascii="Times New Roman" w:hAnsi="Times New Roman"/>
                <w:sz w:val="24"/>
                <w:szCs w:val="24"/>
              </w:rPr>
            </w:pPr>
            <w:r>
              <w:rPr>
                <w:rFonts w:ascii="Times New Roman" w:hAnsi="Times New Roman"/>
                <w:sz w:val="24"/>
                <w:szCs w:val="24"/>
              </w:rPr>
              <w:t xml:space="preserve">The Commission </w:t>
            </w:r>
            <w:r w:rsidR="000B4C67">
              <w:rPr>
                <w:rFonts w:ascii="Times New Roman" w:hAnsi="Times New Roman"/>
                <w:sz w:val="24"/>
                <w:szCs w:val="24"/>
              </w:rPr>
              <w:t>is ready to engage with private sector players, including technology companies, to foster cybersecurity in the healthcare sector. For instance, the Health Cybersecurity Advisory Board</w:t>
            </w:r>
            <w:r w:rsidR="0086590C">
              <w:rPr>
                <w:rFonts w:ascii="Times New Roman" w:hAnsi="Times New Roman"/>
                <w:sz w:val="24"/>
                <w:szCs w:val="24"/>
              </w:rPr>
              <w:t>,</w:t>
            </w:r>
            <w:r w:rsidR="000B4C67">
              <w:rPr>
                <w:rFonts w:ascii="Times New Roman" w:hAnsi="Times New Roman"/>
                <w:sz w:val="24"/>
                <w:szCs w:val="24"/>
              </w:rPr>
              <w:t xml:space="preserve"> which is established as a Commission Expert Group to advise on the implementation of the Action Plan</w:t>
            </w:r>
            <w:r w:rsidR="0086590C">
              <w:rPr>
                <w:rFonts w:ascii="Times New Roman" w:hAnsi="Times New Roman"/>
                <w:sz w:val="24"/>
                <w:szCs w:val="24"/>
              </w:rPr>
              <w:t>,</w:t>
            </w:r>
            <w:r w:rsidR="000B4C67">
              <w:rPr>
                <w:rFonts w:ascii="Times New Roman" w:hAnsi="Times New Roman"/>
                <w:sz w:val="24"/>
                <w:szCs w:val="24"/>
              </w:rPr>
              <w:t xml:space="preserve"> will offer a possibility for structured exchange with </w:t>
            </w:r>
            <w:r w:rsidR="00264616">
              <w:rPr>
                <w:rFonts w:ascii="Times New Roman" w:hAnsi="Times New Roman"/>
                <w:sz w:val="24"/>
                <w:szCs w:val="24"/>
              </w:rPr>
              <w:t>relevant private stakeholders from the healthcare and the cybersecurity sectors.</w:t>
            </w:r>
          </w:p>
          <w:p w14:paraId="30D14481" w14:textId="6EBD8184" w:rsidR="0049246C" w:rsidRPr="004F6117" w:rsidRDefault="009D77A4" w:rsidP="0025408A">
            <w:pPr>
              <w:spacing w:before="120" w:after="120"/>
              <w:jc w:val="both"/>
              <w:rPr>
                <w:rFonts w:ascii="Times New Roman" w:hAnsi="Times New Roman"/>
                <w:b/>
                <w:sz w:val="24"/>
                <w:szCs w:val="24"/>
              </w:rPr>
            </w:pPr>
            <w:r>
              <w:rPr>
                <w:rFonts w:ascii="Times New Roman" w:hAnsi="Times New Roman"/>
                <w:sz w:val="24"/>
                <w:szCs w:val="24"/>
              </w:rPr>
              <w:t>In conclusion</w:t>
            </w:r>
            <w:r w:rsidR="00BD671B">
              <w:rPr>
                <w:rFonts w:ascii="Times New Roman" w:hAnsi="Times New Roman"/>
                <w:sz w:val="24"/>
                <w:szCs w:val="24"/>
              </w:rPr>
              <w:t>, the Commission thanks the EESC for the reflections it has presented in its Opinion. The Opinion serves as valuable inp</w:t>
            </w:r>
            <w:r w:rsidR="00DF6FD9">
              <w:rPr>
                <w:rFonts w:ascii="Times New Roman" w:hAnsi="Times New Roman"/>
                <w:sz w:val="24"/>
                <w:szCs w:val="24"/>
              </w:rPr>
              <w:t>ut for the Commission’s next planned recommendations for cybersecurity in the healthcare sector.</w:t>
            </w:r>
          </w:p>
        </w:tc>
      </w:tr>
    </w:tbl>
    <w:p w14:paraId="6AF07B14" w14:textId="26AEAB66" w:rsidR="004F6117" w:rsidRPr="00153879" w:rsidRDefault="004F6117" w:rsidP="00153879">
      <w:pPr>
        <w:spacing w:after="0" w:line="240" w:lineRule="auto"/>
        <w:ind w:left="-709"/>
        <w:rPr>
          <w:rFonts w:ascii="Times New Roman" w:hAnsi="Times New Roman"/>
          <w:bCs/>
          <w:sz w:val="16"/>
          <w:szCs w:val="16"/>
        </w:rPr>
      </w:pPr>
    </w:p>
    <w:sectPr w:rsidR="004F6117" w:rsidRPr="00153879">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96A1B" w14:textId="77777777" w:rsidR="003F1108" w:rsidRDefault="003F1108" w:rsidP="00FF63EA">
      <w:pPr>
        <w:spacing w:after="0" w:line="240" w:lineRule="auto"/>
      </w:pPr>
      <w:r>
        <w:separator/>
      </w:r>
    </w:p>
  </w:endnote>
  <w:endnote w:type="continuationSeparator" w:id="0">
    <w:p w14:paraId="3C50AAE4" w14:textId="77777777" w:rsidR="003F1108" w:rsidRDefault="003F1108" w:rsidP="00FF63EA">
      <w:pPr>
        <w:spacing w:after="0" w:line="240" w:lineRule="auto"/>
      </w:pPr>
      <w:r>
        <w:continuationSeparator/>
      </w:r>
    </w:p>
  </w:endnote>
  <w:endnote w:type="continuationNotice" w:id="1">
    <w:p w14:paraId="33123229" w14:textId="77777777" w:rsidR="003F1108" w:rsidRDefault="003F11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7D7F5" w14:textId="77777777" w:rsidR="006253E7" w:rsidRDefault="006253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1A565" w14:textId="77777777" w:rsidR="006253E7" w:rsidRDefault="006253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DB400" w14:textId="77777777" w:rsidR="006253E7" w:rsidRDefault="00625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2159B" w14:textId="77777777" w:rsidR="003F1108" w:rsidRDefault="003F1108" w:rsidP="00FF63EA">
      <w:pPr>
        <w:spacing w:after="0" w:line="240" w:lineRule="auto"/>
      </w:pPr>
      <w:r>
        <w:separator/>
      </w:r>
    </w:p>
  </w:footnote>
  <w:footnote w:type="continuationSeparator" w:id="0">
    <w:p w14:paraId="7D6E1C03" w14:textId="77777777" w:rsidR="003F1108" w:rsidRDefault="003F1108" w:rsidP="00FF63EA">
      <w:pPr>
        <w:spacing w:after="0" w:line="240" w:lineRule="auto"/>
      </w:pPr>
      <w:r>
        <w:continuationSeparator/>
      </w:r>
    </w:p>
  </w:footnote>
  <w:footnote w:type="continuationNotice" w:id="1">
    <w:p w14:paraId="15867084" w14:textId="77777777" w:rsidR="003F1108" w:rsidRDefault="003F1108">
      <w:pPr>
        <w:spacing w:after="0" w:line="240" w:lineRule="auto"/>
      </w:pPr>
    </w:p>
  </w:footnote>
  <w:footnote w:id="2">
    <w:p w14:paraId="7F855FDC" w14:textId="4F01C0E2" w:rsidR="003E1CA0" w:rsidRPr="006C663D" w:rsidRDefault="003E1CA0" w:rsidP="006C663D">
      <w:pPr>
        <w:pStyle w:val="Footnote"/>
        <w:ind w:left="-141" w:right="-425"/>
        <w:rPr>
          <w:lang w:val="fr-BE"/>
        </w:rPr>
      </w:pPr>
      <w:r w:rsidRPr="00EC46CE">
        <w:rPr>
          <w:rStyle w:val="FootnoteReference"/>
        </w:rPr>
        <w:footnoteRef/>
      </w:r>
      <w:r w:rsidRPr="006C663D">
        <w:rPr>
          <w:lang w:val="fr-BE"/>
        </w:rPr>
        <w:t xml:space="preserve"> </w:t>
      </w:r>
      <w:r w:rsidR="00AC6521" w:rsidRPr="006C663D">
        <w:rPr>
          <w:lang w:val="fr-BE"/>
        </w:rPr>
        <w:tab/>
      </w:r>
      <w:hyperlink r:id="rId1" w:history="1">
        <w:r w:rsidR="00BD7BE0" w:rsidRPr="006C663D">
          <w:rPr>
            <w:rStyle w:val="Hyperlink"/>
            <w:lang w:val="fr-BE"/>
          </w:rPr>
          <w:t>DIGITAL-ECCC-2025-DEPLOY-CYBER-08-CYBERHEALTH</w:t>
        </w:r>
      </w:hyperlink>
      <w:r w:rsidR="00582BF3" w:rsidRPr="006C663D">
        <w:rPr>
          <w:lang w:val="fr-BE"/>
        </w:rPr>
        <w:t>.</w:t>
      </w:r>
    </w:p>
  </w:footnote>
  <w:footnote w:id="3">
    <w:p w14:paraId="59617DBA" w14:textId="6287CD34" w:rsidR="00947D40" w:rsidRPr="00947D40" w:rsidRDefault="00947D40" w:rsidP="006C663D">
      <w:pPr>
        <w:pStyle w:val="Footnote"/>
        <w:ind w:left="-141" w:right="-425"/>
        <w:rPr>
          <w:lang w:val="en-IE"/>
        </w:rPr>
      </w:pPr>
      <w:r w:rsidRPr="00EC46CE">
        <w:rPr>
          <w:rStyle w:val="FootnoteReference"/>
        </w:rPr>
        <w:footnoteRef/>
      </w:r>
      <w:r w:rsidRPr="00EC46CE">
        <w:t xml:space="preserve"> </w:t>
      </w:r>
      <w:r w:rsidR="00AC6521" w:rsidRPr="00EC46CE">
        <w:tab/>
      </w:r>
      <w:r w:rsidRPr="00EC46CE">
        <w:t xml:space="preserve">See 2024 report: </w:t>
      </w:r>
      <w:hyperlink r:id="rId2" w:history="1">
        <w:r w:rsidRPr="00EC46CE">
          <w:rPr>
            <w:rStyle w:val="Hyperlink"/>
          </w:rPr>
          <w:t>https://www.enisa.europa.eu/publications/nis-investments-2024</w:t>
        </w:r>
      </w:hyperlink>
      <w:r w:rsidR="00582BF3">
        <w:t>.</w:t>
      </w:r>
    </w:p>
  </w:footnote>
  <w:footnote w:id="4">
    <w:p w14:paraId="367FC720" w14:textId="30BEC5BE" w:rsidR="5F27EEEC" w:rsidRPr="0003095A" w:rsidRDefault="5F27EEEC" w:rsidP="006C663D">
      <w:pPr>
        <w:pStyle w:val="Footnote"/>
        <w:widowControl w:val="0"/>
        <w:ind w:left="-141" w:right="-425"/>
      </w:pPr>
      <w:r w:rsidRPr="5F27EEEC">
        <w:rPr>
          <w:rStyle w:val="FootnoteReference"/>
        </w:rPr>
        <w:footnoteRef/>
      </w:r>
      <w:r>
        <w:t xml:space="preserve"> </w:t>
      </w:r>
      <w:r w:rsidR="00AC6521">
        <w:tab/>
      </w:r>
      <w:r w:rsidR="0003095A" w:rsidRPr="006C663D">
        <w:t>Consolidated version of the Treaty on the Functioning of the European Union (</w:t>
      </w:r>
      <w:hyperlink r:id="rId3" w:history="1">
        <w:r w:rsidR="0003095A" w:rsidRPr="0003095A">
          <w:rPr>
            <w:rStyle w:val="Hyperlink"/>
          </w:rPr>
          <w:t>https://eur-lex.europa.eu/legal-content/EN/TXT/?uri=CELEX%3A12016E168</w:t>
        </w:r>
      </w:hyperlink>
      <w:r w:rsidR="0003095A" w:rsidRPr="0003095A">
        <w:t>).</w:t>
      </w:r>
    </w:p>
  </w:footnote>
  <w:footnote w:id="5">
    <w:p w14:paraId="532B13C2" w14:textId="277EED47" w:rsidR="00582BF3" w:rsidRPr="006C663D" w:rsidRDefault="00582BF3" w:rsidP="006C663D">
      <w:pPr>
        <w:pStyle w:val="FootnoteText"/>
        <w:widowControl w:val="0"/>
        <w:spacing w:after="0" w:line="240" w:lineRule="auto"/>
        <w:ind w:left="-141" w:right="-425" w:hanging="284"/>
        <w:jc w:val="both"/>
        <w:rPr>
          <w:rFonts w:ascii="Times New Roman" w:hAnsi="Times New Roman"/>
        </w:rPr>
      </w:pPr>
      <w:r w:rsidRPr="006C663D">
        <w:rPr>
          <w:rStyle w:val="FootnoteReference"/>
          <w:rFonts w:ascii="Times New Roman" w:hAnsi="Times New Roman"/>
        </w:rPr>
        <w:footnoteRef/>
      </w:r>
      <w:r w:rsidRPr="006C663D">
        <w:rPr>
          <w:rFonts w:ascii="Times New Roman" w:hAnsi="Times New Roman"/>
        </w:rPr>
        <w:t xml:space="preserve"> </w:t>
      </w:r>
      <w:r w:rsidRPr="006C663D">
        <w:rPr>
          <w:rFonts w:ascii="Times New Roman" w:hAnsi="Times New Roman"/>
        </w:rPr>
        <w:tab/>
        <w:t>Regulation (EU) 2025/37 of the European Parliament and of the Council of 19 December 2024 amending Regulation (EU) 2019/881 as regards managed security services (</w:t>
      </w:r>
      <w:hyperlink r:id="rId4" w:history="1">
        <w:r w:rsidRPr="006C663D">
          <w:rPr>
            <w:rStyle w:val="Hyperlink"/>
            <w:rFonts w:ascii="Times New Roman" w:hAnsi="Times New Roman"/>
          </w:rPr>
          <w:t>http://data.europa.eu/eli/reg/2025/37/oj</w:t>
        </w:r>
      </w:hyperlink>
      <w:r w:rsidRPr="006C663D">
        <w:rPr>
          <w:rFonts w:ascii="Times New Roman" w:hAnsi="Times New Roman"/>
        </w:rPr>
        <w:t>).</w:t>
      </w:r>
    </w:p>
  </w:footnote>
  <w:footnote w:id="6">
    <w:p w14:paraId="14EB7A1C" w14:textId="0D60A1FF" w:rsidR="228892E5" w:rsidRPr="0003095A" w:rsidRDefault="228892E5" w:rsidP="006C663D">
      <w:pPr>
        <w:pStyle w:val="Footnote"/>
        <w:widowControl w:val="0"/>
        <w:ind w:left="-141" w:right="-425"/>
      </w:pPr>
      <w:r w:rsidRPr="0003095A">
        <w:rPr>
          <w:rStyle w:val="FootnoteReference"/>
        </w:rPr>
        <w:footnoteRef/>
      </w:r>
      <w:r w:rsidRPr="0003095A">
        <w:t xml:space="preserve"> </w:t>
      </w:r>
      <w:r w:rsidR="00AC6521" w:rsidRPr="0003095A">
        <w:tab/>
      </w:r>
      <w:r w:rsidR="0003095A" w:rsidRPr="006C663D">
        <w:t>Regulation (EU) 2025/327 of the European Parliament and of the Council of 11 February 2025 on the European Health Data Space and amending Directive 2011/24/EU and Regulation (EU) 2024/2847 (</w:t>
      </w:r>
      <w:hyperlink r:id="rId5" w:history="1">
        <w:r w:rsidR="0003095A" w:rsidRPr="0003095A">
          <w:rPr>
            <w:rStyle w:val="Hyperlink"/>
          </w:rPr>
          <w:t>https://eur-lex.europa.eu/eli/reg/2025/327/oj/eng</w:t>
        </w:r>
      </w:hyperlink>
      <w:r w:rsidR="0003095A" w:rsidRPr="0003095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B7999" w14:textId="77777777" w:rsidR="006253E7" w:rsidRDefault="006253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156E0" w14:textId="77777777" w:rsidR="006253E7" w:rsidRDefault="006253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C26BD" w14:textId="77777777" w:rsidR="006253E7" w:rsidRDefault="006253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763570"/>
    <w:multiLevelType w:val="hybridMultilevel"/>
    <w:tmpl w:val="969C5B8A"/>
    <w:lvl w:ilvl="0" w:tplc="FFFFFFFF">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8971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12A37"/>
    <w:rsid w:val="00013E4E"/>
    <w:rsid w:val="0003095A"/>
    <w:rsid w:val="000336A6"/>
    <w:rsid w:val="00034B79"/>
    <w:rsid w:val="00046B15"/>
    <w:rsid w:val="00050DC7"/>
    <w:rsid w:val="000702F3"/>
    <w:rsid w:val="00076109"/>
    <w:rsid w:val="000778ED"/>
    <w:rsid w:val="00077C4F"/>
    <w:rsid w:val="000A1AD1"/>
    <w:rsid w:val="000A2DDF"/>
    <w:rsid w:val="000B0F05"/>
    <w:rsid w:val="000B4C67"/>
    <w:rsid w:val="000F5FD8"/>
    <w:rsid w:val="00110848"/>
    <w:rsid w:val="001167C0"/>
    <w:rsid w:val="00135C2A"/>
    <w:rsid w:val="00153879"/>
    <w:rsid w:val="00157968"/>
    <w:rsid w:val="00165584"/>
    <w:rsid w:val="001A1067"/>
    <w:rsid w:val="001B044B"/>
    <w:rsid w:val="001B0E0B"/>
    <w:rsid w:val="001B11DE"/>
    <w:rsid w:val="001B709D"/>
    <w:rsid w:val="001C4138"/>
    <w:rsid w:val="001D424C"/>
    <w:rsid w:val="001E00D3"/>
    <w:rsid w:val="001E3672"/>
    <w:rsid w:val="001F2EC6"/>
    <w:rsid w:val="001F65D0"/>
    <w:rsid w:val="00213750"/>
    <w:rsid w:val="00217E59"/>
    <w:rsid w:val="00250B52"/>
    <w:rsid w:val="0025408A"/>
    <w:rsid w:val="00263DD6"/>
    <w:rsid w:val="00264616"/>
    <w:rsid w:val="00276070"/>
    <w:rsid w:val="0029213B"/>
    <w:rsid w:val="002A6E78"/>
    <w:rsid w:val="002B43C2"/>
    <w:rsid w:val="002C274C"/>
    <w:rsid w:val="002C6381"/>
    <w:rsid w:val="002C63C0"/>
    <w:rsid w:val="002D27C2"/>
    <w:rsid w:val="002D2F8D"/>
    <w:rsid w:val="002F03FA"/>
    <w:rsid w:val="003004D2"/>
    <w:rsid w:val="00302826"/>
    <w:rsid w:val="00303C0E"/>
    <w:rsid w:val="00306F56"/>
    <w:rsid w:val="003316D5"/>
    <w:rsid w:val="003349A3"/>
    <w:rsid w:val="00352D2C"/>
    <w:rsid w:val="003635BC"/>
    <w:rsid w:val="00377967"/>
    <w:rsid w:val="00386143"/>
    <w:rsid w:val="003B0023"/>
    <w:rsid w:val="003B278D"/>
    <w:rsid w:val="003B40C3"/>
    <w:rsid w:val="003B58DC"/>
    <w:rsid w:val="003C1812"/>
    <w:rsid w:val="003C2D9A"/>
    <w:rsid w:val="003E1CA0"/>
    <w:rsid w:val="003F1108"/>
    <w:rsid w:val="003F686E"/>
    <w:rsid w:val="00403E58"/>
    <w:rsid w:val="00415B14"/>
    <w:rsid w:val="00434E57"/>
    <w:rsid w:val="00442552"/>
    <w:rsid w:val="00455A1C"/>
    <w:rsid w:val="004675B5"/>
    <w:rsid w:val="00476781"/>
    <w:rsid w:val="004770D6"/>
    <w:rsid w:val="00480DA0"/>
    <w:rsid w:val="00483551"/>
    <w:rsid w:val="00483DF3"/>
    <w:rsid w:val="0049246C"/>
    <w:rsid w:val="004947A7"/>
    <w:rsid w:val="004B36D5"/>
    <w:rsid w:val="004C3517"/>
    <w:rsid w:val="004C4684"/>
    <w:rsid w:val="004D1338"/>
    <w:rsid w:val="004D2721"/>
    <w:rsid w:val="004D7849"/>
    <w:rsid w:val="004E3188"/>
    <w:rsid w:val="004F6117"/>
    <w:rsid w:val="004F63F1"/>
    <w:rsid w:val="004F651E"/>
    <w:rsid w:val="00510A2A"/>
    <w:rsid w:val="005230A9"/>
    <w:rsid w:val="0052596B"/>
    <w:rsid w:val="00527FEA"/>
    <w:rsid w:val="00554D8D"/>
    <w:rsid w:val="00554EFA"/>
    <w:rsid w:val="00556F51"/>
    <w:rsid w:val="00562D6A"/>
    <w:rsid w:val="00563C70"/>
    <w:rsid w:val="00573835"/>
    <w:rsid w:val="00581306"/>
    <w:rsid w:val="00582BF3"/>
    <w:rsid w:val="005A55D6"/>
    <w:rsid w:val="005A74C6"/>
    <w:rsid w:val="005C0D44"/>
    <w:rsid w:val="005C3105"/>
    <w:rsid w:val="005C49AC"/>
    <w:rsid w:val="005C5820"/>
    <w:rsid w:val="005C5BFE"/>
    <w:rsid w:val="005C5C81"/>
    <w:rsid w:val="005D7DC3"/>
    <w:rsid w:val="005F1BA4"/>
    <w:rsid w:val="00600F90"/>
    <w:rsid w:val="0060781E"/>
    <w:rsid w:val="00614897"/>
    <w:rsid w:val="00616860"/>
    <w:rsid w:val="006253E7"/>
    <w:rsid w:val="00637A14"/>
    <w:rsid w:val="00650026"/>
    <w:rsid w:val="006506D6"/>
    <w:rsid w:val="00654C83"/>
    <w:rsid w:val="0067268E"/>
    <w:rsid w:val="00673D45"/>
    <w:rsid w:val="00682989"/>
    <w:rsid w:val="00683EA4"/>
    <w:rsid w:val="00692C2F"/>
    <w:rsid w:val="00695797"/>
    <w:rsid w:val="00696A5E"/>
    <w:rsid w:val="006B3B69"/>
    <w:rsid w:val="006C57D3"/>
    <w:rsid w:val="006C663D"/>
    <w:rsid w:val="006D6647"/>
    <w:rsid w:val="006D7E3D"/>
    <w:rsid w:val="006F35B5"/>
    <w:rsid w:val="006F3926"/>
    <w:rsid w:val="006F6034"/>
    <w:rsid w:val="00700C19"/>
    <w:rsid w:val="00705173"/>
    <w:rsid w:val="007205D0"/>
    <w:rsid w:val="00726338"/>
    <w:rsid w:val="00734613"/>
    <w:rsid w:val="00744F2C"/>
    <w:rsid w:val="00747F5A"/>
    <w:rsid w:val="00751910"/>
    <w:rsid w:val="00751E38"/>
    <w:rsid w:val="00751E60"/>
    <w:rsid w:val="007547B5"/>
    <w:rsid w:val="00757E4D"/>
    <w:rsid w:val="00770759"/>
    <w:rsid w:val="007939D3"/>
    <w:rsid w:val="0079532C"/>
    <w:rsid w:val="00795A9E"/>
    <w:rsid w:val="007A606D"/>
    <w:rsid w:val="007A6689"/>
    <w:rsid w:val="007C2214"/>
    <w:rsid w:val="00800CA0"/>
    <w:rsid w:val="00803AF8"/>
    <w:rsid w:val="00807B48"/>
    <w:rsid w:val="008135CA"/>
    <w:rsid w:val="0081584F"/>
    <w:rsid w:val="008162E0"/>
    <w:rsid w:val="008318F7"/>
    <w:rsid w:val="008449A7"/>
    <w:rsid w:val="00846ACA"/>
    <w:rsid w:val="00857651"/>
    <w:rsid w:val="00857D91"/>
    <w:rsid w:val="00863CD1"/>
    <w:rsid w:val="008646C1"/>
    <w:rsid w:val="0086590C"/>
    <w:rsid w:val="008703BF"/>
    <w:rsid w:val="0088235F"/>
    <w:rsid w:val="008925CE"/>
    <w:rsid w:val="008B3E9B"/>
    <w:rsid w:val="008C1912"/>
    <w:rsid w:val="008C2494"/>
    <w:rsid w:val="008C2923"/>
    <w:rsid w:val="008C4D41"/>
    <w:rsid w:val="008D4274"/>
    <w:rsid w:val="008D4B83"/>
    <w:rsid w:val="008E39C8"/>
    <w:rsid w:val="008E3A41"/>
    <w:rsid w:val="008F13C0"/>
    <w:rsid w:val="008F495E"/>
    <w:rsid w:val="00900E11"/>
    <w:rsid w:val="009400CD"/>
    <w:rsid w:val="00947D40"/>
    <w:rsid w:val="00961753"/>
    <w:rsid w:val="00962ED7"/>
    <w:rsid w:val="0097445C"/>
    <w:rsid w:val="00975D6D"/>
    <w:rsid w:val="00981F45"/>
    <w:rsid w:val="00994D12"/>
    <w:rsid w:val="009B128B"/>
    <w:rsid w:val="009B14CE"/>
    <w:rsid w:val="009B5E7F"/>
    <w:rsid w:val="009D77A4"/>
    <w:rsid w:val="009F3548"/>
    <w:rsid w:val="009F4C7F"/>
    <w:rsid w:val="009F5BAA"/>
    <w:rsid w:val="00A02E4A"/>
    <w:rsid w:val="00A075B8"/>
    <w:rsid w:val="00A14D42"/>
    <w:rsid w:val="00A16F07"/>
    <w:rsid w:val="00A34A63"/>
    <w:rsid w:val="00A35E57"/>
    <w:rsid w:val="00A42192"/>
    <w:rsid w:val="00A44901"/>
    <w:rsid w:val="00A4553C"/>
    <w:rsid w:val="00A519AB"/>
    <w:rsid w:val="00A6117D"/>
    <w:rsid w:val="00A62C7B"/>
    <w:rsid w:val="00A641D9"/>
    <w:rsid w:val="00A73378"/>
    <w:rsid w:val="00A7709A"/>
    <w:rsid w:val="00A84D2D"/>
    <w:rsid w:val="00A84DF8"/>
    <w:rsid w:val="00A9312D"/>
    <w:rsid w:val="00A942ED"/>
    <w:rsid w:val="00A949E5"/>
    <w:rsid w:val="00A9759B"/>
    <w:rsid w:val="00AB3E21"/>
    <w:rsid w:val="00AC6521"/>
    <w:rsid w:val="00AD7137"/>
    <w:rsid w:val="00AE1842"/>
    <w:rsid w:val="00AE362C"/>
    <w:rsid w:val="00AE3C7C"/>
    <w:rsid w:val="00AF1496"/>
    <w:rsid w:val="00B036FB"/>
    <w:rsid w:val="00B257E4"/>
    <w:rsid w:val="00B27767"/>
    <w:rsid w:val="00B27792"/>
    <w:rsid w:val="00B30CAD"/>
    <w:rsid w:val="00B31306"/>
    <w:rsid w:val="00B41CF0"/>
    <w:rsid w:val="00B42814"/>
    <w:rsid w:val="00B60262"/>
    <w:rsid w:val="00B611FB"/>
    <w:rsid w:val="00B750B6"/>
    <w:rsid w:val="00B83936"/>
    <w:rsid w:val="00B85753"/>
    <w:rsid w:val="00B901B1"/>
    <w:rsid w:val="00B930FE"/>
    <w:rsid w:val="00BA0A93"/>
    <w:rsid w:val="00BA5A91"/>
    <w:rsid w:val="00BB2161"/>
    <w:rsid w:val="00BC51F9"/>
    <w:rsid w:val="00BC627D"/>
    <w:rsid w:val="00BD671B"/>
    <w:rsid w:val="00BD6EB7"/>
    <w:rsid w:val="00BD7BE0"/>
    <w:rsid w:val="00BE18F5"/>
    <w:rsid w:val="00BE5175"/>
    <w:rsid w:val="00BE7D5E"/>
    <w:rsid w:val="00BF0E27"/>
    <w:rsid w:val="00C01C0F"/>
    <w:rsid w:val="00C20FD6"/>
    <w:rsid w:val="00C262C7"/>
    <w:rsid w:val="00C54D27"/>
    <w:rsid w:val="00C57777"/>
    <w:rsid w:val="00C67140"/>
    <w:rsid w:val="00C7173C"/>
    <w:rsid w:val="00C76EEB"/>
    <w:rsid w:val="00C81566"/>
    <w:rsid w:val="00C870B3"/>
    <w:rsid w:val="00CB3D75"/>
    <w:rsid w:val="00CB5A78"/>
    <w:rsid w:val="00D00491"/>
    <w:rsid w:val="00D01F5A"/>
    <w:rsid w:val="00D16A50"/>
    <w:rsid w:val="00D1716E"/>
    <w:rsid w:val="00D271C0"/>
    <w:rsid w:val="00D30521"/>
    <w:rsid w:val="00D3415C"/>
    <w:rsid w:val="00D37933"/>
    <w:rsid w:val="00D444AA"/>
    <w:rsid w:val="00D46AE4"/>
    <w:rsid w:val="00D522D6"/>
    <w:rsid w:val="00D6332A"/>
    <w:rsid w:val="00D641BC"/>
    <w:rsid w:val="00D64E05"/>
    <w:rsid w:val="00D70A54"/>
    <w:rsid w:val="00D80DC6"/>
    <w:rsid w:val="00D81347"/>
    <w:rsid w:val="00D92FD3"/>
    <w:rsid w:val="00D93DE5"/>
    <w:rsid w:val="00D941E2"/>
    <w:rsid w:val="00DA3B6E"/>
    <w:rsid w:val="00DB3F9C"/>
    <w:rsid w:val="00DB7581"/>
    <w:rsid w:val="00DC2EB5"/>
    <w:rsid w:val="00DC70C1"/>
    <w:rsid w:val="00DD3272"/>
    <w:rsid w:val="00DE14EE"/>
    <w:rsid w:val="00DE2282"/>
    <w:rsid w:val="00DF6FD9"/>
    <w:rsid w:val="00E17A8E"/>
    <w:rsid w:val="00E36826"/>
    <w:rsid w:val="00E6109A"/>
    <w:rsid w:val="00E65537"/>
    <w:rsid w:val="00E821B0"/>
    <w:rsid w:val="00E83C12"/>
    <w:rsid w:val="00E904C8"/>
    <w:rsid w:val="00E96112"/>
    <w:rsid w:val="00E96D7C"/>
    <w:rsid w:val="00EA1BBF"/>
    <w:rsid w:val="00EB29A9"/>
    <w:rsid w:val="00EB53FB"/>
    <w:rsid w:val="00EB77D2"/>
    <w:rsid w:val="00EC1DD5"/>
    <w:rsid w:val="00EC46CE"/>
    <w:rsid w:val="00EC7D30"/>
    <w:rsid w:val="00F0191D"/>
    <w:rsid w:val="00F04B44"/>
    <w:rsid w:val="00F05FEE"/>
    <w:rsid w:val="00F06B76"/>
    <w:rsid w:val="00F316C8"/>
    <w:rsid w:val="00F51A16"/>
    <w:rsid w:val="00F52376"/>
    <w:rsid w:val="00F55029"/>
    <w:rsid w:val="00F570E6"/>
    <w:rsid w:val="00F571A9"/>
    <w:rsid w:val="00F632DE"/>
    <w:rsid w:val="00F735E4"/>
    <w:rsid w:val="00F763A6"/>
    <w:rsid w:val="00F95504"/>
    <w:rsid w:val="00F9612E"/>
    <w:rsid w:val="00FA5BAE"/>
    <w:rsid w:val="00FB2746"/>
    <w:rsid w:val="00FB5C8B"/>
    <w:rsid w:val="00FB7834"/>
    <w:rsid w:val="00FC1118"/>
    <w:rsid w:val="00FD05E1"/>
    <w:rsid w:val="00FD1612"/>
    <w:rsid w:val="00FD4B6A"/>
    <w:rsid w:val="00FF03A8"/>
    <w:rsid w:val="00FF63EA"/>
    <w:rsid w:val="02376103"/>
    <w:rsid w:val="04073160"/>
    <w:rsid w:val="05116742"/>
    <w:rsid w:val="056E9786"/>
    <w:rsid w:val="075ACE52"/>
    <w:rsid w:val="080908D8"/>
    <w:rsid w:val="0A1567F4"/>
    <w:rsid w:val="0BB518CE"/>
    <w:rsid w:val="1070EE0E"/>
    <w:rsid w:val="132A598D"/>
    <w:rsid w:val="1392494C"/>
    <w:rsid w:val="140DFD7E"/>
    <w:rsid w:val="15627BE8"/>
    <w:rsid w:val="1771F2D0"/>
    <w:rsid w:val="187EF3AA"/>
    <w:rsid w:val="191A8643"/>
    <w:rsid w:val="1ED59382"/>
    <w:rsid w:val="1FDF0ACC"/>
    <w:rsid w:val="210836C8"/>
    <w:rsid w:val="2233C46C"/>
    <w:rsid w:val="228892E5"/>
    <w:rsid w:val="22A56C3A"/>
    <w:rsid w:val="23D8E200"/>
    <w:rsid w:val="26EE1C3C"/>
    <w:rsid w:val="27895483"/>
    <w:rsid w:val="297C4387"/>
    <w:rsid w:val="29BE9A7E"/>
    <w:rsid w:val="29EE8DDA"/>
    <w:rsid w:val="2E53F627"/>
    <w:rsid w:val="2F7E68A6"/>
    <w:rsid w:val="2FD4A784"/>
    <w:rsid w:val="317C4AF3"/>
    <w:rsid w:val="31EE554F"/>
    <w:rsid w:val="32BE198E"/>
    <w:rsid w:val="3316625D"/>
    <w:rsid w:val="35119F75"/>
    <w:rsid w:val="3805A139"/>
    <w:rsid w:val="39091579"/>
    <w:rsid w:val="39ABAB9D"/>
    <w:rsid w:val="3B4F9A40"/>
    <w:rsid w:val="3B72DD9D"/>
    <w:rsid w:val="3BA8ADB5"/>
    <w:rsid w:val="3CDECA2A"/>
    <w:rsid w:val="3DDEBB90"/>
    <w:rsid w:val="3ECE9F2A"/>
    <w:rsid w:val="3F6FFBF2"/>
    <w:rsid w:val="3FB5707B"/>
    <w:rsid w:val="40DA0E42"/>
    <w:rsid w:val="40E6174C"/>
    <w:rsid w:val="41B98843"/>
    <w:rsid w:val="42059A0C"/>
    <w:rsid w:val="42D73FBD"/>
    <w:rsid w:val="4329CA92"/>
    <w:rsid w:val="43572F22"/>
    <w:rsid w:val="4404808A"/>
    <w:rsid w:val="45A07BAF"/>
    <w:rsid w:val="46967218"/>
    <w:rsid w:val="49536E0A"/>
    <w:rsid w:val="4ACAB691"/>
    <w:rsid w:val="4D32D50F"/>
    <w:rsid w:val="4E1DE9D2"/>
    <w:rsid w:val="4EA4D205"/>
    <w:rsid w:val="507449B7"/>
    <w:rsid w:val="50B55A44"/>
    <w:rsid w:val="51C8C8F2"/>
    <w:rsid w:val="52F54854"/>
    <w:rsid w:val="564F8FE6"/>
    <w:rsid w:val="5690B7D2"/>
    <w:rsid w:val="56DE34AB"/>
    <w:rsid w:val="589171C8"/>
    <w:rsid w:val="589B1C61"/>
    <w:rsid w:val="5A4FF01D"/>
    <w:rsid w:val="5B974BCF"/>
    <w:rsid w:val="5E3DBA2E"/>
    <w:rsid w:val="5F27EEEC"/>
    <w:rsid w:val="5FD33A31"/>
    <w:rsid w:val="5FF3EEB8"/>
    <w:rsid w:val="6000530B"/>
    <w:rsid w:val="6410E564"/>
    <w:rsid w:val="656E1754"/>
    <w:rsid w:val="66AFDF24"/>
    <w:rsid w:val="6ECB7B91"/>
    <w:rsid w:val="6F5C2DB3"/>
    <w:rsid w:val="70672CF0"/>
    <w:rsid w:val="70AC1249"/>
    <w:rsid w:val="70EE22F9"/>
    <w:rsid w:val="74EF7481"/>
    <w:rsid w:val="753E27FD"/>
    <w:rsid w:val="7679C845"/>
    <w:rsid w:val="7B2DCE81"/>
    <w:rsid w:val="7C1899BA"/>
    <w:rsid w:val="7F3AF9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D65D5775-8849-4D57-891B-4982B9D40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E1CA0"/>
    <w:rPr>
      <w:sz w:val="20"/>
      <w:szCs w:val="20"/>
    </w:rPr>
  </w:style>
  <w:style w:type="character" w:customStyle="1" w:styleId="FootnoteTextChar">
    <w:name w:val="Footnote Text Char"/>
    <w:link w:val="FootnoteText"/>
    <w:uiPriority w:val="99"/>
    <w:semiHidden/>
    <w:rsid w:val="003E1CA0"/>
    <w:rPr>
      <w:lang w:eastAsia="en-US"/>
    </w:rPr>
  </w:style>
  <w:style w:type="character" w:styleId="FootnoteReference">
    <w:name w:val="footnote reference"/>
    <w:uiPriority w:val="99"/>
    <w:semiHidden/>
    <w:unhideWhenUsed/>
    <w:rsid w:val="003E1CA0"/>
    <w:rPr>
      <w:vertAlign w:val="superscript"/>
    </w:rPr>
  </w:style>
  <w:style w:type="character" w:styleId="Hyperlink">
    <w:name w:val="Hyperlink"/>
    <w:uiPriority w:val="99"/>
    <w:unhideWhenUsed/>
    <w:rsid w:val="003E1CA0"/>
    <w:rPr>
      <w:color w:val="0563C1"/>
      <w:u w:val="single"/>
    </w:rPr>
  </w:style>
  <w:style w:type="character" w:styleId="UnresolvedMention">
    <w:name w:val="Unresolved Mention"/>
    <w:uiPriority w:val="99"/>
    <w:semiHidden/>
    <w:unhideWhenUsed/>
    <w:rsid w:val="003E1CA0"/>
    <w:rPr>
      <w:color w:val="605E5C"/>
      <w:shd w:val="clear" w:color="auto" w:fill="E1DFDD"/>
    </w:rPr>
  </w:style>
  <w:style w:type="paragraph" w:styleId="Header">
    <w:name w:val="header"/>
    <w:basedOn w:val="Normal"/>
    <w:link w:val="HeaderChar"/>
    <w:uiPriority w:val="99"/>
    <w:unhideWhenUsed/>
    <w:rsid w:val="00303C0E"/>
    <w:pPr>
      <w:tabs>
        <w:tab w:val="center" w:pos="4513"/>
        <w:tab w:val="right" w:pos="9026"/>
      </w:tabs>
    </w:pPr>
  </w:style>
  <w:style w:type="character" w:customStyle="1" w:styleId="HeaderChar">
    <w:name w:val="Header Char"/>
    <w:link w:val="Header"/>
    <w:uiPriority w:val="99"/>
    <w:rsid w:val="00303C0E"/>
    <w:rPr>
      <w:sz w:val="22"/>
      <w:szCs w:val="22"/>
      <w:lang w:eastAsia="en-US"/>
    </w:rPr>
  </w:style>
  <w:style w:type="paragraph" w:styleId="Footer">
    <w:name w:val="footer"/>
    <w:basedOn w:val="Normal"/>
    <w:link w:val="FooterChar"/>
    <w:uiPriority w:val="99"/>
    <w:unhideWhenUsed/>
    <w:rsid w:val="00303C0E"/>
    <w:pPr>
      <w:tabs>
        <w:tab w:val="center" w:pos="4513"/>
        <w:tab w:val="right" w:pos="9026"/>
      </w:tabs>
    </w:pPr>
  </w:style>
  <w:style w:type="character" w:customStyle="1" w:styleId="FooterChar">
    <w:name w:val="Footer Char"/>
    <w:link w:val="Footer"/>
    <w:uiPriority w:val="99"/>
    <w:rsid w:val="00303C0E"/>
    <w:rPr>
      <w:sz w:val="22"/>
      <w:szCs w:val="22"/>
      <w:lang w:eastAsia="en-US"/>
    </w:rPr>
  </w:style>
  <w:style w:type="paragraph" w:styleId="Revision">
    <w:name w:val="Revision"/>
    <w:hidden/>
    <w:uiPriority w:val="99"/>
    <w:semiHidden/>
    <w:rsid w:val="00415B14"/>
    <w:rPr>
      <w:sz w:val="22"/>
      <w:szCs w:val="22"/>
      <w:lang w:val="en-GB" w:eastAsia="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lang w:val="en-GB" w:eastAsia="en-US"/>
    </w:r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04B44"/>
    <w:rPr>
      <w:b/>
      <w:bCs/>
    </w:rPr>
  </w:style>
  <w:style w:type="character" w:customStyle="1" w:styleId="CommentSubjectChar">
    <w:name w:val="Comment Subject Char"/>
    <w:link w:val="CommentSubject"/>
    <w:uiPriority w:val="99"/>
    <w:semiHidden/>
    <w:rsid w:val="00F04B44"/>
    <w:rPr>
      <w:b/>
      <w:bCs/>
      <w:lang w:val="en-GB" w:eastAsia="en-US"/>
    </w:rPr>
  </w:style>
  <w:style w:type="paragraph" w:customStyle="1" w:styleId="Footnote">
    <w:name w:val="Footnote"/>
    <w:basedOn w:val="FootnoteText"/>
    <w:link w:val="FootnoteChar"/>
    <w:qFormat/>
    <w:rsid w:val="00EC46CE"/>
    <w:pPr>
      <w:spacing w:after="0" w:line="240" w:lineRule="auto"/>
      <w:ind w:hanging="284"/>
      <w:jc w:val="both"/>
    </w:pPr>
    <w:rPr>
      <w:rFonts w:ascii="Times New Roman" w:hAnsi="Times New Roman"/>
    </w:rPr>
  </w:style>
  <w:style w:type="character" w:customStyle="1" w:styleId="FootnoteChar">
    <w:name w:val="Footnote Char"/>
    <w:basedOn w:val="FootnoteTextChar"/>
    <w:link w:val="Footnote"/>
    <w:rsid w:val="00EC46CE"/>
    <w:rPr>
      <w:rFonts w:ascii="Times New Roman" w:hAnsi="Times New Roman"/>
      <w:lang w:val="en-GB" w:eastAsia="en-US"/>
    </w:rPr>
  </w:style>
  <w:style w:type="character" w:styleId="FollowedHyperlink">
    <w:name w:val="FollowedHyperlink"/>
    <w:basedOn w:val="DefaultParagraphFont"/>
    <w:uiPriority w:val="99"/>
    <w:semiHidden/>
    <w:unhideWhenUsed/>
    <w:rsid w:val="00582B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323201">
      <w:bodyDiv w:val="1"/>
      <w:marLeft w:val="0"/>
      <w:marRight w:val="0"/>
      <w:marTop w:val="0"/>
      <w:marBottom w:val="0"/>
      <w:divBdr>
        <w:top w:val="none" w:sz="0" w:space="0" w:color="auto"/>
        <w:left w:val="none" w:sz="0" w:space="0" w:color="auto"/>
        <w:bottom w:val="none" w:sz="0" w:space="0" w:color="auto"/>
        <w:right w:val="none" w:sz="0" w:space="0" w:color="auto"/>
      </w:divBdr>
      <w:divsChild>
        <w:div w:id="2016683629">
          <w:marLeft w:val="0"/>
          <w:marRight w:val="0"/>
          <w:marTop w:val="0"/>
          <w:marBottom w:val="0"/>
          <w:divBdr>
            <w:top w:val="none" w:sz="0" w:space="0" w:color="auto"/>
            <w:left w:val="none" w:sz="0" w:space="0" w:color="auto"/>
            <w:bottom w:val="none" w:sz="0" w:space="0" w:color="auto"/>
            <w:right w:val="none" w:sz="0" w:space="0" w:color="auto"/>
          </w:divBdr>
          <w:divsChild>
            <w:div w:id="80971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90835">
      <w:bodyDiv w:val="1"/>
      <w:marLeft w:val="0"/>
      <w:marRight w:val="0"/>
      <w:marTop w:val="0"/>
      <w:marBottom w:val="0"/>
      <w:divBdr>
        <w:top w:val="none" w:sz="0" w:space="0" w:color="auto"/>
        <w:left w:val="none" w:sz="0" w:space="0" w:color="auto"/>
        <w:bottom w:val="none" w:sz="0" w:space="0" w:color="auto"/>
        <w:right w:val="none" w:sz="0" w:space="0" w:color="auto"/>
      </w:divBdr>
      <w:divsChild>
        <w:div w:id="1101418361">
          <w:marLeft w:val="0"/>
          <w:marRight w:val="0"/>
          <w:marTop w:val="0"/>
          <w:marBottom w:val="0"/>
          <w:divBdr>
            <w:top w:val="none" w:sz="0" w:space="0" w:color="auto"/>
            <w:left w:val="none" w:sz="0" w:space="0" w:color="auto"/>
            <w:bottom w:val="none" w:sz="0" w:space="0" w:color="auto"/>
            <w:right w:val="none" w:sz="0" w:space="0" w:color="auto"/>
          </w:divBdr>
          <w:divsChild>
            <w:div w:id="119095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3A12016E168" TargetMode="External"/><Relationship Id="rId2" Type="http://schemas.openxmlformats.org/officeDocument/2006/relationships/hyperlink" Target="https://www.enisa.europa.eu/publications/nis-investments-2024" TargetMode="External"/><Relationship Id="rId1" Type="http://schemas.openxmlformats.org/officeDocument/2006/relationships/hyperlink" Target="https://ec.europa.eu/info/funding-tenders/opportunities/portal/screen/opportunities/topic-details/DIGITAL-ECCC-2025-DEPLOY-CYBER-08-CYBERHEALTH?isExactMatch=true&amp;status=31094501,31094502,31094503&amp;programmePeriod=2021%20-%202027&amp;frameworkProgramme=43152860&amp;callIdentifier=DIGITAL-ECCC-2025-DEPLOY-CYBER-08&amp;order=DESC&amp;pageNumber=1&amp;pageSize=50&amp;sortBy=startDate" TargetMode="External"/><Relationship Id="rId5" Type="http://schemas.openxmlformats.org/officeDocument/2006/relationships/hyperlink" Target="https://eur-lex.europa.eu/eli/reg/2025/327/oj/eng" TargetMode="External"/><Relationship Id="rId4" Type="http://schemas.openxmlformats.org/officeDocument/2006/relationships/hyperlink" Target="http://data.europa.eu/eli/reg/2025/37/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342D2F5EDC8947AB1CB48BCF7FF082" ma:contentTypeVersion="4" ma:contentTypeDescription="Create a new document." ma:contentTypeScope="" ma:versionID="20740855274a9c5a0844f8879fc7f946">
  <xsd:schema xmlns:xsd="http://www.w3.org/2001/XMLSchema" xmlns:xs="http://www.w3.org/2001/XMLSchema" xmlns:p="http://schemas.microsoft.com/office/2006/metadata/properties" xmlns:ns2="bf46ec6c-a286-4146-8ec5-63d0edea22e8" targetNamespace="http://schemas.microsoft.com/office/2006/metadata/properties" ma:root="true" ma:fieldsID="d6e2ab48e72c4939d6ae01a773e4c24a" ns2:_="">
    <xsd:import namespace="bf46ec6c-a286-4146-8ec5-63d0edea22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6ec6c-a286-4146-8ec5-63d0edea22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5948FA-71DC-437E-96F5-1900284FEE3E}">
  <ds:schemaRefs>
    <ds:schemaRef ds:uri="http://schemas.openxmlformats.org/officeDocument/2006/bibliography"/>
  </ds:schemaRefs>
</ds:datastoreItem>
</file>

<file path=customXml/itemProps2.xml><?xml version="1.0" encoding="utf-8"?>
<ds:datastoreItem xmlns:ds="http://schemas.openxmlformats.org/officeDocument/2006/customXml" ds:itemID="{45D2FCC7-344D-4875-950E-BF051BA8D5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742BB0-EC85-4BB9-83C8-FB588AF77449}">
  <ds:schemaRefs>
    <ds:schemaRef ds:uri="http://schemas.microsoft.com/sharepoint/v3/contenttype/forms"/>
  </ds:schemaRefs>
</ds:datastoreItem>
</file>

<file path=customXml/itemProps4.xml><?xml version="1.0" encoding="utf-8"?>
<ds:datastoreItem xmlns:ds="http://schemas.openxmlformats.org/officeDocument/2006/customXml" ds:itemID="{F089EF1F-4D31-41BE-8CC8-2AA972C40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46ec6c-a286-4146-8ec5-63d0edea22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1067</Words>
  <Characters>6382</Characters>
  <Application>Microsoft Office Word</Application>
  <DocSecurity>0</DocSecurity>
  <Lines>89</Lines>
  <Paragraphs>17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ROSSI Simona (SG-EXT)</cp:lastModifiedBy>
  <cp:revision>2</cp:revision>
  <cp:lastPrinted>2013-02-28T12:02:00Z</cp:lastPrinted>
  <dcterms:created xsi:type="dcterms:W3CDTF">2025-12-17T13:53:00Z</dcterms:created>
  <dcterms:modified xsi:type="dcterms:W3CDTF">2025-12-17T13:53:00Z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0x01010060342D2F5EDC8947AB1CB48BCF7FF082</vt:lpwstr>
  </property>
</Properties>
</file>