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1F071" w14:textId="77777777" w:rsidR="00077C4F" w:rsidRPr="004E0606" w:rsidRDefault="00077C4F" w:rsidP="004E0606">
      <w:pPr>
        <w:spacing w:after="0" w:line="240" w:lineRule="auto"/>
        <w:ind w:left="-567"/>
        <w:rPr>
          <w:rFonts w:ascii="Times New Roman" w:hAnsi="Times New Roman"/>
          <w:sz w:val="16"/>
          <w:szCs w:val="16"/>
        </w:rPr>
      </w:pPr>
    </w:p>
    <w:tbl>
      <w:tblPr>
        <w:tblW w:w="1043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431"/>
      </w:tblGrid>
      <w:tr w:rsidR="001C4138" w:rsidRPr="004F6117" w14:paraId="30B76F57" w14:textId="77777777" w:rsidTr="00C84225">
        <w:trPr>
          <w:jc w:val="center"/>
        </w:trPr>
        <w:tc>
          <w:tcPr>
            <w:tcW w:w="10431" w:type="dxa"/>
          </w:tcPr>
          <w:p w14:paraId="3A99935F" w14:textId="3F58DBE6" w:rsidR="001C4138" w:rsidRPr="004F6117" w:rsidRDefault="00E068B0" w:rsidP="00C84225">
            <w:pPr>
              <w:widowControl w:val="0"/>
              <w:spacing w:before="120" w:after="120"/>
              <w:rPr>
                <w:rFonts w:ascii="Times New Roman" w:hAnsi="Times New Roman"/>
                <w:b/>
                <w:sz w:val="24"/>
                <w:szCs w:val="24"/>
              </w:rPr>
            </w:pPr>
            <w:r w:rsidRPr="00E068B0">
              <w:rPr>
                <w:rFonts w:ascii="Times New Roman" w:hAnsi="Times New Roman"/>
                <w:b/>
                <w:sz w:val="24"/>
                <w:szCs w:val="24"/>
              </w:rPr>
              <w:t>Regional Emergency Support - RESTORE</w:t>
            </w:r>
            <w:r w:rsidR="001C4138" w:rsidRPr="004F6117">
              <w:rPr>
                <w:rFonts w:ascii="Times New Roman" w:hAnsi="Times New Roman"/>
                <w:b/>
                <w:sz w:val="24"/>
                <w:szCs w:val="24"/>
              </w:rPr>
              <w:br/>
            </w:r>
            <w:proofErr w:type="gramStart"/>
            <w:r w:rsidRPr="00E068B0">
              <w:rPr>
                <w:rFonts w:ascii="Times New Roman" w:hAnsi="Times New Roman"/>
                <w:b/>
                <w:sz w:val="24"/>
                <w:szCs w:val="24"/>
              </w:rPr>
              <w:t>COM(</w:t>
            </w:r>
            <w:proofErr w:type="gramEnd"/>
            <w:r w:rsidRPr="00E068B0">
              <w:rPr>
                <w:rFonts w:ascii="Times New Roman" w:hAnsi="Times New Roman"/>
                <w:b/>
                <w:sz w:val="24"/>
                <w:szCs w:val="24"/>
              </w:rPr>
              <w:t>2024) 496 final</w:t>
            </w:r>
            <w:r w:rsidR="001C4138" w:rsidRPr="004F6117">
              <w:rPr>
                <w:rFonts w:ascii="Times New Roman" w:hAnsi="Times New Roman"/>
                <w:b/>
                <w:sz w:val="24"/>
                <w:szCs w:val="24"/>
              </w:rPr>
              <w:br/>
            </w:r>
            <w:r w:rsidRPr="00E068B0">
              <w:rPr>
                <w:rFonts w:ascii="Times New Roman" w:hAnsi="Times New Roman"/>
                <w:b/>
                <w:sz w:val="24"/>
                <w:szCs w:val="24"/>
              </w:rPr>
              <w:t>EESC-2024-03939</w:t>
            </w:r>
            <w:r w:rsidR="00CF4F39">
              <w:rPr>
                <w:rFonts w:ascii="Times New Roman" w:hAnsi="Times New Roman"/>
                <w:b/>
                <w:sz w:val="24"/>
                <w:szCs w:val="24"/>
              </w:rPr>
              <w:t xml:space="preserve"> </w:t>
            </w:r>
            <w:r w:rsidR="001C4138" w:rsidRPr="004F6117">
              <w:rPr>
                <w:rFonts w:ascii="Times New Roman" w:hAnsi="Times New Roman"/>
                <w:b/>
                <w:sz w:val="24"/>
                <w:szCs w:val="24"/>
              </w:rPr>
              <w:t xml:space="preserve">– </w:t>
            </w:r>
            <w:r w:rsidRPr="00E068B0">
              <w:rPr>
                <w:rFonts w:ascii="Times New Roman" w:hAnsi="Times New Roman"/>
                <w:b/>
                <w:sz w:val="24"/>
                <w:szCs w:val="24"/>
              </w:rPr>
              <w:t>ECO/658</w:t>
            </w:r>
            <w:r w:rsidR="001C4138" w:rsidRPr="004F6117">
              <w:rPr>
                <w:rFonts w:ascii="Times New Roman" w:hAnsi="Times New Roman"/>
                <w:b/>
                <w:sz w:val="24"/>
                <w:szCs w:val="24"/>
              </w:rPr>
              <w:br/>
            </w:r>
            <w:r w:rsidR="00E92A24" w:rsidRPr="00693B9C">
              <w:rPr>
                <w:rFonts w:ascii="Times New Roman" w:hAnsi="Times New Roman"/>
                <w:b/>
                <w:sz w:val="24"/>
                <w:szCs w:val="24"/>
              </w:rPr>
              <w:t>592</w:t>
            </w:r>
            <w:r w:rsidR="00E92A24">
              <w:rPr>
                <w:rFonts w:ascii="Times New Roman" w:hAnsi="Times New Roman"/>
                <w:b/>
                <w:sz w:val="24"/>
                <w:szCs w:val="24"/>
                <w:vertAlign w:val="superscript"/>
                <w:lang w:val="en-IE"/>
              </w:rPr>
              <w:t>nd</w:t>
            </w:r>
            <w:r w:rsidR="001C4138" w:rsidRPr="004F6117">
              <w:rPr>
                <w:rFonts w:ascii="Times New Roman" w:hAnsi="Times New Roman"/>
                <w:b/>
                <w:sz w:val="24"/>
                <w:szCs w:val="24"/>
              </w:rPr>
              <w:t xml:space="preserve"> Plenary Session – </w:t>
            </w:r>
            <w:r>
              <w:rPr>
                <w:rFonts w:ascii="Times New Roman" w:hAnsi="Times New Roman"/>
                <w:b/>
                <w:sz w:val="24"/>
                <w:szCs w:val="24"/>
              </w:rPr>
              <w:t>December 2024</w:t>
            </w:r>
            <w:r w:rsidR="001C4138" w:rsidRPr="004F6117">
              <w:rPr>
                <w:rFonts w:ascii="Times New Roman" w:hAnsi="Times New Roman"/>
                <w:b/>
                <w:sz w:val="24"/>
                <w:szCs w:val="24"/>
              </w:rPr>
              <w:br/>
              <w:t>Rapporteur:</w:t>
            </w:r>
            <w:r>
              <w:t xml:space="preserve"> </w:t>
            </w:r>
            <w:r w:rsidRPr="00E068B0">
              <w:rPr>
                <w:rFonts w:ascii="Times New Roman" w:hAnsi="Times New Roman"/>
                <w:b/>
                <w:sz w:val="24"/>
                <w:szCs w:val="24"/>
              </w:rPr>
              <w:t>Ioannis VARDAKASTANIS</w:t>
            </w:r>
            <w:r w:rsidR="001C4138" w:rsidRPr="004F6117">
              <w:rPr>
                <w:rFonts w:ascii="Times New Roman" w:hAnsi="Times New Roman"/>
                <w:b/>
                <w:sz w:val="24"/>
                <w:szCs w:val="24"/>
              </w:rPr>
              <w:t xml:space="preserve"> </w:t>
            </w:r>
            <w:r w:rsidR="004E0606" w:rsidRPr="00693B9C">
              <w:rPr>
                <w:rFonts w:ascii="Times New Roman" w:hAnsi="Times New Roman"/>
                <w:b/>
                <w:sz w:val="24"/>
                <w:szCs w:val="24"/>
              </w:rPr>
              <w:t>(EL-III)</w:t>
            </w:r>
            <w:r w:rsidR="001C4138" w:rsidRPr="004F6117">
              <w:rPr>
                <w:rFonts w:ascii="Times New Roman" w:hAnsi="Times New Roman"/>
                <w:b/>
                <w:sz w:val="24"/>
                <w:szCs w:val="24"/>
              </w:rPr>
              <w:br/>
              <w:t xml:space="preserve">DG </w:t>
            </w:r>
            <w:r>
              <w:rPr>
                <w:rFonts w:ascii="Times New Roman" w:hAnsi="Times New Roman"/>
                <w:b/>
                <w:sz w:val="24"/>
                <w:szCs w:val="24"/>
              </w:rPr>
              <w:t>REGIO</w:t>
            </w:r>
            <w:r w:rsidR="001C4138" w:rsidRPr="004F6117">
              <w:rPr>
                <w:rFonts w:ascii="Times New Roman" w:hAnsi="Times New Roman"/>
                <w:b/>
                <w:sz w:val="24"/>
                <w:szCs w:val="24"/>
              </w:rPr>
              <w:t xml:space="preserve"> – </w:t>
            </w:r>
            <w:r>
              <w:rPr>
                <w:rFonts w:ascii="Times New Roman" w:hAnsi="Times New Roman"/>
                <w:b/>
                <w:sz w:val="24"/>
                <w:szCs w:val="24"/>
              </w:rPr>
              <w:t>Executive Vice-President FITTO</w:t>
            </w:r>
          </w:p>
        </w:tc>
      </w:tr>
      <w:tr w:rsidR="004F6117" w:rsidRPr="004F6117" w14:paraId="041809D9" w14:textId="77777777" w:rsidTr="00C84225">
        <w:trPr>
          <w:jc w:val="center"/>
        </w:trPr>
        <w:tc>
          <w:tcPr>
            <w:tcW w:w="10431" w:type="dxa"/>
          </w:tcPr>
          <w:p w14:paraId="52C253DC" w14:textId="764FB5D2" w:rsidR="004F6117" w:rsidRPr="004F6117" w:rsidRDefault="0049246C" w:rsidP="0049246C">
            <w:pPr>
              <w:spacing w:before="120" w:after="120"/>
              <w:jc w:val="center"/>
              <w:rPr>
                <w:rFonts w:ascii="Times New Roman" w:hAnsi="Times New Roman"/>
                <w:b/>
                <w:sz w:val="24"/>
                <w:szCs w:val="24"/>
                <w:highlight w:val="yellow"/>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4E0606">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4F6117" w:rsidRPr="004F6117" w14:paraId="461CAB07" w14:textId="77777777" w:rsidTr="00C84225">
        <w:trPr>
          <w:jc w:val="center"/>
        </w:trPr>
        <w:tc>
          <w:tcPr>
            <w:tcW w:w="10431" w:type="dxa"/>
          </w:tcPr>
          <w:p w14:paraId="51A5B6F2" w14:textId="4482DC7A" w:rsidR="00887EA9" w:rsidRDefault="000B76F0" w:rsidP="00C84225">
            <w:pPr>
              <w:widowControl w:val="0"/>
              <w:tabs>
                <w:tab w:val="num" w:pos="720"/>
              </w:tabs>
              <w:spacing w:before="120" w:after="120"/>
              <w:ind w:right="113"/>
              <w:jc w:val="both"/>
              <w:rPr>
                <w:rFonts w:ascii="Times New Roman" w:hAnsi="Times New Roman"/>
                <w:sz w:val="24"/>
                <w:szCs w:val="24"/>
              </w:rPr>
            </w:pPr>
            <w:r>
              <w:rPr>
                <w:rFonts w:ascii="Times New Roman" w:hAnsi="Times New Roman"/>
                <w:sz w:val="24"/>
                <w:szCs w:val="24"/>
              </w:rPr>
              <w:t>The Commission welcomes the opinion of the Committee</w:t>
            </w:r>
            <w:r w:rsidR="007C690E">
              <w:rPr>
                <w:rFonts w:ascii="Times New Roman" w:hAnsi="Times New Roman"/>
                <w:sz w:val="24"/>
                <w:szCs w:val="24"/>
              </w:rPr>
              <w:t xml:space="preserve"> </w:t>
            </w:r>
            <w:r w:rsidR="005B6CF7">
              <w:rPr>
                <w:rFonts w:ascii="Times New Roman" w:hAnsi="Times New Roman"/>
                <w:sz w:val="24"/>
                <w:szCs w:val="24"/>
              </w:rPr>
              <w:t>and the broad support it expresses for the flexibilities proposed in response to natural disasters i</w:t>
            </w:r>
            <w:r>
              <w:rPr>
                <w:rFonts w:ascii="Times New Roman" w:hAnsi="Times New Roman"/>
                <w:sz w:val="24"/>
                <w:szCs w:val="24"/>
              </w:rPr>
              <w:t xml:space="preserve">n the legislative proposal </w:t>
            </w:r>
            <w:r w:rsidR="005B6CF7">
              <w:rPr>
                <w:rFonts w:ascii="Times New Roman" w:hAnsi="Times New Roman"/>
                <w:sz w:val="24"/>
                <w:szCs w:val="24"/>
              </w:rPr>
              <w:t xml:space="preserve">RESTORE </w:t>
            </w:r>
            <w:r w:rsidR="00CF4F39">
              <w:rPr>
                <w:rFonts w:ascii="Times New Roman" w:hAnsi="Times New Roman"/>
                <w:sz w:val="24"/>
                <w:szCs w:val="24"/>
              </w:rPr>
              <w:t>–</w:t>
            </w:r>
            <w:r w:rsidR="005B6CF7">
              <w:rPr>
                <w:rFonts w:ascii="Times New Roman" w:hAnsi="Times New Roman"/>
                <w:sz w:val="24"/>
                <w:szCs w:val="24"/>
              </w:rPr>
              <w:t xml:space="preserve"> </w:t>
            </w:r>
            <w:r>
              <w:rPr>
                <w:rFonts w:ascii="Times New Roman" w:hAnsi="Times New Roman"/>
                <w:sz w:val="24"/>
                <w:szCs w:val="24"/>
              </w:rPr>
              <w:t>Regional Emergency Support to Reconstruction –</w:t>
            </w:r>
            <w:r w:rsidR="006366A6">
              <w:rPr>
                <w:rFonts w:ascii="Times New Roman" w:hAnsi="Times New Roman"/>
                <w:sz w:val="24"/>
                <w:szCs w:val="24"/>
              </w:rPr>
              <w:t xml:space="preserve">, </w:t>
            </w:r>
            <w:r w:rsidR="00345A47">
              <w:rPr>
                <w:rFonts w:ascii="Times New Roman" w:hAnsi="Times New Roman"/>
                <w:sz w:val="24"/>
                <w:szCs w:val="24"/>
              </w:rPr>
              <w:t xml:space="preserve">amending </w:t>
            </w:r>
            <w:r w:rsidR="005B6CF7" w:rsidRPr="006366A6">
              <w:rPr>
                <w:rFonts w:ascii="Times New Roman" w:hAnsi="Times New Roman"/>
                <w:sz w:val="24"/>
                <w:szCs w:val="24"/>
              </w:rPr>
              <w:t>Regulation</w:t>
            </w:r>
            <w:r w:rsidR="005B6CF7">
              <w:rPr>
                <w:rFonts w:ascii="Times New Roman" w:hAnsi="Times New Roman"/>
                <w:sz w:val="24"/>
                <w:szCs w:val="24"/>
              </w:rPr>
              <w:t xml:space="preserve"> on the </w:t>
            </w:r>
            <w:r w:rsidR="005B6CF7" w:rsidRPr="006366A6">
              <w:rPr>
                <w:rFonts w:ascii="Times New Roman" w:hAnsi="Times New Roman"/>
                <w:sz w:val="24"/>
                <w:szCs w:val="24"/>
              </w:rPr>
              <w:t>E</w:t>
            </w:r>
            <w:r w:rsidR="005B6CF7">
              <w:rPr>
                <w:rFonts w:ascii="Times New Roman" w:hAnsi="Times New Roman"/>
                <w:sz w:val="24"/>
                <w:szCs w:val="24"/>
              </w:rPr>
              <w:t>uropean Social Fund Plus (ESF+)</w:t>
            </w:r>
            <w:r w:rsidR="00CF4F39">
              <w:rPr>
                <w:rStyle w:val="FootnoteReference"/>
                <w:rFonts w:ascii="Times New Roman" w:hAnsi="Times New Roman"/>
                <w:sz w:val="24"/>
                <w:szCs w:val="24"/>
              </w:rPr>
              <w:footnoteReference w:id="1"/>
            </w:r>
            <w:r w:rsidR="005B6CF7">
              <w:rPr>
                <w:rFonts w:ascii="Times New Roman" w:hAnsi="Times New Roman"/>
                <w:sz w:val="24"/>
                <w:szCs w:val="24"/>
              </w:rPr>
              <w:t>,</w:t>
            </w:r>
            <w:r w:rsidR="005B6CF7" w:rsidRPr="006366A6">
              <w:rPr>
                <w:rFonts w:ascii="Times New Roman" w:hAnsi="Times New Roman"/>
                <w:sz w:val="24"/>
                <w:szCs w:val="24"/>
              </w:rPr>
              <w:t xml:space="preserve"> </w:t>
            </w:r>
            <w:r w:rsidR="005B6CF7">
              <w:rPr>
                <w:rFonts w:ascii="Times New Roman" w:hAnsi="Times New Roman"/>
                <w:sz w:val="24"/>
                <w:szCs w:val="24"/>
              </w:rPr>
              <w:t>and</w:t>
            </w:r>
            <w:r w:rsidR="005B6CF7" w:rsidRPr="006366A6">
              <w:rPr>
                <w:rFonts w:ascii="Times New Roman" w:hAnsi="Times New Roman"/>
                <w:sz w:val="24"/>
                <w:szCs w:val="24"/>
              </w:rPr>
              <w:t xml:space="preserve"> </w:t>
            </w:r>
            <w:r w:rsidR="005B6CF7">
              <w:rPr>
                <w:rFonts w:ascii="Times New Roman" w:hAnsi="Times New Roman"/>
                <w:sz w:val="24"/>
                <w:szCs w:val="24"/>
              </w:rPr>
              <w:t xml:space="preserve">Regulation on </w:t>
            </w:r>
            <w:r w:rsidR="006366A6" w:rsidRPr="006366A6">
              <w:rPr>
                <w:rFonts w:ascii="Times New Roman" w:hAnsi="Times New Roman"/>
                <w:sz w:val="24"/>
                <w:szCs w:val="24"/>
              </w:rPr>
              <w:t>the E</w:t>
            </w:r>
            <w:r w:rsidR="00345A47">
              <w:rPr>
                <w:rFonts w:ascii="Times New Roman" w:hAnsi="Times New Roman"/>
                <w:sz w:val="24"/>
                <w:szCs w:val="24"/>
              </w:rPr>
              <w:t>uropean Regional Development Fund (ERDF)</w:t>
            </w:r>
            <w:r w:rsidR="005B6CF7">
              <w:rPr>
                <w:rFonts w:ascii="Times New Roman" w:hAnsi="Times New Roman"/>
                <w:sz w:val="24"/>
                <w:szCs w:val="24"/>
              </w:rPr>
              <w:t xml:space="preserve"> and on the </w:t>
            </w:r>
            <w:r w:rsidR="006366A6" w:rsidRPr="006366A6">
              <w:rPr>
                <w:rFonts w:ascii="Times New Roman" w:hAnsi="Times New Roman"/>
                <w:sz w:val="24"/>
                <w:szCs w:val="24"/>
              </w:rPr>
              <w:t>Cohesion Fund</w:t>
            </w:r>
            <w:r w:rsidR="00CF4F39">
              <w:rPr>
                <w:rStyle w:val="FootnoteReference"/>
                <w:rFonts w:ascii="Times New Roman" w:hAnsi="Times New Roman"/>
                <w:sz w:val="24"/>
                <w:szCs w:val="24"/>
              </w:rPr>
              <w:footnoteReference w:id="2"/>
            </w:r>
            <w:r w:rsidR="00542385">
              <w:rPr>
                <w:rFonts w:ascii="Times New Roman" w:hAnsi="Times New Roman"/>
                <w:sz w:val="24"/>
                <w:szCs w:val="24"/>
              </w:rPr>
              <w:t>.</w:t>
            </w:r>
          </w:p>
          <w:p w14:paraId="2D5E87A5" w14:textId="127F6DCB" w:rsidR="006C4A78" w:rsidRDefault="00FF070C" w:rsidP="00C84225">
            <w:pPr>
              <w:widowControl w:val="0"/>
              <w:tabs>
                <w:tab w:val="num" w:pos="720"/>
              </w:tabs>
              <w:spacing w:before="120" w:after="120"/>
              <w:ind w:right="113"/>
              <w:jc w:val="both"/>
              <w:rPr>
                <w:rFonts w:ascii="Times New Roman" w:hAnsi="Times New Roman"/>
                <w:sz w:val="24"/>
                <w:szCs w:val="24"/>
              </w:rPr>
            </w:pPr>
            <w:r>
              <w:rPr>
                <w:rFonts w:ascii="Times New Roman" w:hAnsi="Times New Roman"/>
                <w:sz w:val="24"/>
                <w:szCs w:val="24"/>
              </w:rPr>
              <w:t xml:space="preserve">As advocated by </w:t>
            </w:r>
            <w:r w:rsidR="005B6CF7">
              <w:rPr>
                <w:rFonts w:ascii="Times New Roman" w:hAnsi="Times New Roman"/>
                <w:sz w:val="24"/>
                <w:szCs w:val="24"/>
              </w:rPr>
              <w:t>EESC</w:t>
            </w:r>
            <w:r w:rsidR="00B811BC">
              <w:rPr>
                <w:rFonts w:ascii="Times New Roman" w:hAnsi="Times New Roman"/>
                <w:sz w:val="24"/>
                <w:szCs w:val="24"/>
              </w:rPr>
              <w:t xml:space="preserve"> (</w:t>
            </w:r>
            <w:r w:rsidR="00B811BC" w:rsidRPr="00C84225">
              <w:rPr>
                <w:rFonts w:ascii="Times New Roman" w:hAnsi="Times New Roman"/>
                <w:sz w:val="24"/>
                <w:szCs w:val="24"/>
                <w:u w:val="single"/>
              </w:rPr>
              <w:t>point 1.11</w:t>
            </w:r>
            <w:r w:rsidR="00B811BC">
              <w:rPr>
                <w:rFonts w:ascii="Times New Roman" w:hAnsi="Times New Roman"/>
                <w:sz w:val="24"/>
                <w:szCs w:val="24"/>
              </w:rPr>
              <w:t>)</w:t>
            </w:r>
            <w:r>
              <w:rPr>
                <w:rFonts w:ascii="Times New Roman" w:hAnsi="Times New Roman"/>
                <w:sz w:val="24"/>
                <w:szCs w:val="24"/>
              </w:rPr>
              <w:t>, c</w:t>
            </w:r>
            <w:r w:rsidR="00302326">
              <w:rPr>
                <w:rFonts w:ascii="Times New Roman" w:hAnsi="Times New Roman"/>
                <w:sz w:val="24"/>
                <w:szCs w:val="24"/>
              </w:rPr>
              <w:t xml:space="preserve">onsidering the </w:t>
            </w:r>
            <w:r w:rsidR="006B3708">
              <w:rPr>
                <w:rFonts w:ascii="Times New Roman" w:hAnsi="Times New Roman"/>
                <w:sz w:val="24"/>
                <w:szCs w:val="24"/>
              </w:rPr>
              <w:t>need to provide rapid assistance to populations affected by natural disasters</w:t>
            </w:r>
            <w:r w:rsidR="00302326">
              <w:rPr>
                <w:rFonts w:ascii="Times New Roman" w:hAnsi="Times New Roman"/>
                <w:sz w:val="24"/>
                <w:szCs w:val="24"/>
              </w:rPr>
              <w:t xml:space="preserve">, the co-legislators swiftly reached a political agreement on this </w:t>
            </w:r>
            <w:r w:rsidR="00B811BC">
              <w:rPr>
                <w:rFonts w:ascii="Times New Roman" w:hAnsi="Times New Roman"/>
                <w:sz w:val="24"/>
                <w:szCs w:val="24"/>
              </w:rPr>
              <w:t xml:space="preserve">legislative </w:t>
            </w:r>
            <w:r w:rsidR="00302326">
              <w:rPr>
                <w:rFonts w:ascii="Times New Roman" w:hAnsi="Times New Roman"/>
                <w:sz w:val="24"/>
                <w:szCs w:val="24"/>
              </w:rPr>
              <w:t xml:space="preserve">file. </w:t>
            </w:r>
            <w:r w:rsidR="00345A47">
              <w:rPr>
                <w:rFonts w:ascii="Times New Roman" w:hAnsi="Times New Roman"/>
                <w:sz w:val="24"/>
                <w:szCs w:val="24"/>
              </w:rPr>
              <w:t xml:space="preserve">The </w:t>
            </w:r>
            <w:r w:rsidR="00302326">
              <w:rPr>
                <w:rFonts w:ascii="Times New Roman" w:hAnsi="Times New Roman"/>
                <w:sz w:val="24"/>
                <w:szCs w:val="24"/>
              </w:rPr>
              <w:t xml:space="preserve">RESTORE </w:t>
            </w:r>
            <w:r w:rsidR="00345A47">
              <w:rPr>
                <w:rFonts w:ascii="Times New Roman" w:hAnsi="Times New Roman"/>
                <w:sz w:val="24"/>
                <w:szCs w:val="24"/>
              </w:rPr>
              <w:t xml:space="preserve">proposal </w:t>
            </w:r>
            <w:r w:rsidR="00302326">
              <w:rPr>
                <w:rFonts w:ascii="Times New Roman" w:hAnsi="Times New Roman"/>
                <w:sz w:val="24"/>
                <w:szCs w:val="24"/>
              </w:rPr>
              <w:t xml:space="preserve">was adopted </w:t>
            </w:r>
            <w:r w:rsidR="00366AF6">
              <w:rPr>
                <w:rFonts w:ascii="Times New Roman" w:hAnsi="Times New Roman"/>
                <w:sz w:val="24"/>
                <w:szCs w:val="24"/>
              </w:rPr>
              <w:t>on 19 December</w:t>
            </w:r>
            <w:r w:rsidR="00251074">
              <w:rPr>
                <w:rFonts w:ascii="Times New Roman" w:hAnsi="Times New Roman"/>
                <w:sz w:val="24"/>
                <w:szCs w:val="24"/>
              </w:rPr>
              <w:t xml:space="preserve"> 2024</w:t>
            </w:r>
            <w:r w:rsidR="00366AF6">
              <w:rPr>
                <w:rFonts w:ascii="Times New Roman" w:hAnsi="Times New Roman"/>
                <w:sz w:val="24"/>
                <w:szCs w:val="24"/>
              </w:rPr>
              <w:t xml:space="preserve">, published </w:t>
            </w:r>
            <w:r w:rsidR="00345A47">
              <w:rPr>
                <w:rFonts w:ascii="Times New Roman" w:hAnsi="Times New Roman"/>
                <w:sz w:val="24"/>
                <w:szCs w:val="24"/>
              </w:rPr>
              <w:t>in</w:t>
            </w:r>
            <w:r w:rsidR="00366AF6">
              <w:rPr>
                <w:rFonts w:ascii="Times New Roman" w:hAnsi="Times New Roman"/>
                <w:sz w:val="24"/>
                <w:szCs w:val="24"/>
              </w:rPr>
              <w:t xml:space="preserve"> the Official Journal on 23</w:t>
            </w:r>
            <w:r w:rsidR="00C84225">
              <w:rPr>
                <w:rFonts w:ascii="Times New Roman" w:hAnsi="Times New Roman"/>
                <w:sz w:val="24"/>
                <w:szCs w:val="24"/>
              </w:rPr>
              <w:t> </w:t>
            </w:r>
            <w:r w:rsidR="00366AF6">
              <w:rPr>
                <w:rFonts w:ascii="Times New Roman" w:hAnsi="Times New Roman"/>
                <w:sz w:val="24"/>
                <w:szCs w:val="24"/>
              </w:rPr>
              <w:t xml:space="preserve">December </w:t>
            </w:r>
            <w:r w:rsidR="005B6CF7">
              <w:rPr>
                <w:rFonts w:ascii="Times New Roman" w:hAnsi="Times New Roman"/>
                <w:sz w:val="24"/>
                <w:szCs w:val="24"/>
              </w:rPr>
              <w:t xml:space="preserve">2024 </w:t>
            </w:r>
            <w:r w:rsidR="00366AF6">
              <w:rPr>
                <w:rFonts w:ascii="Times New Roman" w:hAnsi="Times New Roman"/>
                <w:sz w:val="24"/>
                <w:szCs w:val="24"/>
              </w:rPr>
              <w:t xml:space="preserve">and </w:t>
            </w:r>
            <w:r w:rsidR="0087149E">
              <w:rPr>
                <w:rFonts w:ascii="Times New Roman" w:hAnsi="Times New Roman"/>
                <w:sz w:val="24"/>
                <w:szCs w:val="24"/>
              </w:rPr>
              <w:t xml:space="preserve">entered into force </w:t>
            </w:r>
            <w:r w:rsidR="00366AF6">
              <w:rPr>
                <w:rFonts w:ascii="Times New Roman" w:hAnsi="Times New Roman"/>
                <w:sz w:val="24"/>
                <w:szCs w:val="24"/>
              </w:rPr>
              <w:t>the following day</w:t>
            </w:r>
            <w:r w:rsidR="00F4320C">
              <w:rPr>
                <w:rStyle w:val="FootnoteReference"/>
                <w:rFonts w:ascii="Times New Roman" w:hAnsi="Times New Roman"/>
                <w:sz w:val="24"/>
                <w:szCs w:val="24"/>
              </w:rPr>
              <w:footnoteReference w:id="3"/>
            </w:r>
            <w:r w:rsidR="0087149E">
              <w:rPr>
                <w:rFonts w:ascii="Times New Roman" w:hAnsi="Times New Roman"/>
                <w:sz w:val="24"/>
                <w:szCs w:val="24"/>
              </w:rPr>
              <w:t>.</w:t>
            </w:r>
          </w:p>
          <w:p w14:paraId="428CB178" w14:textId="4C525AB7" w:rsidR="00FB1EC1" w:rsidRPr="00FB1EC1" w:rsidRDefault="00FB1EC1" w:rsidP="00C84225">
            <w:pPr>
              <w:widowControl w:val="0"/>
              <w:tabs>
                <w:tab w:val="num" w:pos="720"/>
              </w:tabs>
              <w:spacing w:before="120" w:after="120"/>
              <w:ind w:right="113"/>
              <w:jc w:val="both"/>
              <w:rPr>
                <w:rFonts w:ascii="Times New Roman" w:hAnsi="Times New Roman"/>
                <w:sz w:val="24"/>
                <w:szCs w:val="24"/>
                <w:lang w:val="en-IE"/>
              </w:rPr>
            </w:pPr>
            <w:r>
              <w:rPr>
                <w:rFonts w:ascii="Times New Roman" w:hAnsi="Times New Roman"/>
                <w:sz w:val="24"/>
                <w:szCs w:val="24"/>
              </w:rPr>
              <w:t xml:space="preserve">RESTORE Regulation will allow Member States affected by natural disasters to flexibly mobilise their cohesion policy allocations under the 2021-2027 programmes </w:t>
            </w:r>
            <w:r w:rsidRPr="00FB1EC1">
              <w:rPr>
                <w:rFonts w:ascii="Times New Roman" w:hAnsi="Times New Roman"/>
                <w:sz w:val="24"/>
                <w:szCs w:val="24"/>
                <w:lang w:val="en-IE"/>
              </w:rPr>
              <w:t>to support reconstruction and repair measures and to alleviate the negative consequences of such disasters</w:t>
            </w:r>
            <w:r w:rsidRPr="00FB1EC1">
              <w:rPr>
                <w:rFonts w:ascii="Times New Roman" w:hAnsi="Times New Roman"/>
                <w:sz w:val="24"/>
                <w:szCs w:val="24"/>
              </w:rPr>
              <w:t>,</w:t>
            </w:r>
            <w:r>
              <w:rPr>
                <w:rFonts w:ascii="Times New Roman" w:hAnsi="Times New Roman"/>
                <w:sz w:val="24"/>
                <w:szCs w:val="24"/>
              </w:rPr>
              <w:t xml:space="preserve"> thus contributing to</w:t>
            </w:r>
            <w:r w:rsidRPr="008D0728">
              <w:rPr>
                <w:rFonts w:ascii="Times New Roman" w:hAnsi="Times New Roman"/>
                <w:sz w:val="24"/>
                <w:szCs w:val="24"/>
              </w:rPr>
              <w:t xml:space="preserve"> a</w:t>
            </w:r>
            <w:r w:rsidR="00C84225">
              <w:rPr>
                <w:rFonts w:ascii="Times New Roman" w:hAnsi="Times New Roman"/>
                <w:sz w:val="24"/>
                <w:szCs w:val="24"/>
              </w:rPr>
              <w:t xml:space="preserve"> </w:t>
            </w:r>
            <w:r w:rsidRPr="008D0728">
              <w:rPr>
                <w:rFonts w:ascii="Times New Roman" w:hAnsi="Times New Roman"/>
                <w:sz w:val="24"/>
                <w:szCs w:val="24"/>
              </w:rPr>
              <w:t>swift recovery</w:t>
            </w:r>
            <w:r>
              <w:rPr>
                <w:rFonts w:ascii="Times New Roman" w:hAnsi="Times New Roman"/>
                <w:sz w:val="24"/>
                <w:szCs w:val="24"/>
              </w:rPr>
              <w:t xml:space="preserve">, keeping </w:t>
            </w:r>
            <w:r w:rsidRPr="008D0728">
              <w:rPr>
                <w:rFonts w:ascii="Times New Roman" w:hAnsi="Times New Roman"/>
                <w:sz w:val="24"/>
                <w:szCs w:val="24"/>
              </w:rPr>
              <w:t xml:space="preserve">the Union cohesive, </w:t>
            </w:r>
            <w:r>
              <w:rPr>
                <w:rFonts w:ascii="Times New Roman" w:hAnsi="Times New Roman"/>
                <w:sz w:val="24"/>
                <w:szCs w:val="24"/>
              </w:rPr>
              <w:t xml:space="preserve">and </w:t>
            </w:r>
            <w:r w:rsidRPr="008D0728">
              <w:rPr>
                <w:rFonts w:ascii="Times New Roman" w:hAnsi="Times New Roman"/>
                <w:sz w:val="24"/>
                <w:szCs w:val="24"/>
              </w:rPr>
              <w:t>mitigating the risk of further increase of territorial disparities.</w:t>
            </w:r>
          </w:p>
          <w:p w14:paraId="03D3E074" w14:textId="1FE82091" w:rsidR="00A66E0A" w:rsidRDefault="00366AF6" w:rsidP="00C84225">
            <w:pPr>
              <w:widowControl w:val="0"/>
              <w:tabs>
                <w:tab w:val="num" w:pos="720"/>
              </w:tabs>
              <w:spacing w:before="120" w:after="120"/>
              <w:ind w:right="113"/>
              <w:jc w:val="both"/>
              <w:rPr>
                <w:rFonts w:ascii="Times New Roman" w:hAnsi="Times New Roman"/>
                <w:sz w:val="24"/>
                <w:szCs w:val="24"/>
                <w:lang w:val="en-IE"/>
              </w:rPr>
            </w:pPr>
            <w:r>
              <w:rPr>
                <w:rFonts w:ascii="Times New Roman" w:hAnsi="Times New Roman"/>
                <w:sz w:val="24"/>
                <w:szCs w:val="24"/>
              </w:rPr>
              <w:t xml:space="preserve">In comparison </w:t>
            </w:r>
            <w:r w:rsidR="00345A47">
              <w:rPr>
                <w:rFonts w:ascii="Times New Roman" w:hAnsi="Times New Roman"/>
                <w:sz w:val="24"/>
                <w:szCs w:val="24"/>
              </w:rPr>
              <w:t>with</w:t>
            </w:r>
            <w:r>
              <w:rPr>
                <w:rFonts w:ascii="Times New Roman" w:hAnsi="Times New Roman"/>
                <w:sz w:val="24"/>
                <w:szCs w:val="24"/>
              </w:rPr>
              <w:t xml:space="preserve"> the original Commission’s proposal, t</w:t>
            </w:r>
            <w:r w:rsidR="008960F4">
              <w:rPr>
                <w:rFonts w:ascii="Times New Roman" w:hAnsi="Times New Roman"/>
                <w:sz w:val="24"/>
                <w:szCs w:val="24"/>
              </w:rPr>
              <w:t xml:space="preserve">he co-legislators </w:t>
            </w:r>
            <w:r w:rsidR="006B3708">
              <w:rPr>
                <w:rFonts w:ascii="Times New Roman" w:hAnsi="Times New Roman"/>
                <w:sz w:val="24"/>
                <w:szCs w:val="24"/>
              </w:rPr>
              <w:t xml:space="preserve">agreed on the introduction of </w:t>
            </w:r>
            <w:r w:rsidR="008960F4">
              <w:rPr>
                <w:rFonts w:ascii="Times New Roman" w:hAnsi="Times New Roman"/>
                <w:sz w:val="24"/>
                <w:szCs w:val="24"/>
              </w:rPr>
              <w:t>some key changes</w:t>
            </w:r>
            <w:r w:rsidR="006366A6">
              <w:rPr>
                <w:rFonts w:ascii="Times New Roman" w:hAnsi="Times New Roman"/>
                <w:sz w:val="24"/>
                <w:szCs w:val="24"/>
                <w:lang w:val="en-IE"/>
              </w:rPr>
              <w:t>:</w:t>
            </w:r>
          </w:p>
          <w:p w14:paraId="112DA4F8" w14:textId="65238D14" w:rsidR="00A66E0A" w:rsidRPr="00A66E0A" w:rsidRDefault="006366A6" w:rsidP="00C84225">
            <w:pPr>
              <w:widowControl w:val="0"/>
              <w:numPr>
                <w:ilvl w:val="0"/>
                <w:numId w:val="2"/>
              </w:numPr>
              <w:spacing w:before="120" w:after="120"/>
              <w:ind w:left="286" w:right="113" w:hanging="258"/>
              <w:jc w:val="both"/>
              <w:rPr>
                <w:rFonts w:ascii="Times New Roman" w:hAnsi="Times New Roman"/>
                <w:sz w:val="24"/>
                <w:szCs w:val="24"/>
              </w:rPr>
            </w:pPr>
            <w:r w:rsidRPr="006366A6">
              <w:rPr>
                <w:rFonts w:ascii="Times New Roman" w:hAnsi="Times New Roman"/>
                <w:sz w:val="24"/>
                <w:szCs w:val="24"/>
                <w:lang w:val="en-IE"/>
              </w:rPr>
              <w:t xml:space="preserve">only disasters taking place in 2024 and 2025 are eligible for the flexibilities provided for through the </w:t>
            </w:r>
            <w:proofErr w:type="gramStart"/>
            <w:r w:rsidRPr="006366A6">
              <w:rPr>
                <w:rFonts w:ascii="Times New Roman" w:hAnsi="Times New Roman"/>
                <w:sz w:val="24"/>
                <w:szCs w:val="24"/>
                <w:lang w:val="en-IE"/>
              </w:rPr>
              <w:t>amendments</w:t>
            </w:r>
            <w:r>
              <w:rPr>
                <w:rFonts w:ascii="Times New Roman" w:hAnsi="Times New Roman"/>
                <w:sz w:val="24"/>
                <w:szCs w:val="24"/>
                <w:lang w:val="en-IE"/>
              </w:rPr>
              <w:t>;</w:t>
            </w:r>
            <w:proofErr w:type="gramEnd"/>
          </w:p>
          <w:p w14:paraId="7061C3E7" w14:textId="4B8C6C4C" w:rsidR="00A66E0A" w:rsidRPr="00A66E0A" w:rsidRDefault="006366A6" w:rsidP="00C84225">
            <w:pPr>
              <w:widowControl w:val="0"/>
              <w:numPr>
                <w:ilvl w:val="0"/>
                <w:numId w:val="2"/>
              </w:numPr>
              <w:spacing w:before="120" w:after="120"/>
              <w:ind w:left="286" w:right="113" w:hanging="258"/>
              <w:jc w:val="both"/>
              <w:rPr>
                <w:rFonts w:ascii="Times New Roman" w:hAnsi="Times New Roman"/>
                <w:sz w:val="24"/>
                <w:szCs w:val="24"/>
              </w:rPr>
            </w:pPr>
            <w:r w:rsidRPr="006366A6">
              <w:rPr>
                <w:rFonts w:ascii="Times New Roman" w:hAnsi="Times New Roman"/>
                <w:sz w:val="24"/>
                <w:szCs w:val="24"/>
                <w:lang w:val="en-IE"/>
              </w:rPr>
              <w:t xml:space="preserve">a maximum co-financing rate at 95% for the dedicated priorities </w:t>
            </w:r>
            <w:r w:rsidR="00345A47">
              <w:rPr>
                <w:rFonts w:ascii="Times New Roman" w:hAnsi="Times New Roman"/>
                <w:sz w:val="24"/>
                <w:szCs w:val="24"/>
                <w:lang w:val="en-IE"/>
              </w:rPr>
              <w:t xml:space="preserve">may be applied </w:t>
            </w:r>
            <w:r w:rsidR="00302326">
              <w:rPr>
                <w:rFonts w:ascii="Times New Roman" w:hAnsi="Times New Roman"/>
                <w:sz w:val="24"/>
                <w:szCs w:val="24"/>
                <w:lang w:val="en-IE"/>
              </w:rPr>
              <w:t xml:space="preserve">instead of </w:t>
            </w:r>
            <w:r w:rsidRPr="006366A6">
              <w:rPr>
                <w:rFonts w:ascii="Times New Roman" w:hAnsi="Times New Roman"/>
                <w:sz w:val="24"/>
                <w:szCs w:val="24"/>
                <w:lang w:val="en-IE"/>
              </w:rPr>
              <w:t>100%</w:t>
            </w:r>
            <w:r w:rsidR="00345A47">
              <w:rPr>
                <w:rFonts w:ascii="Times New Roman" w:hAnsi="Times New Roman"/>
                <w:sz w:val="24"/>
                <w:szCs w:val="24"/>
                <w:lang w:val="en-IE"/>
              </w:rPr>
              <w:t xml:space="preserve"> proposed by the </w:t>
            </w:r>
            <w:proofErr w:type="gramStart"/>
            <w:r w:rsidR="00345A47">
              <w:rPr>
                <w:rFonts w:ascii="Times New Roman" w:hAnsi="Times New Roman"/>
                <w:sz w:val="24"/>
                <w:szCs w:val="24"/>
                <w:lang w:val="en-IE"/>
              </w:rPr>
              <w:t>Commission</w:t>
            </w:r>
            <w:r w:rsidR="00887EA9">
              <w:rPr>
                <w:rFonts w:ascii="Times New Roman" w:hAnsi="Times New Roman"/>
                <w:sz w:val="24"/>
                <w:szCs w:val="24"/>
                <w:lang w:val="en-IE"/>
              </w:rPr>
              <w:t>;</w:t>
            </w:r>
            <w:proofErr w:type="gramEnd"/>
          </w:p>
          <w:p w14:paraId="72ECDF0B" w14:textId="2923554E" w:rsidR="00A66E0A" w:rsidRPr="00A66E0A" w:rsidRDefault="00887EA9" w:rsidP="00C84225">
            <w:pPr>
              <w:widowControl w:val="0"/>
              <w:numPr>
                <w:ilvl w:val="0"/>
                <w:numId w:val="2"/>
              </w:numPr>
              <w:spacing w:before="120" w:after="120"/>
              <w:ind w:left="286" w:right="113" w:hanging="258"/>
              <w:jc w:val="both"/>
              <w:rPr>
                <w:rFonts w:ascii="Times New Roman" w:hAnsi="Times New Roman"/>
                <w:sz w:val="24"/>
                <w:szCs w:val="24"/>
              </w:rPr>
            </w:pPr>
            <w:r>
              <w:rPr>
                <w:rFonts w:ascii="Times New Roman" w:hAnsi="Times New Roman"/>
                <w:sz w:val="24"/>
                <w:szCs w:val="24"/>
                <w:lang w:val="en-IE"/>
              </w:rPr>
              <w:t xml:space="preserve">an </w:t>
            </w:r>
            <w:r w:rsidR="006366A6" w:rsidRPr="006366A6">
              <w:rPr>
                <w:rFonts w:ascii="Times New Roman" w:hAnsi="Times New Roman"/>
                <w:sz w:val="24"/>
                <w:szCs w:val="24"/>
                <w:lang w:val="en-IE"/>
              </w:rPr>
              <w:t xml:space="preserve">additional exceptional pre-financing rate at 25% for the dedicated priorities </w:t>
            </w:r>
            <w:r w:rsidR="00345A47">
              <w:rPr>
                <w:rFonts w:ascii="Times New Roman" w:hAnsi="Times New Roman"/>
                <w:sz w:val="24"/>
                <w:szCs w:val="24"/>
                <w:lang w:val="en-IE"/>
              </w:rPr>
              <w:t xml:space="preserve">is included </w:t>
            </w:r>
            <w:r w:rsidR="00302326">
              <w:rPr>
                <w:rFonts w:ascii="Times New Roman" w:hAnsi="Times New Roman"/>
                <w:sz w:val="24"/>
                <w:szCs w:val="24"/>
                <w:lang w:val="en-IE"/>
              </w:rPr>
              <w:t xml:space="preserve">instead of </w:t>
            </w:r>
            <w:r w:rsidR="006366A6" w:rsidRPr="006366A6">
              <w:rPr>
                <w:rFonts w:ascii="Times New Roman" w:hAnsi="Times New Roman"/>
                <w:sz w:val="24"/>
                <w:szCs w:val="24"/>
                <w:lang w:val="en-IE"/>
              </w:rPr>
              <w:t>30%</w:t>
            </w:r>
            <w:r w:rsidR="00345A47">
              <w:rPr>
                <w:rFonts w:ascii="Times New Roman" w:hAnsi="Times New Roman"/>
                <w:sz w:val="24"/>
                <w:szCs w:val="24"/>
                <w:lang w:val="en-IE"/>
              </w:rPr>
              <w:t xml:space="preserve"> proposed by the </w:t>
            </w:r>
            <w:proofErr w:type="gramStart"/>
            <w:r w:rsidR="00345A47">
              <w:rPr>
                <w:rFonts w:ascii="Times New Roman" w:hAnsi="Times New Roman"/>
                <w:sz w:val="24"/>
                <w:szCs w:val="24"/>
                <w:lang w:val="en-IE"/>
              </w:rPr>
              <w:t>Commission</w:t>
            </w:r>
            <w:r>
              <w:rPr>
                <w:rFonts w:ascii="Times New Roman" w:hAnsi="Times New Roman"/>
                <w:sz w:val="24"/>
                <w:szCs w:val="24"/>
                <w:lang w:val="en-IE"/>
              </w:rPr>
              <w:t>;</w:t>
            </w:r>
            <w:proofErr w:type="gramEnd"/>
          </w:p>
          <w:p w14:paraId="19136200" w14:textId="21A714E7" w:rsidR="00A66E0A" w:rsidRPr="00A66E0A" w:rsidRDefault="006366A6" w:rsidP="00C84225">
            <w:pPr>
              <w:widowControl w:val="0"/>
              <w:numPr>
                <w:ilvl w:val="0"/>
                <w:numId w:val="2"/>
              </w:numPr>
              <w:spacing w:before="120" w:after="120"/>
              <w:ind w:left="286" w:right="113" w:hanging="258"/>
              <w:jc w:val="both"/>
              <w:rPr>
                <w:rFonts w:ascii="Times New Roman" w:hAnsi="Times New Roman"/>
                <w:sz w:val="24"/>
                <w:szCs w:val="24"/>
              </w:rPr>
            </w:pPr>
            <w:r w:rsidRPr="006366A6">
              <w:rPr>
                <w:rFonts w:ascii="Times New Roman" w:hAnsi="Times New Roman"/>
                <w:sz w:val="24"/>
                <w:szCs w:val="24"/>
                <w:lang w:val="en-IE"/>
              </w:rPr>
              <w:t xml:space="preserve">support for projects responding to natural disasters </w:t>
            </w:r>
            <w:r w:rsidR="008960F4">
              <w:rPr>
                <w:rFonts w:ascii="Times New Roman" w:hAnsi="Times New Roman"/>
                <w:sz w:val="24"/>
                <w:szCs w:val="24"/>
                <w:lang w:val="en-IE"/>
              </w:rPr>
              <w:t xml:space="preserve">is made </w:t>
            </w:r>
            <w:r w:rsidRPr="006366A6">
              <w:rPr>
                <w:rFonts w:ascii="Times New Roman" w:hAnsi="Times New Roman"/>
                <w:sz w:val="24"/>
                <w:szCs w:val="24"/>
                <w:lang w:val="en-IE"/>
              </w:rPr>
              <w:t xml:space="preserve">possible </w:t>
            </w:r>
            <w:r w:rsidR="008960F4">
              <w:rPr>
                <w:rFonts w:ascii="Times New Roman" w:hAnsi="Times New Roman"/>
                <w:sz w:val="24"/>
                <w:szCs w:val="24"/>
                <w:lang w:val="en-IE"/>
              </w:rPr>
              <w:t xml:space="preserve">also </w:t>
            </w:r>
            <w:r w:rsidRPr="006366A6">
              <w:rPr>
                <w:rFonts w:ascii="Times New Roman" w:hAnsi="Times New Roman"/>
                <w:sz w:val="24"/>
                <w:szCs w:val="24"/>
                <w:lang w:val="en-IE"/>
              </w:rPr>
              <w:t>directly from the Cohesion Fund in line with its scope</w:t>
            </w:r>
            <w:r w:rsidR="00345A47">
              <w:rPr>
                <w:rFonts w:ascii="Times New Roman" w:hAnsi="Times New Roman"/>
                <w:sz w:val="24"/>
                <w:szCs w:val="24"/>
                <w:lang w:val="en-IE"/>
              </w:rPr>
              <w:t xml:space="preserve"> </w:t>
            </w:r>
            <w:proofErr w:type="gramStart"/>
            <w:r w:rsidR="00CF4F39" w:rsidRPr="004F6117">
              <w:rPr>
                <w:rFonts w:ascii="Times New Roman" w:hAnsi="Times New Roman"/>
                <w:b/>
                <w:sz w:val="24"/>
                <w:szCs w:val="24"/>
              </w:rPr>
              <w:t xml:space="preserve">– </w:t>
            </w:r>
            <w:r w:rsidR="00345A47">
              <w:rPr>
                <w:rFonts w:ascii="Times New Roman" w:hAnsi="Times New Roman"/>
                <w:sz w:val="24"/>
                <w:szCs w:val="24"/>
                <w:lang w:val="en-IE"/>
              </w:rPr>
              <w:t xml:space="preserve"> in</w:t>
            </w:r>
            <w:proofErr w:type="gramEnd"/>
            <w:r w:rsidR="00345A47">
              <w:rPr>
                <w:rFonts w:ascii="Times New Roman" w:hAnsi="Times New Roman"/>
                <w:sz w:val="24"/>
                <w:szCs w:val="24"/>
                <w:lang w:val="en-IE"/>
              </w:rPr>
              <w:t xml:space="preserve"> addition to the ERDF and the ESF+ as proposed by the Commission</w:t>
            </w:r>
            <w:r w:rsidR="00887EA9">
              <w:rPr>
                <w:rFonts w:ascii="Times New Roman" w:hAnsi="Times New Roman"/>
                <w:sz w:val="24"/>
                <w:szCs w:val="24"/>
                <w:lang w:val="en-IE"/>
              </w:rPr>
              <w:t>;</w:t>
            </w:r>
          </w:p>
          <w:p w14:paraId="3511D349" w14:textId="21D9A222" w:rsidR="00A66E0A" w:rsidRPr="00A66E0A" w:rsidRDefault="006366A6" w:rsidP="00C84225">
            <w:pPr>
              <w:widowControl w:val="0"/>
              <w:numPr>
                <w:ilvl w:val="0"/>
                <w:numId w:val="2"/>
              </w:numPr>
              <w:spacing w:before="120" w:after="120"/>
              <w:ind w:left="286" w:right="113" w:hanging="258"/>
              <w:jc w:val="both"/>
              <w:rPr>
                <w:rFonts w:ascii="Times New Roman" w:hAnsi="Times New Roman"/>
                <w:sz w:val="24"/>
                <w:szCs w:val="24"/>
              </w:rPr>
            </w:pPr>
            <w:r w:rsidRPr="006366A6">
              <w:rPr>
                <w:rFonts w:ascii="Times New Roman" w:hAnsi="Times New Roman"/>
                <w:sz w:val="24"/>
                <w:szCs w:val="24"/>
                <w:lang w:val="en-IE"/>
              </w:rPr>
              <w:t>only the ERDF and the ESF+ constitute the basis for calculating the 10% ceiling</w:t>
            </w:r>
            <w:r w:rsidR="005B6CF7">
              <w:rPr>
                <w:rFonts w:ascii="Times New Roman" w:hAnsi="Times New Roman"/>
                <w:sz w:val="24"/>
                <w:szCs w:val="24"/>
                <w:lang w:val="en-IE"/>
              </w:rPr>
              <w:t xml:space="preserve">; contrary to the </w:t>
            </w:r>
            <w:r w:rsidR="005B6CF7">
              <w:rPr>
                <w:rFonts w:ascii="Times New Roman" w:hAnsi="Times New Roman"/>
                <w:sz w:val="24"/>
                <w:szCs w:val="24"/>
                <w:lang w:val="en-IE"/>
              </w:rPr>
              <w:lastRenderedPageBreak/>
              <w:t xml:space="preserve">Commission’s proposal, </w:t>
            </w:r>
            <w:r w:rsidR="00345A47">
              <w:rPr>
                <w:rFonts w:ascii="Times New Roman" w:hAnsi="Times New Roman"/>
                <w:sz w:val="24"/>
                <w:szCs w:val="24"/>
                <w:lang w:val="en-IE"/>
              </w:rPr>
              <w:t xml:space="preserve">the Cohesion Fund is not taken into </w:t>
            </w:r>
            <w:proofErr w:type="gramStart"/>
            <w:r w:rsidR="00345A47">
              <w:rPr>
                <w:rFonts w:ascii="Times New Roman" w:hAnsi="Times New Roman"/>
                <w:sz w:val="24"/>
                <w:szCs w:val="24"/>
                <w:lang w:val="en-IE"/>
              </w:rPr>
              <w:t>account</w:t>
            </w:r>
            <w:r w:rsidR="00887EA9">
              <w:rPr>
                <w:rFonts w:ascii="Times New Roman" w:hAnsi="Times New Roman"/>
                <w:sz w:val="24"/>
                <w:szCs w:val="24"/>
                <w:lang w:val="en-IE"/>
              </w:rPr>
              <w:t>;</w:t>
            </w:r>
            <w:proofErr w:type="gramEnd"/>
          </w:p>
          <w:p w14:paraId="25A9365E" w14:textId="2A1D07E3" w:rsidR="006366A6" w:rsidRPr="00302326" w:rsidRDefault="006366A6" w:rsidP="00C84225">
            <w:pPr>
              <w:widowControl w:val="0"/>
              <w:numPr>
                <w:ilvl w:val="0"/>
                <w:numId w:val="2"/>
              </w:numPr>
              <w:spacing w:before="120" w:after="120"/>
              <w:ind w:left="286" w:right="113" w:hanging="258"/>
              <w:jc w:val="both"/>
              <w:rPr>
                <w:rFonts w:ascii="Times New Roman" w:hAnsi="Times New Roman"/>
                <w:sz w:val="24"/>
                <w:szCs w:val="24"/>
              </w:rPr>
            </w:pPr>
            <w:r w:rsidRPr="006366A6">
              <w:rPr>
                <w:rFonts w:ascii="Times New Roman" w:hAnsi="Times New Roman"/>
                <w:sz w:val="24"/>
                <w:szCs w:val="24"/>
                <w:lang w:val="en-IE"/>
              </w:rPr>
              <w:t>Member States</w:t>
            </w:r>
            <w:r w:rsidR="006B3708">
              <w:rPr>
                <w:rFonts w:ascii="Times New Roman" w:hAnsi="Times New Roman"/>
                <w:sz w:val="24"/>
                <w:szCs w:val="24"/>
                <w:lang w:val="en-IE"/>
              </w:rPr>
              <w:t xml:space="preserve"> will</w:t>
            </w:r>
            <w:r w:rsidRPr="006366A6">
              <w:rPr>
                <w:rFonts w:ascii="Times New Roman" w:hAnsi="Times New Roman"/>
                <w:sz w:val="24"/>
                <w:szCs w:val="24"/>
                <w:lang w:val="en-IE"/>
              </w:rPr>
              <w:t xml:space="preserve"> have </w:t>
            </w:r>
            <w:r w:rsidR="00887EA9">
              <w:rPr>
                <w:rFonts w:ascii="Times New Roman" w:hAnsi="Times New Roman"/>
                <w:sz w:val="24"/>
                <w:szCs w:val="24"/>
                <w:lang w:val="en-IE"/>
              </w:rPr>
              <w:t>six</w:t>
            </w:r>
            <w:r w:rsidRPr="006366A6">
              <w:rPr>
                <w:rFonts w:ascii="Times New Roman" w:hAnsi="Times New Roman"/>
                <w:sz w:val="24"/>
                <w:szCs w:val="24"/>
                <w:lang w:val="en-IE"/>
              </w:rPr>
              <w:t xml:space="preserve"> months </w:t>
            </w:r>
            <w:r w:rsidR="006B3708">
              <w:rPr>
                <w:rFonts w:ascii="Times New Roman" w:hAnsi="Times New Roman"/>
                <w:sz w:val="24"/>
                <w:szCs w:val="24"/>
                <w:lang w:val="en-IE"/>
              </w:rPr>
              <w:t xml:space="preserve">– instead of four </w:t>
            </w:r>
            <w:r w:rsidR="00345A47">
              <w:rPr>
                <w:rFonts w:ascii="Times New Roman" w:hAnsi="Times New Roman"/>
                <w:sz w:val="24"/>
                <w:szCs w:val="24"/>
                <w:lang w:val="en-IE"/>
              </w:rPr>
              <w:t xml:space="preserve">as proposed by the Commission </w:t>
            </w:r>
            <w:r w:rsidR="00CF4F39" w:rsidRPr="004F6117">
              <w:rPr>
                <w:rFonts w:ascii="Times New Roman" w:hAnsi="Times New Roman"/>
                <w:b/>
                <w:sz w:val="24"/>
                <w:szCs w:val="24"/>
              </w:rPr>
              <w:t xml:space="preserve">– </w:t>
            </w:r>
            <w:r w:rsidRPr="006366A6">
              <w:rPr>
                <w:rFonts w:ascii="Times New Roman" w:hAnsi="Times New Roman"/>
                <w:sz w:val="24"/>
                <w:szCs w:val="24"/>
                <w:lang w:val="en-IE"/>
              </w:rPr>
              <w:t>from the entry into force</w:t>
            </w:r>
            <w:r w:rsidR="00366AF6">
              <w:rPr>
                <w:rFonts w:ascii="Times New Roman" w:hAnsi="Times New Roman"/>
                <w:sz w:val="24"/>
                <w:szCs w:val="24"/>
                <w:lang w:val="en-IE"/>
              </w:rPr>
              <w:t xml:space="preserve"> </w:t>
            </w:r>
            <w:r w:rsidR="00251074">
              <w:rPr>
                <w:rFonts w:ascii="Times New Roman" w:hAnsi="Times New Roman"/>
                <w:sz w:val="24"/>
                <w:szCs w:val="24"/>
                <w:lang w:val="en-IE"/>
              </w:rPr>
              <w:t xml:space="preserve">of the RESTORE Regulation </w:t>
            </w:r>
            <w:r w:rsidRPr="006366A6">
              <w:rPr>
                <w:rFonts w:ascii="Times New Roman" w:hAnsi="Times New Roman"/>
                <w:sz w:val="24"/>
                <w:szCs w:val="24"/>
                <w:lang w:val="en-IE"/>
              </w:rPr>
              <w:t>to submit corresponding programme amendments</w:t>
            </w:r>
            <w:r w:rsidR="00887EA9">
              <w:rPr>
                <w:rFonts w:ascii="Times New Roman" w:hAnsi="Times New Roman"/>
                <w:sz w:val="24"/>
                <w:szCs w:val="24"/>
                <w:lang w:val="en-IE"/>
              </w:rPr>
              <w:t>.</w:t>
            </w:r>
          </w:p>
          <w:p w14:paraId="0289EFA2" w14:textId="0FB1ABF0" w:rsidR="00887EA9" w:rsidRPr="008D0728" w:rsidRDefault="008960F4" w:rsidP="00C84225">
            <w:pPr>
              <w:widowControl w:val="0"/>
              <w:tabs>
                <w:tab w:val="num" w:pos="720"/>
              </w:tabs>
              <w:spacing w:before="120" w:after="120"/>
              <w:ind w:right="113"/>
              <w:jc w:val="both"/>
              <w:rPr>
                <w:rFonts w:ascii="Times New Roman" w:hAnsi="Times New Roman"/>
                <w:sz w:val="24"/>
                <w:szCs w:val="24"/>
                <w:lang w:val="en-IE"/>
              </w:rPr>
            </w:pPr>
            <w:r>
              <w:rPr>
                <w:rFonts w:ascii="Times New Roman" w:hAnsi="Times New Roman"/>
                <w:sz w:val="24"/>
                <w:szCs w:val="24"/>
                <w:lang w:val="en-IE"/>
              </w:rPr>
              <w:t xml:space="preserve">Under </w:t>
            </w:r>
            <w:r w:rsidRPr="00C84225">
              <w:rPr>
                <w:rFonts w:ascii="Times New Roman" w:hAnsi="Times New Roman"/>
                <w:sz w:val="24"/>
                <w:szCs w:val="24"/>
                <w:u w:val="single"/>
                <w:lang w:val="en-IE"/>
              </w:rPr>
              <w:t>point</w:t>
            </w:r>
            <w:r w:rsidR="006B3708" w:rsidRPr="00C84225">
              <w:rPr>
                <w:rFonts w:ascii="Times New Roman" w:hAnsi="Times New Roman"/>
                <w:sz w:val="24"/>
                <w:szCs w:val="24"/>
                <w:u w:val="single"/>
                <w:lang w:val="en-IE"/>
              </w:rPr>
              <w:t xml:space="preserve"> </w:t>
            </w:r>
            <w:r w:rsidRPr="00C84225">
              <w:rPr>
                <w:rFonts w:ascii="Times New Roman" w:hAnsi="Times New Roman"/>
                <w:sz w:val="24"/>
                <w:szCs w:val="24"/>
                <w:u w:val="single"/>
                <w:lang w:val="en-IE"/>
              </w:rPr>
              <w:t>1.9</w:t>
            </w:r>
            <w:r w:rsidR="005B6CF7">
              <w:rPr>
                <w:rFonts w:ascii="Times New Roman" w:hAnsi="Times New Roman"/>
                <w:sz w:val="24"/>
                <w:szCs w:val="24"/>
                <w:lang w:val="en-IE"/>
              </w:rPr>
              <w:t xml:space="preserve">, </w:t>
            </w:r>
            <w:r w:rsidR="00184457">
              <w:rPr>
                <w:rFonts w:ascii="Times New Roman" w:hAnsi="Times New Roman"/>
                <w:sz w:val="24"/>
                <w:szCs w:val="24"/>
              </w:rPr>
              <w:t>EESC</w:t>
            </w:r>
            <w:r>
              <w:rPr>
                <w:rFonts w:ascii="Times New Roman" w:hAnsi="Times New Roman"/>
                <w:sz w:val="24"/>
                <w:szCs w:val="24"/>
                <w:lang w:val="en-IE"/>
              </w:rPr>
              <w:t xml:space="preserve"> </w:t>
            </w:r>
            <w:r w:rsidR="00773589">
              <w:rPr>
                <w:rFonts w:ascii="Times New Roman" w:hAnsi="Times New Roman"/>
                <w:sz w:val="24"/>
                <w:szCs w:val="24"/>
                <w:lang w:val="en-IE"/>
              </w:rPr>
              <w:t>underlines the need for the EU to create a new</w:t>
            </w:r>
            <w:r>
              <w:rPr>
                <w:rFonts w:ascii="Times New Roman" w:hAnsi="Times New Roman"/>
                <w:sz w:val="24"/>
                <w:szCs w:val="24"/>
                <w:lang w:val="en-IE"/>
              </w:rPr>
              <w:t xml:space="preserve"> funding mechanism</w:t>
            </w:r>
            <w:r w:rsidR="00335145">
              <w:rPr>
                <w:rFonts w:ascii="Times New Roman" w:hAnsi="Times New Roman"/>
                <w:sz w:val="24"/>
                <w:szCs w:val="24"/>
                <w:lang w:val="en-IE"/>
              </w:rPr>
              <w:t xml:space="preserve"> </w:t>
            </w:r>
            <w:r w:rsidR="00A22C5F">
              <w:rPr>
                <w:rFonts w:ascii="Times New Roman" w:hAnsi="Times New Roman"/>
                <w:sz w:val="24"/>
                <w:szCs w:val="24"/>
                <w:lang w:val="en-IE"/>
              </w:rPr>
              <w:t>to address</w:t>
            </w:r>
            <w:r>
              <w:rPr>
                <w:rFonts w:ascii="Times New Roman" w:hAnsi="Times New Roman"/>
                <w:sz w:val="24"/>
                <w:szCs w:val="24"/>
                <w:lang w:val="en-IE"/>
              </w:rPr>
              <w:t xml:space="preserve"> future crises, fearing – as highlighted </w:t>
            </w:r>
            <w:r w:rsidR="00773589">
              <w:rPr>
                <w:rFonts w:ascii="Times New Roman" w:hAnsi="Times New Roman"/>
                <w:sz w:val="24"/>
                <w:szCs w:val="24"/>
                <w:lang w:val="en-IE"/>
              </w:rPr>
              <w:t xml:space="preserve">for instance </w:t>
            </w:r>
            <w:r>
              <w:rPr>
                <w:rFonts w:ascii="Times New Roman" w:hAnsi="Times New Roman"/>
                <w:sz w:val="24"/>
                <w:szCs w:val="24"/>
                <w:lang w:val="en-IE"/>
              </w:rPr>
              <w:t xml:space="preserve">in </w:t>
            </w:r>
            <w:r w:rsidRPr="00C84225">
              <w:rPr>
                <w:rFonts w:ascii="Times New Roman" w:hAnsi="Times New Roman"/>
                <w:sz w:val="24"/>
                <w:szCs w:val="24"/>
                <w:u w:val="single"/>
                <w:lang w:val="en-IE"/>
              </w:rPr>
              <w:t>point 2.2.5</w:t>
            </w:r>
            <w:r>
              <w:rPr>
                <w:rFonts w:ascii="Times New Roman" w:hAnsi="Times New Roman"/>
                <w:sz w:val="24"/>
                <w:szCs w:val="24"/>
                <w:lang w:val="en-IE"/>
              </w:rPr>
              <w:t xml:space="preserve"> – the risk of turning cohesion policy into a crisis response instrument</w:t>
            </w:r>
            <w:r w:rsidR="00184457">
              <w:rPr>
                <w:rFonts w:ascii="Times New Roman" w:hAnsi="Times New Roman"/>
                <w:sz w:val="24"/>
                <w:szCs w:val="24"/>
                <w:lang w:val="en-IE"/>
              </w:rPr>
              <w:t>,</w:t>
            </w:r>
            <w:r>
              <w:rPr>
                <w:rFonts w:ascii="Times New Roman" w:hAnsi="Times New Roman"/>
                <w:sz w:val="24"/>
                <w:szCs w:val="24"/>
                <w:lang w:val="en-IE"/>
              </w:rPr>
              <w:t xml:space="preserve"> at the expense of its long-term objective. </w:t>
            </w:r>
            <w:r w:rsidR="00464DBC" w:rsidRPr="00464DBC">
              <w:rPr>
                <w:rFonts w:ascii="Times New Roman" w:hAnsi="Times New Roman"/>
                <w:sz w:val="24"/>
                <w:szCs w:val="24"/>
                <w:lang w:val="en-IE"/>
              </w:rPr>
              <w:t>Without prejudging the proposals for the post-2027 Multi-annual Financial Framework</w:t>
            </w:r>
            <w:r w:rsidR="00D90B25">
              <w:rPr>
                <w:rFonts w:ascii="Times New Roman" w:hAnsi="Times New Roman"/>
                <w:sz w:val="24"/>
                <w:szCs w:val="24"/>
                <w:lang w:val="en-IE"/>
              </w:rPr>
              <w:t> (MFF)</w:t>
            </w:r>
            <w:r w:rsidR="00464DBC" w:rsidRPr="00464DBC">
              <w:rPr>
                <w:rFonts w:ascii="Times New Roman" w:hAnsi="Times New Roman"/>
                <w:sz w:val="24"/>
                <w:szCs w:val="24"/>
                <w:lang w:val="en-IE"/>
              </w:rPr>
              <w:t xml:space="preserve">, the Commission’s goal is </w:t>
            </w:r>
            <w:r w:rsidR="00464DBC" w:rsidRPr="00FB1EC1">
              <w:rPr>
                <w:rFonts w:ascii="Times New Roman" w:hAnsi="Times New Roman"/>
                <w:sz w:val="24"/>
                <w:szCs w:val="24"/>
                <w:lang w:val="en-IE"/>
              </w:rPr>
              <w:t xml:space="preserve">to ensure </w:t>
            </w:r>
            <w:r w:rsidR="007C690E" w:rsidRPr="00FB1EC1">
              <w:rPr>
                <w:rFonts w:ascii="Times New Roman" w:hAnsi="Times New Roman"/>
                <w:sz w:val="24"/>
                <w:szCs w:val="24"/>
                <w:lang w:val="en-IE"/>
              </w:rPr>
              <w:t>t</w:t>
            </w:r>
            <w:r w:rsidR="00FB1EC1" w:rsidRPr="00FB1EC1">
              <w:rPr>
                <w:rFonts w:ascii="Times New Roman" w:hAnsi="Times New Roman"/>
                <w:sz w:val="24"/>
                <w:szCs w:val="24"/>
                <w:lang w:val="en-IE"/>
              </w:rPr>
              <w:t xml:space="preserve">hat we </w:t>
            </w:r>
            <w:r w:rsidR="00464DBC" w:rsidRPr="00FB1EC1">
              <w:rPr>
                <w:rFonts w:ascii="Times New Roman" w:hAnsi="Times New Roman"/>
                <w:sz w:val="24"/>
                <w:szCs w:val="24"/>
                <w:lang w:val="en-IE"/>
              </w:rPr>
              <w:t>continue to build</w:t>
            </w:r>
            <w:r w:rsidR="00464DBC" w:rsidRPr="00464DBC">
              <w:rPr>
                <w:rFonts w:ascii="Times New Roman" w:hAnsi="Times New Roman"/>
                <w:sz w:val="24"/>
                <w:szCs w:val="24"/>
                <w:lang w:val="en-IE"/>
              </w:rPr>
              <w:t xml:space="preserve"> a more robust approach to European crisis management and civil preparedness, shifting from reaction to proactive readiness.</w:t>
            </w:r>
          </w:p>
          <w:p w14:paraId="6DC322CE" w14:textId="0B189990" w:rsidR="00BC0EAE" w:rsidRDefault="00C01503" w:rsidP="00C84225">
            <w:pPr>
              <w:widowControl w:val="0"/>
              <w:spacing w:before="120" w:after="120"/>
              <w:ind w:right="113"/>
              <w:jc w:val="both"/>
              <w:rPr>
                <w:rFonts w:ascii="Times New Roman" w:hAnsi="Times New Roman"/>
                <w:sz w:val="24"/>
                <w:szCs w:val="24"/>
                <w:lang w:val="en-IE"/>
              </w:rPr>
            </w:pPr>
            <w:r>
              <w:rPr>
                <w:rFonts w:ascii="Times New Roman" w:hAnsi="Times New Roman"/>
                <w:sz w:val="24"/>
                <w:szCs w:val="24"/>
                <w:lang w:val="en-IE"/>
              </w:rPr>
              <w:t xml:space="preserve">Regarding the request </w:t>
            </w:r>
            <w:r w:rsidR="00345A47">
              <w:rPr>
                <w:rFonts w:ascii="Times New Roman" w:hAnsi="Times New Roman"/>
                <w:sz w:val="24"/>
                <w:szCs w:val="24"/>
                <w:lang w:val="en-IE"/>
              </w:rPr>
              <w:t xml:space="preserve">for </w:t>
            </w:r>
            <w:r>
              <w:rPr>
                <w:rFonts w:ascii="Times New Roman" w:hAnsi="Times New Roman"/>
                <w:sz w:val="24"/>
                <w:szCs w:val="24"/>
                <w:lang w:val="en-IE"/>
              </w:rPr>
              <w:t>adding funding possibilities for preventive measures (</w:t>
            </w:r>
            <w:r w:rsidRPr="00C84225">
              <w:rPr>
                <w:rFonts w:ascii="Times New Roman" w:hAnsi="Times New Roman"/>
                <w:sz w:val="24"/>
                <w:szCs w:val="24"/>
                <w:u w:val="single"/>
                <w:lang w:val="en-IE"/>
              </w:rPr>
              <w:t>point 2.3.6</w:t>
            </w:r>
            <w:r>
              <w:rPr>
                <w:rFonts w:ascii="Times New Roman" w:hAnsi="Times New Roman"/>
                <w:sz w:val="24"/>
                <w:szCs w:val="24"/>
                <w:lang w:val="en-IE"/>
              </w:rPr>
              <w:t xml:space="preserve">), the Commission clarifies that the use of RESTORE </w:t>
            </w:r>
            <w:r w:rsidR="00345A47">
              <w:rPr>
                <w:rFonts w:ascii="Times New Roman" w:hAnsi="Times New Roman"/>
                <w:sz w:val="24"/>
                <w:szCs w:val="24"/>
                <w:lang w:val="en-IE"/>
              </w:rPr>
              <w:t>should</w:t>
            </w:r>
            <w:r>
              <w:rPr>
                <w:rFonts w:ascii="Times New Roman" w:hAnsi="Times New Roman"/>
                <w:sz w:val="24"/>
                <w:szCs w:val="24"/>
                <w:lang w:val="en-IE"/>
              </w:rPr>
              <w:t xml:space="preserve"> not interfere with the need to continue prioritising</w:t>
            </w:r>
            <w:r w:rsidR="00DE6069" w:rsidRPr="00DE6069">
              <w:rPr>
                <w:rFonts w:ascii="Times New Roman" w:hAnsi="Times New Roman"/>
                <w:sz w:val="24"/>
                <w:szCs w:val="24"/>
                <w:lang w:val="en-IE"/>
              </w:rPr>
              <w:t xml:space="preserve"> disaster prevention measures</w:t>
            </w:r>
            <w:r w:rsidR="00BC0EAE">
              <w:rPr>
                <w:rFonts w:ascii="Times New Roman" w:hAnsi="Times New Roman"/>
                <w:sz w:val="24"/>
                <w:szCs w:val="24"/>
                <w:lang w:val="en-IE"/>
              </w:rPr>
              <w:t>. Member States are</w:t>
            </w:r>
            <w:r w:rsidR="00DE6069" w:rsidRPr="00DE6069">
              <w:rPr>
                <w:rFonts w:ascii="Times New Roman" w:hAnsi="Times New Roman"/>
                <w:sz w:val="24"/>
                <w:szCs w:val="24"/>
                <w:lang w:val="en-IE"/>
              </w:rPr>
              <w:t xml:space="preserve"> required to prepare</w:t>
            </w:r>
            <w:r w:rsidR="002F3A09">
              <w:rPr>
                <w:rFonts w:ascii="Times New Roman" w:hAnsi="Times New Roman"/>
                <w:sz w:val="24"/>
                <w:szCs w:val="24"/>
                <w:lang w:val="en-IE"/>
              </w:rPr>
              <w:t xml:space="preserve"> </w:t>
            </w:r>
            <w:r w:rsidR="00DE6069" w:rsidRPr="00DE6069">
              <w:rPr>
                <w:rFonts w:ascii="Times New Roman" w:hAnsi="Times New Roman"/>
                <w:sz w:val="24"/>
                <w:szCs w:val="24"/>
                <w:lang w:val="en-IE"/>
              </w:rPr>
              <w:t>disaster risk management plans,</w:t>
            </w:r>
            <w:r w:rsidR="002F3A09">
              <w:rPr>
                <w:rFonts w:ascii="Times New Roman" w:hAnsi="Times New Roman"/>
                <w:sz w:val="24"/>
                <w:szCs w:val="24"/>
                <w:lang w:val="en-IE"/>
              </w:rPr>
              <w:t xml:space="preserve"> </w:t>
            </w:r>
            <w:r w:rsidR="00DE6069" w:rsidRPr="00DE6069">
              <w:rPr>
                <w:rFonts w:ascii="Times New Roman" w:hAnsi="Times New Roman"/>
                <w:sz w:val="24"/>
                <w:szCs w:val="24"/>
                <w:lang w:val="en-IE"/>
              </w:rPr>
              <w:t>with cohesion policy funds supporting measures that foster disaster risk prevention and resilience. In addition,</w:t>
            </w:r>
            <w:r w:rsidR="002F3A09">
              <w:rPr>
                <w:rFonts w:ascii="Times New Roman" w:hAnsi="Times New Roman"/>
                <w:sz w:val="24"/>
                <w:szCs w:val="24"/>
                <w:lang w:val="en-IE"/>
              </w:rPr>
              <w:t xml:space="preserve"> </w:t>
            </w:r>
            <w:r w:rsidR="00DE6069" w:rsidRPr="00DE6069">
              <w:rPr>
                <w:rFonts w:ascii="Times New Roman" w:hAnsi="Times New Roman"/>
                <w:sz w:val="24"/>
                <w:szCs w:val="24"/>
                <w:lang w:val="en-IE"/>
              </w:rPr>
              <w:t xml:space="preserve">reconstruction investments </w:t>
            </w:r>
            <w:r w:rsidR="00BC0EAE">
              <w:rPr>
                <w:rFonts w:ascii="Times New Roman" w:hAnsi="Times New Roman"/>
                <w:sz w:val="24"/>
                <w:szCs w:val="24"/>
                <w:lang w:val="en-IE"/>
              </w:rPr>
              <w:t xml:space="preserve">under RESTORE </w:t>
            </w:r>
            <w:r w:rsidR="00DE6069" w:rsidRPr="00DE6069">
              <w:rPr>
                <w:rFonts w:ascii="Times New Roman" w:hAnsi="Times New Roman"/>
                <w:sz w:val="24"/>
                <w:szCs w:val="24"/>
                <w:lang w:val="en-IE"/>
              </w:rPr>
              <w:t>will need to be designed in a</w:t>
            </w:r>
            <w:r w:rsidR="00C84225">
              <w:rPr>
                <w:rFonts w:ascii="Times New Roman" w:hAnsi="Times New Roman"/>
                <w:sz w:val="24"/>
                <w:szCs w:val="24"/>
                <w:lang w:val="en-IE"/>
              </w:rPr>
              <w:t> </w:t>
            </w:r>
            <w:r w:rsidR="00DE6069" w:rsidRPr="00DE6069">
              <w:rPr>
                <w:rFonts w:ascii="Times New Roman" w:hAnsi="Times New Roman"/>
                <w:sz w:val="24"/>
                <w:szCs w:val="24"/>
                <w:lang w:val="en-IE"/>
              </w:rPr>
              <w:t xml:space="preserve">way </w:t>
            </w:r>
            <w:r w:rsidR="00DE6069" w:rsidRPr="00EE487C">
              <w:rPr>
                <w:rFonts w:ascii="Times New Roman" w:hAnsi="Times New Roman"/>
                <w:sz w:val="24"/>
                <w:szCs w:val="24"/>
                <w:lang w:val="en-IE"/>
              </w:rPr>
              <w:t>t</w:t>
            </w:r>
            <w:r w:rsidR="00EE487C" w:rsidRPr="00EE487C">
              <w:rPr>
                <w:rFonts w:ascii="Times New Roman" w:hAnsi="Times New Roman"/>
                <w:sz w:val="24"/>
                <w:szCs w:val="24"/>
                <w:lang w:val="en-IE"/>
              </w:rPr>
              <w:t>hat enhances the infrastructures’ resilience to withstand</w:t>
            </w:r>
            <w:r w:rsidR="00DE6069" w:rsidRPr="00EE487C">
              <w:rPr>
                <w:rFonts w:ascii="Times New Roman" w:hAnsi="Times New Roman"/>
                <w:sz w:val="24"/>
                <w:szCs w:val="24"/>
                <w:lang w:val="en-IE"/>
              </w:rPr>
              <w:t xml:space="preserve"> future disasters.</w:t>
            </w:r>
          </w:p>
          <w:p w14:paraId="7660CAE9" w14:textId="53AC02C7" w:rsidR="00BC0EAE" w:rsidRPr="00DE6069" w:rsidRDefault="00BC0EAE" w:rsidP="00C84225">
            <w:pPr>
              <w:widowControl w:val="0"/>
              <w:spacing w:before="120" w:after="120"/>
              <w:ind w:right="113"/>
              <w:jc w:val="both"/>
              <w:rPr>
                <w:rFonts w:ascii="Times New Roman" w:hAnsi="Times New Roman"/>
                <w:sz w:val="24"/>
                <w:szCs w:val="24"/>
                <w:lang w:val="en-IE"/>
              </w:rPr>
            </w:pPr>
            <w:r>
              <w:rPr>
                <w:rFonts w:ascii="Times New Roman" w:hAnsi="Times New Roman"/>
                <w:sz w:val="24"/>
                <w:szCs w:val="24"/>
                <w:lang w:val="en-IE"/>
              </w:rPr>
              <w:t>As for the definition of natural disasters (</w:t>
            </w:r>
            <w:r w:rsidRPr="00C84225">
              <w:rPr>
                <w:rFonts w:ascii="Times New Roman" w:hAnsi="Times New Roman"/>
                <w:sz w:val="24"/>
                <w:szCs w:val="24"/>
                <w:u w:val="single"/>
                <w:lang w:val="en-IE"/>
              </w:rPr>
              <w:t>point 2.3.8</w:t>
            </w:r>
            <w:r>
              <w:rPr>
                <w:rFonts w:ascii="Times New Roman" w:hAnsi="Times New Roman"/>
                <w:sz w:val="24"/>
                <w:szCs w:val="24"/>
                <w:lang w:val="en-IE"/>
              </w:rPr>
              <w:t>), the Commission clarifies that e</w:t>
            </w:r>
            <w:r w:rsidRPr="00BC0EAE">
              <w:rPr>
                <w:rFonts w:ascii="Times New Roman" w:hAnsi="Times New Roman"/>
                <w:sz w:val="24"/>
                <w:szCs w:val="24"/>
                <w:lang w:val="en-IE"/>
              </w:rPr>
              <w:t xml:space="preserve">vents qualify as natural disasters if they are major or regional natural disasters in the meaning of the </w:t>
            </w:r>
            <w:r w:rsidR="002F3A09" w:rsidRPr="002F3A09">
              <w:rPr>
                <w:rFonts w:ascii="Times New Roman" w:hAnsi="Times New Roman"/>
                <w:sz w:val="24"/>
                <w:szCs w:val="24"/>
              </w:rPr>
              <w:t>European Union Solidarity Fund</w:t>
            </w:r>
            <w:r w:rsidR="002F3A09" w:rsidRPr="002F3A09">
              <w:rPr>
                <w:rFonts w:ascii="Times New Roman" w:hAnsi="Times New Roman"/>
                <w:sz w:val="24"/>
                <w:szCs w:val="24"/>
                <w:lang w:val="en-IE"/>
              </w:rPr>
              <w:t xml:space="preserve"> </w:t>
            </w:r>
            <w:r w:rsidR="002F3A09">
              <w:rPr>
                <w:rFonts w:ascii="Times New Roman" w:hAnsi="Times New Roman"/>
                <w:sz w:val="24"/>
                <w:szCs w:val="24"/>
                <w:lang w:val="en-IE"/>
              </w:rPr>
              <w:t>(</w:t>
            </w:r>
            <w:r w:rsidRPr="00BC0EAE">
              <w:rPr>
                <w:rFonts w:ascii="Times New Roman" w:hAnsi="Times New Roman"/>
                <w:sz w:val="24"/>
                <w:szCs w:val="24"/>
                <w:lang w:val="en-IE"/>
              </w:rPr>
              <w:t>EUSF</w:t>
            </w:r>
            <w:r w:rsidR="002F3A09">
              <w:rPr>
                <w:rFonts w:ascii="Times New Roman" w:hAnsi="Times New Roman"/>
                <w:sz w:val="24"/>
                <w:szCs w:val="24"/>
                <w:lang w:val="en-IE"/>
              </w:rPr>
              <w:t>)</w:t>
            </w:r>
            <w:r w:rsidRPr="00BC0EAE">
              <w:rPr>
                <w:rFonts w:ascii="Times New Roman" w:hAnsi="Times New Roman"/>
                <w:sz w:val="24"/>
                <w:szCs w:val="24"/>
                <w:lang w:val="en-IE"/>
              </w:rPr>
              <w:t xml:space="preserve"> Regulation</w:t>
            </w:r>
            <w:r w:rsidR="00402B11">
              <w:rPr>
                <w:rStyle w:val="FootnoteReference"/>
                <w:rFonts w:ascii="Times New Roman" w:hAnsi="Times New Roman"/>
                <w:sz w:val="24"/>
                <w:szCs w:val="24"/>
                <w:lang w:val="en-IE"/>
              </w:rPr>
              <w:footnoteReference w:id="4"/>
            </w:r>
            <w:r w:rsidRPr="00BC0EAE">
              <w:rPr>
                <w:rFonts w:ascii="Times New Roman" w:hAnsi="Times New Roman"/>
                <w:sz w:val="24"/>
                <w:szCs w:val="24"/>
                <w:lang w:val="en-IE"/>
              </w:rPr>
              <w:t xml:space="preserve">. However, </w:t>
            </w:r>
            <w:r w:rsidR="00FB1EC1">
              <w:rPr>
                <w:rFonts w:ascii="Times New Roman" w:hAnsi="Times New Roman"/>
                <w:sz w:val="24"/>
                <w:szCs w:val="24"/>
                <w:lang w:val="en-IE"/>
              </w:rPr>
              <w:t xml:space="preserve">a </w:t>
            </w:r>
            <w:r w:rsidRPr="00BC0EAE">
              <w:rPr>
                <w:rFonts w:ascii="Times New Roman" w:hAnsi="Times New Roman"/>
                <w:sz w:val="24"/>
                <w:szCs w:val="24"/>
                <w:lang w:val="en-IE"/>
              </w:rPr>
              <w:t xml:space="preserve">natural disaster resulting in direct damage below the EUSF thresholds may also qualify, </w:t>
            </w:r>
            <w:proofErr w:type="gramStart"/>
            <w:r w:rsidRPr="00BC0EAE">
              <w:rPr>
                <w:rFonts w:ascii="Times New Roman" w:hAnsi="Times New Roman"/>
                <w:sz w:val="24"/>
                <w:szCs w:val="24"/>
                <w:lang w:val="en-IE"/>
              </w:rPr>
              <w:t>provided that</w:t>
            </w:r>
            <w:proofErr w:type="gramEnd"/>
            <w:r w:rsidRPr="00BC0EAE">
              <w:rPr>
                <w:rFonts w:ascii="Times New Roman" w:hAnsi="Times New Roman"/>
                <w:sz w:val="24"/>
                <w:szCs w:val="24"/>
                <w:lang w:val="en-IE"/>
              </w:rPr>
              <w:t xml:space="preserve"> </w:t>
            </w:r>
            <w:r w:rsidRPr="00EE487C">
              <w:rPr>
                <w:rFonts w:ascii="Times New Roman" w:hAnsi="Times New Roman"/>
                <w:sz w:val="24"/>
                <w:szCs w:val="24"/>
                <w:lang w:val="en-IE"/>
              </w:rPr>
              <w:t>it was</w:t>
            </w:r>
            <w:r w:rsidRPr="00BC0EAE">
              <w:rPr>
                <w:rFonts w:ascii="Times New Roman" w:hAnsi="Times New Roman"/>
                <w:sz w:val="24"/>
                <w:szCs w:val="24"/>
                <w:lang w:val="en-IE"/>
              </w:rPr>
              <w:t xml:space="preserve"> recognised as such by a</w:t>
            </w:r>
            <w:r w:rsidR="00C84225">
              <w:rPr>
                <w:rFonts w:ascii="Times New Roman" w:hAnsi="Times New Roman"/>
                <w:sz w:val="24"/>
                <w:szCs w:val="24"/>
                <w:lang w:val="en-IE"/>
              </w:rPr>
              <w:t xml:space="preserve"> </w:t>
            </w:r>
            <w:r w:rsidRPr="00BC0EAE">
              <w:rPr>
                <w:rFonts w:ascii="Times New Roman" w:hAnsi="Times New Roman"/>
                <w:sz w:val="24"/>
                <w:szCs w:val="24"/>
                <w:lang w:val="en-IE"/>
              </w:rPr>
              <w:t>competent public authority in the Member State.</w:t>
            </w:r>
          </w:p>
          <w:p w14:paraId="5CFA4AD4" w14:textId="756DF2F1" w:rsidR="004F6117" w:rsidRDefault="00251074" w:rsidP="00C84225">
            <w:pPr>
              <w:widowControl w:val="0"/>
              <w:tabs>
                <w:tab w:val="num" w:pos="720"/>
              </w:tabs>
              <w:spacing w:before="120" w:after="120"/>
              <w:ind w:right="113"/>
              <w:jc w:val="both"/>
              <w:rPr>
                <w:rFonts w:ascii="Times New Roman" w:hAnsi="Times New Roman"/>
                <w:sz w:val="24"/>
                <w:szCs w:val="24"/>
              </w:rPr>
            </w:pPr>
            <w:r>
              <w:rPr>
                <w:rFonts w:ascii="Times New Roman" w:hAnsi="Times New Roman"/>
                <w:sz w:val="24"/>
                <w:szCs w:val="24"/>
              </w:rPr>
              <w:t xml:space="preserve">The Commission </w:t>
            </w:r>
            <w:r w:rsidR="00A66E0A">
              <w:rPr>
                <w:rFonts w:ascii="Times New Roman" w:hAnsi="Times New Roman"/>
                <w:sz w:val="24"/>
                <w:szCs w:val="24"/>
              </w:rPr>
              <w:t xml:space="preserve">also </w:t>
            </w:r>
            <w:r>
              <w:rPr>
                <w:rFonts w:ascii="Times New Roman" w:hAnsi="Times New Roman"/>
                <w:sz w:val="24"/>
                <w:szCs w:val="24"/>
              </w:rPr>
              <w:t>notes that</w:t>
            </w:r>
            <w:r w:rsidR="006B3708">
              <w:rPr>
                <w:rFonts w:ascii="Times New Roman" w:hAnsi="Times New Roman"/>
                <w:sz w:val="24"/>
                <w:szCs w:val="24"/>
              </w:rPr>
              <w:t>,</w:t>
            </w:r>
            <w:r>
              <w:rPr>
                <w:rFonts w:ascii="Times New Roman" w:hAnsi="Times New Roman"/>
                <w:sz w:val="24"/>
                <w:szCs w:val="24"/>
              </w:rPr>
              <w:t xml:space="preserve"> while </w:t>
            </w:r>
            <w:r w:rsidR="00184457">
              <w:rPr>
                <w:rFonts w:ascii="Times New Roman" w:hAnsi="Times New Roman"/>
                <w:sz w:val="24"/>
                <w:szCs w:val="24"/>
              </w:rPr>
              <w:t xml:space="preserve">EESC </w:t>
            </w:r>
            <w:r>
              <w:rPr>
                <w:rFonts w:ascii="Times New Roman" w:hAnsi="Times New Roman"/>
                <w:sz w:val="24"/>
                <w:szCs w:val="24"/>
              </w:rPr>
              <w:t xml:space="preserve">requested </w:t>
            </w:r>
            <w:r w:rsidR="00A04416">
              <w:rPr>
                <w:rFonts w:ascii="Times New Roman" w:hAnsi="Times New Roman"/>
                <w:sz w:val="24"/>
                <w:szCs w:val="24"/>
              </w:rPr>
              <w:t xml:space="preserve">that </w:t>
            </w:r>
            <w:r>
              <w:rPr>
                <w:rFonts w:ascii="Times New Roman" w:hAnsi="Times New Roman"/>
                <w:sz w:val="24"/>
                <w:szCs w:val="24"/>
              </w:rPr>
              <w:t xml:space="preserve">a </w:t>
            </w:r>
            <w:r w:rsidR="00A66E0A">
              <w:rPr>
                <w:rFonts w:ascii="Times New Roman" w:hAnsi="Times New Roman"/>
                <w:sz w:val="24"/>
                <w:szCs w:val="24"/>
              </w:rPr>
              <w:t>substantial share of funds be directed</w:t>
            </w:r>
            <w:r>
              <w:rPr>
                <w:rFonts w:ascii="Times New Roman" w:hAnsi="Times New Roman"/>
                <w:sz w:val="24"/>
                <w:szCs w:val="24"/>
              </w:rPr>
              <w:t xml:space="preserve"> to</w:t>
            </w:r>
            <w:r w:rsidR="0081395C">
              <w:rPr>
                <w:rFonts w:ascii="Times New Roman" w:hAnsi="Times New Roman"/>
                <w:sz w:val="24"/>
                <w:szCs w:val="24"/>
              </w:rPr>
              <w:t xml:space="preserve"> civil society organisations, workers, </w:t>
            </w:r>
            <w:r w:rsidR="002F3A09">
              <w:rPr>
                <w:rFonts w:ascii="Times New Roman" w:hAnsi="Times New Roman"/>
                <w:sz w:val="24"/>
                <w:szCs w:val="24"/>
              </w:rPr>
              <w:t>s</w:t>
            </w:r>
            <w:r w:rsidR="002F3A09" w:rsidRPr="002F3A09">
              <w:rPr>
                <w:rFonts w:ascii="Times New Roman" w:hAnsi="Times New Roman"/>
                <w:sz w:val="24"/>
                <w:szCs w:val="24"/>
              </w:rPr>
              <w:t>mall and medium-sized enterprises </w:t>
            </w:r>
            <w:r w:rsidR="002F3A09">
              <w:rPr>
                <w:rFonts w:ascii="Times New Roman" w:hAnsi="Times New Roman"/>
                <w:sz w:val="24"/>
                <w:szCs w:val="24"/>
              </w:rPr>
              <w:t>(</w:t>
            </w:r>
            <w:r w:rsidR="0081395C">
              <w:rPr>
                <w:rFonts w:ascii="Times New Roman" w:hAnsi="Times New Roman"/>
                <w:sz w:val="24"/>
                <w:szCs w:val="24"/>
              </w:rPr>
              <w:t>SMEs</w:t>
            </w:r>
            <w:r w:rsidR="002F3A09">
              <w:rPr>
                <w:rFonts w:ascii="Times New Roman" w:hAnsi="Times New Roman"/>
                <w:sz w:val="24"/>
                <w:szCs w:val="24"/>
              </w:rPr>
              <w:t>)</w:t>
            </w:r>
            <w:r w:rsidR="0081395C">
              <w:rPr>
                <w:rFonts w:ascii="Times New Roman" w:hAnsi="Times New Roman"/>
                <w:sz w:val="24"/>
                <w:szCs w:val="24"/>
              </w:rPr>
              <w:t xml:space="preserve"> and </w:t>
            </w:r>
            <w:r w:rsidR="002F3A09" w:rsidRPr="00693B9C">
              <w:rPr>
                <w:rFonts w:ascii="Times New Roman" w:hAnsi="Times New Roman"/>
                <w:sz w:val="24"/>
                <w:szCs w:val="24"/>
              </w:rPr>
              <w:t>non-governmental organisations</w:t>
            </w:r>
            <w:r w:rsidR="002F3A09">
              <w:rPr>
                <w:rFonts w:ascii="Times New Roman" w:hAnsi="Times New Roman"/>
                <w:sz w:val="24"/>
                <w:szCs w:val="24"/>
              </w:rPr>
              <w:t> (</w:t>
            </w:r>
            <w:r w:rsidR="0081395C">
              <w:rPr>
                <w:rFonts w:ascii="Times New Roman" w:hAnsi="Times New Roman"/>
                <w:sz w:val="24"/>
                <w:szCs w:val="24"/>
              </w:rPr>
              <w:t>NGOs</w:t>
            </w:r>
            <w:r w:rsidR="002F3A09">
              <w:rPr>
                <w:rFonts w:ascii="Times New Roman" w:hAnsi="Times New Roman"/>
                <w:sz w:val="24"/>
                <w:szCs w:val="24"/>
              </w:rPr>
              <w:t>)</w:t>
            </w:r>
            <w:r w:rsidR="001339BE">
              <w:rPr>
                <w:rFonts w:ascii="Times New Roman" w:hAnsi="Times New Roman"/>
                <w:sz w:val="24"/>
                <w:szCs w:val="24"/>
              </w:rPr>
              <w:t xml:space="preserve"> (</w:t>
            </w:r>
            <w:r w:rsidR="0081395C">
              <w:rPr>
                <w:rFonts w:ascii="Times New Roman" w:hAnsi="Times New Roman"/>
                <w:sz w:val="24"/>
                <w:szCs w:val="24"/>
              </w:rPr>
              <w:t xml:space="preserve">under </w:t>
            </w:r>
            <w:r w:rsidR="0081395C" w:rsidRPr="00C84225">
              <w:rPr>
                <w:rFonts w:ascii="Times New Roman" w:hAnsi="Times New Roman"/>
                <w:sz w:val="24"/>
                <w:szCs w:val="24"/>
                <w:u w:val="single"/>
              </w:rPr>
              <w:t>point 1.10</w:t>
            </w:r>
            <w:r w:rsidR="001339BE">
              <w:rPr>
                <w:rFonts w:ascii="Times New Roman" w:hAnsi="Times New Roman"/>
                <w:sz w:val="24"/>
                <w:szCs w:val="24"/>
              </w:rPr>
              <w:t xml:space="preserve">) as </w:t>
            </w:r>
            <w:r>
              <w:rPr>
                <w:rFonts w:ascii="Times New Roman" w:hAnsi="Times New Roman"/>
                <w:sz w:val="24"/>
                <w:szCs w:val="24"/>
              </w:rPr>
              <w:t>seen with</w:t>
            </w:r>
            <w:r w:rsidR="001339BE">
              <w:rPr>
                <w:rFonts w:ascii="Times New Roman" w:hAnsi="Times New Roman"/>
                <w:sz w:val="24"/>
                <w:szCs w:val="24"/>
              </w:rPr>
              <w:t xml:space="preserve"> </w:t>
            </w:r>
            <w:r w:rsidR="002F3A09" w:rsidRPr="002F3A09">
              <w:rPr>
                <w:rFonts w:ascii="Times New Roman" w:hAnsi="Times New Roman"/>
                <w:sz w:val="24"/>
                <w:szCs w:val="24"/>
              </w:rPr>
              <w:t>Flexible Assistance to Territories</w:t>
            </w:r>
            <w:r w:rsidR="002F3A09">
              <w:rPr>
                <w:rFonts w:ascii="Times New Roman" w:hAnsi="Times New Roman"/>
                <w:sz w:val="24"/>
                <w:szCs w:val="24"/>
              </w:rPr>
              <w:t> (</w:t>
            </w:r>
            <w:r w:rsidR="001339BE">
              <w:rPr>
                <w:rFonts w:ascii="Times New Roman" w:hAnsi="Times New Roman"/>
                <w:sz w:val="24"/>
                <w:szCs w:val="24"/>
              </w:rPr>
              <w:t>FAST-CARE</w:t>
            </w:r>
            <w:r w:rsidR="002F3A09">
              <w:rPr>
                <w:rFonts w:ascii="Times New Roman" w:hAnsi="Times New Roman"/>
                <w:sz w:val="24"/>
                <w:szCs w:val="24"/>
              </w:rPr>
              <w:t>)</w:t>
            </w:r>
            <w:r w:rsidR="002F3A09">
              <w:rPr>
                <w:rStyle w:val="FootnoteReference"/>
                <w:rFonts w:ascii="Times New Roman" w:hAnsi="Times New Roman"/>
                <w:sz w:val="24"/>
                <w:szCs w:val="24"/>
              </w:rPr>
              <w:footnoteReference w:id="5"/>
            </w:r>
            <w:r w:rsidR="001339BE">
              <w:rPr>
                <w:rFonts w:ascii="Times New Roman" w:hAnsi="Times New Roman"/>
                <w:sz w:val="24"/>
                <w:szCs w:val="24"/>
              </w:rPr>
              <w:t xml:space="preserve"> (</w:t>
            </w:r>
            <w:r w:rsidR="001339BE" w:rsidRPr="00C84225">
              <w:rPr>
                <w:rFonts w:ascii="Times New Roman" w:hAnsi="Times New Roman"/>
                <w:sz w:val="24"/>
                <w:szCs w:val="24"/>
                <w:u w:val="single"/>
              </w:rPr>
              <w:t>point 2.2.9</w:t>
            </w:r>
            <w:r w:rsidR="001339BE">
              <w:rPr>
                <w:rFonts w:ascii="Times New Roman" w:hAnsi="Times New Roman"/>
                <w:sz w:val="24"/>
                <w:szCs w:val="24"/>
              </w:rPr>
              <w:t xml:space="preserve">), </w:t>
            </w:r>
            <w:r>
              <w:rPr>
                <w:rFonts w:ascii="Times New Roman" w:hAnsi="Times New Roman"/>
                <w:sz w:val="24"/>
                <w:szCs w:val="24"/>
              </w:rPr>
              <w:t>RESTORE serves a different purpose.</w:t>
            </w:r>
            <w:r w:rsidR="00D9142C">
              <w:rPr>
                <w:rFonts w:ascii="Times New Roman" w:hAnsi="Times New Roman"/>
                <w:sz w:val="24"/>
                <w:szCs w:val="24"/>
              </w:rPr>
              <w:t xml:space="preserve"> </w:t>
            </w:r>
            <w:r w:rsidR="00A04416">
              <w:rPr>
                <w:rFonts w:ascii="Times New Roman" w:hAnsi="Times New Roman"/>
                <w:sz w:val="24"/>
                <w:szCs w:val="24"/>
              </w:rPr>
              <w:t xml:space="preserve">Contrary to </w:t>
            </w:r>
            <w:r>
              <w:rPr>
                <w:rFonts w:ascii="Times New Roman" w:hAnsi="Times New Roman"/>
                <w:sz w:val="24"/>
                <w:szCs w:val="24"/>
              </w:rPr>
              <w:t xml:space="preserve">FAST-CARE </w:t>
            </w:r>
            <w:r w:rsidR="00A04416">
              <w:rPr>
                <w:rFonts w:ascii="Times New Roman" w:hAnsi="Times New Roman"/>
                <w:sz w:val="24"/>
                <w:szCs w:val="24"/>
              </w:rPr>
              <w:t>providing</w:t>
            </w:r>
            <w:r>
              <w:rPr>
                <w:rFonts w:ascii="Times New Roman" w:hAnsi="Times New Roman"/>
                <w:sz w:val="24"/>
                <w:szCs w:val="24"/>
              </w:rPr>
              <w:t xml:space="preserve"> emergency </w:t>
            </w:r>
            <w:r w:rsidR="001339BE" w:rsidRPr="001339BE">
              <w:rPr>
                <w:rFonts w:ascii="Times New Roman" w:hAnsi="Times New Roman"/>
                <w:sz w:val="24"/>
                <w:szCs w:val="24"/>
              </w:rPr>
              <w:t>support to people fleeing from Russia's invasion of Ukraine</w:t>
            </w:r>
            <w:r w:rsidR="00D9142C">
              <w:rPr>
                <w:rFonts w:ascii="Times New Roman" w:hAnsi="Times New Roman"/>
                <w:sz w:val="24"/>
                <w:szCs w:val="24"/>
              </w:rPr>
              <w:t xml:space="preserve">, RESTORE </w:t>
            </w:r>
            <w:r>
              <w:rPr>
                <w:rFonts w:ascii="Times New Roman" w:hAnsi="Times New Roman"/>
                <w:sz w:val="24"/>
                <w:szCs w:val="24"/>
              </w:rPr>
              <w:t xml:space="preserve">is essentially designed </w:t>
            </w:r>
            <w:r w:rsidR="00A04416">
              <w:rPr>
                <w:rFonts w:ascii="Times New Roman" w:hAnsi="Times New Roman"/>
                <w:sz w:val="24"/>
                <w:szCs w:val="24"/>
              </w:rPr>
              <w:t xml:space="preserve">for reconstruction and </w:t>
            </w:r>
            <w:r>
              <w:rPr>
                <w:rFonts w:ascii="Times New Roman" w:hAnsi="Times New Roman"/>
                <w:sz w:val="24"/>
                <w:szCs w:val="24"/>
              </w:rPr>
              <w:t xml:space="preserve">repair </w:t>
            </w:r>
            <w:r w:rsidR="00A04416">
              <w:rPr>
                <w:rFonts w:ascii="Times New Roman" w:hAnsi="Times New Roman"/>
                <w:sz w:val="24"/>
                <w:szCs w:val="24"/>
              </w:rPr>
              <w:t>measures, notably</w:t>
            </w:r>
            <w:r w:rsidR="00D9142C">
              <w:rPr>
                <w:rFonts w:ascii="Times New Roman" w:hAnsi="Times New Roman"/>
                <w:sz w:val="24"/>
                <w:szCs w:val="24"/>
              </w:rPr>
              <w:t xml:space="preserve"> infrastructure in </w:t>
            </w:r>
            <w:r w:rsidR="00A04416">
              <w:rPr>
                <w:rFonts w:ascii="Times New Roman" w:hAnsi="Times New Roman"/>
                <w:sz w:val="24"/>
                <w:szCs w:val="24"/>
              </w:rPr>
              <w:t xml:space="preserve">Member States and </w:t>
            </w:r>
            <w:r w:rsidR="00D9142C">
              <w:rPr>
                <w:rFonts w:ascii="Times New Roman" w:hAnsi="Times New Roman"/>
                <w:sz w:val="24"/>
                <w:szCs w:val="24"/>
              </w:rPr>
              <w:t>regions affected by natural disasters</w:t>
            </w:r>
            <w:r w:rsidR="00A04416">
              <w:rPr>
                <w:rFonts w:ascii="Times New Roman" w:hAnsi="Times New Roman"/>
                <w:sz w:val="24"/>
                <w:szCs w:val="24"/>
              </w:rPr>
              <w:t>. This requires</w:t>
            </w:r>
            <w:r>
              <w:rPr>
                <w:rFonts w:ascii="Times New Roman" w:hAnsi="Times New Roman"/>
                <w:sz w:val="24"/>
                <w:szCs w:val="24"/>
              </w:rPr>
              <w:t xml:space="preserve"> a coordinated approach.</w:t>
            </w:r>
            <w:r w:rsidR="00697DA5">
              <w:rPr>
                <w:rFonts w:ascii="Times New Roman" w:hAnsi="Times New Roman"/>
                <w:sz w:val="24"/>
                <w:szCs w:val="24"/>
              </w:rPr>
              <w:t xml:space="preserve"> Nevertheless, </w:t>
            </w:r>
            <w:r w:rsidR="002C6818">
              <w:rPr>
                <w:rFonts w:ascii="Times New Roman" w:hAnsi="Times New Roman"/>
                <w:sz w:val="24"/>
                <w:szCs w:val="24"/>
              </w:rPr>
              <w:t>the application of the partnership</w:t>
            </w:r>
            <w:r w:rsidR="006B3708">
              <w:rPr>
                <w:rFonts w:ascii="Times New Roman" w:hAnsi="Times New Roman"/>
                <w:sz w:val="24"/>
                <w:szCs w:val="24"/>
              </w:rPr>
              <w:t xml:space="preserve"> principle, as provided by Article 8 of </w:t>
            </w:r>
            <w:r w:rsidR="00A04416">
              <w:rPr>
                <w:rFonts w:ascii="Times New Roman" w:hAnsi="Times New Roman"/>
                <w:sz w:val="24"/>
                <w:szCs w:val="24"/>
              </w:rPr>
              <w:t>Regulation 2021/1060</w:t>
            </w:r>
            <w:r w:rsidR="00161817">
              <w:rPr>
                <w:rStyle w:val="FootnoteReference"/>
                <w:rFonts w:ascii="Times New Roman" w:hAnsi="Times New Roman"/>
                <w:sz w:val="24"/>
                <w:szCs w:val="24"/>
              </w:rPr>
              <w:footnoteReference w:id="6"/>
            </w:r>
            <w:r w:rsidR="006B3708">
              <w:rPr>
                <w:rFonts w:ascii="Times New Roman" w:hAnsi="Times New Roman"/>
                <w:sz w:val="24"/>
                <w:szCs w:val="24"/>
              </w:rPr>
              <w:t>,</w:t>
            </w:r>
            <w:r w:rsidR="002C6818">
              <w:rPr>
                <w:rFonts w:ascii="Times New Roman" w:hAnsi="Times New Roman"/>
                <w:sz w:val="24"/>
                <w:szCs w:val="24"/>
              </w:rPr>
              <w:t xml:space="preserve"> will </w:t>
            </w:r>
            <w:r w:rsidR="006B3708">
              <w:rPr>
                <w:rFonts w:ascii="Times New Roman" w:hAnsi="Times New Roman"/>
                <w:sz w:val="24"/>
                <w:szCs w:val="24"/>
              </w:rPr>
              <w:t xml:space="preserve">ensure </w:t>
            </w:r>
            <w:r w:rsidR="00A04416">
              <w:rPr>
                <w:rFonts w:ascii="Times New Roman" w:hAnsi="Times New Roman"/>
                <w:sz w:val="24"/>
                <w:szCs w:val="24"/>
              </w:rPr>
              <w:t>the</w:t>
            </w:r>
            <w:r w:rsidR="00A66E0A">
              <w:rPr>
                <w:rFonts w:ascii="Times New Roman" w:hAnsi="Times New Roman"/>
                <w:sz w:val="24"/>
                <w:szCs w:val="24"/>
              </w:rPr>
              <w:t xml:space="preserve"> involvement of partners</w:t>
            </w:r>
            <w:r w:rsidR="006B3708">
              <w:rPr>
                <w:rFonts w:ascii="Times New Roman" w:hAnsi="Times New Roman"/>
                <w:sz w:val="24"/>
                <w:szCs w:val="24"/>
              </w:rPr>
              <w:t xml:space="preserve"> </w:t>
            </w:r>
            <w:r w:rsidR="002C6818">
              <w:rPr>
                <w:rFonts w:ascii="Times New Roman" w:hAnsi="Times New Roman"/>
                <w:sz w:val="24"/>
                <w:szCs w:val="24"/>
              </w:rPr>
              <w:t>in the context of preparing the concerned programme amendments</w:t>
            </w:r>
            <w:r w:rsidR="00A66E0A">
              <w:rPr>
                <w:rFonts w:ascii="Times New Roman" w:hAnsi="Times New Roman"/>
                <w:sz w:val="24"/>
                <w:szCs w:val="24"/>
              </w:rPr>
              <w:t>.</w:t>
            </w:r>
          </w:p>
          <w:p w14:paraId="41ADDDA4" w14:textId="25FF7980" w:rsidR="00DE6069" w:rsidRPr="004E0606" w:rsidRDefault="008828A4" w:rsidP="00C84225">
            <w:pPr>
              <w:widowControl w:val="0"/>
              <w:tabs>
                <w:tab w:val="num" w:pos="720"/>
              </w:tabs>
              <w:spacing w:before="120" w:after="120"/>
              <w:ind w:right="113"/>
              <w:jc w:val="both"/>
              <w:rPr>
                <w:rFonts w:ascii="Times New Roman" w:hAnsi="Times New Roman"/>
                <w:sz w:val="24"/>
                <w:szCs w:val="24"/>
              </w:rPr>
            </w:pPr>
            <w:r>
              <w:rPr>
                <w:rFonts w:ascii="Times New Roman" w:hAnsi="Times New Roman"/>
                <w:sz w:val="24"/>
                <w:szCs w:val="24"/>
              </w:rPr>
              <w:t xml:space="preserve">Finally, </w:t>
            </w:r>
            <w:r w:rsidR="00A04416">
              <w:rPr>
                <w:rFonts w:ascii="Times New Roman" w:hAnsi="Times New Roman"/>
                <w:sz w:val="24"/>
                <w:szCs w:val="24"/>
              </w:rPr>
              <w:t>regarding</w:t>
            </w:r>
            <w:r w:rsidR="008D0728">
              <w:rPr>
                <w:rFonts w:ascii="Times New Roman" w:hAnsi="Times New Roman"/>
                <w:sz w:val="24"/>
                <w:szCs w:val="24"/>
              </w:rPr>
              <w:t xml:space="preserve"> </w:t>
            </w:r>
            <w:r w:rsidR="008D0728" w:rsidRPr="00C84225">
              <w:rPr>
                <w:rFonts w:ascii="Times New Roman" w:hAnsi="Times New Roman"/>
                <w:sz w:val="24"/>
                <w:szCs w:val="24"/>
                <w:u w:val="single"/>
              </w:rPr>
              <w:t>point</w:t>
            </w:r>
            <w:r w:rsidR="00DE6069" w:rsidRPr="00C84225">
              <w:rPr>
                <w:rFonts w:ascii="Times New Roman" w:hAnsi="Times New Roman"/>
                <w:sz w:val="24"/>
                <w:szCs w:val="24"/>
                <w:u w:val="single"/>
              </w:rPr>
              <w:t xml:space="preserve"> 2.3.4</w:t>
            </w:r>
            <w:r w:rsidR="008D0728">
              <w:rPr>
                <w:rFonts w:ascii="Times New Roman" w:hAnsi="Times New Roman"/>
                <w:sz w:val="24"/>
                <w:szCs w:val="24"/>
              </w:rPr>
              <w:t xml:space="preserve">, </w:t>
            </w:r>
            <w:r w:rsidR="00DE6069">
              <w:rPr>
                <w:rFonts w:ascii="Times New Roman" w:hAnsi="Times New Roman"/>
                <w:sz w:val="24"/>
                <w:szCs w:val="24"/>
              </w:rPr>
              <w:t xml:space="preserve">the Commission reassures </w:t>
            </w:r>
            <w:r w:rsidR="00184457">
              <w:rPr>
                <w:rFonts w:ascii="Times New Roman" w:hAnsi="Times New Roman"/>
                <w:sz w:val="24"/>
                <w:szCs w:val="24"/>
              </w:rPr>
              <w:t xml:space="preserve">EESC </w:t>
            </w:r>
            <w:r w:rsidR="00DE6069">
              <w:rPr>
                <w:rFonts w:ascii="Times New Roman" w:hAnsi="Times New Roman"/>
                <w:sz w:val="24"/>
                <w:szCs w:val="24"/>
              </w:rPr>
              <w:t>that</w:t>
            </w:r>
            <w:r w:rsidR="004D4CF1">
              <w:rPr>
                <w:rFonts w:ascii="Times New Roman" w:hAnsi="Times New Roman"/>
                <w:sz w:val="24"/>
                <w:szCs w:val="24"/>
              </w:rPr>
              <w:t xml:space="preserve"> the amendments adopted via RESTORE do not require any</w:t>
            </w:r>
            <w:r w:rsidR="004D4CF1" w:rsidRPr="004D4CF1">
              <w:rPr>
                <w:rFonts w:ascii="Times New Roman" w:hAnsi="Times New Roman"/>
                <w:sz w:val="24"/>
                <w:szCs w:val="24"/>
              </w:rPr>
              <w:t xml:space="preserve"> change in the MFF annual ceilings for commitments and payments</w:t>
            </w:r>
            <w:r w:rsidR="00EA7C6C">
              <w:rPr>
                <w:rFonts w:ascii="Times New Roman" w:hAnsi="Times New Roman"/>
                <w:sz w:val="24"/>
                <w:szCs w:val="24"/>
              </w:rPr>
              <w:t xml:space="preserve">. They remain </w:t>
            </w:r>
            <w:r w:rsidR="00EA7C6C" w:rsidRPr="00EA7C6C">
              <w:rPr>
                <w:rFonts w:ascii="Times New Roman" w:hAnsi="Times New Roman"/>
                <w:sz w:val="24"/>
                <w:szCs w:val="24"/>
              </w:rPr>
              <w:t>within the limits of the overall allocation for 2021-2027</w:t>
            </w:r>
            <w:r w:rsidR="00EA7C6C">
              <w:rPr>
                <w:rFonts w:ascii="Times New Roman" w:hAnsi="Times New Roman"/>
                <w:sz w:val="24"/>
                <w:szCs w:val="24"/>
              </w:rPr>
              <w:t xml:space="preserve"> </w:t>
            </w:r>
            <w:r w:rsidR="00184457">
              <w:rPr>
                <w:rFonts w:ascii="Times New Roman" w:hAnsi="Times New Roman"/>
                <w:sz w:val="24"/>
                <w:szCs w:val="24"/>
              </w:rPr>
              <w:t xml:space="preserve">and </w:t>
            </w:r>
            <w:r w:rsidR="00A04416">
              <w:rPr>
                <w:rFonts w:ascii="Times New Roman" w:hAnsi="Times New Roman"/>
                <w:sz w:val="24"/>
                <w:szCs w:val="24"/>
              </w:rPr>
              <w:t xml:space="preserve">are </w:t>
            </w:r>
            <w:r w:rsidR="00DE6069">
              <w:rPr>
                <w:rFonts w:ascii="Times New Roman" w:hAnsi="Times New Roman"/>
                <w:sz w:val="24"/>
                <w:szCs w:val="24"/>
              </w:rPr>
              <w:t>budgetar</w:t>
            </w:r>
            <w:r w:rsidR="00A04416">
              <w:rPr>
                <w:rFonts w:ascii="Times New Roman" w:hAnsi="Times New Roman"/>
                <w:sz w:val="24"/>
                <w:szCs w:val="24"/>
              </w:rPr>
              <w:t>ily</w:t>
            </w:r>
            <w:r w:rsidR="00DE6069">
              <w:rPr>
                <w:rFonts w:ascii="Times New Roman" w:hAnsi="Times New Roman"/>
                <w:sz w:val="24"/>
                <w:szCs w:val="24"/>
              </w:rPr>
              <w:t xml:space="preserve"> neutral</w:t>
            </w:r>
            <w:r w:rsidR="008D0728">
              <w:rPr>
                <w:rFonts w:ascii="Times New Roman" w:hAnsi="Times New Roman"/>
                <w:sz w:val="24"/>
                <w:szCs w:val="24"/>
              </w:rPr>
              <w:t>.</w:t>
            </w:r>
          </w:p>
        </w:tc>
      </w:tr>
    </w:tbl>
    <w:p w14:paraId="7E347EA8" w14:textId="3EEBE380" w:rsidR="004F6117" w:rsidRPr="004E0606" w:rsidRDefault="004F6117" w:rsidP="00C84225">
      <w:pPr>
        <w:spacing w:after="0" w:line="240" w:lineRule="auto"/>
        <w:ind w:left="-709"/>
        <w:rPr>
          <w:rFonts w:ascii="Times New Roman" w:hAnsi="Times New Roman"/>
          <w:bCs/>
          <w:sz w:val="16"/>
          <w:szCs w:val="16"/>
        </w:rPr>
      </w:pPr>
    </w:p>
    <w:sectPr w:rsidR="004F6117" w:rsidRPr="004E0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5AEC" w14:textId="77777777" w:rsidR="003D75C0" w:rsidRDefault="003D75C0" w:rsidP="00FF63EA">
      <w:pPr>
        <w:spacing w:after="0" w:line="240" w:lineRule="auto"/>
      </w:pPr>
      <w:r>
        <w:separator/>
      </w:r>
    </w:p>
  </w:endnote>
  <w:endnote w:type="continuationSeparator" w:id="0">
    <w:p w14:paraId="43D4A352" w14:textId="77777777" w:rsidR="003D75C0" w:rsidRDefault="003D75C0"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3514" w14:textId="77777777" w:rsidR="003D75C0" w:rsidRDefault="003D75C0" w:rsidP="00FF63EA">
      <w:pPr>
        <w:spacing w:after="0" w:line="240" w:lineRule="auto"/>
      </w:pPr>
      <w:r>
        <w:separator/>
      </w:r>
    </w:p>
  </w:footnote>
  <w:footnote w:type="continuationSeparator" w:id="0">
    <w:p w14:paraId="50FDF53E" w14:textId="77777777" w:rsidR="003D75C0" w:rsidRDefault="003D75C0" w:rsidP="00FF63EA">
      <w:pPr>
        <w:spacing w:after="0" w:line="240" w:lineRule="auto"/>
      </w:pPr>
      <w:r>
        <w:continuationSeparator/>
      </w:r>
    </w:p>
  </w:footnote>
  <w:footnote w:id="1">
    <w:p w14:paraId="5C4AC4C7" w14:textId="5358656C" w:rsidR="00CF4F39" w:rsidRPr="00C84225" w:rsidRDefault="00CF4F39" w:rsidP="00C84225">
      <w:pPr>
        <w:pStyle w:val="FootnoteText"/>
        <w:widowControl w:val="0"/>
        <w:spacing w:after="0" w:line="240" w:lineRule="auto"/>
        <w:ind w:left="-284" w:right="-567" w:hanging="284"/>
        <w:jc w:val="both"/>
        <w:rPr>
          <w:rFonts w:ascii="Times New Roman" w:hAnsi="Times New Roman"/>
        </w:rPr>
      </w:pPr>
      <w:r w:rsidRPr="00693B9C">
        <w:rPr>
          <w:rStyle w:val="FootnoteReference"/>
          <w:rFonts w:ascii="Times New Roman" w:hAnsi="Times New Roman"/>
        </w:rPr>
        <w:footnoteRef/>
      </w:r>
      <w:r w:rsidRPr="00693B9C">
        <w:rPr>
          <w:rFonts w:ascii="Times New Roman" w:hAnsi="Times New Roman"/>
        </w:rPr>
        <w:t xml:space="preserve"> </w:t>
      </w:r>
      <w:r w:rsidRPr="00693B9C">
        <w:rPr>
          <w:rFonts w:ascii="Times New Roman" w:hAnsi="Times New Roman"/>
        </w:rPr>
        <w:tab/>
      </w:r>
      <w:r w:rsidRPr="00C84225">
        <w:rPr>
          <w:rFonts w:ascii="Times New Roman" w:hAnsi="Times New Roman"/>
        </w:rPr>
        <w:t>Regulation (EU) 2021/1057 of the European Parliament and of the Council of 24 June 2021 establishing the European Social Fund Plus (ESF+) and repealing Regulation (EU) No 1296/2013 (</w:t>
      </w:r>
      <w:hyperlink r:id="rId1" w:tooltip="Gives access to this document through its ELI URI." w:history="1">
        <w:r w:rsidRPr="00C84225">
          <w:rPr>
            <w:rStyle w:val="Hyperlink"/>
            <w:rFonts w:ascii="Times New Roman" w:hAnsi="Times New Roman"/>
          </w:rPr>
          <w:t>http://data.europa.eu/eli/reg/2021/1057/oj</w:t>
        </w:r>
      </w:hyperlink>
      <w:r w:rsidRPr="00C84225">
        <w:rPr>
          <w:rFonts w:ascii="Times New Roman" w:hAnsi="Times New Roman"/>
        </w:rPr>
        <w:t>).</w:t>
      </w:r>
    </w:p>
  </w:footnote>
  <w:footnote w:id="2">
    <w:p w14:paraId="18296AEB" w14:textId="59E3812E" w:rsidR="00CF4F39" w:rsidRPr="00C84225" w:rsidRDefault="00CF4F39" w:rsidP="00C84225">
      <w:pPr>
        <w:pStyle w:val="FootnoteText"/>
        <w:widowControl w:val="0"/>
        <w:spacing w:after="0" w:line="240" w:lineRule="auto"/>
        <w:ind w:left="-284" w:right="-567" w:hanging="284"/>
        <w:jc w:val="both"/>
        <w:rPr>
          <w:rFonts w:ascii="Times New Roman" w:hAnsi="Times New Roman"/>
        </w:rPr>
      </w:pPr>
      <w:r w:rsidRPr="00C84225">
        <w:rPr>
          <w:rStyle w:val="FootnoteReference"/>
          <w:rFonts w:ascii="Times New Roman" w:hAnsi="Times New Roman"/>
        </w:rPr>
        <w:footnoteRef/>
      </w:r>
      <w:r w:rsidRPr="00C84225">
        <w:rPr>
          <w:rFonts w:ascii="Times New Roman" w:hAnsi="Times New Roman"/>
        </w:rPr>
        <w:t xml:space="preserve"> </w:t>
      </w:r>
      <w:r w:rsidRPr="00C84225">
        <w:rPr>
          <w:rFonts w:ascii="Times New Roman" w:hAnsi="Times New Roman"/>
        </w:rPr>
        <w:tab/>
        <w:t>Regulation (EU) 2021/1058 of the European Parliament and of the Council of 24 June 2021 on the European Regional Development Fund and on the Cohesion Fund (</w:t>
      </w:r>
      <w:hyperlink r:id="rId2" w:tooltip="Gives access to this document through its ELI URI." w:history="1">
        <w:r w:rsidRPr="00C84225">
          <w:rPr>
            <w:rStyle w:val="Hyperlink"/>
            <w:rFonts w:ascii="Times New Roman" w:hAnsi="Times New Roman"/>
          </w:rPr>
          <w:t>http://data.europa.eu/eli/reg/2021/1058/oj</w:t>
        </w:r>
      </w:hyperlink>
      <w:r w:rsidRPr="00C84225">
        <w:rPr>
          <w:rFonts w:ascii="Times New Roman" w:hAnsi="Times New Roman"/>
        </w:rPr>
        <w:t>).</w:t>
      </w:r>
    </w:p>
  </w:footnote>
  <w:footnote w:id="3">
    <w:p w14:paraId="7A924A26" w14:textId="18B5495F" w:rsidR="00F4320C" w:rsidRPr="00C84225" w:rsidRDefault="00F4320C" w:rsidP="00C84225">
      <w:pPr>
        <w:pStyle w:val="FootnoteText"/>
        <w:widowControl w:val="0"/>
        <w:spacing w:after="0" w:line="240" w:lineRule="auto"/>
        <w:ind w:left="-284" w:right="-567" w:hanging="284"/>
        <w:jc w:val="both"/>
        <w:rPr>
          <w:rFonts w:ascii="Times New Roman" w:hAnsi="Times New Roman"/>
        </w:rPr>
      </w:pPr>
      <w:r w:rsidRPr="00C84225">
        <w:rPr>
          <w:rStyle w:val="FootnoteReference"/>
          <w:rFonts w:ascii="Times New Roman" w:hAnsi="Times New Roman"/>
        </w:rPr>
        <w:footnoteRef/>
      </w:r>
      <w:r w:rsidRPr="00C84225">
        <w:rPr>
          <w:rFonts w:ascii="Times New Roman" w:hAnsi="Times New Roman"/>
        </w:rPr>
        <w:t xml:space="preserve"> </w:t>
      </w:r>
      <w:r w:rsidR="00CF4F39" w:rsidRPr="00C84225">
        <w:rPr>
          <w:rFonts w:ascii="Times New Roman" w:hAnsi="Times New Roman"/>
        </w:rPr>
        <w:tab/>
      </w:r>
      <w:r w:rsidRPr="00C84225">
        <w:rPr>
          <w:rFonts w:ascii="Times New Roman" w:hAnsi="Times New Roman"/>
          <w:color w:val="333333"/>
          <w:shd w:val="clear" w:color="auto" w:fill="FFFFFF"/>
        </w:rPr>
        <w:t xml:space="preserve">Regulation (EU) 2024/3236 of the European Parliament and of the Council of 19 December 2024 amending Regulations (EU) 2021/1057 and (EU) 2021/1058 as regards Regional Emergency Support to Reconstruction (RESTORE), available at the following link: </w:t>
      </w:r>
      <w:hyperlink r:id="rId3" w:history="1">
        <w:r w:rsidRPr="00C84225">
          <w:rPr>
            <w:rStyle w:val="Hyperlink"/>
            <w:rFonts w:ascii="Times New Roman" w:hAnsi="Times New Roman"/>
            <w:shd w:val="clear" w:color="auto" w:fill="FFFFFF"/>
          </w:rPr>
          <w:t>http://data.europa.eu/eli/reg/2024/3236/oj</w:t>
        </w:r>
      </w:hyperlink>
      <w:r w:rsidR="00CF4F39" w:rsidRPr="00C84225">
        <w:rPr>
          <w:rFonts w:ascii="Times New Roman" w:hAnsi="Times New Roman"/>
          <w:color w:val="333333"/>
          <w:shd w:val="clear" w:color="auto" w:fill="FFFFFF"/>
        </w:rPr>
        <w:t>.</w:t>
      </w:r>
    </w:p>
  </w:footnote>
  <w:footnote w:id="4">
    <w:p w14:paraId="0FAEEEC2" w14:textId="7DCC6E9D" w:rsidR="00402B11" w:rsidRPr="00C84225" w:rsidRDefault="00402B11" w:rsidP="00C84225">
      <w:pPr>
        <w:pStyle w:val="FootnoteText"/>
        <w:widowControl w:val="0"/>
        <w:spacing w:after="0"/>
        <w:ind w:left="-284" w:right="-567" w:hanging="284"/>
        <w:jc w:val="both"/>
        <w:rPr>
          <w:rFonts w:ascii="Times New Roman" w:hAnsi="Times New Roman"/>
          <w:lang w:val="en-IE"/>
        </w:rPr>
      </w:pPr>
      <w:r w:rsidRPr="002F3A09">
        <w:rPr>
          <w:rStyle w:val="FootnoteReference"/>
          <w:rFonts w:ascii="Times New Roman" w:hAnsi="Times New Roman"/>
        </w:rPr>
        <w:footnoteRef/>
      </w:r>
      <w:r w:rsidRPr="002F3A09">
        <w:rPr>
          <w:rFonts w:ascii="Times New Roman" w:hAnsi="Times New Roman"/>
        </w:rPr>
        <w:t xml:space="preserve"> </w:t>
      </w:r>
      <w:r w:rsidR="002F3A09" w:rsidRPr="002F3A09">
        <w:rPr>
          <w:rFonts w:ascii="Times New Roman" w:hAnsi="Times New Roman"/>
        </w:rPr>
        <w:tab/>
      </w:r>
      <w:r w:rsidRPr="00C84225">
        <w:rPr>
          <w:rFonts w:ascii="Times New Roman" w:hAnsi="Times New Roman"/>
          <w:lang w:val="en-IE"/>
        </w:rPr>
        <w:t xml:space="preserve">Council Regulation (EC) No 2012/2002 of 11 November 2002 establishing the European Union Solidarity Fund, available at the following link: </w:t>
      </w:r>
      <w:hyperlink r:id="rId4" w:history="1">
        <w:r w:rsidR="00D90B25" w:rsidRPr="00C84225">
          <w:rPr>
            <w:rStyle w:val="Hyperlink"/>
            <w:rFonts w:ascii="Times New Roman" w:hAnsi="Times New Roman"/>
            <w:lang w:val="en-IE"/>
          </w:rPr>
          <w:t>https://eur-lex.europa.eu/legal-content/EN/TXT/?uri=celex:32002R2012</w:t>
        </w:r>
      </w:hyperlink>
      <w:r w:rsidR="00D90B25" w:rsidRPr="00C84225">
        <w:rPr>
          <w:rFonts w:ascii="Times New Roman" w:hAnsi="Times New Roman"/>
          <w:lang w:val="en-IE"/>
        </w:rPr>
        <w:t xml:space="preserve"> </w:t>
      </w:r>
      <w:r w:rsidR="002F3A09" w:rsidRPr="00C84225">
        <w:rPr>
          <w:rFonts w:ascii="Times New Roman" w:hAnsi="Times New Roman"/>
          <w:lang w:val="en-IE"/>
        </w:rPr>
        <w:t>.</w:t>
      </w:r>
    </w:p>
  </w:footnote>
  <w:footnote w:id="5">
    <w:p w14:paraId="160DF9D2" w14:textId="36BCE440" w:rsidR="002F3A09" w:rsidRPr="00C84225" w:rsidRDefault="002F3A09" w:rsidP="00C84225">
      <w:pPr>
        <w:pStyle w:val="FootnoteText"/>
        <w:widowControl w:val="0"/>
        <w:spacing w:after="0" w:line="240" w:lineRule="auto"/>
        <w:ind w:left="-284" w:right="-567" w:hanging="284"/>
        <w:jc w:val="both"/>
        <w:rPr>
          <w:rFonts w:ascii="Times New Roman" w:hAnsi="Times New Roman"/>
        </w:rPr>
      </w:pPr>
      <w:r w:rsidRPr="00C84225">
        <w:rPr>
          <w:rStyle w:val="FootnoteReference"/>
          <w:rFonts w:ascii="Times New Roman" w:hAnsi="Times New Roman"/>
        </w:rPr>
        <w:footnoteRef/>
      </w:r>
      <w:r w:rsidRPr="00C84225">
        <w:rPr>
          <w:rFonts w:ascii="Times New Roman" w:hAnsi="Times New Roman"/>
        </w:rPr>
        <w:t xml:space="preserve"> </w:t>
      </w:r>
      <w:r w:rsidRPr="00C84225">
        <w:rPr>
          <w:rFonts w:ascii="Times New Roman" w:hAnsi="Times New Roman"/>
        </w:rPr>
        <w:tab/>
        <w:t>COM(2022) 325 final (</w:t>
      </w:r>
      <w:hyperlink r:id="rId5" w:history="1">
        <w:r w:rsidR="00D90B25" w:rsidRPr="00C84225">
          <w:rPr>
            <w:rStyle w:val="Hyperlink"/>
            <w:rFonts w:ascii="Times New Roman" w:hAnsi="Times New Roman"/>
          </w:rPr>
          <w:t>EUR-Lex - 52022PC0325 - EN - EUR-Lex</w:t>
        </w:r>
      </w:hyperlink>
      <w:r w:rsidR="00D90B25" w:rsidRPr="00C84225">
        <w:rPr>
          <w:rFonts w:ascii="Times New Roman" w:hAnsi="Times New Roman"/>
        </w:rPr>
        <w:t>).</w:t>
      </w:r>
    </w:p>
  </w:footnote>
  <w:footnote w:id="6">
    <w:p w14:paraId="17D073B2" w14:textId="26BC8A94" w:rsidR="00161817" w:rsidRPr="00C84225" w:rsidRDefault="00161817" w:rsidP="00C84225">
      <w:pPr>
        <w:pStyle w:val="FootnoteText"/>
        <w:widowControl w:val="0"/>
        <w:spacing w:after="0"/>
        <w:ind w:left="-284" w:right="-567" w:hanging="284"/>
        <w:jc w:val="both"/>
        <w:rPr>
          <w:rFonts w:ascii="Times New Roman" w:hAnsi="Times New Roman"/>
          <w:lang w:val="en-US"/>
        </w:rPr>
      </w:pPr>
      <w:r w:rsidRPr="00C84225">
        <w:rPr>
          <w:rStyle w:val="FootnoteReference"/>
          <w:rFonts w:ascii="Times New Roman" w:hAnsi="Times New Roman"/>
        </w:rPr>
        <w:footnoteRef/>
      </w:r>
      <w:r w:rsidRPr="00C84225">
        <w:rPr>
          <w:rFonts w:ascii="Times New Roman" w:hAnsi="Times New Roman"/>
        </w:rPr>
        <w:t xml:space="preserve"> </w:t>
      </w:r>
      <w:r w:rsidR="002F3A09" w:rsidRPr="00C84225">
        <w:rPr>
          <w:rFonts w:ascii="Times New Roman" w:hAnsi="Times New Roman"/>
        </w:rPr>
        <w:tab/>
      </w:r>
      <w:r w:rsidRPr="00C84225">
        <w:rPr>
          <w:rFonts w:ascii="Times New Roman" w:hAnsi="Times New Roman"/>
          <w:lang w:val="en-US"/>
        </w:rPr>
        <w:t xml:space="preserve">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w:t>
      </w:r>
      <w:r w:rsidR="002F3A09" w:rsidRPr="00C84225">
        <w:rPr>
          <w:rFonts w:ascii="Times New Roman" w:hAnsi="Times New Roman"/>
          <w:lang w:val="en-US"/>
        </w:rPr>
        <w:t>(</w:t>
      </w:r>
      <w:hyperlink r:id="rId6" w:history="1">
        <w:r w:rsidR="002F3A09" w:rsidRPr="00C84225">
          <w:rPr>
            <w:rStyle w:val="Hyperlink"/>
            <w:rFonts w:ascii="Times New Roman" w:hAnsi="Times New Roman"/>
            <w:lang w:val="en-US"/>
          </w:rPr>
          <w:t>https://eur-lex.europa.eu/legal-content/EN/TXT/?uri=CELEX%3A02021R1060-20240630</w:t>
        </w:r>
      </w:hyperlink>
      <w:r w:rsidR="002F3A09" w:rsidRPr="00C84225">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C08A5"/>
    <w:multiLevelType w:val="hybridMultilevel"/>
    <w:tmpl w:val="9364F86A"/>
    <w:lvl w:ilvl="0" w:tplc="7F18633C">
      <w:start w:val="2"/>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6C017FC"/>
    <w:multiLevelType w:val="multilevel"/>
    <w:tmpl w:val="C00A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7E7E37"/>
    <w:multiLevelType w:val="multilevel"/>
    <w:tmpl w:val="91CA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D2B19"/>
    <w:multiLevelType w:val="multilevel"/>
    <w:tmpl w:val="1E0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1587629">
    <w:abstractNumId w:val="2"/>
  </w:num>
  <w:num w:numId="2" w16cid:durableId="2034990753">
    <w:abstractNumId w:val="0"/>
  </w:num>
  <w:num w:numId="3" w16cid:durableId="232161240">
    <w:abstractNumId w:val="1"/>
  </w:num>
  <w:num w:numId="4" w16cid:durableId="136458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46B15"/>
    <w:rsid w:val="00050DC7"/>
    <w:rsid w:val="00076109"/>
    <w:rsid w:val="00077C4F"/>
    <w:rsid w:val="00087A3F"/>
    <w:rsid w:val="000B76F0"/>
    <w:rsid w:val="000F5FD8"/>
    <w:rsid w:val="001167C0"/>
    <w:rsid w:val="001339BE"/>
    <w:rsid w:val="00135C2A"/>
    <w:rsid w:val="001457D6"/>
    <w:rsid w:val="00152B81"/>
    <w:rsid w:val="00161817"/>
    <w:rsid w:val="00184457"/>
    <w:rsid w:val="001B0E0B"/>
    <w:rsid w:val="001C4138"/>
    <w:rsid w:val="001F2EC6"/>
    <w:rsid w:val="001F65D0"/>
    <w:rsid w:val="00217E59"/>
    <w:rsid w:val="00251074"/>
    <w:rsid w:val="00265A50"/>
    <w:rsid w:val="002A23C9"/>
    <w:rsid w:val="002C6818"/>
    <w:rsid w:val="002E0E50"/>
    <w:rsid w:val="002F03FA"/>
    <w:rsid w:val="002F3A09"/>
    <w:rsid w:val="002F539C"/>
    <w:rsid w:val="003004D2"/>
    <w:rsid w:val="00302326"/>
    <w:rsid w:val="003349A3"/>
    <w:rsid w:val="00335145"/>
    <w:rsid w:val="00345A47"/>
    <w:rsid w:val="00366AF6"/>
    <w:rsid w:val="00377967"/>
    <w:rsid w:val="00386143"/>
    <w:rsid w:val="003A23DF"/>
    <w:rsid w:val="003B58DC"/>
    <w:rsid w:val="003D75C0"/>
    <w:rsid w:val="003F686E"/>
    <w:rsid w:val="00402B11"/>
    <w:rsid w:val="00441D80"/>
    <w:rsid w:val="00442552"/>
    <w:rsid w:val="00455A1C"/>
    <w:rsid w:val="00464DBC"/>
    <w:rsid w:val="004675B5"/>
    <w:rsid w:val="004770D6"/>
    <w:rsid w:val="00480FD7"/>
    <w:rsid w:val="004841F3"/>
    <w:rsid w:val="0049246C"/>
    <w:rsid w:val="004B35DF"/>
    <w:rsid w:val="004B3EA1"/>
    <w:rsid w:val="004D4CF1"/>
    <w:rsid w:val="004E0606"/>
    <w:rsid w:val="004F6117"/>
    <w:rsid w:val="004F63F1"/>
    <w:rsid w:val="004F651E"/>
    <w:rsid w:val="004F77E0"/>
    <w:rsid w:val="0050243F"/>
    <w:rsid w:val="00510536"/>
    <w:rsid w:val="00521C56"/>
    <w:rsid w:val="0052596B"/>
    <w:rsid w:val="00542385"/>
    <w:rsid w:val="00547F41"/>
    <w:rsid w:val="00554D8D"/>
    <w:rsid w:val="00570984"/>
    <w:rsid w:val="00573835"/>
    <w:rsid w:val="00581306"/>
    <w:rsid w:val="005B6CF7"/>
    <w:rsid w:val="005C3105"/>
    <w:rsid w:val="0060189D"/>
    <w:rsid w:val="006366A6"/>
    <w:rsid w:val="00650FD3"/>
    <w:rsid w:val="0065666B"/>
    <w:rsid w:val="00681309"/>
    <w:rsid w:val="00692C2F"/>
    <w:rsid w:val="00693B9C"/>
    <w:rsid w:val="00695797"/>
    <w:rsid w:val="00696A5E"/>
    <w:rsid w:val="00697DA5"/>
    <w:rsid w:val="006B3708"/>
    <w:rsid w:val="006B3B69"/>
    <w:rsid w:val="006C4A78"/>
    <w:rsid w:val="0072520A"/>
    <w:rsid w:val="007342A4"/>
    <w:rsid w:val="00734613"/>
    <w:rsid w:val="00741A38"/>
    <w:rsid w:val="00751910"/>
    <w:rsid w:val="00751E60"/>
    <w:rsid w:val="007547B5"/>
    <w:rsid w:val="00773589"/>
    <w:rsid w:val="007811AE"/>
    <w:rsid w:val="00795A9E"/>
    <w:rsid w:val="00797EAC"/>
    <w:rsid w:val="007A5965"/>
    <w:rsid w:val="007A606D"/>
    <w:rsid w:val="007C2214"/>
    <w:rsid w:val="007C690E"/>
    <w:rsid w:val="007F5651"/>
    <w:rsid w:val="00807B48"/>
    <w:rsid w:val="008135CA"/>
    <w:rsid w:val="0081395C"/>
    <w:rsid w:val="0081584F"/>
    <w:rsid w:val="00823969"/>
    <w:rsid w:val="008703BF"/>
    <w:rsid w:val="0087149E"/>
    <w:rsid w:val="0087240A"/>
    <w:rsid w:val="008828A4"/>
    <w:rsid w:val="00887EA9"/>
    <w:rsid w:val="008925CE"/>
    <w:rsid w:val="008960F4"/>
    <w:rsid w:val="008C4D41"/>
    <w:rsid w:val="008D0728"/>
    <w:rsid w:val="008E078B"/>
    <w:rsid w:val="00936FC2"/>
    <w:rsid w:val="009619FF"/>
    <w:rsid w:val="009646D0"/>
    <w:rsid w:val="00981F45"/>
    <w:rsid w:val="00994D12"/>
    <w:rsid w:val="009B128B"/>
    <w:rsid w:val="009F5162"/>
    <w:rsid w:val="009F5A98"/>
    <w:rsid w:val="00A04416"/>
    <w:rsid w:val="00A16F07"/>
    <w:rsid w:val="00A22C5F"/>
    <w:rsid w:val="00A62C7B"/>
    <w:rsid w:val="00A66E0A"/>
    <w:rsid w:val="00A7709A"/>
    <w:rsid w:val="00AE1842"/>
    <w:rsid w:val="00AE3C7C"/>
    <w:rsid w:val="00B31306"/>
    <w:rsid w:val="00B42814"/>
    <w:rsid w:val="00B51D12"/>
    <w:rsid w:val="00B811BC"/>
    <w:rsid w:val="00B83936"/>
    <w:rsid w:val="00BC0EAE"/>
    <w:rsid w:val="00BD6EB7"/>
    <w:rsid w:val="00C01503"/>
    <w:rsid w:val="00C54D27"/>
    <w:rsid w:val="00C76EEB"/>
    <w:rsid w:val="00C84225"/>
    <w:rsid w:val="00CF4F39"/>
    <w:rsid w:val="00D01F5A"/>
    <w:rsid w:val="00D0320B"/>
    <w:rsid w:val="00D1716E"/>
    <w:rsid w:val="00D57CC3"/>
    <w:rsid w:val="00D64E05"/>
    <w:rsid w:val="00D90B25"/>
    <w:rsid w:val="00D9142C"/>
    <w:rsid w:val="00D92FD3"/>
    <w:rsid w:val="00DA3B6E"/>
    <w:rsid w:val="00DB7581"/>
    <w:rsid w:val="00DC70C1"/>
    <w:rsid w:val="00DE6069"/>
    <w:rsid w:val="00E068B0"/>
    <w:rsid w:val="00E5701B"/>
    <w:rsid w:val="00E83C12"/>
    <w:rsid w:val="00E904C8"/>
    <w:rsid w:val="00E92A24"/>
    <w:rsid w:val="00EA0E08"/>
    <w:rsid w:val="00EA1BBF"/>
    <w:rsid w:val="00EA7C6C"/>
    <w:rsid w:val="00EB29A9"/>
    <w:rsid w:val="00EB77D2"/>
    <w:rsid w:val="00EE487C"/>
    <w:rsid w:val="00EF7BD6"/>
    <w:rsid w:val="00F316C8"/>
    <w:rsid w:val="00F4320C"/>
    <w:rsid w:val="00F632DE"/>
    <w:rsid w:val="00F735E4"/>
    <w:rsid w:val="00FA12EF"/>
    <w:rsid w:val="00FB1EC1"/>
    <w:rsid w:val="00FB7834"/>
    <w:rsid w:val="00FC3C5F"/>
    <w:rsid w:val="00FD4B6A"/>
    <w:rsid w:val="00FE3C08"/>
    <w:rsid w:val="00FF03A8"/>
    <w:rsid w:val="00FF070C"/>
    <w:rsid w:val="00FF63EA"/>
    <w:rsid w:val="00FF6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35145"/>
    <w:rPr>
      <w:sz w:val="22"/>
      <w:szCs w:val="22"/>
      <w:lang w:val="en-GB" w:eastAsia="en-US"/>
    </w:rPr>
  </w:style>
  <w:style w:type="character" w:styleId="CommentReference">
    <w:name w:val="annotation reference"/>
    <w:uiPriority w:val="99"/>
    <w:semiHidden/>
    <w:unhideWhenUsed/>
    <w:rsid w:val="00335145"/>
    <w:rPr>
      <w:sz w:val="16"/>
      <w:szCs w:val="16"/>
    </w:rPr>
  </w:style>
  <w:style w:type="paragraph" w:styleId="CommentText">
    <w:name w:val="annotation text"/>
    <w:basedOn w:val="Normal"/>
    <w:link w:val="CommentTextChar"/>
    <w:uiPriority w:val="99"/>
    <w:unhideWhenUsed/>
    <w:rsid w:val="00335145"/>
    <w:rPr>
      <w:sz w:val="20"/>
      <w:szCs w:val="20"/>
    </w:rPr>
  </w:style>
  <w:style w:type="character" w:customStyle="1" w:styleId="CommentTextChar">
    <w:name w:val="Comment Text Char"/>
    <w:link w:val="CommentText"/>
    <w:uiPriority w:val="99"/>
    <w:rsid w:val="00335145"/>
    <w:rPr>
      <w:lang w:val="en-GB" w:eastAsia="en-US"/>
    </w:rPr>
  </w:style>
  <w:style w:type="paragraph" w:styleId="CommentSubject">
    <w:name w:val="annotation subject"/>
    <w:basedOn w:val="CommentText"/>
    <w:next w:val="CommentText"/>
    <w:link w:val="CommentSubjectChar"/>
    <w:uiPriority w:val="99"/>
    <w:semiHidden/>
    <w:unhideWhenUsed/>
    <w:rsid w:val="00335145"/>
    <w:rPr>
      <w:b/>
      <w:bCs/>
    </w:rPr>
  </w:style>
  <w:style w:type="character" w:customStyle="1" w:styleId="CommentSubjectChar">
    <w:name w:val="Comment Subject Char"/>
    <w:link w:val="CommentSubject"/>
    <w:uiPriority w:val="99"/>
    <w:semiHidden/>
    <w:rsid w:val="00335145"/>
    <w:rPr>
      <w:b/>
      <w:bCs/>
      <w:lang w:val="en-GB" w:eastAsia="en-US"/>
    </w:rPr>
  </w:style>
  <w:style w:type="paragraph" w:styleId="FootnoteText">
    <w:name w:val="footnote text"/>
    <w:basedOn w:val="Normal"/>
    <w:link w:val="FootnoteTextChar"/>
    <w:uiPriority w:val="99"/>
    <w:semiHidden/>
    <w:unhideWhenUsed/>
    <w:rsid w:val="00161817"/>
    <w:rPr>
      <w:sz w:val="20"/>
      <w:szCs w:val="20"/>
    </w:rPr>
  </w:style>
  <w:style w:type="character" w:customStyle="1" w:styleId="FootnoteTextChar">
    <w:name w:val="Footnote Text Char"/>
    <w:link w:val="FootnoteText"/>
    <w:uiPriority w:val="99"/>
    <w:semiHidden/>
    <w:rsid w:val="00161817"/>
    <w:rPr>
      <w:lang w:val="en-GB" w:eastAsia="en-US"/>
    </w:rPr>
  </w:style>
  <w:style w:type="character" w:styleId="FootnoteReference">
    <w:name w:val="footnote reference"/>
    <w:uiPriority w:val="99"/>
    <w:semiHidden/>
    <w:unhideWhenUsed/>
    <w:rsid w:val="00161817"/>
    <w:rPr>
      <w:vertAlign w:val="superscript"/>
    </w:rPr>
  </w:style>
  <w:style w:type="character" w:styleId="Hyperlink">
    <w:name w:val="Hyperlink"/>
    <w:uiPriority w:val="99"/>
    <w:unhideWhenUsed/>
    <w:rsid w:val="00161817"/>
    <w:rPr>
      <w:color w:val="0563C1"/>
      <w:u w:val="single"/>
    </w:rPr>
  </w:style>
  <w:style w:type="character" w:styleId="UnresolvedMention">
    <w:name w:val="Unresolved Mention"/>
    <w:uiPriority w:val="99"/>
    <w:semiHidden/>
    <w:unhideWhenUsed/>
    <w:rsid w:val="00161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0578">
      <w:bodyDiv w:val="1"/>
      <w:marLeft w:val="0"/>
      <w:marRight w:val="0"/>
      <w:marTop w:val="0"/>
      <w:marBottom w:val="0"/>
      <w:divBdr>
        <w:top w:val="none" w:sz="0" w:space="0" w:color="auto"/>
        <w:left w:val="none" w:sz="0" w:space="0" w:color="auto"/>
        <w:bottom w:val="none" w:sz="0" w:space="0" w:color="auto"/>
        <w:right w:val="none" w:sz="0" w:space="0" w:color="auto"/>
      </w:divBdr>
    </w:div>
    <w:div w:id="478769581">
      <w:bodyDiv w:val="1"/>
      <w:marLeft w:val="0"/>
      <w:marRight w:val="0"/>
      <w:marTop w:val="0"/>
      <w:marBottom w:val="0"/>
      <w:divBdr>
        <w:top w:val="none" w:sz="0" w:space="0" w:color="auto"/>
        <w:left w:val="none" w:sz="0" w:space="0" w:color="auto"/>
        <w:bottom w:val="none" w:sz="0" w:space="0" w:color="auto"/>
        <w:right w:val="none" w:sz="0" w:space="0" w:color="auto"/>
      </w:divBdr>
    </w:div>
    <w:div w:id="607740653">
      <w:bodyDiv w:val="1"/>
      <w:marLeft w:val="0"/>
      <w:marRight w:val="0"/>
      <w:marTop w:val="0"/>
      <w:marBottom w:val="0"/>
      <w:divBdr>
        <w:top w:val="none" w:sz="0" w:space="0" w:color="auto"/>
        <w:left w:val="none" w:sz="0" w:space="0" w:color="auto"/>
        <w:bottom w:val="none" w:sz="0" w:space="0" w:color="auto"/>
        <w:right w:val="none" w:sz="0" w:space="0" w:color="auto"/>
      </w:divBdr>
    </w:div>
    <w:div w:id="691423742">
      <w:bodyDiv w:val="1"/>
      <w:marLeft w:val="0"/>
      <w:marRight w:val="0"/>
      <w:marTop w:val="0"/>
      <w:marBottom w:val="0"/>
      <w:divBdr>
        <w:top w:val="none" w:sz="0" w:space="0" w:color="auto"/>
        <w:left w:val="none" w:sz="0" w:space="0" w:color="auto"/>
        <w:bottom w:val="none" w:sz="0" w:space="0" w:color="auto"/>
        <w:right w:val="none" w:sz="0" w:space="0" w:color="auto"/>
      </w:divBdr>
    </w:div>
    <w:div w:id="833910211">
      <w:bodyDiv w:val="1"/>
      <w:marLeft w:val="0"/>
      <w:marRight w:val="0"/>
      <w:marTop w:val="0"/>
      <w:marBottom w:val="0"/>
      <w:divBdr>
        <w:top w:val="none" w:sz="0" w:space="0" w:color="auto"/>
        <w:left w:val="none" w:sz="0" w:space="0" w:color="auto"/>
        <w:bottom w:val="none" w:sz="0" w:space="0" w:color="auto"/>
        <w:right w:val="none" w:sz="0" w:space="0" w:color="auto"/>
      </w:divBdr>
    </w:div>
    <w:div w:id="1040936904">
      <w:bodyDiv w:val="1"/>
      <w:marLeft w:val="0"/>
      <w:marRight w:val="0"/>
      <w:marTop w:val="0"/>
      <w:marBottom w:val="0"/>
      <w:divBdr>
        <w:top w:val="none" w:sz="0" w:space="0" w:color="auto"/>
        <w:left w:val="none" w:sz="0" w:space="0" w:color="auto"/>
        <w:bottom w:val="none" w:sz="0" w:space="0" w:color="auto"/>
        <w:right w:val="none" w:sz="0" w:space="0" w:color="auto"/>
      </w:divBdr>
    </w:div>
    <w:div w:id="1247544044">
      <w:bodyDiv w:val="1"/>
      <w:marLeft w:val="0"/>
      <w:marRight w:val="0"/>
      <w:marTop w:val="0"/>
      <w:marBottom w:val="0"/>
      <w:divBdr>
        <w:top w:val="none" w:sz="0" w:space="0" w:color="auto"/>
        <w:left w:val="none" w:sz="0" w:space="0" w:color="auto"/>
        <w:bottom w:val="none" w:sz="0" w:space="0" w:color="auto"/>
        <w:right w:val="none" w:sz="0" w:space="0" w:color="auto"/>
      </w:divBdr>
    </w:div>
    <w:div w:id="1286152625">
      <w:bodyDiv w:val="1"/>
      <w:marLeft w:val="0"/>
      <w:marRight w:val="0"/>
      <w:marTop w:val="0"/>
      <w:marBottom w:val="0"/>
      <w:divBdr>
        <w:top w:val="none" w:sz="0" w:space="0" w:color="auto"/>
        <w:left w:val="none" w:sz="0" w:space="0" w:color="auto"/>
        <w:bottom w:val="none" w:sz="0" w:space="0" w:color="auto"/>
        <w:right w:val="none" w:sz="0" w:space="0" w:color="auto"/>
      </w:divBdr>
    </w:div>
    <w:div w:id="1511680339">
      <w:bodyDiv w:val="1"/>
      <w:marLeft w:val="0"/>
      <w:marRight w:val="0"/>
      <w:marTop w:val="0"/>
      <w:marBottom w:val="0"/>
      <w:divBdr>
        <w:top w:val="none" w:sz="0" w:space="0" w:color="auto"/>
        <w:left w:val="none" w:sz="0" w:space="0" w:color="auto"/>
        <w:bottom w:val="none" w:sz="0" w:space="0" w:color="auto"/>
        <w:right w:val="none" w:sz="0" w:space="0" w:color="auto"/>
      </w:divBdr>
    </w:div>
    <w:div w:id="1664821994">
      <w:bodyDiv w:val="1"/>
      <w:marLeft w:val="0"/>
      <w:marRight w:val="0"/>
      <w:marTop w:val="0"/>
      <w:marBottom w:val="0"/>
      <w:divBdr>
        <w:top w:val="none" w:sz="0" w:space="0" w:color="auto"/>
        <w:left w:val="none" w:sz="0" w:space="0" w:color="auto"/>
        <w:bottom w:val="none" w:sz="0" w:space="0" w:color="auto"/>
        <w:right w:val="none" w:sz="0" w:space="0" w:color="auto"/>
      </w:divBdr>
    </w:div>
    <w:div w:id="1886454213">
      <w:bodyDiv w:val="1"/>
      <w:marLeft w:val="0"/>
      <w:marRight w:val="0"/>
      <w:marTop w:val="0"/>
      <w:marBottom w:val="0"/>
      <w:divBdr>
        <w:top w:val="none" w:sz="0" w:space="0" w:color="auto"/>
        <w:left w:val="none" w:sz="0" w:space="0" w:color="auto"/>
        <w:bottom w:val="none" w:sz="0" w:space="0" w:color="auto"/>
        <w:right w:val="none" w:sz="0" w:space="0" w:color="auto"/>
      </w:divBdr>
    </w:div>
    <w:div w:id="20126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3236/oj" TargetMode="External"/><Relationship Id="rId2" Type="http://schemas.openxmlformats.org/officeDocument/2006/relationships/hyperlink" Target="http://data.europa.eu/eli/reg/2021/1058/oj" TargetMode="External"/><Relationship Id="rId1" Type="http://schemas.openxmlformats.org/officeDocument/2006/relationships/hyperlink" Target="http://data.europa.eu/eli/reg/2021/1057/oj" TargetMode="External"/><Relationship Id="rId6" Type="http://schemas.openxmlformats.org/officeDocument/2006/relationships/hyperlink" Target="https://eur-lex.europa.eu/legal-content/EN/TXT/?uri=CELEX%3A02021R1060-20240630" TargetMode="External"/><Relationship Id="rId5" Type="http://schemas.openxmlformats.org/officeDocument/2006/relationships/hyperlink" Target="https://eur-lex.europa.eu/legal-content/EN/TXT/?uri=COM%3A2022%3A325%3AFIN" TargetMode="External"/><Relationship Id="rId4" Type="http://schemas.openxmlformats.org/officeDocument/2006/relationships/hyperlink" Target="https://eur-lex.europa.eu/legal-content/EN/TXT/?uri=celex:32002R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62E94-E2E9-4364-B72B-4BF8AD98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4482</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2</cp:revision>
  <cp:lastPrinted>2013-02-27T18:02:00Z</cp:lastPrinted>
  <dcterms:created xsi:type="dcterms:W3CDTF">2025-10-27T17:25:00Z</dcterms:created>
  <dcterms:modified xsi:type="dcterms:W3CDTF">2025-10-27T17:25:00Z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