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2F19BF" w:rsidRDefault="00077C4F" w:rsidP="002F19BF">
      <w:pPr>
        <w:spacing w:after="0" w:line="240" w:lineRule="auto"/>
        <w:ind w:left="-567"/>
        <w:rPr>
          <w:rFonts w:ascii="Times New Roman" w:hAnsi="Times New Roman"/>
          <w:bCs/>
          <w:sz w:val="16"/>
          <w:szCs w:val="16"/>
        </w:rPr>
      </w:pPr>
    </w:p>
    <w:tbl>
      <w:tblPr>
        <w:tblW w:w="101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54"/>
      </w:tblGrid>
      <w:tr w:rsidR="001C4138" w:rsidRPr="00442552" w14:paraId="7E6372DC" w14:textId="77777777" w:rsidTr="002F19BF">
        <w:trPr>
          <w:jc w:val="center"/>
        </w:trPr>
        <w:tc>
          <w:tcPr>
            <w:tcW w:w="10154" w:type="dxa"/>
          </w:tcPr>
          <w:p w14:paraId="3A4EDC3A" w14:textId="32B5CD2F" w:rsidR="001C4138" w:rsidRPr="002F19BF" w:rsidRDefault="00265071" w:rsidP="008754ED">
            <w:pPr>
              <w:tabs>
                <w:tab w:val="num" w:pos="550"/>
              </w:tabs>
              <w:spacing w:before="120" w:after="120"/>
              <w:ind w:left="146"/>
              <w:rPr>
                <w:rFonts w:ascii="Times New Roman" w:hAnsi="Times New Roman"/>
                <w:b/>
                <w:sz w:val="24"/>
                <w:szCs w:val="24"/>
              </w:rPr>
            </w:pPr>
            <w:r w:rsidRPr="002F19BF">
              <w:rPr>
                <w:rFonts w:ascii="Times New Roman" w:hAnsi="Times New Roman"/>
                <w:b/>
                <w:sz w:val="24"/>
                <w:szCs w:val="24"/>
              </w:rPr>
              <w:t>Industrial policies/greater strategic autonomy</w:t>
            </w:r>
            <w:r w:rsidR="001C4138" w:rsidRPr="002F19BF">
              <w:rPr>
                <w:rFonts w:ascii="Times New Roman" w:hAnsi="Times New Roman"/>
                <w:b/>
                <w:sz w:val="24"/>
                <w:szCs w:val="24"/>
              </w:rPr>
              <w:br/>
            </w:r>
            <w:r w:rsidR="001B4EC9">
              <w:rPr>
                <w:rFonts w:ascii="Times New Roman" w:hAnsi="Times New Roman"/>
                <w:b/>
                <w:sz w:val="24"/>
                <w:szCs w:val="24"/>
              </w:rPr>
              <w:t>(</w:t>
            </w:r>
            <w:r w:rsidRPr="002F19BF">
              <w:rPr>
                <w:rFonts w:ascii="Times New Roman" w:hAnsi="Times New Roman"/>
                <w:b/>
                <w:sz w:val="24"/>
                <w:szCs w:val="24"/>
              </w:rPr>
              <w:t>Own-initiative opinion</w:t>
            </w:r>
            <w:r w:rsidR="001B4EC9">
              <w:rPr>
                <w:rFonts w:ascii="Times New Roman" w:hAnsi="Times New Roman"/>
                <w:b/>
                <w:sz w:val="24"/>
                <w:szCs w:val="24"/>
              </w:rPr>
              <w:t>)</w:t>
            </w:r>
            <w:r w:rsidR="001C4138" w:rsidRPr="002F19BF">
              <w:rPr>
                <w:rFonts w:ascii="Times New Roman" w:hAnsi="Times New Roman"/>
                <w:b/>
                <w:sz w:val="24"/>
                <w:szCs w:val="24"/>
                <w:lang w:val="en-IE"/>
              </w:rPr>
              <w:br/>
              <w:t>EESC-</w:t>
            </w:r>
            <w:r w:rsidRPr="002F19BF">
              <w:rPr>
                <w:rFonts w:ascii="Times New Roman" w:hAnsi="Times New Roman"/>
                <w:b/>
                <w:sz w:val="24"/>
                <w:szCs w:val="24"/>
                <w:lang w:val="en-IE"/>
              </w:rPr>
              <w:t>2024-02005</w:t>
            </w:r>
            <w:r w:rsidR="001C4138" w:rsidRPr="002F19BF">
              <w:rPr>
                <w:rFonts w:ascii="Times New Roman" w:hAnsi="Times New Roman"/>
                <w:b/>
                <w:sz w:val="24"/>
                <w:szCs w:val="24"/>
                <w:lang w:val="en-IE"/>
              </w:rPr>
              <w:t xml:space="preserve"> </w:t>
            </w:r>
            <w:r w:rsidR="001C4138" w:rsidRPr="002F19BF">
              <w:rPr>
                <w:rFonts w:ascii="Times New Roman" w:hAnsi="Times New Roman"/>
                <w:b/>
                <w:sz w:val="24"/>
                <w:szCs w:val="24"/>
              </w:rPr>
              <w:t xml:space="preserve">‒ </w:t>
            </w:r>
            <w:r w:rsidRPr="002F19BF">
              <w:rPr>
                <w:rFonts w:ascii="Times New Roman" w:hAnsi="Times New Roman"/>
                <w:b/>
                <w:sz w:val="24"/>
                <w:szCs w:val="24"/>
              </w:rPr>
              <w:t>CCMI/233</w:t>
            </w:r>
            <w:r w:rsidR="001C4138" w:rsidRPr="002F19BF">
              <w:rPr>
                <w:rFonts w:ascii="Times New Roman" w:hAnsi="Times New Roman"/>
                <w:b/>
                <w:sz w:val="24"/>
                <w:szCs w:val="24"/>
              </w:rPr>
              <w:br/>
            </w:r>
            <w:r w:rsidRPr="002F19BF">
              <w:rPr>
                <w:rFonts w:ascii="Times New Roman" w:hAnsi="Times New Roman"/>
                <w:b/>
                <w:sz w:val="24"/>
                <w:szCs w:val="24"/>
              </w:rPr>
              <w:t>592</w:t>
            </w:r>
            <w:r w:rsidRPr="002F19BF">
              <w:rPr>
                <w:rFonts w:ascii="Times New Roman" w:hAnsi="Times New Roman"/>
                <w:b/>
                <w:sz w:val="24"/>
                <w:szCs w:val="24"/>
                <w:vertAlign w:val="superscript"/>
              </w:rPr>
              <w:t>nd</w:t>
            </w:r>
            <w:r w:rsidRPr="002F19BF">
              <w:rPr>
                <w:rFonts w:ascii="Times New Roman" w:hAnsi="Times New Roman"/>
                <w:b/>
                <w:sz w:val="24"/>
                <w:szCs w:val="24"/>
              </w:rPr>
              <w:t xml:space="preserve"> </w:t>
            </w:r>
            <w:r w:rsidR="001C4138" w:rsidRPr="002F19BF">
              <w:rPr>
                <w:rFonts w:ascii="Times New Roman" w:hAnsi="Times New Roman"/>
                <w:b/>
                <w:sz w:val="24"/>
                <w:szCs w:val="24"/>
              </w:rPr>
              <w:t xml:space="preserve">Plenary Session – </w:t>
            </w:r>
            <w:r w:rsidRPr="002F19BF">
              <w:rPr>
                <w:rFonts w:ascii="Times New Roman" w:hAnsi="Times New Roman"/>
                <w:b/>
                <w:sz w:val="24"/>
                <w:szCs w:val="24"/>
              </w:rPr>
              <w:t>December 2024</w:t>
            </w:r>
            <w:r w:rsidR="001C4138" w:rsidRPr="002F19BF">
              <w:rPr>
                <w:rFonts w:ascii="Times New Roman" w:hAnsi="Times New Roman"/>
                <w:b/>
                <w:sz w:val="24"/>
                <w:szCs w:val="24"/>
              </w:rPr>
              <w:br/>
              <w:t>Rapporteur:</w:t>
            </w:r>
            <w:r w:rsidRPr="002F19BF">
              <w:rPr>
                <w:rFonts w:ascii="Times New Roman" w:hAnsi="Times New Roman"/>
                <w:b/>
                <w:sz w:val="24"/>
                <w:szCs w:val="24"/>
              </w:rPr>
              <w:t xml:space="preserve"> Alain COHEUR (BE-III)</w:t>
            </w:r>
            <w:r w:rsidR="002F19BF" w:rsidRPr="002F19BF">
              <w:rPr>
                <w:rFonts w:ascii="Times New Roman" w:hAnsi="Times New Roman"/>
                <w:b/>
                <w:sz w:val="24"/>
                <w:szCs w:val="24"/>
              </w:rPr>
              <w:br/>
            </w:r>
            <w:r w:rsidRPr="002F19BF">
              <w:rPr>
                <w:rFonts w:ascii="Times New Roman" w:hAnsi="Times New Roman"/>
                <w:b/>
                <w:sz w:val="24"/>
                <w:szCs w:val="24"/>
              </w:rPr>
              <w:t>Co-rapporteur: Antonello PEZZINI (IT-I)</w:t>
            </w:r>
            <w:r w:rsidR="001C4138" w:rsidRPr="002F19BF">
              <w:rPr>
                <w:rFonts w:ascii="Times New Roman" w:hAnsi="Times New Roman"/>
                <w:b/>
                <w:sz w:val="24"/>
                <w:szCs w:val="24"/>
              </w:rPr>
              <w:br/>
              <w:t xml:space="preserve">DG </w:t>
            </w:r>
            <w:r w:rsidRPr="002F19BF">
              <w:rPr>
                <w:rFonts w:ascii="Times New Roman" w:hAnsi="Times New Roman"/>
                <w:b/>
                <w:sz w:val="24"/>
                <w:szCs w:val="24"/>
              </w:rPr>
              <w:t>GROW</w:t>
            </w:r>
            <w:r w:rsidR="001C4138" w:rsidRPr="002F19BF">
              <w:rPr>
                <w:rFonts w:ascii="Times New Roman" w:hAnsi="Times New Roman"/>
                <w:b/>
                <w:sz w:val="24"/>
                <w:szCs w:val="24"/>
              </w:rPr>
              <w:t xml:space="preserve"> – Commissioner </w:t>
            </w:r>
            <w:r w:rsidRPr="002F19BF">
              <w:rPr>
                <w:rFonts w:ascii="Times New Roman" w:hAnsi="Times New Roman"/>
                <w:b/>
                <w:sz w:val="24"/>
                <w:szCs w:val="24"/>
              </w:rPr>
              <w:t>SEJOURN</w:t>
            </w:r>
            <w:r w:rsidR="008754ED">
              <w:rPr>
                <w:rFonts w:ascii="Times New Roman" w:hAnsi="Times New Roman"/>
                <w:b/>
                <w:sz w:val="24"/>
                <w:szCs w:val="24"/>
              </w:rPr>
              <w:t>É</w:t>
            </w:r>
          </w:p>
        </w:tc>
      </w:tr>
      <w:tr w:rsidR="00734613" w:rsidRPr="00442552" w14:paraId="1937071F" w14:textId="77777777" w:rsidTr="002F19BF">
        <w:trPr>
          <w:jc w:val="center"/>
        </w:trPr>
        <w:tc>
          <w:tcPr>
            <w:tcW w:w="10154" w:type="dxa"/>
          </w:tcPr>
          <w:p w14:paraId="1E50B4DB" w14:textId="0097394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8754ED">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2F19BF">
        <w:trPr>
          <w:jc w:val="center"/>
        </w:trPr>
        <w:tc>
          <w:tcPr>
            <w:tcW w:w="10154" w:type="dxa"/>
          </w:tcPr>
          <w:p w14:paraId="3300CF99" w14:textId="60B9A423" w:rsidR="00E91EB7" w:rsidRPr="002F19BF" w:rsidRDefault="00E91EB7" w:rsidP="002F19BF">
            <w:pPr>
              <w:spacing w:before="120" w:after="120"/>
              <w:ind w:left="147" w:right="153"/>
              <w:jc w:val="both"/>
              <w:rPr>
                <w:rFonts w:ascii="Times New Roman" w:hAnsi="Times New Roman"/>
                <w:sz w:val="24"/>
                <w:szCs w:val="24"/>
              </w:rPr>
            </w:pPr>
            <w:r w:rsidRPr="002F19BF">
              <w:rPr>
                <w:rFonts w:ascii="Times New Roman" w:hAnsi="Times New Roman"/>
                <w:sz w:val="24"/>
                <w:szCs w:val="24"/>
              </w:rPr>
              <w:t xml:space="preserve">The Commission welcomes the conclusions and recommendations of the Committee on challenges to the competitiveness of EU enterprises. The Commission concurs with the Committee’s view that initiatives need to be taken in view of improving </w:t>
            </w:r>
            <w:r w:rsidR="00EA5B1B">
              <w:rPr>
                <w:rFonts w:ascii="Times New Roman" w:hAnsi="Times New Roman"/>
                <w:sz w:val="24"/>
                <w:szCs w:val="24"/>
              </w:rPr>
              <w:t xml:space="preserve">the </w:t>
            </w:r>
            <w:r w:rsidRPr="002F19BF">
              <w:rPr>
                <w:rFonts w:ascii="Times New Roman" w:hAnsi="Times New Roman"/>
                <w:sz w:val="24"/>
                <w:szCs w:val="24"/>
              </w:rPr>
              <w:t>EU’s competitiveness not only through horizontal initiatives, but also through targeted ones to respond to industry’s specific challenges.</w:t>
            </w:r>
          </w:p>
          <w:p w14:paraId="04D56DD6" w14:textId="18917B94" w:rsidR="00E91EB7" w:rsidRPr="002F19BF" w:rsidRDefault="00E91EB7" w:rsidP="002F19BF">
            <w:pPr>
              <w:spacing w:before="120" w:after="120"/>
              <w:ind w:left="147" w:right="153"/>
              <w:jc w:val="both"/>
              <w:rPr>
                <w:rFonts w:ascii="Times New Roman" w:hAnsi="Times New Roman"/>
                <w:sz w:val="24"/>
                <w:szCs w:val="24"/>
                <w:lang w:val="en-IE"/>
              </w:rPr>
            </w:pPr>
            <w:r w:rsidRPr="002F19BF">
              <w:rPr>
                <w:rFonts w:ascii="Times New Roman" w:hAnsi="Times New Roman"/>
                <w:sz w:val="24"/>
                <w:szCs w:val="24"/>
              </w:rPr>
              <w:t>{1.1}</w:t>
            </w:r>
            <w:r w:rsidR="00E808D6" w:rsidRPr="002F19BF">
              <w:rPr>
                <w:rFonts w:ascii="Times New Roman" w:hAnsi="Times New Roman"/>
                <w:sz w:val="24"/>
                <w:szCs w:val="24"/>
              </w:rPr>
              <w:t xml:space="preserve"> </w:t>
            </w:r>
            <w:r w:rsidRPr="002F19BF">
              <w:rPr>
                <w:rFonts w:ascii="Times New Roman" w:hAnsi="Times New Roman"/>
                <w:sz w:val="24"/>
                <w:szCs w:val="24"/>
              </w:rPr>
              <w:t>The Commission’s efforts to strengthen the EU’s competitiveness are guided by the priorities outlined in the Political Guidelines</w:t>
            </w:r>
            <w:r w:rsidR="79A9C75A" w:rsidRPr="002F19BF">
              <w:rPr>
                <w:rFonts w:ascii="Times New Roman" w:hAnsi="Times New Roman"/>
                <w:sz w:val="24"/>
                <w:szCs w:val="24"/>
              </w:rPr>
              <w:t>.</w:t>
            </w:r>
            <w:r w:rsidR="38B95F15" w:rsidRPr="002F19BF">
              <w:rPr>
                <w:rFonts w:ascii="Times New Roman" w:hAnsi="Times New Roman"/>
                <w:sz w:val="24"/>
                <w:szCs w:val="24"/>
              </w:rPr>
              <w:t xml:space="preserve"> The Political Guidelines reflect both internal assessments and the views of external stakeholders, such as those expressed in the </w:t>
            </w:r>
            <w:r w:rsidR="38B95F15" w:rsidRPr="002F19BF">
              <w:rPr>
                <w:rFonts w:ascii="Times New Roman" w:hAnsi="Times New Roman"/>
                <w:sz w:val="24"/>
                <w:szCs w:val="24"/>
                <w:lang w:val="en-IE"/>
              </w:rPr>
              <w:t>Antwerp Declaration</w:t>
            </w:r>
            <w:r w:rsidR="008754ED">
              <w:rPr>
                <w:rStyle w:val="FootnoteReference"/>
                <w:rFonts w:ascii="Times New Roman" w:hAnsi="Times New Roman"/>
                <w:sz w:val="24"/>
                <w:szCs w:val="24"/>
                <w:lang w:val="en-IE"/>
              </w:rPr>
              <w:footnoteReference w:id="1"/>
            </w:r>
            <w:r w:rsidR="38B95F15" w:rsidRPr="002F19BF">
              <w:rPr>
                <w:rFonts w:ascii="Times New Roman" w:hAnsi="Times New Roman"/>
                <w:sz w:val="24"/>
                <w:szCs w:val="24"/>
                <w:lang w:val="en-IE"/>
              </w:rPr>
              <w:t>, as well as the insights and recommendation outlined in the Draghi Report</w:t>
            </w:r>
            <w:r w:rsidR="008754ED">
              <w:rPr>
                <w:rStyle w:val="FootnoteReference"/>
                <w:rFonts w:ascii="Times New Roman" w:hAnsi="Times New Roman"/>
                <w:sz w:val="24"/>
                <w:szCs w:val="24"/>
                <w:lang w:val="en-IE"/>
              </w:rPr>
              <w:footnoteReference w:id="2"/>
            </w:r>
            <w:r w:rsidR="38B95F15" w:rsidRPr="002F19BF">
              <w:rPr>
                <w:rFonts w:ascii="Times New Roman" w:hAnsi="Times New Roman"/>
                <w:sz w:val="24"/>
                <w:szCs w:val="24"/>
                <w:lang w:val="en-IE"/>
              </w:rPr>
              <w:t>.</w:t>
            </w:r>
          </w:p>
          <w:p w14:paraId="4128E7B0" w14:textId="55D3CB12" w:rsidR="00E91EB7" w:rsidRPr="002F19BF" w:rsidRDefault="79A9C75A" w:rsidP="002F19BF">
            <w:pPr>
              <w:spacing w:before="120" w:after="120"/>
              <w:ind w:left="147" w:right="153"/>
              <w:jc w:val="both"/>
              <w:rPr>
                <w:rFonts w:ascii="Times New Roman" w:hAnsi="Times New Roman"/>
                <w:sz w:val="24"/>
                <w:szCs w:val="24"/>
                <w:lang w:val="en-IE"/>
              </w:rPr>
            </w:pPr>
            <w:r w:rsidRPr="002F19BF">
              <w:rPr>
                <w:rFonts w:ascii="Times New Roman" w:hAnsi="Times New Roman"/>
                <w:sz w:val="24"/>
                <w:szCs w:val="24"/>
              </w:rPr>
              <w:t xml:space="preserve">On 29 January 2025, the Commission presented its </w:t>
            </w:r>
            <w:r w:rsidR="443B8431" w:rsidRPr="002F19BF">
              <w:rPr>
                <w:rFonts w:ascii="Times New Roman" w:hAnsi="Times New Roman"/>
                <w:sz w:val="24"/>
                <w:szCs w:val="24"/>
              </w:rPr>
              <w:t>Competitiveness Compass</w:t>
            </w:r>
            <w:r w:rsidR="005B0D63" w:rsidRPr="002F19BF">
              <w:rPr>
                <w:rStyle w:val="FootnoteReference"/>
                <w:rFonts w:ascii="Times New Roman" w:hAnsi="Times New Roman"/>
                <w:sz w:val="24"/>
                <w:szCs w:val="24"/>
              </w:rPr>
              <w:footnoteReference w:id="3"/>
            </w:r>
            <w:r w:rsidR="0082568B">
              <w:rPr>
                <w:rFonts w:ascii="Times New Roman" w:hAnsi="Times New Roman"/>
                <w:sz w:val="24"/>
                <w:szCs w:val="24"/>
              </w:rPr>
              <w:t>,</w:t>
            </w:r>
            <w:r w:rsidR="443B8431" w:rsidRPr="002F19BF">
              <w:rPr>
                <w:rFonts w:ascii="Times New Roman" w:hAnsi="Times New Roman"/>
                <w:sz w:val="24"/>
                <w:szCs w:val="24"/>
              </w:rPr>
              <w:t xml:space="preserve"> </w:t>
            </w:r>
            <w:r w:rsidR="0082568B">
              <w:rPr>
                <w:rFonts w:ascii="Times New Roman" w:hAnsi="Times New Roman"/>
                <w:sz w:val="24"/>
                <w:szCs w:val="24"/>
              </w:rPr>
              <w:t>which</w:t>
            </w:r>
            <w:r w:rsidR="443B8431" w:rsidRPr="002F19BF">
              <w:rPr>
                <w:rFonts w:ascii="Times New Roman" w:hAnsi="Times New Roman"/>
                <w:sz w:val="24"/>
                <w:szCs w:val="24"/>
              </w:rPr>
              <w:t xml:space="preserve"> provides a</w:t>
            </w:r>
            <w:r w:rsidR="008754ED">
              <w:rPr>
                <w:rFonts w:ascii="Times New Roman" w:hAnsi="Times New Roman"/>
                <w:sz w:val="24"/>
                <w:szCs w:val="24"/>
              </w:rPr>
              <w:t> </w:t>
            </w:r>
            <w:r w:rsidR="443B8431" w:rsidRPr="002F19BF">
              <w:rPr>
                <w:rFonts w:ascii="Times New Roman" w:hAnsi="Times New Roman"/>
                <w:sz w:val="24"/>
                <w:szCs w:val="24"/>
              </w:rPr>
              <w:t>strategic framework for the Commission’s work in this mandate. The Compass builds on the report by Mario Draghi on the future of European competitiveness and points to concrete measures with view to three transformational imperatives, namely closing the innovation gap, a</w:t>
            </w:r>
            <w:r w:rsidR="64341EC1" w:rsidRPr="002F19BF">
              <w:rPr>
                <w:rFonts w:ascii="Times New Roman" w:hAnsi="Times New Roman"/>
                <w:sz w:val="24"/>
                <w:szCs w:val="24"/>
              </w:rPr>
              <w:t xml:space="preserve"> j</w:t>
            </w:r>
            <w:r w:rsidR="443B8431" w:rsidRPr="002F19BF">
              <w:rPr>
                <w:rFonts w:ascii="Times New Roman" w:hAnsi="Times New Roman"/>
                <w:sz w:val="24"/>
                <w:szCs w:val="24"/>
              </w:rPr>
              <w:t>oint roadmap for decarbonisation and competitiveness</w:t>
            </w:r>
            <w:r w:rsidR="61BE10E4" w:rsidRPr="002F19BF">
              <w:rPr>
                <w:rFonts w:ascii="Times New Roman" w:hAnsi="Times New Roman"/>
                <w:sz w:val="24"/>
                <w:szCs w:val="24"/>
              </w:rPr>
              <w:t>, and r</w:t>
            </w:r>
            <w:r w:rsidR="443B8431" w:rsidRPr="002F19BF">
              <w:rPr>
                <w:rFonts w:ascii="Times New Roman" w:hAnsi="Times New Roman"/>
                <w:sz w:val="24"/>
                <w:szCs w:val="24"/>
              </w:rPr>
              <w:t>educing excessive dependencies and increasing security</w:t>
            </w:r>
            <w:r w:rsidR="4DADCF01" w:rsidRPr="002F19BF">
              <w:rPr>
                <w:rFonts w:ascii="Times New Roman" w:hAnsi="Times New Roman"/>
                <w:sz w:val="24"/>
                <w:szCs w:val="24"/>
              </w:rPr>
              <w:t xml:space="preserve">. </w:t>
            </w:r>
            <w:r w:rsidR="0AB16BB9" w:rsidRPr="002F19BF">
              <w:rPr>
                <w:rFonts w:ascii="Times New Roman" w:hAnsi="Times New Roman"/>
                <w:sz w:val="24"/>
                <w:szCs w:val="24"/>
              </w:rPr>
              <w:t>On the same day, the Commission published the latest edition of the</w:t>
            </w:r>
            <w:r w:rsidR="443B8431" w:rsidRPr="002F19BF">
              <w:rPr>
                <w:rFonts w:ascii="Times New Roman" w:hAnsi="Times New Roman"/>
                <w:sz w:val="24"/>
                <w:szCs w:val="24"/>
              </w:rPr>
              <w:t xml:space="preserve"> </w:t>
            </w:r>
            <w:r w:rsidR="00E91EB7" w:rsidRPr="002F19BF">
              <w:rPr>
                <w:rFonts w:ascii="Times New Roman" w:hAnsi="Times New Roman"/>
                <w:sz w:val="24"/>
                <w:szCs w:val="24"/>
              </w:rPr>
              <w:t>Annual Single Market and Competitiveness Report</w:t>
            </w:r>
            <w:r w:rsidR="00FF1C61" w:rsidRPr="002F19BF">
              <w:rPr>
                <w:rStyle w:val="FootnoteReference"/>
                <w:rFonts w:ascii="Times New Roman" w:hAnsi="Times New Roman"/>
                <w:sz w:val="24"/>
                <w:szCs w:val="24"/>
              </w:rPr>
              <w:footnoteReference w:id="4"/>
            </w:r>
            <w:r w:rsidR="00E91EB7" w:rsidRPr="002F19BF">
              <w:rPr>
                <w:rFonts w:ascii="Times New Roman" w:hAnsi="Times New Roman"/>
                <w:sz w:val="24"/>
                <w:szCs w:val="24"/>
              </w:rPr>
              <w:t xml:space="preserve">, </w:t>
            </w:r>
            <w:r w:rsidR="4420FCDA" w:rsidRPr="002F19BF">
              <w:rPr>
                <w:rFonts w:ascii="Times New Roman" w:hAnsi="Times New Roman"/>
                <w:sz w:val="24"/>
                <w:szCs w:val="24"/>
              </w:rPr>
              <w:t>which informs the analysis o</w:t>
            </w:r>
            <w:r w:rsidR="00FF1C61" w:rsidRPr="002F19BF">
              <w:rPr>
                <w:rFonts w:ascii="Times New Roman" w:hAnsi="Times New Roman"/>
                <w:sz w:val="24"/>
                <w:szCs w:val="24"/>
              </w:rPr>
              <w:t>f</w:t>
            </w:r>
            <w:r w:rsidR="4420FCDA" w:rsidRPr="002F19BF">
              <w:rPr>
                <w:rFonts w:ascii="Times New Roman" w:hAnsi="Times New Roman"/>
                <w:sz w:val="24"/>
                <w:szCs w:val="24"/>
              </w:rPr>
              <w:t xml:space="preserve"> EU competitiveness.</w:t>
            </w:r>
          </w:p>
          <w:p w14:paraId="01B37F02" w14:textId="7CE683A0" w:rsidR="00E91EB7" w:rsidRPr="002F19BF" w:rsidRDefault="00E91EB7" w:rsidP="002F19BF">
            <w:pPr>
              <w:spacing w:before="120" w:after="120"/>
              <w:ind w:left="147" w:right="153"/>
              <w:jc w:val="both"/>
              <w:rPr>
                <w:rFonts w:ascii="Times New Roman" w:eastAsia="Yu Mincho" w:hAnsi="Times New Roman"/>
                <w:sz w:val="24"/>
                <w:szCs w:val="24"/>
              </w:rPr>
            </w:pPr>
            <w:r w:rsidRPr="002F19BF">
              <w:rPr>
                <w:rFonts w:ascii="Times New Roman" w:hAnsi="Times New Roman"/>
                <w:sz w:val="24"/>
                <w:szCs w:val="24"/>
              </w:rPr>
              <w:t>That prominence of competitiveness in the EU</w:t>
            </w:r>
            <w:r w:rsidR="00EA5B1B">
              <w:rPr>
                <w:rFonts w:ascii="Times New Roman" w:hAnsi="Times New Roman"/>
                <w:sz w:val="24"/>
                <w:szCs w:val="24"/>
              </w:rPr>
              <w:t>’</w:t>
            </w:r>
            <w:r w:rsidRPr="002F19BF">
              <w:rPr>
                <w:rFonts w:ascii="Times New Roman" w:hAnsi="Times New Roman"/>
                <w:sz w:val="24"/>
                <w:szCs w:val="24"/>
              </w:rPr>
              <w:t xml:space="preserve">s political agenda is underscored by the adoption of the Competitiveness Compass as a key deliverable within the first 100 days of the Commission’s new mandate. A central component of this strategy is the </w:t>
            </w:r>
            <w:r w:rsidRPr="002F19BF">
              <w:rPr>
                <w:rFonts w:ascii="Times New Roman" w:hAnsi="Times New Roman"/>
                <w:sz w:val="24"/>
                <w:szCs w:val="24"/>
                <w:lang w:val="en-IE"/>
              </w:rPr>
              <w:t>Clean Industrial Deal</w:t>
            </w:r>
            <w:r w:rsidRPr="002F19BF">
              <w:rPr>
                <w:rFonts w:ascii="Times New Roman" w:hAnsi="Times New Roman"/>
                <w:sz w:val="24"/>
                <w:szCs w:val="24"/>
              </w:rPr>
              <w:t>.</w:t>
            </w:r>
          </w:p>
          <w:p w14:paraId="5E1C2D04" w14:textId="5EC9982C" w:rsidR="00E91EB7" w:rsidRPr="002F19BF" w:rsidRDefault="00E91EB7" w:rsidP="002F19BF">
            <w:pPr>
              <w:spacing w:before="120" w:after="120"/>
              <w:ind w:left="147" w:right="153"/>
              <w:jc w:val="both"/>
              <w:rPr>
                <w:rFonts w:ascii="Times New Roman" w:hAnsi="Times New Roman"/>
                <w:sz w:val="24"/>
                <w:szCs w:val="24"/>
              </w:rPr>
            </w:pPr>
            <w:r w:rsidRPr="002F19BF">
              <w:rPr>
                <w:rFonts w:ascii="Times New Roman" w:hAnsi="Times New Roman"/>
                <w:sz w:val="24"/>
                <w:szCs w:val="24"/>
              </w:rPr>
              <w:t>{1.3} The Clean Industrial Deal will continue the path to decarbonise, improve circularity and industrialise the EU economy, with more strategic autonomy. It will go further on strengthening the business case for decarbonisation, circularity, and support industry in its efforts to innovate and scale up and create lead markets for clean technologies</w:t>
            </w:r>
            <w:r w:rsidR="7FEE8771" w:rsidRPr="002F19BF">
              <w:rPr>
                <w:rFonts w:ascii="Times New Roman" w:hAnsi="Times New Roman"/>
                <w:sz w:val="24"/>
                <w:szCs w:val="24"/>
              </w:rPr>
              <w:t xml:space="preserve"> and sustainable and circular products and value chains</w:t>
            </w:r>
            <w:r w:rsidRPr="002F19BF">
              <w:rPr>
                <w:rFonts w:ascii="Times New Roman" w:hAnsi="Times New Roman"/>
                <w:sz w:val="24"/>
                <w:szCs w:val="24"/>
              </w:rPr>
              <w:t>.</w:t>
            </w:r>
          </w:p>
          <w:p w14:paraId="79F7E29F" w14:textId="46AADA37" w:rsidR="00E91EB7" w:rsidRPr="002F19BF" w:rsidRDefault="00E91EB7" w:rsidP="002F19BF">
            <w:pPr>
              <w:spacing w:before="120" w:after="120"/>
              <w:ind w:left="147" w:right="153"/>
              <w:jc w:val="both"/>
              <w:rPr>
                <w:rFonts w:ascii="Times New Roman" w:hAnsi="Times New Roman"/>
                <w:sz w:val="24"/>
                <w:szCs w:val="24"/>
              </w:rPr>
            </w:pPr>
            <w:r w:rsidRPr="002F19BF">
              <w:rPr>
                <w:rFonts w:ascii="Times New Roman" w:hAnsi="Times New Roman"/>
                <w:sz w:val="24"/>
                <w:szCs w:val="24"/>
              </w:rPr>
              <w:t xml:space="preserve">As a key element of the </w:t>
            </w:r>
            <w:r w:rsidRPr="002F19BF">
              <w:rPr>
                <w:rFonts w:ascii="Times New Roman" w:hAnsi="Times New Roman"/>
                <w:sz w:val="24"/>
                <w:szCs w:val="24"/>
                <w:lang w:val="en-IE"/>
              </w:rPr>
              <w:t xml:space="preserve">Clean Industrial </w:t>
            </w:r>
            <w:r w:rsidRPr="002F19BF">
              <w:rPr>
                <w:rFonts w:ascii="Times New Roman" w:hAnsi="Times New Roman"/>
                <w:sz w:val="24"/>
                <w:szCs w:val="24"/>
              </w:rPr>
              <w:t>Deal, the</w:t>
            </w:r>
            <w:r w:rsidRPr="002F19BF">
              <w:rPr>
                <w:rFonts w:ascii="Times New Roman" w:hAnsi="Times New Roman"/>
                <w:b/>
                <w:bCs/>
                <w:sz w:val="24"/>
                <w:szCs w:val="24"/>
              </w:rPr>
              <w:t xml:space="preserve"> </w:t>
            </w:r>
            <w:r w:rsidRPr="002F19BF">
              <w:rPr>
                <w:rFonts w:ascii="Times New Roman" w:hAnsi="Times New Roman"/>
                <w:sz w:val="24"/>
                <w:szCs w:val="24"/>
              </w:rPr>
              <w:t xml:space="preserve">Industrial Decarbonisation Accelerator Act will support markets for the development, manufacturing and </w:t>
            </w:r>
            <w:r w:rsidR="00FA74A7" w:rsidRPr="002F19BF">
              <w:rPr>
                <w:rFonts w:ascii="Times New Roman" w:hAnsi="Times New Roman"/>
                <w:sz w:val="24"/>
                <w:szCs w:val="24"/>
              </w:rPr>
              <w:t>adoption</w:t>
            </w:r>
            <w:r w:rsidR="71CACDBC" w:rsidRPr="002F19BF">
              <w:rPr>
                <w:rFonts w:ascii="Times New Roman" w:hAnsi="Times New Roman"/>
                <w:sz w:val="24"/>
                <w:szCs w:val="24"/>
              </w:rPr>
              <w:t xml:space="preserve"> </w:t>
            </w:r>
            <w:r w:rsidRPr="002F19BF">
              <w:rPr>
                <w:rFonts w:ascii="Times New Roman" w:hAnsi="Times New Roman"/>
                <w:sz w:val="24"/>
                <w:szCs w:val="24"/>
              </w:rPr>
              <w:t xml:space="preserve">of clean technologies in industry </w:t>
            </w:r>
            <w:r w:rsidRPr="002F19BF">
              <w:rPr>
                <w:rFonts w:ascii="Times New Roman" w:hAnsi="Times New Roman"/>
                <w:sz w:val="24"/>
                <w:szCs w:val="24"/>
              </w:rPr>
              <w:lastRenderedPageBreak/>
              <w:t>and speed up related planning, tendering and permitting processes, notably for energy-intensive industries, with strategic plan</w:t>
            </w:r>
            <w:r w:rsidR="00F4027A" w:rsidRPr="002F19BF">
              <w:rPr>
                <w:rFonts w:ascii="Times New Roman" w:hAnsi="Times New Roman"/>
                <w:sz w:val="24"/>
                <w:szCs w:val="24"/>
              </w:rPr>
              <w:t>s</w:t>
            </w:r>
            <w:r w:rsidRPr="002F19BF">
              <w:rPr>
                <w:rFonts w:ascii="Times New Roman" w:hAnsi="Times New Roman"/>
                <w:sz w:val="24"/>
                <w:szCs w:val="24"/>
              </w:rPr>
              <w:t xml:space="preserve"> for immediate implementation in specific industries which are </w:t>
            </w:r>
            <w:r w:rsidR="20D4DC89" w:rsidRPr="002F19BF">
              <w:rPr>
                <w:rFonts w:ascii="Times New Roman" w:hAnsi="Times New Roman"/>
                <w:sz w:val="24"/>
                <w:szCs w:val="24"/>
              </w:rPr>
              <w:t>experiencing exceptionally challenging economic conditions and fierce international competition</w:t>
            </w:r>
            <w:r w:rsidRPr="002F19BF">
              <w:rPr>
                <w:rFonts w:ascii="Times New Roman" w:hAnsi="Times New Roman"/>
                <w:sz w:val="24"/>
                <w:szCs w:val="24"/>
              </w:rPr>
              <w:t xml:space="preserve">, </w:t>
            </w:r>
            <w:r w:rsidR="008F4FEE" w:rsidRPr="002F19BF">
              <w:rPr>
                <w:rFonts w:ascii="Times New Roman" w:hAnsi="Times New Roman"/>
                <w:sz w:val="24"/>
                <w:szCs w:val="24"/>
              </w:rPr>
              <w:t xml:space="preserve">such as </w:t>
            </w:r>
            <w:r w:rsidRPr="002F19BF">
              <w:rPr>
                <w:rFonts w:ascii="Times New Roman" w:hAnsi="Times New Roman"/>
                <w:sz w:val="24"/>
                <w:szCs w:val="24"/>
              </w:rPr>
              <w:t xml:space="preserve">steel, </w:t>
            </w:r>
            <w:r w:rsidR="008F4FEE" w:rsidRPr="002F19BF">
              <w:rPr>
                <w:rFonts w:ascii="Times New Roman" w:hAnsi="Times New Roman"/>
                <w:sz w:val="24"/>
                <w:szCs w:val="24"/>
              </w:rPr>
              <w:t xml:space="preserve">metals </w:t>
            </w:r>
            <w:r w:rsidRPr="002F19BF">
              <w:rPr>
                <w:rFonts w:ascii="Times New Roman" w:hAnsi="Times New Roman"/>
                <w:sz w:val="24"/>
                <w:szCs w:val="24"/>
              </w:rPr>
              <w:t>and energy.</w:t>
            </w:r>
          </w:p>
          <w:p w14:paraId="0BA687F5" w14:textId="06C70C90" w:rsidR="005B0D63" w:rsidRPr="002F19BF" w:rsidRDefault="005B0D63" w:rsidP="002F19BF">
            <w:pPr>
              <w:spacing w:before="120" w:after="120"/>
              <w:ind w:left="147" w:right="153"/>
              <w:jc w:val="both"/>
              <w:rPr>
                <w:rFonts w:ascii="Times New Roman" w:hAnsi="Times New Roman"/>
                <w:sz w:val="24"/>
                <w:szCs w:val="24"/>
              </w:rPr>
            </w:pPr>
            <w:r w:rsidRPr="002F19BF">
              <w:rPr>
                <w:rFonts w:ascii="Times New Roman" w:hAnsi="Times New Roman"/>
                <w:sz w:val="24"/>
                <w:szCs w:val="24"/>
              </w:rPr>
              <w:t xml:space="preserve">As announced in the Political Guidelines, the upcoming revision of the Public Procurement Directive will enable preference to be given to European products in public procurement for certain strategic sectors. It will help ensure EU added value for our citizens, along with security of supply for vital technologies, products and services. It will also modernise and simplify </w:t>
            </w:r>
            <w:r w:rsidR="003F0F9B">
              <w:rPr>
                <w:rFonts w:ascii="Times New Roman" w:hAnsi="Times New Roman"/>
                <w:sz w:val="24"/>
                <w:szCs w:val="24"/>
              </w:rPr>
              <w:t xml:space="preserve">EU </w:t>
            </w:r>
            <w:r w:rsidRPr="002F19BF">
              <w:rPr>
                <w:rFonts w:ascii="Times New Roman" w:hAnsi="Times New Roman"/>
                <w:sz w:val="24"/>
                <w:szCs w:val="24"/>
              </w:rPr>
              <w:t>public procurement rules, in particular with EU start-ups and innovators in mind.</w:t>
            </w:r>
          </w:p>
          <w:p w14:paraId="0EBA8764" w14:textId="6096F511" w:rsidR="005B0D63" w:rsidRPr="002F19BF" w:rsidRDefault="005B0D63" w:rsidP="002F19BF">
            <w:pPr>
              <w:spacing w:before="120" w:after="120"/>
              <w:ind w:left="147" w:right="153"/>
              <w:jc w:val="both"/>
              <w:rPr>
                <w:rFonts w:ascii="Times New Roman" w:hAnsi="Times New Roman"/>
                <w:sz w:val="24"/>
                <w:szCs w:val="24"/>
              </w:rPr>
            </w:pPr>
            <w:r w:rsidRPr="002F19BF">
              <w:rPr>
                <w:rFonts w:ascii="Times New Roman" w:hAnsi="Times New Roman"/>
                <w:sz w:val="24"/>
                <w:szCs w:val="24"/>
              </w:rPr>
              <w:t>The Commission has launched a call for evidence and opened a public consultation to collect evidence, information, data, and feedback on how Public Procurement Directives 2014/23/EU</w:t>
            </w:r>
            <w:r w:rsidR="00AA6EBE">
              <w:rPr>
                <w:rStyle w:val="FootnoteReference"/>
                <w:rFonts w:ascii="Times New Roman" w:hAnsi="Times New Roman"/>
                <w:sz w:val="24"/>
                <w:szCs w:val="24"/>
              </w:rPr>
              <w:footnoteReference w:id="5"/>
            </w:r>
            <w:r w:rsidRPr="002F19BF">
              <w:rPr>
                <w:rFonts w:ascii="Times New Roman" w:hAnsi="Times New Roman"/>
                <w:sz w:val="24"/>
                <w:szCs w:val="24"/>
              </w:rPr>
              <w:t>, 2014/24/EU</w:t>
            </w:r>
            <w:r w:rsidR="00AA6EBE">
              <w:rPr>
                <w:rStyle w:val="FootnoteReference"/>
                <w:rFonts w:ascii="Times New Roman" w:hAnsi="Times New Roman"/>
                <w:sz w:val="24"/>
                <w:szCs w:val="24"/>
              </w:rPr>
              <w:footnoteReference w:id="6"/>
            </w:r>
            <w:r w:rsidRPr="002F19BF">
              <w:rPr>
                <w:rFonts w:ascii="Times New Roman" w:hAnsi="Times New Roman"/>
                <w:sz w:val="24"/>
                <w:szCs w:val="24"/>
              </w:rPr>
              <w:t xml:space="preserve"> and 2014/25/EU</w:t>
            </w:r>
            <w:r w:rsidR="00AA6EBE">
              <w:rPr>
                <w:rStyle w:val="FootnoteReference"/>
                <w:rFonts w:ascii="Times New Roman" w:hAnsi="Times New Roman"/>
                <w:sz w:val="24"/>
                <w:szCs w:val="24"/>
              </w:rPr>
              <w:footnoteReference w:id="7"/>
            </w:r>
            <w:r w:rsidRPr="002F19BF">
              <w:rPr>
                <w:rFonts w:ascii="Times New Roman" w:hAnsi="Times New Roman"/>
                <w:sz w:val="24"/>
                <w:szCs w:val="24"/>
              </w:rPr>
              <w:t xml:space="preserve"> have performed. The call for evidence and open public consultation remain</w:t>
            </w:r>
            <w:r w:rsidR="00D35AC2">
              <w:rPr>
                <w:rFonts w:ascii="Times New Roman" w:hAnsi="Times New Roman"/>
                <w:sz w:val="24"/>
                <w:szCs w:val="24"/>
              </w:rPr>
              <w:t>ed</w:t>
            </w:r>
            <w:r w:rsidRPr="002F19BF">
              <w:rPr>
                <w:rFonts w:ascii="Times New Roman" w:hAnsi="Times New Roman"/>
                <w:sz w:val="24"/>
                <w:szCs w:val="24"/>
              </w:rPr>
              <w:t xml:space="preserve"> open until 7 March 2025. The Commission invite</w:t>
            </w:r>
            <w:r w:rsidR="00D35AC2">
              <w:rPr>
                <w:rFonts w:ascii="Times New Roman" w:hAnsi="Times New Roman"/>
                <w:sz w:val="24"/>
                <w:szCs w:val="24"/>
              </w:rPr>
              <w:t>d</w:t>
            </w:r>
            <w:r w:rsidRPr="002F19BF">
              <w:rPr>
                <w:rFonts w:ascii="Times New Roman" w:hAnsi="Times New Roman"/>
                <w:sz w:val="24"/>
                <w:szCs w:val="24"/>
              </w:rPr>
              <w:t xml:space="preserve"> all interested parties to submit their feedback and share their views</w:t>
            </w:r>
            <w:r w:rsidRPr="002F19BF">
              <w:rPr>
                <w:rStyle w:val="FootnoteReference"/>
                <w:rFonts w:ascii="Times New Roman" w:hAnsi="Times New Roman"/>
                <w:sz w:val="24"/>
                <w:szCs w:val="24"/>
              </w:rPr>
              <w:footnoteReference w:id="8"/>
            </w:r>
            <w:r w:rsidRPr="002F19BF">
              <w:rPr>
                <w:rFonts w:ascii="Times New Roman" w:hAnsi="Times New Roman"/>
                <w:sz w:val="24"/>
                <w:szCs w:val="24"/>
              </w:rPr>
              <w:t>.</w:t>
            </w:r>
          </w:p>
          <w:p w14:paraId="24E8C273" w14:textId="00A1DDC1" w:rsidR="005B0D63" w:rsidRPr="002F19BF" w:rsidRDefault="005B0D63" w:rsidP="002F19BF">
            <w:pPr>
              <w:pStyle w:val="BodyText"/>
              <w:spacing w:before="120" w:after="120" w:line="276" w:lineRule="auto"/>
              <w:ind w:left="147" w:right="153"/>
              <w:jc w:val="both"/>
              <w:rPr>
                <w:sz w:val="24"/>
                <w:szCs w:val="24"/>
              </w:rPr>
            </w:pPr>
            <w:r w:rsidRPr="002F19BF">
              <w:rPr>
                <w:sz w:val="24"/>
                <w:szCs w:val="24"/>
              </w:rPr>
              <w:t xml:space="preserve">The EU has been successful in creating an efficiently functioning Single Market for chemicals, in reducing the risks to humans and the environment posed by certain hazardous chemicals, and in providing a predictable legislative framework for enterprises to operate in. The Commission wishes to clarify that the EU takes a hazard-driven approach with regard to chemical classification and labelling, in particular in </w:t>
            </w:r>
            <w:r w:rsidR="00EA5B1B">
              <w:rPr>
                <w:sz w:val="24"/>
                <w:szCs w:val="24"/>
              </w:rPr>
              <w:t xml:space="preserve">the </w:t>
            </w:r>
            <w:r w:rsidRPr="002F19BF">
              <w:rPr>
                <w:sz w:val="24"/>
                <w:szCs w:val="24"/>
              </w:rPr>
              <w:t>Regulation  on  Classification</w:t>
            </w:r>
            <w:r w:rsidR="00D35AC2">
              <w:rPr>
                <w:rStyle w:val="FootnoteReference"/>
                <w:sz w:val="24"/>
                <w:szCs w:val="24"/>
              </w:rPr>
              <w:footnoteReference w:id="9"/>
            </w:r>
            <w:r w:rsidRPr="002F19BF">
              <w:rPr>
                <w:sz w:val="24"/>
                <w:szCs w:val="24"/>
              </w:rPr>
              <w:t xml:space="preserve">, Labelling and Packaging of Substances and Mixtures (CLP), while other EU legislation regulating chemical substances and mixtures </w:t>
            </w:r>
            <w:r w:rsidR="00D35AC2" w:rsidRPr="002F19BF">
              <w:rPr>
                <w:b/>
                <w:sz w:val="24"/>
                <w:szCs w:val="24"/>
              </w:rPr>
              <w:t>‒</w:t>
            </w:r>
            <w:r w:rsidRPr="002F19BF">
              <w:rPr>
                <w:sz w:val="24"/>
                <w:szCs w:val="24"/>
              </w:rPr>
              <w:t xml:space="preserve"> although based on hazards identified in accordance with the CLP regulation </w:t>
            </w:r>
            <w:r w:rsidR="00D35AC2" w:rsidRPr="002F19BF">
              <w:rPr>
                <w:b/>
                <w:sz w:val="24"/>
                <w:szCs w:val="24"/>
              </w:rPr>
              <w:t>‒</w:t>
            </w:r>
            <w:r w:rsidRPr="002F19BF">
              <w:rPr>
                <w:sz w:val="24"/>
                <w:szCs w:val="24"/>
              </w:rPr>
              <w:t xml:space="preserve"> has a</w:t>
            </w:r>
            <w:r w:rsidR="00D20359">
              <w:rPr>
                <w:sz w:val="24"/>
                <w:szCs w:val="24"/>
              </w:rPr>
              <w:t xml:space="preserve"> </w:t>
            </w:r>
            <w:r w:rsidRPr="002F19BF">
              <w:rPr>
                <w:sz w:val="24"/>
                <w:szCs w:val="24"/>
              </w:rPr>
              <w:t>risk-based approach and takes into account exposure and use, for example REACH, ensuring that hazardous chemicals can be used safely.</w:t>
            </w:r>
          </w:p>
          <w:p w14:paraId="10787552" w14:textId="42AD1FBB" w:rsidR="005B0D63" w:rsidRPr="002F19BF" w:rsidRDefault="00EA5B1B" w:rsidP="009673AC">
            <w:pPr>
              <w:pStyle w:val="BodyText"/>
              <w:spacing w:before="120" w:after="120" w:line="276" w:lineRule="auto"/>
              <w:ind w:left="146" w:right="153"/>
              <w:jc w:val="both"/>
              <w:rPr>
                <w:sz w:val="24"/>
                <w:szCs w:val="24"/>
              </w:rPr>
            </w:pPr>
            <w:r>
              <w:rPr>
                <w:sz w:val="24"/>
                <w:szCs w:val="24"/>
              </w:rPr>
              <w:t>T</w:t>
            </w:r>
            <w:r w:rsidR="005B0D63" w:rsidRPr="002F19BF">
              <w:rPr>
                <w:sz w:val="24"/>
                <w:szCs w:val="24"/>
              </w:rPr>
              <w:t>he publication of the Transition Pathway for the EU Chemical Industry</w:t>
            </w:r>
            <w:r w:rsidR="005B0D63" w:rsidRPr="002F19BF">
              <w:rPr>
                <w:rStyle w:val="FootnoteReference"/>
                <w:sz w:val="24"/>
                <w:szCs w:val="24"/>
              </w:rPr>
              <w:footnoteReference w:id="10"/>
            </w:r>
            <w:r w:rsidR="005B0D63" w:rsidRPr="002F19BF">
              <w:rPr>
                <w:sz w:val="24"/>
                <w:szCs w:val="24"/>
              </w:rPr>
              <w:t xml:space="preserve"> identifies the actions and conditions needed to achieve the green and digital transition</w:t>
            </w:r>
            <w:r>
              <w:rPr>
                <w:sz w:val="24"/>
                <w:szCs w:val="24"/>
              </w:rPr>
              <w:t>,</w:t>
            </w:r>
            <w:r w:rsidR="005B0D63" w:rsidRPr="002F19BF">
              <w:rPr>
                <w:sz w:val="24"/>
                <w:szCs w:val="24"/>
              </w:rPr>
              <w:t xml:space="preserve"> while improving the resilience in the chemical industry</w:t>
            </w:r>
            <w:r>
              <w:rPr>
                <w:sz w:val="24"/>
                <w:szCs w:val="24"/>
              </w:rPr>
              <w:t>. Following this,</w:t>
            </w:r>
            <w:r w:rsidR="005B0D63" w:rsidRPr="002F19BF">
              <w:rPr>
                <w:sz w:val="24"/>
                <w:szCs w:val="24"/>
              </w:rPr>
              <w:t xml:space="preserve"> the Chemicals Industry Package set out in the Political Guidelines will be of key importance for a competitive EU industry. It will reflect a renewed and holistic approach to boost the green transition and reach sustainable competitiveness to give the Single Market top location conditions for sustainable chemicals production.</w:t>
            </w:r>
          </w:p>
          <w:p w14:paraId="46DC7097" w14:textId="6C7DAC84" w:rsidR="00FF1C61" w:rsidRPr="002F19BF" w:rsidRDefault="005B0D63" w:rsidP="002F19BF">
            <w:pPr>
              <w:spacing w:before="120" w:after="120"/>
              <w:ind w:left="147" w:right="153"/>
              <w:jc w:val="both"/>
              <w:rPr>
                <w:rFonts w:ascii="Times New Roman" w:hAnsi="Times New Roman"/>
                <w:sz w:val="24"/>
                <w:szCs w:val="24"/>
              </w:rPr>
            </w:pPr>
            <w:r w:rsidRPr="002F19BF">
              <w:rPr>
                <w:rFonts w:ascii="Times New Roman" w:hAnsi="Times New Roman"/>
                <w:sz w:val="24"/>
                <w:szCs w:val="24"/>
              </w:rPr>
              <w:t xml:space="preserve">{1.4} The Commission concurs with the Committee about the need </w:t>
            </w:r>
            <w:r w:rsidR="0082568B">
              <w:rPr>
                <w:rFonts w:ascii="Times New Roman" w:hAnsi="Times New Roman"/>
                <w:sz w:val="24"/>
                <w:szCs w:val="24"/>
              </w:rPr>
              <w:t>for</w:t>
            </w:r>
            <w:r w:rsidR="0082568B" w:rsidRPr="002F19BF">
              <w:rPr>
                <w:rFonts w:ascii="Times New Roman" w:hAnsi="Times New Roman"/>
                <w:sz w:val="24"/>
                <w:szCs w:val="24"/>
              </w:rPr>
              <w:t xml:space="preserve"> </w:t>
            </w:r>
            <w:r w:rsidRPr="002F19BF">
              <w:rPr>
                <w:rFonts w:ascii="Times New Roman" w:hAnsi="Times New Roman"/>
                <w:sz w:val="24"/>
                <w:szCs w:val="24"/>
              </w:rPr>
              <w:t xml:space="preserve">initiatives to avoid industrial </w:t>
            </w:r>
            <w:r w:rsidRPr="002F19BF">
              <w:rPr>
                <w:rFonts w:ascii="Times New Roman" w:hAnsi="Times New Roman"/>
                <w:sz w:val="24"/>
                <w:szCs w:val="24"/>
              </w:rPr>
              <w:lastRenderedPageBreak/>
              <w:t>decline. Indeed, access to finance, cooperation in innovation activities and skills are part of the drivers for long-term competitiveness.</w:t>
            </w:r>
            <w:r w:rsidRPr="002F19BF">
              <w:rPr>
                <w:rStyle w:val="FootnoteReference"/>
                <w:rFonts w:ascii="Times New Roman" w:hAnsi="Times New Roman"/>
                <w:sz w:val="24"/>
                <w:szCs w:val="24"/>
              </w:rPr>
              <w:footnoteReference w:id="11"/>
            </w:r>
            <w:r w:rsidRPr="002F19BF">
              <w:rPr>
                <w:rFonts w:ascii="Times New Roman" w:hAnsi="Times New Roman"/>
                <w:sz w:val="24"/>
                <w:szCs w:val="24"/>
              </w:rPr>
              <w:t xml:space="preserve"> </w:t>
            </w:r>
            <w:r w:rsidRPr="002F19BF">
              <w:rPr>
                <w:rFonts w:ascii="Times New Roman" w:hAnsi="Times New Roman"/>
                <w:sz w:val="24"/>
                <w:szCs w:val="24"/>
                <w:lang w:val="en-IE"/>
              </w:rPr>
              <w:t>T</w:t>
            </w:r>
            <w:r w:rsidRPr="002F19BF">
              <w:rPr>
                <w:rFonts w:ascii="Times New Roman" w:hAnsi="Times New Roman"/>
                <w:sz w:val="24"/>
                <w:szCs w:val="24"/>
              </w:rPr>
              <w:t>he Commission will continue to support access to finance for businesses via the InvestEU Programme and make use of the European Investment Bank’s and European Investment Fund’s guarantee instruments, including to the banking sector, to de-risk investments and facilitate more risk-taking private sector funding, including in particular for high tech and high innovation sectors. It will strengthen the collaboration between research, higher education and business notably by strengthening EU initiatives already fostering this collaboration such as the European Institute of Innovation and Technology</w:t>
            </w:r>
            <w:r w:rsidR="00E24D18">
              <w:rPr>
                <w:rFonts w:ascii="Times New Roman" w:hAnsi="Times New Roman"/>
                <w:sz w:val="24"/>
                <w:szCs w:val="24"/>
              </w:rPr>
              <w:t xml:space="preserve"> (EIT)</w:t>
            </w:r>
            <w:r w:rsidRPr="002F19BF">
              <w:rPr>
                <w:rFonts w:ascii="Times New Roman" w:hAnsi="Times New Roman"/>
                <w:sz w:val="24"/>
                <w:szCs w:val="24"/>
                <w:vertAlign w:val="superscript"/>
              </w:rPr>
              <w:footnoteReference w:id="12"/>
            </w:r>
            <w:r w:rsidRPr="002F19BF">
              <w:rPr>
                <w:rFonts w:ascii="Times New Roman" w:hAnsi="Times New Roman"/>
                <w:sz w:val="24"/>
                <w:szCs w:val="24"/>
              </w:rPr>
              <w:t>, Marie Skłodowska-Curie Actions</w:t>
            </w:r>
            <w:r w:rsidRPr="002F19BF">
              <w:rPr>
                <w:rFonts w:ascii="Times New Roman" w:hAnsi="Times New Roman"/>
                <w:sz w:val="24"/>
                <w:szCs w:val="24"/>
                <w:vertAlign w:val="superscript"/>
              </w:rPr>
              <w:footnoteReference w:id="13"/>
            </w:r>
            <w:r w:rsidRPr="002F19BF">
              <w:rPr>
                <w:rFonts w:ascii="Times New Roman" w:hAnsi="Times New Roman"/>
                <w:sz w:val="24"/>
                <w:szCs w:val="24"/>
              </w:rPr>
              <w:t>, the University Alliances</w:t>
            </w:r>
            <w:r w:rsidRPr="002F19BF">
              <w:rPr>
                <w:rFonts w:ascii="Times New Roman" w:hAnsi="Times New Roman"/>
                <w:sz w:val="24"/>
                <w:szCs w:val="24"/>
                <w:vertAlign w:val="superscript"/>
              </w:rPr>
              <w:footnoteReference w:id="14"/>
            </w:r>
            <w:r w:rsidRPr="002F19BF">
              <w:rPr>
                <w:rFonts w:ascii="Times New Roman" w:hAnsi="Times New Roman"/>
                <w:sz w:val="24"/>
                <w:szCs w:val="24"/>
              </w:rPr>
              <w:t xml:space="preserve"> and new public-private partnerships.</w:t>
            </w:r>
          </w:p>
          <w:p w14:paraId="29E32F9E" w14:textId="688101E5" w:rsidR="005B0D63" w:rsidRPr="002F19BF" w:rsidRDefault="005B0D63" w:rsidP="002F19BF">
            <w:pPr>
              <w:spacing w:before="120" w:after="120"/>
              <w:ind w:left="147" w:right="153"/>
              <w:jc w:val="both"/>
              <w:rPr>
                <w:rFonts w:ascii="Times New Roman" w:hAnsi="Times New Roman"/>
                <w:sz w:val="24"/>
                <w:szCs w:val="24"/>
              </w:rPr>
            </w:pPr>
            <w:r w:rsidRPr="002F19BF">
              <w:rPr>
                <w:rFonts w:ascii="Times New Roman" w:hAnsi="Times New Roman"/>
                <w:sz w:val="24"/>
                <w:szCs w:val="24"/>
              </w:rPr>
              <w:t>For example, the EIT, through the European Skills Academies and its educational programmes, will continue upskilling and reskilling the European workforce in those sectors which are strategic for EU competitiveness in close collaboration with the industry.</w:t>
            </w:r>
            <w:r w:rsidR="00FF1C61" w:rsidRPr="002F19BF">
              <w:rPr>
                <w:rFonts w:ascii="Times New Roman" w:hAnsi="Times New Roman"/>
                <w:sz w:val="24"/>
                <w:szCs w:val="24"/>
              </w:rPr>
              <w:t xml:space="preserve"> </w:t>
            </w:r>
            <w:r w:rsidRPr="002F19BF">
              <w:rPr>
                <w:rFonts w:ascii="Times New Roman" w:hAnsi="Times New Roman"/>
                <w:sz w:val="24"/>
                <w:szCs w:val="24"/>
              </w:rPr>
              <w:t>Furthermore, the Commission will focus the skills funding better on industries crucial for the twin transition and for preparedness.</w:t>
            </w:r>
            <w:r w:rsidRPr="002F19BF">
              <w:rPr>
                <w:rFonts w:ascii="Times New Roman" w:eastAsia="Times New Roman" w:hAnsi="Times New Roman"/>
                <w:sz w:val="24"/>
                <w:szCs w:val="24"/>
              </w:rPr>
              <w:t xml:space="preserve"> The Pact for Skills</w:t>
            </w:r>
            <w:r w:rsidR="001A64A1">
              <w:rPr>
                <w:rStyle w:val="FootnoteReference"/>
                <w:rFonts w:ascii="Times New Roman" w:eastAsia="Times New Roman" w:hAnsi="Times New Roman"/>
                <w:sz w:val="24"/>
                <w:szCs w:val="24"/>
              </w:rPr>
              <w:footnoteReference w:id="15"/>
            </w:r>
            <w:r w:rsidRPr="002F19BF">
              <w:rPr>
                <w:rFonts w:ascii="Times New Roman" w:eastAsia="Times New Roman" w:hAnsi="Times New Roman"/>
                <w:sz w:val="24"/>
                <w:szCs w:val="24"/>
              </w:rPr>
              <w:t xml:space="preserve"> is the flagship initiative of the Commission to promote up- and reskilling of people of working age across the European Union, candidate countries and </w:t>
            </w:r>
            <w:r w:rsidR="001A64A1" w:rsidRPr="0043333C">
              <w:rPr>
                <w:rFonts w:ascii="Times New Roman" w:eastAsia="Times New Roman" w:hAnsi="Times New Roman"/>
                <w:sz w:val="24"/>
                <w:szCs w:val="24"/>
              </w:rPr>
              <w:t>European Economic Area</w:t>
            </w:r>
            <w:r w:rsidR="001A64A1" w:rsidRPr="001A64A1">
              <w:rPr>
                <w:rFonts w:ascii="Times New Roman" w:eastAsia="Times New Roman" w:hAnsi="Times New Roman"/>
                <w:sz w:val="24"/>
                <w:szCs w:val="24"/>
              </w:rPr>
              <w:t> </w:t>
            </w:r>
            <w:r w:rsidR="001A64A1">
              <w:rPr>
                <w:rFonts w:ascii="Times New Roman" w:eastAsia="Times New Roman" w:hAnsi="Times New Roman"/>
                <w:sz w:val="24"/>
                <w:szCs w:val="24"/>
              </w:rPr>
              <w:t>(</w:t>
            </w:r>
            <w:r w:rsidRPr="002F19BF">
              <w:rPr>
                <w:rFonts w:ascii="Times New Roman" w:eastAsia="Times New Roman" w:hAnsi="Times New Roman"/>
                <w:sz w:val="24"/>
                <w:szCs w:val="24"/>
              </w:rPr>
              <w:t>EEA</w:t>
            </w:r>
            <w:r w:rsidR="001A64A1">
              <w:rPr>
                <w:rFonts w:ascii="Times New Roman" w:eastAsia="Times New Roman" w:hAnsi="Times New Roman"/>
                <w:sz w:val="24"/>
                <w:szCs w:val="24"/>
              </w:rPr>
              <w:t>)</w:t>
            </w:r>
            <w:r w:rsidRPr="002F19BF">
              <w:rPr>
                <w:rFonts w:ascii="Times New Roman" w:eastAsia="Times New Roman" w:hAnsi="Times New Roman"/>
                <w:sz w:val="24"/>
                <w:szCs w:val="24"/>
              </w:rPr>
              <w:t xml:space="preserve"> countries.</w:t>
            </w:r>
            <w:r w:rsidRPr="0043333C">
              <w:rPr>
                <w:rFonts w:ascii="Times New Roman" w:eastAsia="Times New Roman" w:hAnsi="Times New Roman"/>
                <w:sz w:val="24"/>
                <w:szCs w:val="24"/>
              </w:rPr>
              <w:t xml:space="preserve"> It </w:t>
            </w:r>
            <w:r w:rsidRPr="002F19BF">
              <w:rPr>
                <w:rFonts w:ascii="Times New Roman" w:eastAsia="Times New Roman" w:hAnsi="Times New Roman"/>
                <w:sz w:val="24"/>
                <w:szCs w:val="24"/>
              </w:rPr>
              <w:t>addresses the first principle of the European Pillar of Social Rights and is anchored in the EU Industrial Strategy</w:t>
            </w:r>
            <w:r w:rsidR="002A0370">
              <w:rPr>
                <w:rStyle w:val="FootnoteReference"/>
                <w:rFonts w:ascii="Times New Roman" w:eastAsia="Times New Roman" w:hAnsi="Times New Roman"/>
                <w:sz w:val="24"/>
                <w:szCs w:val="24"/>
              </w:rPr>
              <w:footnoteReference w:id="16"/>
            </w:r>
            <w:r w:rsidRPr="002F19BF">
              <w:rPr>
                <w:rFonts w:ascii="Times New Roman" w:eastAsia="Times New Roman" w:hAnsi="Times New Roman"/>
                <w:sz w:val="24"/>
                <w:szCs w:val="24"/>
              </w:rPr>
              <w:t xml:space="preserve"> with its 14 industrial ecosystems. The Pact mobilises public and private organisations to join forces so that they can respond effectively to industry’s skills needs.</w:t>
            </w:r>
          </w:p>
          <w:p w14:paraId="35BDDB62" w14:textId="0CBECF6F" w:rsidR="00E91EB7" w:rsidRPr="002F19BF" w:rsidRDefault="00E91EB7" w:rsidP="002F19BF">
            <w:pPr>
              <w:spacing w:before="120" w:after="120"/>
              <w:ind w:left="147" w:right="153"/>
              <w:jc w:val="both"/>
              <w:rPr>
                <w:rFonts w:ascii="Times New Roman" w:hAnsi="Times New Roman"/>
                <w:sz w:val="24"/>
                <w:szCs w:val="24"/>
              </w:rPr>
            </w:pPr>
            <w:r w:rsidRPr="002F19BF">
              <w:rPr>
                <w:rFonts w:ascii="Times New Roman" w:hAnsi="Times New Roman"/>
                <w:sz w:val="24"/>
                <w:szCs w:val="24"/>
              </w:rPr>
              <w:t xml:space="preserve">{1.5} </w:t>
            </w:r>
            <w:bookmarkStart w:id="0" w:name="_Hlk190697671"/>
            <w:r w:rsidRPr="002F19BF">
              <w:rPr>
                <w:rFonts w:ascii="Times New Roman" w:hAnsi="Times New Roman"/>
                <w:sz w:val="24"/>
                <w:szCs w:val="24"/>
              </w:rPr>
              <w:t xml:space="preserve">Another key </w:t>
            </w:r>
            <w:bookmarkStart w:id="1" w:name="_Hlk190697863"/>
            <w:r w:rsidR="0073067F" w:rsidRPr="002F19BF">
              <w:rPr>
                <w:rFonts w:ascii="Times New Roman" w:hAnsi="Times New Roman"/>
                <w:sz w:val="24"/>
                <w:szCs w:val="24"/>
              </w:rPr>
              <w:t>initiative foreseen in</w:t>
            </w:r>
            <w:bookmarkEnd w:id="1"/>
            <w:r w:rsidR="0073067F" w:rsidRPr="002F19BF">
              <w:rPr>
                <w:rFonts w:ascii="Times New Roman" w:hAnsi="Times New Roman"/>
                <w:sz w:val="24"/>
                <w:szCs w:val="24"/>
              </w:rPr>
              <w:t xml:space="preserve"> </w:t>
            </w:r>
            <w:r w:rsidRPr="002F19BF">
              <w:rPr>
                <w:rFonts w:ascii="Times New Roman" w:hAnsi="Times New Roman"/>
                <w:sz w:val="24"/>
                <w:szCs w:val="24"/>
              </w:rPr>
              <w:t>the Clean Industrial Deal will be the Circular Economy Act</w:t>
            </w:r>
            <w:r w:rsidR="002A0370">
              <w:rPr>
                <w:rStyle w:val="FootnoteReference"/>
                <w:rFonts w:ascii="Times New Roman" w:hAnsi="Times New Roman"/>
                <w:sz w:val="24"/>
                <w:szCs w:val="24"/>
              </w:rPr>
              <w:footnoteReference w:id="17"/>
            </w:r>
            <w:r w:rsidRPr="002F19BF">
              <w:rPr>
                <w:rFonts w:ascii="Times New Roman" w:hAnsi="Times New Roman"/>
                <w:sz w:val="24"/>
                <w:szCs w:val="24"/>
              </w:rPr>
              <w:t>.</w:t>
            </w:r>
            <w:bookmarkEnd w:id="0"/>
            <w:r w:rsidRPr="002F19BF">
              <w:rPr>
                <w:rFonts w:ascii="Times New Roman" w:hAnsi="Times New Roman"/>
                <w:sz w:val="24"/>
                <w:szCs w:val="24"/>
              </w:rPr>
              <w:t xml:space="preserve"> It shall increase the supply and demand of secondary materials and establish a single market for waste, for example by harmonising end-of-waste criteria and seeking to create incentives for the use of secondary materials.</w:t>
            </w:r>
            <w:r w:rsidR="318B1826" w:rsidRPr="002F19BF">
              <w:rPr>
                <w:rFonts w:ascii="Times New Roman" w:eastAsia="Times New Roman" w:hAnsi="Times New Roman"/>
                <w:sz w:val="24"/>
                <w:szCs w:val="24"/>
              </w:rPr>
              <w:t xml:space="preserve"> </w:t>
            </w:r>
            <w:r w:rsidR="00B40913" w:rsidRPr="002F19BF">
              <w:rPr>
                <w:rFonts w:ascii="Times New Roman" w:eastAsia="Times New Roman" w:hAnsi="Times New Roman"/>
                <w:sz w:val="24"/>
                <w:szCs w:val="24"/>
              </w:rPr>
              <w:t>In this respect, the Commission points out its work on the definition of end–of-waste criteria for plastic waste fractions</w:t>
            </w:r>
            <w:r w:rsidR="00B40913" w:rsidRPr="002F19BF">
              <w:rPr>
                <w:rStyle w:val="FootnoteReference"/>
                <w:rFonts w:ascii="Times New Roman" w:eastAsia="Times New Roman" w:hAnsi="Times New Roman"/>
                <w:sz w:val="24"/>
                <w:szCs w:val="24"/>
              </w:rPr>
              <w:footnoteReference w:id="18"/>
            </w:r>
            <w:r w:rsidR="00B40913" w:rsidRPr="002F19BF">
              <w:rPr>
                <w:rFonts w:ascii="Times New Roman" w:eastAsia="Times New Roman" w:hAnsi="Times New Roman"/>
                <w:sz w:val="24"/>
                <w:szCs w:val="24"/>
              </w:rPr>
              <w:t xml:space="preserve"> and its assessment of the economic and environmental impact of the use of chemical recycling</w:t>
            </w:r>
            <w:r w:rsidR="00B40913" w:rsidRPr="002F19BF">
              <w:rPr>
                <w:rStyle w:val="FootnoteReference"/>
                <w:rFonts w:ascii="Times New Roman" w:eastAsia="Times New Roman" w:hAnsi="Times New Roman"/>
                <w:sz w:val="24"/>
                <w:szCs w:val="24"/>
              </w:rPr>
              <w:footnoteReference w:id="19"/>
            </w:r>
            <w:r w:rsidR="00B40913" w:rsidRPr="002F19BF">
              <w:rPr>
                <w:rFonts w:ascii="Times New Roman" w:eastAsia="Times New Roman" w:hAnsi="Times New Roman"/>
                <w:sz w:val="24"/>
                <w:szCs w:val="24"/>
              </w:rPr>
              <w:t>.</w:t>
            </w:r>
            <w:r w:rsidR="318B1826" w:rsidRPr="002F19BF">
              <w:rPr>
                <w:rFonts w:ascii="Times New Roman" w:eastAsia="Times New Roman" w:hAnsi="Times New Roman"/>
                <w:sz w:val="24"/>
                <w:szCs w:val="24"/>
              </w:rPr>
              <w:t xml:space="preserve"> </w:t>
            </w:r>
            <w:r w:rsidR="0073067F" w:rsidRPr="002F19BF">
              <w:rPr>
                <w:rFonts w:ascii="Times New Roman" w:hAnsi="Times New Roman"/>
                <w:sz w:val="24"/>
                <w:szCs w:val="24"/>
              </w:rPr>
              <w:t>As announced in t</w:t>
            </w:r>
            <w:r w:rsidR="00F3237D" w:rsidRPr="002F19BF">
              <w:rPr>
                <w:rFonts w:ascii="Times New Roman" w:hAnsi="Times New Roman"/>
                <w:sz w:val="24"/>
                <w:szCs w:val="24"/>
              </w:rPr>
              <w:t>he Competitiveness Compass</w:t>
            </w:r>
            <w:r w:rsidR="0073067F" w:rsidRPr="002F19BF">
              <w:rPr>
                <w:rFonts w:ascii="Times New Roman" w:hAnsi="Times New Roman"/>
                <w:sz w:val="24"/>
                <w:szCs w:val="24"/>
              </w:rPr>
              <w:t>,</w:t>
            </w:r>
            <w:r w:rsidR="00F3237D" w:rsidRPr="002F19BF">
              <w:rPr>
                <w:rFonts w:ascii="Times New Roman" w:hAnsi="Times New Roman"/>
                <w:sz w:val="24"/>
                <w:szCs w:val="24"/>
              </w:rPr>
              <w:t xml:space="preserve"> </w:t>
            </w:r>
            <w:r w:rsidR="0073067F" w:rsidRPr="002F19BF">
              <w:rPr>
                <w:rFonts w:ascii="Times New Roman" w:hAnsi="Times New Roman"/>
                <w:sz w:val="24"/>
                <w:szCs w:val="24"/>
              </w:rPr>
              <w:t>the</w:t>
            </w:r>
            <w:r w:rsidR="00FF243C" w:rsidRPr="002F19BF">
              <w:rPr>
                <w:rFonts w:ascii="Times New Roman" w:hAnsi="Times New Roman"/>
                <w:sz w:val="24"/>
                <w:szCs w:val="24"/>
              </w:rPr>
              <w:t xml:space="preserve"> Circular Economy Act will serve to catalyse investment in recycling capacity and encourage EU industry to effectively substitute virgin materials and to reduce the landfilling and incineration of used raw materials.</w:t>
            </w:r>
          </w:p>
          <w:p w14:paraId="50524026" w14:textId="270A8D2E" w:rsidR="005B0D63" w:rsidRPr="002F19BF" w:rsidRDefault="005B0D63" w:rsidP="002F19BF">
            <w:pPr>
              <w:spacing w:before="120" w:after="120"/>
              <w:ind w:left="147" w:right="153"/>
              <w:jc w:val="both"/>
              <w:rPr>
                <w:rFonts w:ascii="Times New Roman" w:hAnsi="Times New Roman"/>
                <w:sz w:val="24"/>
                <w:szCs w:val="24"/>
                <w:lang w:val="en-IE"/>
              </w:rPr>
            </w:pPr>
            <w:r w:rsidRPr="002F19BF">
              <w:rPr>
                <w:rFonts w:ascii="Times New Roman" w:hAnsi="Times New Roman"/>
                <w:sz w:val="24"/>
                <w:szCs w:val="24"/>
              </w:rPr>
              <w:t>{1.6}</w:t>
            </w:r>
            <w:r w:rsidR="00E808D6" w:rsidRPr="002F19BF">
              <w:rPr>
                <w:rFonts w:ascii="Times New Roman" w:hAnsi="Times New Roman"/>
                <w:sz w:val="24"/>
                <w:szCs w:val="24"/>
              </w:rPr>
              <w:t xml:space="preserve"> </w:t>
            </w:r>
            <w:r w:rsidRPr="002F19BF">
              <w:rPr>
                <w:rFonts w:ascii="Times New Roman" w:hAnsi="Times New Roman"/>
                <w:sz w:val="24"/>
                <w:szCs w:val="24"/>
              </w:rPr>
              <w:t xml:space="preserve">The Commission would like to point out that since </w:t>
            </w:r>
            <w:r w:rsidRPr="002F19BF">
              <w:rPr>
                <w:rFonts w:ascii="Times New Roman" w:hAnsi="Times New Roman"/>
                <w:sz w:val="24"/>
                <w:szCs w:val="24"/>
                <w:lang w:val="en-US"/>
              </w:rPr>
              <w:t>the entry into force of the Cyber Resilience Act</w:t>
            </w:r>
            <w:r w:rsidR="002A0370">
              <w:rPr>
                <w:rStyle w:val="FootnoteReference"/>
                <w:rFonts w:ascii="Times New Roman" w:hAnsi="Times New Roman"/>
                <w:sz w:val="24"/>
                <w:szCs w:val="24"/>
                <w:lang w:val="en-US"/>
              </w:rPr>
              <w:footnoteReference w:id="20"/>
            </w:r>
            <w:r w:rsidRPr="002F19BF">
              <w:rPr>
                <w:rFonts w:ascii="Times New Roman" w:hAnsi="Times New Roman"/>
                <w:sz w:val="24"/>
                <w:szCs w:val="24"/>
                <w:lang w:val="en-US"/>
              </w:rPr>
              <w:t xml:space="preserve"> on 10 December 2024, the Commission has adopted a standardization request for harmonised standards and that Member States are expected to put in place support measures for </w:t>
            </w:r>
            <w:r w:rsidRPr="002F19BF">
              <w:rPr>
                <w:rFonts w:ascii="Times New Roman" w:hAnsi="Times New Roman"/>
                <w:sz w:val="24"/>
                <w:szCs w:val="24"/>
                <w:lang w:val="en-US"/>
              </w:rPr>
              <w:lastRenderedPageBreak/>
              <w:t>micro, small and mid-sized enterprises. Furthermore,</w:t>
            </w:r>
            <w:r w:rsidRPr="002F19BF">
              <w:rPr>
                <w:rFonts w:ascii="Times New Roman" w:hAnsi="Times New Roman"/>
                <w:sz w:val="24"/>
                <w:szCs w:val="24"/>
                <w:lang w:val="en-IE"/>
              </w:rPr>
              <w:t xml:space="preserve"> the Commission has already adopted a</w:t>
            </w:r>
            <w:r w:rsidR="002A0370">
              <w:rPr>
                <w:rFonts w:ascii="Times New Roman" w:hAnsi="Times New Roman"/>
                <w:sz w:val="24"/>
                <w:szCs w:val="24"/>
                <w:lang w:val="en-IE"/>
              </w:rPr>
              <w:t> </w:t>
            </w:r>
            <w:r w:rsidRPr="002F19BF">
              <w:rPr>
                <w:rFonts w:ascii="Times New Roman" w:hAnsi="Times New Roman"/>
                <w:sz w:val="24"/>
                <w:szCs w:val="24"/>
                <w:lang w:val="en-IE"/>
              </w:rPr>
              <w:t>European Action Plan on the cybersecurity of hospitals and healthcare providers</w:t>
            </w:r>
            <w:r w:rsidR="002A0370">
              <w:rPr>
                <w:rStyle w:val="FootnoteReference"/>
                <w:rFonts w:ascii="Times New Roman" w:hAnsi="Times New Roman"/>
                <w:sz w:val="24"/>
                <w:szCs w:val="24"/>
                <w:lang w:val="en-IE"/>
              </w:rPr>
              <w:footnoteReference w:id="21"/>
            </w:r>
            <w:r w:rsidRPr="002F19BF">
              <w:rPr>
                <w:rFonts w:ascii="Times New Roman" w:hAnsi="Times New Roman"/>
                <w:sz w:val="24"/>
                <w:szCs w:val="24"/>
                <w:lang w:val="en-IE"/>
              </w:rPr>
              <w:t xml:space="preserve"> on 15 January 2025</w:t>
            </w:r>
            <w:r w:rsidR="0082568B">
              <w:rPr>
                <w:rFonts w:ascii="Times New Roman" w:hAnsi="Times New Roman"/>
                <w:sz w:val="24"/>
                <w:szCs w:val="24"/>
                <w:lang w:val="en-IE"/>
              </w:rPr>
              <w:t>,</w:t>
            </w:r>
            <w:r w:rsidRPr="002F19BF">
              <w:rPr>
                <w:rFonts w:ascii="Times New Roman" w:hAnsi="Times New Roman"/>
                <w:b/>
                <w:bCs/>
                <w:sz w:val="24"/>
                <w:szCs w:val="24"/>
                <w:lang w:val="en-IE"/>
              </w:rPr>
              <w:t xml:space="preserve"> </w:t>
            </w:r>
            <w:r w:rsidRPr="0043333C">
              <w:rPr>
                <w:rFonts w:ascii="Times New Roman" w:hAnsi="Times New Roman"/>
                <w:sz w:val="24"/>
                <w:szCs w:val="24"/>
                <w:lang w:val="en-IE"/>
              </w:rPr>
              <w:t>a</w:t>
            </w:r>
            <w:r w:rsidRPr="002F19BF">
              <w:rPr>
                <w:rFonts w:ascii="Times New Roman" w:hAnsi="Times New Roman"/>
                <w:sz w:val="24"/>
                <w:szCs w:val="24"/>
                <w:lang w:val="en-IE"/>
              </w:rPr>
              <w:t>s a priority initiative set out in the Political Guidelines for the 2024-2029 Commission. The Action Plan addresses preparedness, detection, response and recovery from cybersecurity incidents, as well as deterrence against cyberthreat actors.</w:t>
            </w:r>
          </w:p>
          <w:p w14:paraId="3C70A32D" w14:textId="359BE36F" w:rsidR="00E91EB7" w:rsidRPr="002F19BF" w:rsidRDefault="00E91EB7" w:rsidP="002F19BF">
            <w:pPr>
              <w:spacing w:before="120" w:after="120"/>
              <w:ind w:left="147" w:right="153"/>
              <w:jc w:val="both"/>
              <w:rPr>
                <w:rFonts w:ascii="Times New Roman" w:hAnsi="Times New Roman"/>
                <w:sz w:val="24"/>
                <w:szCs w:val="24"/>
              </w:rPr>
            </w:pPr>
            <w:r w:rsidRPr="002F19BF">
              <w:rPr>
                <w:rFonts w:ascii="Times New Roman" w:hAnsi="Times New Roman"/>
                <w:sz w:val="24"/>
                <w:szCs w:val="24"/>
              </w:rPr>
              <w:t xml:space="preserve">{1.7} The Commission shares the Committee’s view of the metallurgical industry as fundamental for many manufacturing industries. </w:t>
            </w:r>
            <w:r w:rsidR="00331731" w:rsidRPr="002F19BF">
              <w:rPr>
                <w:rFonts w:ascii="Times New Roman" w:hAnsi="Times New Roman"/>
                <w:sz w:val="24"/>
                <w:szCs w:val="24"/>
              </w:rPr>
              <w:t>The</w:t>
            </w:r>
            <w:r w:rsidRPr="002F19BF">
              <w:rPr>
                <w:rFonts w:ascii="Times New Roman" w:hAnsi="Times New Roman"/>
                <w:sz w:val="24"/>
                <w:szCs w:val="24"/>
              </w:rPr>
              <w:t xml:space="preserve"> </w:t>
            </w:r>
            <w:r w:rsidR="00B65C2D" w:rsidRPr="002F19BF">
              <w:rPr>
                <w:rFonts w:ascii="Times New Roman" w:hAnsi="Times New Roman"/>
                <w:sz w:val="24"/>
                <w:szCs w:val="24"/>
              </w:rPr>
              <w:t>Commission recently adopted</w:t>
            </w:r>
            <w:r w:rsidRPr="002F19BF">
              <w:rPr>
                <w:rFonts w:ascii="Times New Roman" w:hAnsi="Times New Roman"/>
                <w:sz w:val="24"/>
                <w:szCs w:val="24"/>
              </w:rPr>
              <w:t xml:space="preserve"> a dedicated steel and metals action plan setting out bold measures to address the most urgent needs and promote the sectors’ long-term viability, building on the outcome of the Clean Transition Dialogues</w:t>
            </w:r>
            <w:r w:rsidR="00F2044B">
              <w:rPr>
                <w:rStyle w:val="FootnoteReference"/>
                <w:rFonts w:ascii="Times New Roman" w:hAnsi="Times New Roman"/>
                <w:sz w:val="24"/>
                <w:szCs w:val="24"/>
              </w:rPr>
              <w:footnoteReference w:id="22"/>
            </w:r>
            <w:r w:rsidRPr="002F19BF">
              <w:rPr>
                <w:rFonts w:ascii="Times New Roman" w:hAnsi="Times New Roman"/>
                <w:sz w:val="24"/>
                <w:szCs w:val="24"/>
              </w:rPr>
              <w:t xml:space="preserve"> and the Metals Transition Pathway</w:t>
            </w:r>
            <w:r w:rsidR="00F2044B">
              <w:rPr>
                <w:rStyle w:val="FootnoteReference"/>
                <w:rFonts w:ascii="Times New Roman" w:hAnsi="Times New Roman"/>
                <w:sz w:val="24"/>
                <w:szCs w:val="24"/>
              </w:rPr>
              <w:footnoteReference w:id="23"/>
            </w:r>
            <w:r w:rsidRPr="002F19BF">
              <w:rPr>
                <w:rFonts w:ascii="Times New Roman" w:hAnsi="Times New Roman"/>
                <w:sz w:val="24"/>
                <w:szCs w:val="24"/>
              </w:rPr>
              <w:t xml:space="preserve">. The action plan </w:t>
            </w:r>
            <w:r w:rsidR="00B65C2D" w:rsidRPr="002F19BF">
              <w:rPr>
                <w:rFonts w:ascii="Times New Roman" w:hAnsi="Times New Roman"/>
                <w:sz w:val="24"/>
                <w:szCs w:val="24"/>
              </w:rPr>
              <w:t>considers</w:t>
            </w:r>
            <w:r w:rsidRPr="002F19BF">
              <w:rPr>
                <w:rFonts w:ascii="Times New Roman" w:hAnsi="Times New Roman"/>
                <w:sz w:val="24"/>
                <w:szCs w:val="24"/>
              </w:rPr>
              <w:t xml:space="preserve"> the negative effects of global overcapacity and high energy </w:t>
            </w:r>
            <w:r w:rsidR="00331731" w:rsidRPr="002F19BF">
              <w:rPr>
                <w:rFonts w:ascii="Times New Roman" w:hAnsi="Times New Roman"/>
                <w:sz w:val="24"/>
                <w:szCs w:val="24"/>
              </w:rPr>
              <w:t>prices, and</w:t>
            </w:r>
            <w:r w:rsidR="00B65C2D" w:rsidRPr="002F19BF">
              <w:rPr>
                <w:rFonts w:ascii="Times New Roman" w:hAnsi="Times New Roman"/>
                <w:sz w:val="24"/>
                <w:szCs w:val="24"/>
              </w:rPr>
              <w:t xml:space="preserve"> outlines the contribution of </w:t>
            </w:r>
            <w:r w:rsidRPr="002F19BF">
              <w:rPr>
                <w:rFonts w:ascii="Times New Roman" w:hAnsi="Times New Roman"/>
                <w:sz w:val="24"/>
                <w:szCs w:val="24"/>
              </w:rPr>
              <w:t>trade policy to the industry’s long-term competitiveness and decarbonisation</w:t>
            </w:r>
            <w:r w:rsidR="004B2BE4" w:rsidRPr="002F19BF">
              <w:rPr>
                <w:rFonts w:ascii="Times New Roman" w:hAnsi="Times New Roman"/>
                <w:sz w:val="24"/>
                <w:szCs w:val="24"/>
              </w:rPr>
              <w:t xml:space="preserve"> by</w:t>
            </w:r>
            <w:r w:rsidR="49940C69" w:rsidRPr="002F19BF">
              <w:rPr>
                <w:rFonts w:ascii="Times New Roman" w:hAnsi="Times New Roman"/>
                <w:sz w:val="24"/>
                <w:szCs w:val="24"/>
              </w:rPr>
              <w:t xml:space="preserve"> ensuring the level playing field </w:t>
            </w:r>
            <w:r w:rsidR="1A3AB3C2" w:rsidRPr="002F19BF">
              <w:rPr>
                <w:rFonts w:ascii="Times New Roman" w:hAnsi="Times New Roman"/>
                <w:sz w:val="24"/>
                <w:szCs w:val="24"/>
              </w:rPr>
              <w:t xml:space="preserve">in international competition to </w:t>
            </w:r>
            <w:r w:rsidR="004B2BE4" w:rsidRPr="002F19BF">
              <w:rPr>
                <w:rFonts w:ascii="Times New Roman" w:hAnsi="Times New Roman"/>
                <w:sz w:val="24"/>
                <w:szCs w:val="24"/>
              </w:rPr>
              <w:t>EU enterprises</w:t>
            </w:r>
            <w:r w:rsidRPr="002F19BF">
              <w:rPr>
                <w:rFonts w:ascii="Times New Roman" w:hAnsi="Times New Roman"/>
                <w:sz w:val="24"/>
                <w:szCs w:val="24"/>
              </w:rPr>
              <w:t>.</w:t>
            </w:r>
          </w:p>
          <w:p w14:paraId="30D14481" w14:textId="3F49D6AC" w:rsidR="0049246C" w:rsidRPr="002F19BF" w:rsidRDefault="00E91EB7" w:rsidP="002F19BF">
            <w:pPr>
              <w:spacing w:before="120" w:after="120"/>
              <w:ind w:left="147" w:right="153"/>
              <w:jc w:val="both"/>
              <w:rPr>
                <w:rFonts w:ascii="Times New Roman" w:hAnsi="Times New Roman"/>
                <w:b/>
                <w:bCs/>
                <w:sz w:val="24"/>
                <w:szCs w:val="24"/>
                <w:lang w:val="en-IE"/>
              </w:rPr>
            </w:pPr>
            <w:r w:rsidRPr="002F19BF">
              <w:rPr>
                <w:rFonts w:ascii="Times New Roman" w:hAnsi="Times New Roman"/>
                <w:sz w:val="24"/>
                <w:szCs w:val="24"/>
              </w:rPr>
              <w:t xml:space="preserve">Indispensable for the sectors’ sustainability is the development of decarbonised processes at industrial scale for which projects are </w:t>
            </w:r>
            <w:r w:rsidR="005B2EE3" w:rsidRPr="002F19BF">
              <w:rPr>
                <w:rFonts w:ascii="Times New Roman" w:hAnsi="Times New Roman"/>
                <w:sz w:val="24"/>
                <w:szCs w:val="24"/>
              </w:rPr>
              <w:t xml:space="preserve">already </w:t>
            </w:r>
            <w:r w:rsidRPr="002F19BF">
              <w:rPr>
                <w:rFonts w:ascii="Times New Roman" w:hAnsi="Times New Roman"/>
                <w:sz w:val="24"/>
                <w:szCs w:val="24"/>
              </w:rPr>
              <w:t xml:space="preserve">ongoing that have received </w:t>
            </w:r>
            <w:r w:rsidR="56CB54AC" w:rsidRPr="002F19BF">
              <w:rPr>
                <w:rFonts w:ascii="Times New Roman" w:hAnsi="Times New Roman"/>
                <w:sz w:val="24"/>
                <w:szCs w:val="24"/>
              </w:rPr>
              <w:t>State</w:t>
            </w:r>
            <w:r w:rsidR="00E1798B" w:rsidRPr="002F19BF">
              <w:rPr>
                <w:rFonts w:ascii="Times New Roman" w:hAnsi="Times New Roman"/>
                <w:sz w:val="24"/>
                <w:szCs w:val="24"/>
              </w:rPr>
              <w:t>-</w:t>
            </w:r>
            <w:r w:rsidR="56CB54AC" w:rsidRPr="002F19BF">
              <w:rPr>
                <w:rFonts w:ascii="Times New Roman" w:hAnsi="Times New Roman"/>
                <w:sz w:val="24"/>
                <w:szCs w:val="24"/>
              </w:rPr>
              <w:t>aid</w:t>
            </w:r>
            <w:r w:rsidR="003A7BD9" w:rsidRPr="002F19BF">
              <w:rPr>
                <w:rFonts w:ascii="Times New Roman" w:hAnsi="Times New Roman"/>
                <w:sz w:val="24"/>
                <w:szCs w:val="24"/>
              </w:rPr>
              <w:t xml:space="preserve">, e.g., </w:t>
            </w:r>
            <w:r w:rsidR="00E1798B" w:rsidRPr="002F19BF">
              <w:rPr>
                <w:rFonts w:ascii="Times New Roman" w:hAnsi="Times New Roman"/>
                <w:sz w:val="24"/>
                <w:szCs w:val="24"/>
              </w:rPr>
              <w:t>under Guidelines for climate, environmental protection and energy</w:t>
            </w:r>
            <w:r w:rsidR="00F2044B">
              <w:rPr>
                <w:rStyle w:val="FootnoteReference"/>
                <w:rFonts w:ascii="Times New Roman" w:hAnsi="Times New Roman"/>
                <w:sz w:val="24"/>
                <w:szCs w:val="24"/>
              </w:rPr>
              <w:footnoteReference w:id="24"/>
            </w:r>
            <w:r w:rsidR="00E1798B" w:rsidRPr="002F19BF">
              <w:rPr>
                <w:rFonts w:ascii="Times New Roman" w:hAnsi="Times New Roman"/>
                <w:sz w:val="24"/>
                <w:szCs w:val="24"/>
              </w:rPr>
              <w:t xml:space="preserve"> or for Important Projects of Common European Interest</w:t>
            </w:r>
            <w:r w:rsidR="00F2044B">
              <w:rPr>
                <w:rStyle w:val="FootnoteReference"/>
                <w:rFonts w:ascii="Times New Roman" w:hAnsi="Times New Roman"/>
                <w:sz w:val="24"/>
                <w:szCs w:val="24"/>
              </w:rPr>
              <w:footnoteReference w:id="25"/>
            </w:r>
            <w:r w:rsidRPr="002F19BF">
              <w:rPr>
                <w:rFonts w:ascii="Times New Roman" w:hAnsi="Times New Roman"/>
                <w:sz w:val="24"/>
                <w:szCs w:val="24"/>
              </w:rPr>
              <w:t xml:space="preserve">. </w:t>
            </w:r>
            <w:r w:rsidR="005B2EE3" w:rsidRPr="002F19BF">
              <w:rPr>
                <w:rFonts w:ascii="Times New Roman" w:hAnsi="Times New Roman"/>
                <w:sz w:val="24"/>
                <w:szCs w:val="24"/>
              </w:rPr>
              <w:t>T</w:t>
            </w:r>
            <w:r w:rsidRPr="002F19BF">
              <w:rPr>
                <w:rFonts w:ascii="Times New Roman" w:hAnsi="Times New Roman"/>
                <w:sz w:val="24"/>
                <w:szCs w:val="24"/>
              </w:rPr>
              <w:t xml:space="preserve">he Commission will </w:t>
            </w:r>
            <w:r w:rsidR="71353BAC" w:rsidRPr="002F19BF">
              <w:rPr>
                <w:rFonts w:ascii="Times New Roman" w:hAnsi="Times New Roman"/>
                <w:sz w:val="24"/>
                <w:szCs w:val="24"/>
              </w:rPr>
              <w:t xml:space="preserve">contribute to </w:t>
            </w:r>
            <w:r w:rsidRPr="002F19BF">
              <w:rPr>
                <w:rFonts w:ascii="Times New Roman" w:hAnsi="Times New Roman"/>
                <w:sz w:val="24"/>
                <w:szCs w:val="24"/>
              </w:rPr>
              <w:t>work on the set-up of new Important Projects of Common European Interest in the most strategic industries and technologies.</w:t>
            </w:r>
          </w:p>
        </w:tc>
      </w:tr>
    </w:tbl>
    <w:p w14:paraId="6AF07B14" w14:textId="26AEAB66" w:rsidR="004F6117" w:rsidRPr="002F19BF" w:rsidRDefault="004F6117" w:rsidP="002F19BF">
      <w:pPr>
        <w:spacing w:after="0" w:line="240" w:lineRule="auto"/>
        <w:ind w:left="-567"/>
        <w:rPr>
          <w:rFonts w:ascii="Times New Roman" w:hAnsi="Times New Roman"/>
          <w:bCs/>
          <w:sz w:val="16"/>
          <w:szCs w:val="16"/>
        </w:rPr>
      </w:pPr>
    </w:p>
    <w:sectPr w:rsidR="004F6117" w:rsidRPr="002F19B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9FE1" w14:textId="77777777" w:rsidR="00000E31" w:rsidRDefault="00000E31" w:rsidP="00FF63EA">
      <w:pPr>
        <w:spacing w:after="0" w:line="240" w:lineRule="auto"/>
      </w:pPr>
      <w:r>
        <w:separator/>
      </w:r>
    </w:p>
  </w:endnote>
  <w:endnote w:type="continuationSeparator" w:id="0">
    <w:p w14:paraId="07AD8BC6" w14:textId="77777777" w:rsidR="00000E31" w:rsidRDefault="00000E31"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B44F" w14:textId="77777777" w:rsidR="008F4FEE" w:rsidRDefault="008F4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EA96" w14:textId="02B8011A" w:rsidR="475A0E2F" w:rsidRPr="008754ED" w:rsidRDefault="475A0E2F" w:rsidP="008754ED">
    <w:pPr>
      <w:pStyle w:val="Footer"/>
      <w:spacing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3F25" w14:textId="77777777" w:rsidR="008F4FEE" w:rsidRDefault="008F4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7A2A" w14:textId="77777777" w:rsidR="00000E31" w:rsidRDefault="00000E31" w:rsidP="00FF63EA">
      <w:pPr>
        <w:spacing w:after="0" w:line="240" w:lineRule="auto"/>
      </w:pPr>
      <w:r>
        <w:separator/>
      </w:r>
    </w:p>
  </w:footnote>
  <w:footnote w:type="continuationSeparator" w:id="0">
    <w:p w14:paraId="5750AD94" w14:textId="77777777" w:rsidR="00000E31" w:rsidRDefault="00000E31" w:rsidP="00FF63EA">
      <w:pPr>
        <w:spacing w:after="0" w:line="240" w:lineRule="auto"/>
      </w:pPr>
      <w:r>
        <w:continuationSeparator/>
      </w:r>
    </w:p>
  </w:footnote>
  <w:footnote w:id="1">
    <w:p w14:paraId="32DBD8A7" w14:textId="7593C41F" w:rsidR="008754ED" w:rsidRPr="001B4EC9" w:rsidRDefault="008754ED" w:rsidP="0043333C">
      <w:pPr>
        <w:pStyle w:val="FootnoteText"/>
        <w:spacing w:after="0" w:line="240" w:lineRule="auto"/>
        <w:ind w:left="-142" w:right="-425" w:hanging="284"/>
        <w:jc w:val="both"/>
        <w:rPr>
          <w:rFonts w:ascii="Times New Roman" w:hAnsi="Times New Roman"/>
        </w:rPr>
      </w:pPr>
      <w:r w:rsidRPr="0043333C">
        <w:rPr>
          <w:rStyle w:val="FootnoteReference"/>
          <w:rFonts w:ascii="Times New Roman" w:hAnsi="Times New Roman"/>
        </w:rPr>
        <w:footnoteRef/>
      </w:r>
      <w:r w:rsidRPr="0043333C">
        <w:rPr>
          <w:rFonts w:ascii="Times New Roman" w:hAnsi="Times New Roman"/>
        </w:rPr>
        <w:t xml:space="preserve"> </w:t>
      </w:r>
      <w:r w:rsidRPr="0043333C">
        <w:rPr>
          <w:rFonts w:ascii="Times New Roman" w:hAnsi="Times New Roman"/>
        </w:rPr>
        <w:tab/>
      </w:r>
      <w:hyperlink r:id="rId1" w:history="1">
        <w:r w:rsidRPr="001B4EC9">
          <w:rPr>
            <w:rStyle w:val="Hyperlink"/>
            <w:rFonts w:ascii="Times New Roman" w:hAnsi="Times New Roman"/>
          </w:rPr>
          <w:t>The Antwerp Declaration for a European Industrial Deal</w:t>
        </w:r>
      </w:hyperlink>
      <w:r w:rsidRPr="001B4EC9">
        <w:rPr>
          <w:rFonts w:ascii="Times New Roman" w:hAnsi="Times New Roman"/>
        </w:rPr>
        <w:t>.</w:t>
      </w:r>
    </w:p>
  </w:footnote>
  <w:footnote w:id="2">
    <w:p w14:paraId="203EA73F" w14:textId="51E455B3" w:rsidR="008754ED" w:rsidRPr="001B4EC9" w:rsidRDefault="008754ED" w:rsidP="0043333C">
      <w:pPr>
        <w:pStyle w:val="FootnoteText"/>
        <w:spacing w:after="0" w:line="240" w:lineRule="auto"/>
        <w:ind w:left="-142"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Pr="001B4EC9">
        <w:rPr>
          <w:rFonts w:ascii="Times New Roman" w:hAnsi="Times New Roman"/>
        </w:rPr>
        <w:tab/>
      </w:r>
      <w:hyperlink r:id="rId2" w:history="1">
        <w:r w:rsidRPr="001B4EC9">
          <w:rPr>
            <w:rStyle w:val="Hyperlink"/>
            <w:rFonts w:ascii="Times New Roman" w:hAnsi="Times New Roman"/>
          </w:rPr>
          <w:t>The Draghi report on EU competitiveness</w:t>
        </w:r>
      </w:hyperlink>
      <w:r w:rsidRPr="001B4EC9">
        <w:rPr>
          <w:rFonts w:ascii="Times New Roman" w:hAnsi="Times New Roman"/>
        </w:rPr>
        <w:t>.</w:t>
      </w:r>
    </w:p>
  </w:footnote>
  <w:footnote w:id="3">
    <w:p w14:paraId="4F8A8667" w14:textId="05389439" w:rsidR="005B0D63" w:rsidRPr="001B4EC9" w:rsidRDefault="005B0D63" w:rsidP="0043333C">
      <w:pPr>
        <w:pStyle w:val="FootnoteText"/>
        <w:spacing w:after="0" w:line="240" w:lineRule="auto"/>
        <w:ind w:left="-142"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008754ED" w:rsidRPr="001B4EC9">
        <w:rPr>
          <w:rFonts w:ascii="Times New Roman" w:hAnsi="Times New Roman"/>
        </w:rPr>
        <w:tab/>
      </w:r>
      <w:r w:rsidRPr="001B4EC9">
        <w:rPr>
          <w:rFonts w:ascii="Times New Roman" w:hAnsi="Times New Roman"/>
        </w:rPr>
        <w:t>A Competitiveness Compass for the EU</w:t>
      </w:r>
      <w:r w:rsidR="008754ED" w:rsidRPr="001B4EC9">
        <w:rPr>
          <w:rFonts w:ascii="Times New Roman" w:hAnsi="Times New Roman"/>
        </w:rPr>
        <w:t xml:space="preserve">; </w:t>
      </w:r>
      <w:r w:rsidRPr="001B4EC9">
        <w:rPr>
          <w:rFonts w:ascii="Times New Roman" w:hAnsi="Times New Roman"/>
        </w:rPr>
        <w:t xml:space="preserve"> COM(2025) 30</w:t>
      </w:r>
      <w:r w:rsidR="008754ED" w:rsidRPr="001B4EC9">
        <w:rPr>
          <w:rFonts w:ascii="Times New Roman" w:hAnsi="Times New Roman"/>
        </w:rPr>
        <w:t xml:space="preserve"> final (</w:t>
      </w:r>
      <w:hyperlink r:id="rId3" w:history="1">
        <w:r w:rsidR="008754ED" w:rsidRPr="001B4EC9">
          <w:rPr>
            <w:rStyle w:val="Hyperlink"/>
            <w:rFonts w:ascii="Times New Roman" w:hAnsi="Times New Roman"/>
          </w:rPr>
          <w:t>EUR-Lex - 52025DC0030 - EN - EUR-Lex</w:t>
        </w:r>
      </w:hyperlink>
      <w:r w:rsidR="008754ED" w:rsidRPr="001B4EC9">
        <w:rPr>
          <w:rFonts w:ascii="Times New Roman" w:hAnsi="Times New Roman"/>
        </w:rPr>
        <w:t>)</w:t>
      </w:r>
      <w:r w:rsidRPr="001B4EC9">
        <w:rPr>
          <w:rFonts w:ascii="Times New Roman" w:hAnsi="Times New Roman"/>
        </w:rPr>
        <w:t>.</w:t>
      </w:r>
    </w:p>
  </w:footnote>
  <w:footnote w:id="4">
    <w:p w14:paraId="4BC51525" w14:textId="41CC42DA" w:rsidR="00FF1C61" w:rsidRPr="001B4EC9" w:rsidRDefault="00FF1C61" w:rsidP="0043333C">
      <w:pPr>
        <w:pStyle w:val="FootnoteText"/>
        <w:spacing w:after="0" w:line="240" w:lineRule="auto"/>
        <w:ind w:left="-142"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008754ED" w:rsidRPr="001B4EC9">
        <w:rPr>
          <w:rFonts w:ascii="Times New Roman" w:hAnsi="Times New Roman"/>
        </w:rPr>
        <w:tab/>
      </w:r>
      <w:r w:rsidRPr="001B4EC9">
        <w:rPr>
          <w:rFonts w:ascii="Times New Roman" w:hAnsi="Times New Roman"/>
        </w:rPr>
        <w:t>The Annual Single Market and Competitiveness Report 2025</w:t>
      </w:r>
      <w:r w:rsidR="008754ED" w:rsidRPr="001B4EC9">
        <w:rPr>
          <w:rFonts w:ascii="Times New Roman" w:hAnsi="Times New Roman"/>
        </w:rPr>
        <w:t>;</w:t>
      </w:r>
      <w:r w:rsidRPr="001B4EC9">
        <w:rPr>
          <w:rFonts w:ascii="Times New Roman" w:hAnsi="Times New Roman"/>
        </w:rPr>
        <w:t xml:space="preserve"> COM(2025) 26</w:t>
      </w:r>
      <w:r w:rsidR="008754ED" w:rsidRPr="001B4EC9">
        <w:rPr>
          <w:rFonts w:ascii="Times New Roman" w:hAnsi="Times New Roman"/>
        </w:rPr>
        <w:t xml:space="preserve"> final (</w:t>
      </w:r>
      <w:hyperlink r:id="rId4" w:history="1">
        <w:r w:rsidR="008754ED" w:rsidRPr="001B4EC9">
          <w:rPr>
            <w:rStyle w:val="Hyperlink"/>
            <w:rFonts w:ascii="Times New Roman" w:hAnsi="Times New Roman"/>
          </w:rPr>
          <w:t>EUR-Lex - 52025DC0026 - EN - EUR-Lex</w:t>
        </w:r>
      </w:hyperlink>
      <w:r w:rsidR="008754ED" w:rsidRPr="001B4EC9">
        <w:rPr>
          <w:rFonts w:ascii="Times New Roman" w:hAnsi="Times New Roman"/>
        </w:rPr>
        <w:t>)</w:t>
      </w:r>
      <w:r w:rsidRPr="001B4EC9">
        <w:rPr>
          <w:rFonts w:ascii="Times New Roman" w:hAnsi="Times New Roman"/>
        </w:rPr>
        <w:t>.</w:t>
      </w:r>
    </w:p>
  </w:footnote>
  <w:footnote w:id="5">
    <w:p w14:paraId="0718CB88" w14:textId="587602AE" w:rsidR="00AA6EBE" w:rsidRPr="001B4EC9" w:rsidRDefault="00AA6EBE" w:rsidP="0043333C">
      <w:pPr>
        <w:pStyle w:val="FootnoteText"/>
        <w:spacing w:after="0" w:line="240" w:lineRule="auto"/>
        <w:ind w:left="-141" w:right="-425" w:hanging="284"/>
        <w:jc w:val="both"/>
        <w:rPr>
          <w:rFonts w:ascii="Times New Roman" w:hAnsi="Times New Roman"/>
        </w:rPr>
      </w:pPr>
      <w:r w:rsidRPr="0043333C">
        <w:rPr>
          <w:rStyle w:val="FootnoteReference"/>
          <w:rFonts w:ascii="Times New Roman" w:hAnsi="Times New Roman"/>
        </w:rPr>
        <w:footnoteRef/>
      </w:r>
      <w:r w:rsidRPr="0043333C">
        <w:rPr>
          <w:rFonts w:ascii="Times New Roman" w:hAnsi="Times New Roman"/>
        </w:rPr>
        <w:t xml:space="preserve"> </w:t>
      </w:r>
      <w:r w:rsidRPr="0043333C">
        <w:rPr>
          <w:rFonts w:ascii="Times New Roman" w:hAnsi="Times New Roman"/>
        </w:rPr>
        <w:tab/>
      </w:r>
      <w:r w:rsidRPr="001B4EC9">
        <w:rPr>
          <w:rFonts w:ascii="Times New Roman" w:hAnsi="Times New Roman"/>
        </w:rPr>
        <w:t>Directive 2014/23/EU of the European Parliament and of the Council of 26 February 2014 on the award of concession contracts (</w:t>
      </w:r>
      <w:hyperlink r:id="rId5" w:history="1">
        <w:r w:rsidRPr="001B4EC9">
          <w:rPr>
            <w:rStyle w:val="Hyperlink"/>
            <w:rFonts w:ascii="Times New Roman" w:hAnsi="Times New Roman"/>
          </w:rPr>
          <w:t>http://data.europa.eu/eli/dir/2014/23/oj</w:t>
        </w:r>
      </w:hyperlink>
      <w:r w:rsidRPr="001B4EC9">
        <w:rPr>
          <w:rFonts w:ascii="Times New Roman" w:hAnsi="Times New Roman"/>
        </w:rPr>
        <w:t>).</w:t>
      </w:r>
    </w:p>
  </w:footnote>
  <w:footnote w:id="6">
    <w:p w14:paraId="7D7ED5E3" w14:textId="1BDC1DC2" w:rsidR="00AA6EBE" w:rsidRPr="001B4EC9" w:rsidRDefault="00AA6EBE" w:rsidP="0043333C">
      <w:pPr>
        <w:pStyle w:val="FootnoteText"/>
        <w:spacing w:after="0" w:line="240" w:lineRule="auto"/>
        <w:ind w:left="-141"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Pr="001B4EC9">
        <w:rPr>
          <w:rFonts w:ascii="Times New Roman" w:hAnsi="Times New Roman"/>
        </w:rPr>
        <w:tab/>
        <w:t>Directive 2014/24/EU of the European Parliament and of the Council of 26 February 2014 on public procurement and repealing Directive 2004/18/EC (</w:t>
      </w:r>
      <w:hyperlink r:id="rId6" w:tooltip="Gives access to this document through its ELI URI." w:history="1">
        <w:r w:rsidRPr="001B4EC9">
          <w:rPr>
            <w:rStyle w:val="Hyperlink"/>
            <w:rFonts w:ascii="Times New Roman" w:hAnsi="Times New Roman"/>
          </w:rPr>
          <w:t>http://data.europa.eu/eli/dir/2014/24/oj</w:t>
        </w:r>
      </w:hyperlink>
      <w:r w:rsidRPr="001B4EC9">
        <w:rPr>
          <w:rFonts w:ascii="Times New Roman" w:hAnsi="Times New Roman"/>
        </w:rPr>
        <w:t>).</w:t>
      </w:r>
    </w:p>
  </w:footnote>
  <w:footnote w:id="7">
    <w:p w14:paraId="61E366F0" w14:textId="20B4F1FC" w:rsidR="00AA6EBE" w:rsidRPr="001B4EC9" w:rsidRDefault="00AA6EBE" w:rsidP="0043333C">
      <w:pPr>
        <w:pStyle w:val="FootnoteText"/>
        <w:spacing w:after="0" w:line="240" w:lineRule="auto"/>
        <w:ind w:left="-141"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Pr="001B4EC9">
        <w:rPr>
          <w:rFonts w:ascii="Times New Roman" w:hAnsi="Times New Roman"/>
        </w:rPr>
        <w:tab/>
        <w:t>Directive 2014/25/EU of the European Parliament and of the Council of 26 February 2014 on procurement by entities operating in the water, energy, transport and postal services sectors and repealing Directive 2004/17/EC (</w:t>
      </w:r>
      <w:hyperlink r:id="rId7" w:tooltip="Gives access to this document through its ELI URI." w:history="1">
        <w:r w:rsidRPr="001B4EC9">
          <w:rPr>
            <w:rStyle w:val="Hyperlink"/>
            <w:rFonts w:ascii="Times New Roman" w:hAnsi="Times New Roman"/>
          </w:rPr>
          <w:t>http://data.europa.eu/eli/dir/2014/25/oj</w:t>
        </w:r>
      </w:hyperlink>
      <w:r w:rsidRPr="001B4EC9">
        <w:rPr>
          <w:rFonts w:ascii="Times New Roman" w:hAnsi="Times New Roman"/>
        </w:rPr>
        <w:t>).</w:t>
      </w:r>
    </w:p>
  </w:footnote>
  <w:footnote w:id="8">
    <w:p w14:paraId="50DBC64E" w14:textId="0587817D" w:rsidR="005B0D63" w:rsidRPr="001B4EC9" w:rsidRDefault="005B0D63" w:rsidP="0043333C">
      <w:pPr>
        <w:pStyle w:val="FootnoteText"/>
        <w:spacing w:after="0" w:line="240" w:lineRule="auto"/>
        <w:ind w:left="-141"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00AA6EBE" w:rsidRPr="001B4EC9">
        <w:rPr>
          <w:rFonts w:ascii="Times New Roman" w:hAnsi="Times New Roman"/>
        </w:rPr>
        <w:tab/>
      </w:r>
      <w:r w:rsidRPr="001B4EC9">
        <w:rPr>
          <w:rFonts w:ascii="Times New Roman" w:hAnsi="Times New Roman"/>
        </w:rPr>
        <w:t xml:space="preserve">See at </w:t>
      </w:r>
      <w:hyperlink r:id="rId8" w:history="1">
        <w:r w:rsidRPr="001B4EC9">
          <w:rPr>
            <w:rStyle w:val="Hyperlink"/>
            <w:rFonts w:ascii="Times New Roman" w:hAnsi="Times New Roman"/>
          </w:rPr>
          <w:t>https://ec.europa.eu/info/law/better-regulation/have-your-say/initiatives/14427-Public-procurement-directives-evaluation_en</w:t>
        </w:r>
      </w:hyperlink>
      <w:r w:rsidR="00D35AC2" w:rsidRPr="001B4EC9">
        <w:rPr>
          <w:rStyle w:val="Hyperlink"/>
          <w:rFonts w:ascii="Times New Roman" w:hAnsi="Times New Roman"/>
        </w:rPr>
        <w:t>.</w:t>
      </w:r>
    </w:p>
  </w:footnote>
  <w:footnote w:id="9">
    <w:p w14:paraId="1A024DF6" w14:textId="0E6CFF22" w:rsidR="00D35AC2" w:rsidRPr="001B4EC9" w:rsidRDefault="00D35AC2" w:rsidP="0043333C">
      <w:pPr>
        <w:pStyle w:val="FootnoteText"/>
        <w:spacing w:after="0" w:line="240" w:lineRule="auto"/>
        <w:ind w:left="-141"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Pr="001B4EC9">
        <w:rPr>
          <w:rFonts w:ascii="Times New Roman" w:hAnsi="Times New Roman"/>
        </w:rPr>
        <w:tab/>
        <w:t>Regulation (EC) No 1272/2008 of the European Parliament and of the Council of 16 December 2008 on classification, labelling and packaging of substances and mixtures, amending and repealing Directives 67/548/EEC and 1999/45/EC, and amending Regulation (EC) No 1907/2006 (</w:t>
      </w:r>
      <w:hyperlink r:id="rId9" w:tooltip="Gives access to this document through its ELI URI." w:history="1">
        <w:r w:rsidRPr="001B4EC9">
          <w:rPr>
            <w:rStyle w:val="Hyperlink"/>
            <w:rFonts w:ascii="Times New Roman" w:hAnsi="Times New Roman"/>
          </w:rPr>
          <w:t>http://data.europa.eu/eli/reg/2008/1272/oj</w:t>
        </w:r>
      </w:hyperlink>
      <w:r w:rsidRPr="001B4EC9">
        <w:rPr>
          <w:rFonts w:ascii="Times New Roman" w:hAnsi="Times New Roman"/>
        </w:rPr>
        <w:t>).</w:t>
      </w:r>
    </w:p>
  </w:footnote>
  <w:footnote w:id="10">
    <w:p w14:paraId="1A5382AB" w14:textId="6BF54E74" w:rsidR="005B0D63" w:rsidRPr="001B4EC9" w:rsidRDefault="005B0D63" w:rsidP="0043333C">
      <w:pPr>
        <w:pStyle w:val="FootnoteText"/>
        <w:spacing w:after="0" w:line="240" w:lineRule="auto"/>
        <w:ind w:left="-141"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00AA6EBE" w:rsidRPr="001B4EC9">
        <w:rPr>
          <w:rFonts w:ascii="Times New Roman" w:hAnsi="Times New Roman"/>
        </w:rPr>
        <w:tab/>
      </w:r>
      <w:r w:rsidRPr="001B4EC9">
        <w:rPr>
          <w:rFonts w:ascii="Times New Roman" w:hAnsi="Times New Roman"/>
        </w:rPr>
        <w:t>European Commission</w:t>
      </w:r>
      <w:r w:rsidR="00AA6EBE" w:rsidRPr="001B4EC9">
        <w:rPr>
          <w:rFonts w:ascii="Times New Roman" w:hAnsi="Times New Roman"/>
        </w:rPr>
        <w:t>:</w:t>
      </w:r>
      <w:r w:rsidRPr="001B4EC9">
        <w:rPr>
          <w:rFonts w:ascii="Times New Roman" w:hAnsi="Times New Roman"/>
        </w:rPr>
        <w:t xml:space="preserve"> </w:t>
      </w:r>
      <w:r w:rsidR="00D35AC2" w:rsidRPr="001B4EC9">
        <w:rPr>
          <w:rFonts w:ascii="Times New Roman" w:hAnsi="Times New Roman"/>
        </w:rPr>
        <w:t xml:space="preserve">Directorate-General for Internal Market, Industry, Entrepreneurship and SMEs, </w:t>
      </w:r>
      <w:r w:rsidRPr="001B4EC9">
        <w:rPr>
          <w:rFonts w:ascii="Times New Roman" w:hAnsi="Times New Roman"/>
          <w:i/>
          <w:iCs/>
        </w:rPr>
        <w:t>Transition pathway for the chemical industry</w:t>
      </w:r>
      <w:r w:rsidRPr="001B4EC9">
        <w:rPr>
          <w:rFonts w:ascii="Times New Roman" w:hAnsi="Times New Roman"/>
        </w:rPr>
        <w:t>,  Publications Office</w:t>
      </w:r>
      <w:r w:rsidR="00AA6EBE" w:rsidRPr="001B4EC9">
        <w:rPr>
          <w:rFonts w:ascii="Times New Roman" w:hAnsi="Times New Roman"/>
        </w:rPr>
        <w:t xml:space="preserve"> of the European Union</w:t>
      </w:r>
      <w:r w:rsidRPr="001B4EC9">
        <w:rPr>
          <w:rFonts w:ascii="Times New Roman" w:hAnsi="Times New Roman"/>
        </w:rPr>
        <w:t>, 2023</w:t>
      </w:r>
      <w:r w:rsidR="00AA6EBE" w:rsidRPr="001B4EC9">
        <w:rPr>
          <w:rFonts w:ascii="Times New Roman" w:hAnsi="Times New Roman"/>
        </w:rPr>
        <w:t xml:space="preserve"> (</w:t>
      </w:r>
      <w:hyperlink r:id="rId10" w:tgtFrame="_blank" w:history="1">
        <w:r w:rsidR="00D35AC2" w:rsidRPr="001B4EC9">
          <w:rPr>
            <w:rStyle w:val="Hyperlink"/>
            <w:rFonts w:ascii="Times New Roman" w:hAnsi="Times New Roman"/>
          </w:rPr>
          <w:t>https://data.europa.eu/doi/10.2873/873037</w:t>
        </w:r>
      </w:hyperlink>
      <w:r w:rsidR="00D35AC2" w:rsidRPr="001B4EC9">
        <w:rPr>
          <w:rFonts w:ascii="Times New Roman" w:hAnsi="Times New Roman"/>
        </w:rPr>
        <w:t>)</w:t>
      </w:r>
      <w:r w:rsidRPr="001B4EC9">
        <w:rPr>
          <w:rFonts w:ascii="Times New Roman" w:hAnsi="Times New Roman"/>
        </w:rPr>
        <w:t>.</w:t>
      </w:r>
    </w:p>
  </w:footnote>
  <w:footnote w:id="11">
    <w:p w14:paraId="10C895EB" w14:textId="56EAFA52" w:rsidR="005B0D63" w:rsidRPr="001B4EC9" w:rsidRDefault="005B0D63" w:rsidP="00C74A7C">
      <w:pPr>
        <w:pStyle w:val="FootnoteText"/>
        <w:spacing w:after="0" w:line="240" w:lineRule="auto"/>
        <w:ind w:left="-141" w:right="-425" w:hanging="284"/>
        <w:jc w:val="both"/>
        <w:rPr>
          <w:rFonts w:ascii="Times New Roman" w:hAnsi="Times New Roman"/>
        </w:rPr>
      </w:pPr>
      <w:r w:rsidRPr="0043333C">
        <w:rPr>
          <w:rStyle w:val="FootnoteReference"/>
          <w:rFonts w:ascii="Times New Roman" w:hAnsi="Times New Roman"/>
        </w:rPr>
        <w:footnoteRef/>
      </w:r>
      <w:r w:rsidRPr="0043333C">
        <w:rPr>
          <w:rFonts w:ascii="Times New Roman" w:hAnsi="Times New Roman"/>
        </w:rPr>
        <w:t xml:space="preserve"> </w:t>
      </w:r>
      <w:r w:rsidR="00E24D18" w:rsidRPr="0043333C">
        <w:rPr>
          <w:rFonts w:ascii="Times New Roman" w:hAnsi="Times New Roman"/>
        </w:rPr>
        <w:tab/>
      </w:r>
      <w:r w:rsidRPr="001B4EC9">
        <w:rPr>
          <w:rFonts w:ascii="Times New Roman" w:hAnsi="Times New Roman"/>
        </w:rPr>
        <w:t>Communication on Long-term competitiveness of the EU: looking beyond 2030</w:t>
      </w:r>
      <w:r w:rsidR="00E24D18" w:rsidRPr="001B4EC9">
        <w:rPr>
          <w:rFonts w:ascii="Times New Roman" w:hAnsi="Times New Roman"/>
        </w:rPr>
        <w:t>;</w:t>
      </w:r>
      <w:r w:rsidRPr="001B4EC9">
        <w:rPr>
          <w:rFonts w:ascii="Times New Roman" w:hAnsi="Times New Roman"/>
        </w:rPr>
        <w:t xml:space="preserve"> COM(2023) 168</w:t>
      </w:r>
      <w:r w:rsidR="00E24D18" w:rsidRPr="001B4EC9">
        <w:rPr>
          <w:rFonts w:ascii="Times New Roman" w:hAnsi="Times New Roman"/>
        </w:rPr>
        <w:t xml:space="preserve"> final (</w:t>
      </w:r>
      <w:hyperlink r:id="rId11" w:history="1">
        <w:r w:rsidR="00E24D18" w:rsidRPr="001B4EC9">
          <w:rPr>
            <w:rStyle w:val="Hyperlink"/>
            <w:rFonts w:ascii="Times New Roman" w:hAnsi="Times New Roman"/>
          </w:rPr>
          <w:t>EUR-Lex - 52023DC0168 - EN - EUR-Lex</w:t>
        </w:r>
      </w:hyperlink>
      <w:r w:rsidR="00E24D18" w:rsidRPr="001B4EC9">
        <w:rPr>
          <w:rFonts w:ascii="Times New Roman" w:hAnsi="Times New Roman"/>
        </w:rPr>
        <w:t>)</w:t>
      </w:r>
      <w:r w:rsidRPr="001B4EC9">
        <w:rPr>
          <w:rFonts w:ascii="Times New Roman" w:hAnsi="Times New Roman"/>
        </w:rPr>
        <w:t>.</w:t>
      </w:r>
    </w:p>
  </w:footnote>
  <w:footnote w:id="12">
    <w:p w14:paraId="7A2C09E5" w14:textId="59549DEF" w:rsidR="005B0D63" w:rsidRPr="001B4EC9" w:rsidRDefault="005B0D63" w:rsidP="00C74A7C">
      <w:pPr>
        <w:pStyle w:val="FootnoteText"/>
        <w:spacing w:after="0" w:line="240" w:lineRule="auto"/>
        <w:ind w:left="-141"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00E24D18" w:rsidRPr="001B4EC9">
        <w:rPr>
          <w:rFonts w:ascii="Times New Roman" w:hAnsi="Times New Roman"/>
        </w:rPr>
        <w:tab/>
      </w:r>
      <w:hyperlink r:id="rId12" w:history="1">
        <w:r w:rsidR="00E24D18" w:rsidRPr="001B4EC9">
          <w:rPr>
            <w:rStyle w:val="Hyperlink"/>
            <w:rFonts w:ascii="Times New Roman" w:hAnsi="Times New Roman"/>
          </w:rPr>
          <w:t>https://eit.europa.eu/</w:t>
        </w:r>
      </w:hyperlink>
      <w:r w:rsidR="002A0370" w:rsidRPr="001B4EC9">
        <w:rPr>
          <w:rFonts w:ascii="Times New Roman" w:hAnsi="Times New Roman"/>
        </w:rPr>
        <w:t>.</w:t>
      </w:r>
    </w:p>
  </w:footnote>
  <w:footnote w:id="13">
    <w:p w14:paraId="068498DF" w14:textId="1998C4F8" w:rsidR="005B0D63" w:rsidRPr="001B4EC9" w:rsidRDefault="005B0D63" w:rsidP="00C74A7C">
      <w:pPr>
        <w:pStyle w:val="FootnoteText"/>
        <w:spacing w:after="0" w:line="240" w:lineRule="auto"/>
        <w:ind w:left="-141"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00E24D18" w:rsidRPr="001B4EC9">
        <w:rPr>
          <w:rFonts w:ascii="Times New Roman" w:hAnsi="Times New Roman"/>
        </w:rPr>
        <w:tab/>
      </w:r>
      <w:hyperlink r:id="rId13" w:history="1">
        <w:r w:rsidR="00E24D18" w:rsidRPr="001B4EC9">
          <w:rPr>
            <w:rStyle w:val="Hyperlink"/>
            <w:rFonts w:ascii="Times New Roman" w:hAnsi="Times New Roman"/>
          </w:rPr>
          <w:t>https://marie-sklodowska-curie-actions.ec.europa.eu/</w:t>
        </w:r>
      </w:hyperlink>
      <w:r w:rsidR="002A0370" w:rsidRPr="001B4EC9">
        <w:rPr>
          <w:rFonts w:ascii="Times New Roman" w:hAnsi="Times New Roman"/>
        </w:rPr>
        <w:t>.</w:t>
      </w:r>
    </w:p>
  </w:footnote>
  <w:footnote w:id="14">
    <w:p w14:paraId="27E94E19" w14:textId="0C821A25" w:rsidR="005B0D63" w:rsidRPr="001B4EC9" w:rsidRDefault="005B0D63" w:rsidP="00C74A7C">
      <w:pPr>
        <w:pStyle w:val="FootnoteText"/>
        <w:spacing w:after="0" w:line="240" w:lineRule="auto"/>
        <w:ind w:left="-141"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00E24D18" w:rsidRPr="001B4EC9">
        <w:rPr>
          <w:rFonts w:ascii="Times New Roman" w:hAnsi="Times New Roman"/>
        </w:rPr>
        <w:tab/>
      </w:r>
      <w:hyperlink r:id="rId14" w:history="1">
        <w:r w:rsidR="00E24D18" w:rsidRPr="001B4EC9">
          <w:rPr>
            <w:rStyle w:val="Hyperlink"/>
            <w:rFonts w:ascii="Times New Roman" w:hAnsi="Times New Roman"/>
          </w:rPr>
          <w:t>https://education.ec.europa.eu/education-levels/higher-education/european-universities-initiative</w:t>
        </w:r>
      </w:hyperlink>
      <w:r w:rsidR="002A0370" w:rsidRPr="001B4EC9">
        <w:rPr>
          <w:rFonts w:ascii="Times New Roman" w:hAnsi="Times New Roman"/>
        </w:rPr>
        <w:t>.</w:t>
      </w:r>
    </w:p>
  </w:footnote>
  <w:footnote w:id="15">
    <w:p w14:paraId="5C9D8E17" w14:textId="1F86A03B" w:rsidR="001A64A1" w:rsidRPr="001B4EC9" w:rsidRDefault="001A64A1" w:rsidP="00C74A7C">
      <w:pPr>
        <w:pStyle w:val="FootnoteText"/>
        <w:spacing w:after="0" w:line="240" w:lineRule="auto"/>
        <w:ind w:left="-141" w:right="-425" w:hanging="284"/>
        <w:jc w:val="both"/>
        <w:rPr>
          <w:rFonts w:ascii="Times New Roman" w:hAnsi="Times New Roman"/>
          <w:lang w:val="en-IE"/>
        </w:rPr>
      </w:pPr>
      <w:r w:rsidRPr="001B4EC9">
        <w:rPr>
          <w:rStyle w:val="FootnoteReference"/>
          <w:rFonts w:ascii="Times New Roman" w:hAnsi="Times New Roman"/>
        </w:rPr>
        <w:footnoteRef/>
      </w:r>
      <w:r w:rsidRPr="001B4EC9">
        <w:rPr>
          <w:rFonts w:ascii="Times New Roman" w:hAnsi="Times New Roman"/>
        </w:rPr>
        <w:t xml:space="preserve"> </w:t>
      </w:r>
      <w:r w:rsidRPr="001B4EC9">
        <w:rPr>
          <w:rFonts w:ascii="Times New Roman" w:hAnsi="Times New Roman"/>
          <w:lang w:val="en-IE"/>
        </w:rPr>
        <w:tab/>
      </w:r>
      <w:hyperlink r:id="rId15" w:history="1">
        <w:r w:rsidRPr="001B4EC9">
          <w:rPr>
            <w:rStyle w:val="Hyperlink"/>
            <w:rFonts w:ascii="Times New Roman" w:hAnsi="Times New Roman"/>
          </w:rPr>
          <w:t>The Pact for Skills: mobilising all partners to invest in skills - European Commission</w:t>
        </w:r>
      </w:hyperlink>
      <w:r w:rsidRPr="001B4EC9">
        <w:rPr>
          <w:rFonts w:ascii="Times New Roman" w:hAnsi="Times New Roman"/>
          <w:lang w:val="en-IE"/>
        </w:rPr>
        <w:t>.</w:t>
      </w:r>
    </w:p>
  </w:footnote>
  <w:footnote w:id="16">
    <w:p w14:paraId="6F985C3C" w14:textId="0A192F94" w:rsidR="002A0370" w:rsidRPr="001B4EC9" w:rsidRDefault="002A0370" w:rsidP="00C74A7C">
      <w:pPr>
        <w:pStyle w:val="FootnoteText"/>
        <w:spacing w:after="0" w:line="240" w:lineRule="auto"/>
        <w:ind w:left="-141" w:right="-425" w:hanging="284"/>
        <w:jc w:val="both"/>
        <w:rPr>
          <w:rFonts w:ascii="Times New Roman" w:hAnsi="Times New Roman"/>
          <w:lang w:val="en-IE"/>
        </w:rPr>
      </w:pPr>
      <w:r w:rsidRPr="001B4EC9">
        <w:rPr>
          <w:rStyle w:val="FootnoteReference"/>
          <w:rFonts w:ascii="Times New Roman" w:hAnsi="Times New Roman"/>
        </w:rPr>
        <w:footnoteRef/>
      </w:r>
      <w:r w:rsidRPr="001B4EC9">
        <w:rPr>
          <w:rFonts w:ascii="Times New Roman" w:hAnsi="Times New Roman"/>
        </w:rPr>
        <w:t xml:space="preserve"> </w:t>
      </w:r>
      <w:r w:rsidRPr="001B4EC9">
        <w:rPr>
          <w:rFonts w:ascii="Times New Roman" w:hAnsi="Times New Roman"/>
          <w:lang w:val="en-IE"/>
        </w:rPr>
        <w:tab/>
      </w:r>
      <w:hyperlink r:id="rId16" w:history="1">
        <w:r w:rsidRPr="001B4EC9">
          <w:rPr>
            <w:rStyle w:val="Hyperlink"/>
            <w:rFonts w:ascii="Times New Roman" w:hAnsi="Times New Roman"/>
          </w:rPr>
          <w:t>European Industrial Strategy | Digital Skills and Jobs Platform</w:t>
        </w:r>
      </w:hyperlink>
      <w:r w:rsidRPr="001B4EC9">
        <w:rPr>
          <w:rFonts w:ascii="Times New Roman" w:hAnsi="Times New Roman"/>
          <w:lang w:val="en-IE"/>
        </w:rPr>
        <w:t>.</w:t>
      </w:r>
    </w:p>
  </w:footnote>
  <w:footnote w:id="17">
    <w:p w14:paraId="0F2885E2" w14:textId="3CAD8229" w:rsidR="002A0370" w:rsidRPr="001B4EC9" w:rsidRDefault="002A0370" w:rsidP="00C74A7C">
      <w:pPr>
        <w:pStyle w:val="FootnoteText"/>
        <w:spacing w:after="0" w:line="240" w:lineRule="auto"/>
        <w:ind w:left="-141" w:right="-425" w:hanging="284"/>
        <w:jc w:val="both"/>
        <w:rPr>
          <w:rFonts w:ascii="Times New Roman" w:hAnsi="Times New Roman"/>
          <w:lang w:val="fr-BE"/>
        </w:rPr>
      </w:pPr>
      <w:r w:rsidRPr="001B4EC9">
        <w:rPr>
          <w:rStyle w:val="FootnoteReference"/>
          <w:rFonts w:ascii="Times New Roman" w:hAnsi="Times New Roman"/>
        </w:rPr>
        <w:footnoteRef/>
      </w:r>
      <w:r w:rsidRPr="001B4EC9">
        <w:rPr>
          <w:rFonts w:ascii="Times New Roman" w:hAnsi="Times New Roman"/>
          <w:lang w:val="fr-BE"/>
        </w:rPr>
        <w:t xml:space="preserve"> </w:t>
      </w:r>
      <w:r w:rsidRPr="001B4EC9">
        <w:rPr>
          <w:rFonts w:ascii="Times New Roman" w:hAnsi="Times New Roman"/>
          <w:lang w:val="fr-BE"/>
        </w:rPr>
        <w:tab/>
        <w:t>COM/2025/85 final (</w:t>
      </w:r>
      <w:hyperlink r:id="rId17" w:history="1">
        <w:r w:rsidRPr="001B4EC9">
          <w:rPr>
            <w:rStyle w:val="Hyperlink"/>
            <w:rFonts w:ascii="Times New Roman" w:hAnsi="Times New Roman"/>
            <w:lang w:val="fr-BE"/>
          </w:rPr>
          <w:t>EUR-Lex - 52025DC0085 - EN - EUR-Lex</w:t>
        </w:r>
      </w:hyperlink>
      <w:r w:rsidRPr="001B4EC9">
        <w:rPr>
          <w:rFonts w:ascii="Times New Roman" w:hAnsi="Times New Roman"/>
          <w:lang w:val="fr-BE"/>
        </w:rPr>
        <w:t>).</w:t>
      </w:r>
    </w:p>
  </w:footnote>
  <w:footnote w:id="18">
    <w:p w14:paraId="77C9989F" w14:textId="736E78E3" w:rsidR="00B40913" w:rsidRPr="001B4EC9" w:rsidRDefault="00B40913" w:rsidP="00C74A7C">
      <w:pPr>
        <w:pStyle w:val="FootnoteText"/>
        <w:spacing w:after="0" w:line="240" w:lineRule="auto"/>
        <w:ind w:left="-141" w:right="-425" w:hanging="284"/>
        <w:jc w:val="both"/>
        <w:rPr>
          <w:rFonts w:ascii="Times New Roman" w:hAnsi="Times New Roman"/>
        </w:rPr>
      </w:pPr>
      <w:r w:rsidRPr="001B4EC9">
        <w:rPr>
          <w:rStyle w:val="FootnoteReference"/>
          <w:rFonts w:ascii="Times New Roman" w:hAnsi="Times New Roman"/>
        </w:rPr>
        <w:footnoteRef/>
      </w:r>
      <w:r w:rsidRPr="001B4EC9">
        <w:rPr>
          <w:rFonts w:ascii="Times New Roman" w:hAnsi="Times New Roman"/>
        </w:rPr>
        <w:t xml:space="preserve"> </w:t>
      </w:r>
      <w:r w:rsidR="00E24D18" w:rsidRPr="001B4EC9">
        <w:rPr>
          <w:rFonts w:ascii="Times New Roman" w:hAnsi="Times New Roman"/>
        </w:rPr>
        <w:tab/>
      </w:r>
      <w:hyperlink w:history="1">
        <w:hyperlink r:id="rId18" w:history="1">
          <w:r w:rsidRPr="001B4EC9">
            <w:rPr>
              <w:rStyle w:val="Hyperlink"/>
              <w:rFonts w:ascii="Times New Roman" w:hAnsi="Times New Roman"/>
            </w:rPr>
            <w:t>JRC Publications Repository - EU-wide end-of-waste criteria for plastic waste</w:t>
          </w:r>
        </w:hyperlink>
      </w:hyperlink>
      <w:r w:rsidR="002A0370" w:rsidRPr="001B4EC9">
        <w:rPr>
          <w:rStyle w:val="Hyperlink"/>
          <w:rFonts w:ascii="Times New Roman" w:hAnsi="Times New Roman"/>
        </w:rPr>
        <w:t>.</w:t>
      </w:r>
    </w:p>
  </w:footnote>
  <w:footnote w:id="19">
    <w:p w14:paraId="3F7CF742" w14:textId="2DB31649" w:rsidR="00B40913" w:rsidRPr="001B4EC9" w:rsidRDefault="00B40913" w:rsidP="00C74A7C">
      <w:pPr>
        <w:pStyle w:val="FootnoteText"/>
        <w:spacing w:after="0" w:line="240" w:lineRule="auto"/>
        <w:ind w:left="-141" w:right="-425" w:hanging="284"/>
        <w:jc w:val="both"/>
        <w:rPr>
          <w:rStyle w:val="Hyperlink"/>
          <w:rFonts w:ascii="Times New Roman" w:hAnsi="Times New Roman"/>
          <w:sz w:val="22"/>
          <w:szCs w:val="22"/>
        </w:rPr>
      </w:pPr>
      <w:r w:rsidRPr="001B4EC9">
        <w:rPr>
          <w:rStyle w:val="FootnoteReference"/>
          <w:rFonts w:ascii="Times New Roman" w:hAnsi="Times New Roman"/>
        </w:rPr>
        <w:footnoteRef/>
      </w:r>
      <w:r w:rsidRPr="001B4EC9">
        <w:rPr>
          <w:rFonts w:ascii="Times New Roman" w:hAnsi="Times New Roman"/>
        </w:rPr>
        <w:t xml:space="preserve"> </w:t>
      </w:r>
      <w:r w:rsidR="00E24D18" w:rsidRPr="001B4EC9">
        <w:rPr>
          <w:rFonts w:ascii="Times New Roman" w:hAnsi="Times New Roman"/>
        </w:rPr>
        <w:tab/>
      </w:r>
      <w:hyperlink w:history="1">
        <w:hyperlink w:history="1">
          <w:hyperlink r:id="rId19" w:history="1">
            <w:r w:rsidRPr="001B4EC9">
              <w:rPr>
                <w:rStyle w:val="Hyperlink"/>
                <w:rFonts w:ascii="Times New Roman" w:hAnsi="Times New Roman"/>
              </w:rPr>
              <w:t>JRC Publications Repository - Environmental and economic assessment of plastic waste recycling</w:t>
            </w:r>
          </w:hyperlink>
        </w:hyperlink>
      </w:hyperlink>
      <w:r w:rsidR="002A0370" w:rsidRPr="001B4EC9">
        <w:rPr>
          <w:rStyle w:val="Hyperlink"/>
          <w:rFonts w:ascii="Times New Roman" w:hAnsi="Times New Roman"/>
        </w:rPr>
        <w:t>.</w:t>
      </w:r>
    </w:p>
  </w:footnote>
  <w:footnote w:id="20">
    <w:p w14:paraId="56812412" w14:textId="5D28001E" w:rsidR="002A0370" w:rsidRPr="001B4EC9" w:rsidRDefault="002A0370" w:rsidP="00C74A7C">
      <w:pPr>
        <w:pStyle w:val="FootnoteText"/>
        <w:widowControl w:val="0"/>
        <w:spacing w:after="0" w:line="240" w:lineRule="auto"/>
        <w:ind w:left="-141" w:right="-425" w:hanging="284"/>
        <w:jc w:val="both"/>
        <w:rPr>
          <w:rFonts w:ascii="Times New Roman" w:hAnsi="Times New Roman"/>
          <w:lang w:val="en-IE"/>
        </w:rPr>
      </w:pPr>
      <w:r w:rsidRPr="001B4EC9">
        <w:rPr>
          <w:rStyle w:val="FootnoteReference"/>
          <w:rFonts w:ascii="Times New Roman" w:hAnsi="Times New Roman"/>
        </w:rPr>
        <w:footnoteRef/>
      </w:r>
      <w:r w:rsidRPr="001B4EC9">
        <w:rPr>
          <w:rFonts w:ascii="Times New Roman" w:hAnsi="Times New Roman"/>
        </w:rPr>
        <w:t xml:space="preserve"> </w:t>
      </w:r>
      <w:r w:rsidRPr="001B4EC9">
        <w:rPr>
          <w:rFonts w:ascii="Times New Roman" w:hAnsi="Times New Roman"/>
          <w:lang w:val="en-IE"/>
        </w:rPr>
        <w:tab/>
      </w:r>
      <w:r w:rsidRPr="001B4EC9">
        <w:rPr>
          <w:rFonts w:ascii="Times New Roman" w:hAnsi="Times New Roman"/>
        </w:rPr>
        <w:t>Regulation (EU) 2024/2847 of the European Parliament and of the Council of 23 October 2024 on horizontal cybersecurity requirements for products with digital elements and amending Regulations (EU) No 168/2013 and (EU) 2019/1020 and Directive (EU) 2020/1828 (Cyber Resilience Act); (</w:t>
      </w:r>
      <w:hyperlink r:id="rId20" w:tooltip="Gives access to this document through its ELI URI." w:history="1">
        <w:r w:rsidRPr="001B4EC9">
          <w:rPr>
            <w:rStyle w:val="Hyperlink"/>
            <w:rFonts w:ascii="Times New Roman" w:hAnsi="Times New Roman"/>
          </w:rPr>
          <w:t>http://data.europa.eu/eli/reg/2024/2847/oj</w:t>
        </w:r>
      </w:hyperlink>
      <w:r w:rsidRPr="001B4EC9">
        <w:rPr>
          <w:rFonts w:ascii="Times New Roman" w:hAnsi="Times New Roman"/>
        </w:rPr>
        <w:t>).</w:t>
      </w:r>
    </w:p>
  </w:footnote>
  <w:footnote w:id="21">
    <w:p w14:paraId="111F6A69" w14:textId="5A3CBEA2" w:rsidR="002A0370" w:rsidRPr="001B4EC9" w:rsidRDefault="002A0370" w:rsidP="00C74A7C">
      <w:pPr>
        <w:pStyle w:val="FootnoteText"/>
        <w:spacing w:after="0" w:line="240" w:lineRule="auto"/>
        <w:ind w:left="-141" w:right="-426" w:hanging="284"/>
        <w:jc w:val="both"/>
        <w:rPr>
          <w:rFonts w:ascii="Times New Roman" w:hAnsi="Times New Roman"/>
          <w:lang w:val="fr-BE"/>
        </w:rPr>
      </w:pPr>
      <w:r w:rsidRPr="0043333C">
        <w:rPr>
          <w:rStyle w:val="FootnoteReference"/>
          <w:rFonts w:ascii="Times New Roman" w:hAnsi="Times New Roman"/>
        </w:rPr>
        <w:footnoteRef/>
      </w:r>
      <w:r w:rsidRPr="0043333C">
        <w:rPr>
          <w:rFonts w:ascii="Times New Roman" w:hAnsi="Times New Roman"/>
          <w:lang w:val="fr-BE"/>
        </w:rPr>
        <w:t xml:space="preserve"> </w:t>
      </w:r>
      <w:r w:rsidRPr="0043333C">
        <w:rPr>
          <w:rFonts w:ascii="Times New Roman" w:hAnsi="Times New Roman"/>
          <w:lang w:val="fr-BE"/>
        </w:rPr>
        <w:tab/>
      </w:r>
      <w:r w:rsidRPr="001B4EC9">
        <w:rPr>
          <w:rFonts w:ascii="Times New Roman" w:hAnsi="Times New Roman"/>
          <w:lang w:val="fr-BE"/>
        </w:rPr>
        <w:t>COM/2025/10 final (</w:t>
      </w:r>
      <w:hyperlink r:id="rId21" w:history="1">
        <w:r w:rsidRPr="001B4EC9">
          <w:rPr>
            <w:rStyle w:val="Hyperlink"/>
            <w:rFonts w:ascii="Times New Roman" w:hAnsi="Times New Roman"/>
            <w:lang w:val="fr-BE"/>
          </w:rPr>
          <w:t>EUR-Lex - 52025DC0010 - EN - EUR-Lex</w:t>
        </w:r>
      </w:hyperlink>
      <w:r w:rsidRPr="001B4EC9">
        <w:rPr>
          <w:rFonts w:ascii="Times New Roman" w:hAnsi="Times New Roman"/>
          <w:lang w:val="fr-BE"/>
        </w:rPr>
        <w:t>).</w:t>
      </w:r>
    </w:p>
  </w:footnote>
  <w:footnote w:id="22">
    <w:p w14:paraId="3870E54D" w14:textId="5B3E46EF" w:rsidR="00F2044B" w:rsidRPr="001B4EC9" w:rsidRDefault="00F2044B" w:rsidP="00C74A7C">
      <w:pPr>
        <w:pStyle w:val="FootnoteText"/>
        <w:spacing w:after="0" w:line="240" w:lineRule="auto"/>
        <w:ind w:left="-142" w:right="-426" w:hanging="284"/>
        <w:rPr>
          <w:rFonts w:ascii="Times New Roman" w:hAnsi="Times New Roman"/>
          <w:lang w:val="pt-PT"/>
        </w:rPr>
      </w:pPr>
      <w:r w:rsidRPr="001B4EC9">
        <w:rPr>
          <w:rStyle w:val="FootnoteReference"/>
          <w:rFonts w:ascii="Times New Roman" w:hAnsi="Times New Roman"/>
        </w:rPr>
        <w:footnoteRef/>
      </w:r>
      <w:r w:rsidRPr="001B4EC9">
        <w:rPr>
          <w:rFonts w:ascii="Times New Roman" w:hAnsi="Times New Roman"/>
          <w:lang w:val="pt-PT"/>
        </w:rPr>
        <w:t xml:space="preserve"> </w:t>
      </w:r>
      <w:r w:rsidRPr="001B4EC9">
        <w:rPr>
          <w:rFonts w:ascii="Times New Roman" w:hAnsi="Times New Roman"/>
          <w:lang w:val="pt-PT"/>
        </w:rPr>
        <w:tab/>
      </w:r>
      <w:hyperlink r:id="rId22" w:history="1">
        <w:r w:rsidRPr="001B4EC9">
          <w:rPr>
            <w:rStyle w:val="Hyperlink"/>
            <w:rFonts w:ascii="Times New Roman" w:hAnsi="Times New Roman"/>
            <w:lang w:val="pt-PT"/>
          </w:rPr>
          <w:t xml:space="preserve">COM(2024) 163 final </w:t>
        </w:r>
      </w:hyperlink>
      <w:r w:rsidRPr="001B4EC9">
        <w:rPr>
          <w:rFonts w:ascii="Times New Roman" w:hAnsi="Times New Roman"/>
          <w:lang w:val="pt-PT"/>
        </w:rPr>
        <w:t>(</w:t>
      </w:r>
      <w:hyperlink r:id="rId23" w:history="1">
        <w:r w:rsidRPr="001B4EC9">
          <w:rPr>
            <w:rStyle w:val="Hyperlink"/>
            <w:rFonts w:ascii="Times New Roman" w:hAnsi="Times New Roman"/>
            <w:lang w:val="pt-PT"/>
          </w:rPr>
          <w:t>edc7b551-6b25-42ab-b36c-d9af7d4654e9_en</w:t>
        </w:r>
      </w:hyperlink>
      <w:r w:rsidRPr="001B4EC9">
        <w:rPr>
          <w:rFonts w:ascii="Times New Roman" w:hAnsi="Times New Roman"/>
          <w:lang w:val="pt-PT"/>
        </w:rPr>
        <w:t>).</w:t>
      </w:r>
    </w:p>
  </w:footnote>
  <w:footnote w:id="23">
    <w:p w14:paraId="6568BC78" w14:textId="3DD6EE2B" w:rsidR="00F2044B" w:rsidRPr="001B4EC9" w:rsidRDefault="00F2044B" w:rsidP="00C74A7C">
      <w:pPr>
        <w:pStyle w:val="FootnoteText"/>
        <w:spacing w:after="0" w:line="240" w:lineRule="auto"/>
        <w:ind w:left="-142" w:right="-426" w:hanging="284"/>
        <w:rPr>
          <w:rFonts w:ascii="Times New Roman" w:hAnsi="Times New Roman"/>
          <w:lang w:val="en-IE"/>
        </w:rPr>
      </w:pPr>
      <w:r w:rsidRPr="001B4EC9">
        <w:rPr>
          <w:rStyle w:val="FootnoteReference"/>
          <w:rFonts w:ascii="Times New Roman" w:hAnsi="Times New Roman"/>
        </w:rPr>
        <w:footnoteRef/>
      </w:r>
      <w:r w:rsidRPr="001B4EC9">
        <w:rPr>
          <w:rFonts w:ascii="Times New Roman" w:hAnsi="Times New Roman"/>
        </w:rPr>
        <w:t xml:space="preserve"> </w:t>
      </w:r>
      <w:r w:rsidRPr="001B4EC9">
        <w:rPr>
          <w:rFonts w:ascii="Times New Roman" w:hAnsi="Times New Roman"/>
          <w:lang w:val="en-IE"/>
        </w:rPr>
        <w:tab/>
      </w:r>
      <w:hyperlink r:id="rId24" w:history="1">
        <w:r w:rsidRPr="001B4EC9">
          <w:rPr>
            <w:rStyle w:val="Hyperlink"/>
            <w:rFonts w:ascii="Times New Roman" w:hAnsi="Times New Roman"/>
          </w:rPr>
          <w:t>Transition pathway for the European metals sectors - European Commission</w:t>
        </w:r>
      </w:hyperlink>
      <w:r w:rsidRPr="001B4EC9">
        <w:rPr>
          <w:rFonts w:ascii="Times New Roman" w:hAnsi="Times New Roman"/>
          <w:lang w:val="en-IE"/>
        </w:rPr>
        <w:t>.</w:t>
      </w:r>
    </w:p>
  </w:footnote>
  <w:footnote w:id="24">
    <w:p w14:paraId="4E8DC34A" w14:textId="49165352" w:rsidR="00F2044B" w:rsidRPr="001B4EC9" w:rsidRDefault="00F2044B" w:rsidP="00C74A7C">
      <w:pPr>
        <w:pStyle w:val="FootnoteText"/>
        <w:spacing w:after="0" w:line="240" w:lineRule="auto"/>
        <w:ind w:left="-141" w:right="-426" w:hanging="284"/>
        <w:jc w:val="both"/>
        <w:rPr>
          <w:rFonts w:ascii="Times New Roman" w:hAnsi="Times New Roman"/>
          <w:lang w:val="en-IE"/>
        </w:rPr>
      </w:pPr>
      <w:r w:rsidRPr="001B4EC9">
        <w:rPr>
          <w:rStyle w:val="FootnoteReference"/>
          <w:rFonts w:ascii="Times New Roman" w:hAnsi="Times New Roman"/>
        </w:rPr>
        <w:footnoteRef/>
      </w:r>
      <w:r w:rsidRPr="001B4EC9">
        <w:rPr>
          <w:rFonts w:ascii="Times New Roman" w:hAnsi="Times New Roman"/>
        </w:rPr>
        <w:t xml:space="preserve"> </w:t>
      </w:r>
      <w:r w:rsidRPr="001B4EC9">
        <w:rPr>
          <w:rFonts w:ascii="Times New Roman" w:hAnsi="Times New Roman"/>
          <w:lang w:val="en-IE"/>
        </w:rPr>
        <w:tab/>
      </w:r>
      <w:r w:rsidRPr="001B4EC9">
        <w:rPr>
          <w:rFonts w:ascii="Times New Roman" w:hAnsi="Times New Roman"/>
        </w:rPr>
        <w:t>Communication from the Commission – Guidelines on State aid for climate, environmental protection and energy 2022; C/2022/481 (</w:t>
      </w:r>
      <w:hyperlink r:id="rId25" w:history="1">
        <w:r w:rsidRPr="001B4EC9">
          <w:rPr>
            <w:rStyle w:val="Hyperlink"/>
            <w:rFonts w:ascii="Times New Roman" w:hAnsi="Times New Roman"/>
          </w:rPr>
          <w:t>EUR-Lex - 52022XC0218(03) - EN - EUR-Lex</w:t>
        </w:r>
      </w:hyperlink>
      <w:r w:rsidRPr="001B4EC9">
        <w:rPr>
          <w:rFonts w:ascii="Times New Roman" w:hAnsi="Times New Roman"/>
        </w:rPr>
        <w:t>).</w:t>
      </w:r>
    </w:p>
  </w:footnote>
  <w:footnote w:id="25">
    <w:p w14:paraId="0EBC8A65" w14:textId="41857352" w:rsidR="00F2044B" w:rsidRPr="001B4EC9" w:rsidRDefault="00F2044B" w:rsidP="00C74A7C">
      <w:pPr>
        <w:pStyle w:val="FootnoteText"/>
        <w:spacing w:after="0" w:line="240" w:lineRule="auto"/>
        <w:ind w:left="-141" w:right="-426" w:hanging="284"/>
        <w:jc w:val="both"/>
        <w:rPr>
          <w:rFonts w:ascii="Times New Roman" w:hAnsi="Times New Roman"/>
          <w:lang w:val="en-IE"/>
        </w:rPr>
      </w:pPr>
      <w:r w:rsidRPr="001B4EC9">
        <w:rPr>
          <w:rStyle w:val="FootnoteReference"/>
          <w:rFonts w:ascii="Times New Roman" w:hAnsi="Times New Roman"/>
        </w:rPr>
        <w:footnoteRef/>
      </w:r>
      <w:r w:rsidRPr="001B4EC9">
        <w:rPr>
          <w:rFonts w:ascii="Times New Roman" w:hAnsi="Times New Roman"/>
        </w:rPr>
        <w:t xml:space="preserve"> </w:t>
      </w:r>
      <w:r w:rsidRPr="001B4EC9">
        <w:rPr>
          <w:rFonts w:ascii="Times New Roman" w:hAnsi="Times New Roman"/>
        </w:rPr>
        <w:tab/>
        <w:t>Communication from the Commission – Criteria for the analysis of the compatibility with the internal market of State aid to promote the execution of important projects of common European interest; 2014/C 188/02 (</w:t>
      </w:r>
      <w:hyperlink r:id="rId26" w:history="1">
        <w:r w:rsidRPr="001B4EC9">
          <w:rPr>
            <w:rStyle w:val="Hyperlink"/>
            <w:rFonts w:ascii="Times New Roman" w:hAnsi="Times New Roman"/>
          </w:rPr>
          <w:t>EUR-Lex - 52014XC0620(01) - EN - EUR-Lex</w:t>
        </w:r>
      </w:hyperlink>
      <w:r w:rsidRPr="001B4EC9">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6733" w14:textId="77777777" w:rsidR="008F4FEE" w:rsidRDefault="008F4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18C8" w14:textId="3700638D" w:rsidR="475A0E2F" w:rsidRPr="002F19BF" w:rsidRDefault="475A0E2F" w:rsidP="002F19BF">
    <w:pPr>
      <w:pStyle w:val="Header"/>
      <w:spacing w:line="24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230B" w14:textId="77777777" w:rsidR="008F4FEE" w:rsidRDefault="008F4F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0E31"/>
    <w:rsid w:val="00006419"/>
    <w:rsid w:val="00012A37"/>
    <w:rsid w:val="0002013C"/>
    <w:rsid w:val="00046B15"/>
    <w:rsid w:val="00050DC7"/>
    <w:rsid w:val="00057EE3"/>
    <w:rsid w:val="00076109"/>
    <w:rsid w:val="00077C4F"/>
    <w:rsid w:val="00086866"/>
    <w:rsid w:val="000B30BF"/>
    <w:rsid w:val="000F5FD8"/>
    <w:rsid w:val="0010003B"/>
    <w:rsid w:val="00114D60"/>
    <w:rsid w:val="001167C0"/>
    <w:rsid w:val="00130D10"/>
    <w:rsid w:val="00135C2A"/>
    <w:rsid w:val="00174C55"/>
    <w:rsid w:val="0018709C"/>
    <w:rsid w:val="001A4F21"/>
    <w:rsid w:val="001A64A1"/>
    <w:rsid w:val="001B0E0B"/>
    <w:rsid w:val="001B4EC9"/>
    <w:rsid w:val="001B702D"/>
    <w:rsid w:val="001C4138"/>
    <w:rsid w:val="001D5A7A"/>
    <w:rsid w:val="001D6DA1"/>
    <w:rsid w:val="001F2EC6"/>
    <w:rsid w:val="001F65D0"/>
    <w:rsid w:val="00205ACE"/>
    <w:rsid w:val="00217E59"/>
    <w:rsid w:val="002329A5"/>
    <w:rsid w:val="00265071"/>
    <w:rsid w:val="00273E7F"/>
    <w:rsid w:val="0028074F"/>
    <w:rsid w:val="00280EF7"/>
    <w:rsid w:val="002834EE"/>
    <w:rsid w:val="002A0370"/>
    <w:rsid w:val="002B01D4"/>
    <w:rsid w:val="002F03FA"/>
    <w:rsid w:val="002F19BF"/>
    <w:rsid w:val="003004D2"/>
    <w:rsid w:val="00311F00"/>
    <w:rsid w:val="003253FB"/>
    <w:rsid w:val="00331731"/>
    <w:rsid w:val="003349A3"/>
    <w:rsid w:val="00343A1D"/>
    <w:rsid w:val="0035234B"/>
    <w:rsid w:val="00353974"/>
    <w:rsid w:val="00363010"/>
    <w:rsid w:val="00377967"/>
    <w:rsid w:val="00386143"/>
    <w:rsid w:val="003917E8"/>
    <w:rsid w:val="003A7BD9"/>
    <w:rsid w:val="003B58DC"/>
    <w:rsid w:val="003D65FA"/>
    <w:rsid w:val="003E7D5C"/>
    <w:rsid w:val="003F0F9B"/>
    <w:rsid w:val="003F117A"/>
    <w:rsid w:val="003F686E"/>
    <w:rsid w:val="004224E0"/>
    <w:rsid w:val="0043333C"/>
    <w:rsid w:val="00442552"/>
    <w:rsid w:val="00455A1C"/>
    <w:rsid w:val="0046506E"/>
    <w:rsid w:val="004675B5"/>
    <w:rsid w:val="00472933"/>
    <w:rsid w:val="004770D6"/>
    <w:rsid w:val="00485C24"/>
    <w:rsid w:val="0049246C"/>
    <w:rsid w:val="004B2BE4"/>
    <w:rsid w:val="004F6117"/>
    <w:rsid w:val="004F63F1"/>
    <w:rsid w:val="004F651E"/>
    <w:rsid w:val="0052596B"/>
    <w:rsid w:val="00540BC8"/>
    <w:rsid w:val="00554D8D"/>
    <w:rsid w:val="00563D4B"/>
    <w:rsid w:val="00570828"/>
    <w:rsid w:val="00573835"/>
    <w:rsid w:val="00581306"/>
    <w:rsid w:val="005A161C"/>
    <w:rsid w:val="005B0D63"/>
    <w:rsid w:val="005B1022"/>
    <w:rsid w:val="005B2EE3"/>
    <w:rsid w:val="005B7EE4"/>
    <w:rsid w:val="005C3105"/>
    <w:rsid w:val="00606129"/>
    <w:rsid w:val="006116ED"/>
    <w:rsid w:val="00614997"/>
    <w:rsid w:val="006241D0"/>
    <w:rsid w:val="00635C97"/>
    <w:rsid w:val="006476F0"/>
    <w:rsid w:val="0065261F"/>
    <w:rsid w:val="0066643D"/>
    <w:rsid w:val="00681309"/>
    <w:rsid w:val="00692C2F"/>
    <w:rsid w:val="006953C8"/>
    <w:rsid w:val="00695797"/>
    <w:rsid w:val="00696A5E"/>
    <w:rsid w:val="006A2E24"/>
    <w:rsid w:val="006A2EB5"/>
    <w:rsid w:val="006B3B69"/>
    <w:rsid w:val="006E3C51"/>
    <w:rsid w:val="00705A63"/>
    <w:rsid w:val="00727094"/>
    <w:rsid w:val="0073067F"/>
    <w:rsid w:val="00734613"/>
    <w:rsid w:val="00742BC5"/>
    <w:rsid w:val="00751910"/>
    <w:rsid w:val="00751E60"/>
    <w:rsid w:val="007547B5"/>
    <w:rsid w:val="00762EF5"/>
    <w:rsid w:val="00771DC8"/>
    <w:rsid w:val="00795A9E"/>
    <w:rsid w:val="007A3836"/>
    <w:rsid w:val="007A606D"/>
    <w:rsid w:val="007C2214"/>
    <w:rsid w:val="007C2D50"/>
    <w:rsid w:val="007C34A5"/>
    <w:rsid w:val="007C5215"/>
    <w:rsid w:val="007D3D01"/>
    <w:rsid w:val="007F5AC2"/>
    <w:rsid w:val="00807B48"/>
    <w:rsid w:val="008135CA"/>
    <w:rsid w:val="0081584F"/>
    <w:rsid w:val="008204F0"/>
    <w:rsid w:val="0082568B"/>
    <w:rsid w:val="008346E0"/>
    <w:rsid w:val="008454F3"/>
    <w:rsid w:val="008703BF"/>
    <w:rsid w:val="00871A28"/>
    <w:rsid w:val="00873E63"/>
    <w:rsid w:val="008754ED"/>
    <w:rsid w:val="008856A8"/>
    <w:rsid w:val="008925CE"/>
    <w:rsid w:val="008C4D41"/>
    <w:rsid w:val="008F4FEE"/>
    <w:rsid w:val="009673AC"/>
    <w:rsid w:val="0097649C"/>
    <w:rsid w:val="00981F45"/>
    <w:rsid w:val="00992728"/>
    <w:rsid w:val="00994D12"/>
    <w:rsid w:val="009B128B"/>
    <w:rsid w:val="009B52D7"/>
    <w:rsid w:val="009C000A"/>
    <w:rsid w:val="009C1ED8"/>
    <w:rsid w:val="009C5FBC"/>
    <w:rsid w:val="00A16F07"/>
    <w:rsid w:val="00A62C7B"/>
    <w:rsid w:val="00A7709A"/>
    <w:rsid w:val="00A84216"/>
    <w:rsid w:val="00AA6EBE"/>
    <w:rsid w:val="00AD3B5D"/>
    <w:rsid w:val="00AE1842"/>
    <w:rsid w:val="00AE3C7C"/>
    <w:rsid w:val="00B31306"/>
    <w:rsid w:val="00B40913"/>
    <w:rsid w:val="00B42814"/>
    <w:rsid w:val="00B65C2D"/>
    <w:rsid w:val="00B83936"/>
    <w:rsid w:val="00BA18F5"/>
    <w:rsid w:val="00BD49E5"/>
    <w:rsid w:val="00BD6EB7"/>
    <w:rsid w:val="00BF1FA8"/>
    <w:rsid w:val="00C01750"/>
    <w:rsid w:val="00C06D20"/>
    <w:rsid w:val="00C17EE4"/>
    <w:rsid w:val="00C54D27"/>
    <w:rsid w:val="00C6759E"/>
    <w:rsid w:val="00C7194E"/>
    <w:rsid w:val="00C74A7C"/>
    <w:rsid w:val="00C768EA"/>
    <w:rsid w:val="00C76EEB"/>
    <w:rsid w:val="00CA6642"/>
    <w:rsid w:val="00D01F5A"/>
    <w:rsid w:val="00D1716E"/>
    <w:rsid w:val="00D20359"/>
    <w:rsid w:val="00D35AC2"/>
    <w:rsid w:val="00D51ABB"/>
    <w:rsid w:val="00D62D5E"/>
    <w:rsid w:val="00D64E05"/>
    <w:rsid w:val="00D65A4A"/>
    <w:rsid w:val="00D84E9C"/>
    <w:rsid w:val="00D92FD3"/>
    <w:rsid w:val="00D934B1"/>
    <w:rsid w:val="00D93926"/>
    <w:rsid w:val="00DA3B6E"/>
    <w:rsid w:val="00DB6F16"/>
    <w:rsid w:val="00DB7581"/>
    <w:rsid w:val="00DC70C1"/>
    <w:rsid w:val="00DF0E46"/>
    <w:rsid w:val="00E052EB"/>
    <w:rsid w:val="00E06B65"/>
    <w:rsid w:val="00E1474C"/>
    <w:rsid w:val="00E1798B"/>
    <w:rsid w:val="00E24D18"/>
    <w:rsid w:val="00E3150E"/>
    <w:rsid w:val="00E53E6B"/>
    <w:rsid w:val="00E66ABC"/>
    <w:rsid w:val="00E76F4B"/>
    <w:rsid w:val="00E808D6"/>
    <w:rsid w:val="00E81FF5"/>
    <w:rsid w:val="00E83C12"/>
    <w:rsid w:val="00E904C8"/>
    <w:rsid w:val="00E91EB7"/>
    <w:rsid w:val="00E9237F"/>
    <w:rsid w:val="00E93842"/>
    <w:rsid w:val="00EA1BBF"/>
    <w:rsid w:val="00EA5B1B"/>
    <w:rsid w:val="00EB29A9"/>
    <w:rsid w:val="00EB77D2"/>
    <w:rsid w:val="00F2044B"/>
    <w:rsid w:val="00F244C4"/>
    <w:rsid w:val="00F316C8"/>
    <w:rsid w:val="00F3237D"/>
    <w:rsid w:val="00F4027A"/>
    <w:rsid w:val="00F53FED"/>
    <w:rsid w:val="00F57126"/>
    <w:rsid w:val="00F632DE"/>
    <w:rsid w:val="00F735E4"/>
    <w:rsid w:val="00FA74A7"/>
    <w:rsid w:val="00FB7834"/>
    <w:rsid w:val="00FC4D0A"/>
    <w:rsid w:val="00FD4B6A"/>
    <w:rsid w:val="00FE4921"/>
    <w:rsid w:val="00FF03A8"/>
    <w:rsid w:val="00FF1C61"/>
    <w:rsid w:val="00FF243C"/>
    <w:rsid w:val="00FF63EA"/>
    <w:rsid w:val="014467E7"/>
    <w:rsid w:val="02732089"/>
    <w:rsid w:val="0282BEC7"/>
    <w:rsid w:val="037C05E6"/>
    <w:rsid w:val="0659A6E7"/>
    <w:rsid w:val="0793EC61"/>
    <w:rsid w:val="08888C60"/>
    <w:rsid w:val="09384B92"/>
    <w:rsid w:val="09C17CD0"/>
    <w:rsid w:val="0A081BF5"/>
    <w:rsid w:val="0AB16BB9"/>
    <w:rsid w:val="0D269D2E"/>
    <w:rsid w:val="0DE0FABB"/>
    <w:rsid w:val="0E0A2147"/>
    <w:rsid w:val="0E281F9C"/>
    <w:rsid w:val="0E29A178"/>
    <w:rsid w:val="0F6614BA"/>
    <w:rsid w:val="0F8693A9"/>
    <w:rsid w:val="1194A574"/>
    <w:rsid w:val="134B9590"/>
    <w:rsid w:val="14B56AF5"/>
    <w:rsid w:val="1939B444"/>
    <w:rsid w:val="1A3AB3C2"/>
    <w:rsid w:val="1AE53713"/>
    <w:rsid w:val="1B2D42AD"/>
    <w:rsid w:val="1C839FE0"/>
    <w:rsid w:val="1D4E4291"/>
    <w:rsid w:val="1D917D6E"/>
    <w:rsid w:val="1F9343F5"/>
    <w:rsid w:val="20942B39"/>
    <w:rsid w:val="20D4DC89"/>
    <w:rsid w:val="233EA6AC"/>
    <w:rsid w:val="2494BDE2"/>
    <w:rsid w:val="255C4675"/>
    <w:rsid w:val="25682496"/>
    <w:rsid w:val="2580F428"/>
    <w:rsid w:val="259616EA"/>
    <w:rsid w:val="25D95979"/>
    <w:rsid w:val="2A95B732"/>
    <w:rsid w:val="2AE5578E"/>
    <w:rsid w:val="2B5F4E9C"/>
    <w:rsid w:val="2D613042"/>
    <w:rsid w:val="311F7299"/>
    <w:rsid w:val="318B1826"/>
    <w:rsid w:val="328317C2"/>
    <w:rsid w:val="33DA4342"/>
    <w:rsid w:val="349F0B90"/>
    <w:rsid w:val="358087E1"/>
    <w:rsid w:val="36A04C66"/>
    <w:rsid w:val="37D7BA9E"/>
    <w:rsid w:val="38492217"/>
    <w:rsid w:val="3885B2E9"/>
    <w:rsid w:val="38B95F15"/>
    <w:rsid w:val="3B4E0838"/>
    <w:rsid w:val="3D03C9A0"/>
    <w:rsid w:val="3E42E109"/>
    <w:rsid w:val="3EACEA03"/>
    <w:rsid w:val="40D40A65"/>
    <w:rsid w:val="4279DC12"/>
    <w:rsid w:val="42FFA035"/>
    <w:rsid w:val="4420FCDA"/>
    <w:rsid w:val="443B8431"/>
    <w:rsid w:val="44984B97"/>
    <w:rsid w:val="475A0E2F"/>
    <w:rsid w:val="481CFC27"/>
    <w:rsid w:val="49940C69"/>
    <w:rsid w:val="4B211F4B"/>
    <w:rsid w:val="4DADCF01"/>
    <w:rsid w:val="4E3E26E1"/>
    <w:rsid w:val="4E5F6C92"/>
    <w:rsid w:val="4E7EDAEE"/>
    <w:rsid w:val="4EA27B97"/>
    <w:rsid w:val="4FAA6FE5"/>
    <w:rsid w:val="50A0BE03"/>
    <w:rsid w:val="50CDB233"/>
    <w:rsid w:val="527DD8A8"/>
    <w:rsid w:val="53B3A569"/>
    <w:rsid w:val="55817B3A"/>
    <w:rsid w:val="55B7FDC5"/>
    <w:rsid w:val="560E1463"/>
    <w:rsid w:val="565CA5D4"/>
    <w:rsid w:val="567A0C26"/>
    <w:rsid w:val="567E42D2"/>
    <w:rsid w:val="56CB54AC"/>
    <w:rsid w:val="57735FE9"/>
    <w:rsid w:val="57D8F53B"/>
    <w:rsid w:val="59B99181"/>
    <w:rsid w:val="5B34893F"/>
    <w:rsid w:val="5B6DBFDF"/>
    <w:rsid w:val="5CF4CBB5"/>
    <w:rsid w:val="5E5320BE"/>
    <w:rsid w:val="5F40C14D"/>
    <w:rsid w:val="61A884DB"/>
    <w:rsid w:val="61BE10E4"/>
    <w:rsid w:val="61CFAFDD"/>
    <w:rsid w:val="621D8D2E"/>
    <w:rsid w:val="626A8C31"/>
    <w:rsid w:val="629D8DC3"/>
    <w:rsid w:val="631C15D9"/>
    <w:rsid w:val="64341EC1"/>
    <w:rsid w:val="66773E7A"/>
    <w:rsid w:val="673903F6"/>
    <w:rsid w:val="678A948F"/>
    <w:rsid w:val="683239E0"/>
    <w:rsid w:val="6AC57590"/>
    <w:rsid w:val="6C62DD67"/>
    <w:rsid w:val="6C9F475F"/>
    <w:rsid w:val="6D9C7F30"/>
    <w:rsid w:val="6EB0473E"/>
    <w:rsid w:val="6FABA0D2"/>
    <w:rsid w:val="70A246DF"/>
    <w:rsid w:val="71353BAC"/>
    <w:rsid w:val="71CACDBC"/>
    <w:rsid w:val="72B77D1C"/>
    <w:rsid w:val="72D41ED0"/>
    <w:rsid w:val="72F52DD1"/>
    <w:rsid w:val="73631C92"/>
    <w:rsid w:val="77CD9201"/>
    <w:rsid w:val="78BCE759"/>
    <w:rsid w:val="790C8799"/>
    <w:rsid w:val="79A9C75A"/>
    <w:rsid w:val="7A1B5985"/>
    <w:rsid w:val="7C624D42"/>
    <w:rsid w:val="7CD443BD"/>
    <w:rsid w:val="7EDC2C36"/>
    <w:rsid w:val="7EE4B675"/>
    <w:rsid w:val="7FEE8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91EB7"/>
    <w:rPr>
      <w:sz w:val="20"/>
      <w:szCs w:val="20"/>
    </w:rPr>
  </w:style>
  <w:style w:type="character" w:customStyle="1" w:styleId="FootnoteTextChar">
    <w:name w:val="Footnote Text Char"/>
    <w:link w:val="FootnoteText"/>
    <w:uiPriority w:val="99"/>
    <w:semiHidden/>
    <w:rsid w:val="00E91EB7"/>
    <w:rPr>
      <w:lang w:val="en-GB" w:eastAsia="en-US"/>
    </w:rPr>
  </w:style>
  <w:style w:type="character" w:styleId="FootnoteReference">
    <w:name w:val="footnote reference"/>
    <w:uiPriority w:val="99"/>
    <w:semiHidden/>
    <w:unhideWhenUsed/>
    <w:rsid w:val="00E91EB7"/>
    <w:rPr>
      <w:vertAlign w:val="superscript"/>
    </w:rPr>
  </w:style>
  <w:style w:type="paragraph" w:styleId="BodyText">
    <w:name w:val="Body Text"/>
    <w:basedOn w:val="Normal"/>
    <w:link w:val="BodyTextChar"/>
    <w:uiPriority w:val="1"/>
    <w:qFormat/>
    <w:rsid w:val="00E91EB7"/>
    <w:pPr>
      <w:autoSpaceDE w:val="0"/>
      <w:autoSpaceDN w:val="0"/>
      <w:adjustRightInd w:val="0"/>
      <w:spacing w:after="0" w:line="221" w:lineRule="exact"/>
      <w:ind w:left="39"/>
    </w:pPr>
    <w:rPr>
      <w:rFonts w:ascii="Times New Roman" w:hAnsi="Times New Roman"/>
      <w:sz w:val="20"/>
      <w:szCs w:val="20"/>
      <w:lang w:eastAsia="en-GB"/>
    </w:rPr>
  </w:style>
  <w:style w:type="character" w:customStyle="1" w:styleId="BodyTextChar">
    <w:name w:val="Body Text Char"/>
    <w:link w:val="BodyText"/>
    <w:uiPriority w:val="1"/>
    <w:rsid w:val="00E91EB7"/>
    <w:rPr>
      <w:rFonts w:ascii="Times New Roman" w:hAnsi="Times New Roman"/>
      <w:lang w:val="en-GB"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BD49E5"/>
    <w:rPr>
      <w:sz w:val="22"/>
      <w:szCs w:val="22"/>
      <w:lang w:val="en-GB"/>
    </w:rPr>
  </w:style>
  <w:style w:type="paragraph" w:styleId="CommentSubject">
    <w:name w:val="annotation subject"/>
    <w:basedOn w:val="CommentText"/>
    <w:next w:val="CommentText"/>
    <w:link w:val="CommentSubjectChar"/>
    <w:uiPriority w:val="99"/>
    <w:semiHidden/>
    <w:unhideWhenUsed/>
    <w:rsid w:val="006476F0"/>
    <w:rPr>
      <w:b/>
      <w:bCs/>
    </w:rPr>
  </w:style>
  <w:style w:type="character" w:customStyle="1" w:styleId="CommentSubjectChar">
    <w:name w:val="Comment Subject Char"/>
    <w:link w:val="CommentSubject"/>
    <w:uiPriority w:val="99"/>
    <w:semiHidden/>
    <w:rsid w:val="006476F0"/>
    <w:rPr>
      <w:b/>
      <w:bCs/>
      <w:lang w:eastAsia="en-US"/>
    </w:rPr>
  </w:style>
  <w:style w:type="character" w:styleId="Mention">
    <w:name w:val="Mention"/>
    <w:uiPriority w:val="99"/>
    <w:unhideWhenUsed/>
    <w:rsid w:val="00614997"/>
    <w:rPr>
      <w:color w:val="2B579A"/>
      <w:shd w:val="clear" w:color="auto" w:fill="E1DFDD"/>
    </w:rPr>
  </w:style>
  <w:style w:type="paragraph" w:styleId="Header">
    <w:name w:val="header"/>
    <w:basedOn w:val="Normal"/>
    <w:uiPriority w:val="99"/>
    <w:unhideWhenUsed/>
    <w:rsid w:val="475A0E2F"/>
    <w:pPr>
      <w:tabs>
        <w:tab w:val="center" w:pos="4680"/>
        <w:tab w:val="right" w:pos="9360"/>
      </w:tabs>
      <w:spacing w:after="0"/>
    </w:pPr>
  </w:style>
  <w:style w:type="paragraph" w:styleId="Footer">
    <w:name w:val="footer"/>
    <w:basedOn w:val="Normal"/>
    <w:uiPriority w:val="99"/>
    <w:unhideWhenUsed/>
    <w:rsid w:val="475A0E2F"/>
    <w:pPr>
      <w:tabs>
        <w:tab w:val="center" w:pos="4680"/>
        <w:tab w:val="right" w:pos="9360"/>
      </w:tabs>
      <w:spacing w:after="0"/>
    </w:p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2B5F4E9C"/>
    <w:rPr>
      <w:color w:val="0563C1"/>
      <w:u w:val="single"/>
    </w:rPr>
  </w:style>
  <w:style w:type="character" w:styleId="UnresolvedMention">
    <w:name w:val="Unresolved Mention"/>
    <w:uiPriority w:val="99"/>
    <w:semiHidden/>
    <w:unhideWhenUsed/>
    <w:rsid w:val="00DF0E46"/>
    <w:rPr>
      <w:color w:val="605E5C"/>
      <w:shd w:val="clear" w:color="auto" w:fill="E1DFDD"/>
    </w:rPr>
  </w:style>
  <w:style w:type="character" w:styleId="FollowedHyperlink">
    <w:name w:val="FollowedHyperlink"/>
    <w:uiPriority w:val="99"/>
    <w:semiHidden/>
    <w:unhideWhenUsed/>
    <w:rsid w:val="0035234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92250">
      <w:bodyDiv w:val="1"/>
      <w:marLeft w:val="0"/>
      <w:marRight w:val="0"/>
      <w:marTop w:val="0"/>
      <w:marBottom w:val="0"/>
      <w:divBdr>
        <w:top w:val="none" w:sz="0" w:space="0" w:color="auto"/>
        <w:left w:val="none" w:sz="0" w:space="0" w:color="auto"/>
        <w:bottom w:val="none" w:sz="0" w:space="0" w:color="auto"/>
        <w:right w:val="none" w:sz="0" w:space="0" w:color="auto"/>
      </w:divBdr>
    </w:div>
    <w:div w:id="198974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4427-Public-procurement-directives-evaluation_en" TargetMode="External"/><Relationship Id="rId13" Type="http://schemas.openxmlformats.org/officeDocument/2006/relationships/hyperlink" Target="https://marie-sklodowska-curie-actions.ec.europa.eu/" TargetMode="External"/><Relationship Id="rId18" Type="http://schemas.openxmlformats.org/officeDocument/2006/relationships/hyperlink" Target="https://publications.jrc.ec.europa.eu/repository/handle/JRC139303" TargetMode="External"/><Relationship Id="rId26" Type="http://schemas.openxmlformats.org/officeDocument/2006/relationships/hyperlink" Target="https://eur-lex.europa.eu/legal-content/EN/TXT/?uri=celex%3A52014XC0620%2801%29" TargetMode="External"/><Relationship Id="rId3" Type="http://schemas.openxmlformats.org/officeDocument/2006/relationships/hyperlink" Target="https://eur-lex.europa.eu/legal-content/EN/TXT/?uri=CELEX%3A52025DC0030" TargetMode="External"/><Relationship Id="rId21" Type="http://schemas.openxmlformats.org/officeDocument/2006/relationships/hyperlink" Target="https://eur-lex.europa.eu/legal-content/EN/TXT/?uri=celex:52025DC0010" TargetMode="External"/><Relationship Id="rId7" Type="http://schemas.openxmlformats.org/officeDocument/2006/relationships/hyperlink" Target="http://data.europa.eu/eli/dir/2014/25/oj" TargetMode="External"/><Relationship Id="rId12" Type="http://schemas.openxmlformats.org/officeDocument/2006/relationships/hyperlink" Target="https://eit.europa.eu/" TargetMode="External"/><Relationship Id="rId17" Type="http://schemas.openxmlformats.org/officeDocument/2006/relationships/hyperlink" Target="https://eur-lex.europa.eu/legal-content/EN/TXT/?uri=celex:52025DC0085" TargetMode="External"/><Relationship Id="rId25" Type="http://schemas.openxmlformats.org/officeDocument/2006/relationships/hyperlink" Target="https://eur-lex.europa.eu/legal-content/EN/TXT/?uri=oj:JOC_2022_080_R_0001" TargetMode="External"/><Relationship Id="rId2" Type="http://schemas.openxmlformats.org/officeDocument/2006/relationships/hyperlink" Target="https://commission.europa.eu/topics/eu-competitiveness/draghi-report_en" TargetMode="External"/><Relationship Id="rId16" Type="http://schemas.openxmlformats.org/officeDocument/2006/relationships/hyperlink" Target="https://digital-skills-jobs.europa.eu/en/actions/european-initiatives/european-industrial-strategy" TargetMode="External"/><Relationship Id="rId20" Type="http://schemas.openxmlformats.org/officeDocument/2006/relationships/hyperlink" Target="http://data.europa.eu/eli/reg/2024/2847/oj" TargetMode="External"/><Relationship Id="rId1" Type="http://schemas.openxmlformats.org/officeDocument/2006/relationships/hyperlink" Target="https://antwerp-declaration.eu/" TargetMode="External"/><Relationship Id="rId6" Type="http://schemas.openxmlformats.org/officeDocument/2006/relationships/hyperlink" Target="http://data.europa.eu/eli/dir/2014/24/oj" TargetMode="External"/><Relationship Id="rId11" Type="http://schemas.openxmlformats.org/officeDocument/2006/relationships/hyperlink" Target="https://eur-lex.europa.eu/legal-content/EN/TXT/?uri=CELEX:52023DC0168" TargetMode="External"/><Relationship Id="rId24" Type="http://schemas.openxmlformats.org/officeDocument/2006/relationships/hyperlink" Target="https://single-market-economy.ec.europa.eu/sectors/raw-materials/related-industries/metal-industries/transition-pathway-european-metals-sectors_en" TargetMode="External"/><Relationship Id="rId5" Type="http://schemas.openxmlformats.org/officeDocument/2006/relationships/hyperlink" Target="http://data.europa.eu/eli/dir/2014/23/oj" TargetMode="External"/><Relationship Id="rId15" Type="http://schemas.openxmlformats.org/officeDocument/2006/relationships/hyperlink" Target="https://defence-industry-space.ec.europa.eu/pact-skills-mobilising-all-partners-invest-skills-2020-11-10_en" TargetMode="External"/><Relationship Id="rId23" Type="http://schemas.openxmlformats.org/officeDocument/2006/relationships/hyperlink" Target="https://commission.europa.eu/document/download/edc7b551-6b25-42ab-b36c-d9af7d4654e9_en?filename=COM_2024_163_1_EN.pdf" TargetMode="External"/><Relationship Id="rId10" Type="http://schemas.openxmlformats.org/officeDocument/2006/relationships/hyperlink" Target="https://data.europa.eu/doi/10.2873/873037" TargetMode="External"/><Relationship Id="rId19" Type="http://schemas.openxmlformats.org/officeDocument/2006/relationships/hyperlink" Target="https://publications.jrc.ec.europa.eu/repository/handle/JRC132067" TargetMode="External"/><Relationship Id="rId4" Type="http://schemas.openxmlformats.org/officeDocument/2006/relationships/hyperlink" Target="https://eur-lex.europa.eu/legal-content/EN/TXT/?uri=celex:52025DC0026" TargetMode="External"/><Relationship Id="rId9" Type="http://schemas.openxmlformats.org/officeDocument/2006/relationships/hyperlink" Target="http://data.europa.eu/eli/reg/2008/1272/oj" TargetMode="External"/><Relationship Id="rId14" Type="http://schemas.openxmlformats.org/officeDocument/2006/relationships/hyperlink" Target="https://education.ec.europa.eu/education-levels/higher-education/european-universities-initiative" TargetMode="External"/><Relationship Id="rId22" Type="http://schemas.openxmlformats.org/officeDocument/2006/relationships/hyperlink" Target="https://commission.europa.eu/publications/clean-transition-dialogues-stocktaking-strong-european-industry-sustainable-europ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77bd4c56248ebdf5993d09df5533488f">
  <xsd:schema xmlns:xsd="http://www.w3.org/2001/XMLSchema" xmlns:xs="http://www.w3.org/2001/XMLSchema" xmlns:p="http://schemas.microsoft.com/office/2006/metadata/properties" xmlns:ns2="2a565401-6124-4834-af4c-bc1a772a6083" targetNamespace="http://schemas.microsoft.com/office/2006/metadata/properties" ma:root="true" ma:fieldsID="0d21c66c8a208a651832a9e3056369d0"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73967-4644-4739-9B0C-C4BF4DCD1A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E33519-5C9F-43EA-A0FE-27E66CF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CE1FD-BCB8-408D-8156-0CB6CC0705F3}">
  <ds:schemaRefs>
    <ds:schemaRef ds:uri="http://schemas.microsoft.com/sharepoint/v3/contenttype/forms"/>
  </ds:schemaRefs>
</ds:datastoreItem>
</file>

<file path=customXml/itemProps4.xml><?xml version="1.0" encoding="utf-8"?>
<ds:datastoreItem xmlns:ds="http://schemas.openxmlformats.org/officeDocument/2006/customXml" ds:itemID="{F090F0F7-3F0C-4A96-9A2F-ABD13143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1408</Words>
  <Characters>8299</Characters>
  <Application>Microsoft Office Word</Application>
  <DocSecurity>0</DocSecurity>
  <Lines>115</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4</cp:revision>
  <cp:lastPrinted>2013-02-27T18:02:00Z</cp:lastPrinted>
  <dcterms:created xsi:type="dcterms:W3CDTF">2025-10-27T16:53:00Z</dcterms:created>
  <dcterms:modified xsi:type="dcterms:W3CDTF">2025-10-27T17:03:00Z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0x01010078D2C354A9B80F4897019BC7E2880A88</vt:lpwstr>
  </property>
</Properties>
</file>