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01"/>
      </w:tblGrid>
      <w:tr w:rsidR="001C4138" w:rsidRPr="00442552" w14:paraId="7E6372DC" w14:textId="77777777" w:rsidTr="008C3B04">
        <w:trPr>
          <w:jc w:val="center"/>
        </w:trPr>
        <w:tc>
          <w:tcPr>
            <w:tcW w:w="10101" w:type="dxa"/>
          </w:tcPr>
          <w:p w14:paraId="3A4EDC3A" w14:textId="078BF053" w:rsidR="001C4138" w:rsidRPr="004F6117" w:rsidRDefault="005A3A2F" w:rsidP="008C3B04">
            <w:pPr>
              <w:spacing w:before="120" w:after="120"/>
              <w:ind w:left="125"/>
              <w:rPr>
                <w:rFonts w:ascii="Times New Roman" w:hAnsi="Times New Roman"/>
                <w:b/>
                <w:sz w:val="24"/>
                <w:szCs w:val="24"/>
              </w:rPr>
            </w:pPr>
            <w:r>
              <w:rPr>
                <w:rFonts w:ascii="Times New Roman" w:hAnsi="Times New Roman"/>
                <w:b/>
                <w:sz w:val="24"/>
                <w:szCs w:val="24"/>
              </w:rPr>
              <w:t>Professional services in the green transition</w:t>
            </w:r>
            <w:r w:rsidR="001C4138" w:rsidRPr="00807B48">
              <w:rPr>
                <w:rFonts w:ascii="Times New Roman" w:hAnsi="Times New Roman"/>
                <w:b/>
                <w:sz w:val="24"/>
                <w:szCs w:val="24"/>
              </w:rPr>
              <w:br/>
            </w:r>
            <w:r w:rsidR="0016327D">
              <w:rPr>
                <w:rFonts w:ascii="Times New Roman" w:hAnsi="Times New Roman"/>
                <w:b/>
                <w:sz w:val="24"/>
                <w:szCs w:val="24"/>
              </w:rPr>
              <w:t>(</w:t>
            </w:r>
            <w:r w:rsidR="00265071">
              <w:rPr>
                <w:rFonts w:ascii="Times New Roman" w:hAnsi="Times New Roman"/>
                <w:b/>
                <w:sz w:val="24"/>
                <w:szCs w:val="24"/>
              </w:rPr>
              <w:t>Own-initiative opinion</w:t>
            </w:r>
            <w:r w:rsidR="0016327D">
              <w:rPr>
                <w:rFonts w:ascii="Times New Roman" w:hAnsi="Times New Roman"/>
                <w:b/>
                <w:sz w:val="24"/>
                <w:szCs w:val="24"/>
              </w:rPr>
              <w:t>)</w:t>
            </w:r>
            <w:r w:rsidR="001C4138" w:rsidRPr="00455A1C">
              <w:rPr>
                <w:rFonts w:ascii="Times New Roman" w:hAnsi="Times New Roman"/>
                <w:b/>
                <w:sz w:val="24"/>
                <w:szCs w:val="24"/>
                <w:lang w:val="en-IE"/>
              </w:rPr>
              <w:br/>
            </w:r>
            <w:r w:rsidR="001C4138">
              <w:rPr>
                <w:rFonts w:ascii="Times New Roman" w:hAnsi="Times New Roman"/>
                <w:b/>
                <w:sz w:val="24"/>
                <w:szCs w:val="24"/>
                <w:lang w:val="en-IE"/>
              </w:rPr>
              <w:t>EESC</w:t>
            </w:r>
            <w:r w:rsidR="001C4138" w:rsidRPr="00455A1C">
              <w:rPr>
                <w:rFonts w:ascii="Times New Roman" w:hAnsi="Times New Roman"/>
                <w:b/>
                <w:sz w:val="24"/>
                <w:szCs w:val="24"/>
                <w:lang w:val="en-IE"/>
              </w:rPr>
              <w:t>-</w:t>
            </w:r>
            <w:r w:rsidR="00265071">
              <w:rPr>
                <w:rFonts w:ascii="Times New Roman" w:hAnsi="Times New Roman"/>
                <w:b/>
                <w:sz w:val="24"/>
                <w:szCs w:val="24"/>
                <w:lang w:val="en-IE"/>
              </w:rPr>
              <w:t>2024-0</w:t>
            </w:r>
            <w:r w:rsidR="00DF2F01">
              <w:rPr>
                <w:rFonts w:ascii="Times New Roman" w:hAnsi="Times New Roman"/>
                <w:b/>
                <w:sz w:val="24"/>
                <w:szCs w:val="24"/>
                <w:lang w:val="en-IE"/>
              </w:rPr>
              <w:t>1953</w:t>
            </w:r>
            <w:r w:rsidR="001C4138" w:rsidRPr="00455A1C">
              <w:rPr>
                <w:rFonts w:ascii="Times New Roman" w:hAnsi="Times New Roman"/>
                <w:b/>
                <w:sz w:val="24"/>
                <w:szCs w:val="24"/>
                <w:lang w:val="en-IE"/>
              </w:rPr>
              <w:t xml:space="preserve"> </w:t>
            </w:r>
            <w:r w:rsidR="001C4138" w:rsidRPr="00807B48">
              <w:rPr>
                <w:rFonts w:ascii="Times New Roman" w:hAnsi="Times New Roman"/>
                <w:b/>
                <w:sz w:val="24"/>
                <w:szCs w:val="24"/>
              </w:rPr>
              <w:t xml:space="preserve">‒ </w:t>
            </w:r>
            <w:r w:rsidR="00265071">
              <w:rPr>
                <w:rFonts w:ascii="Times New Roman" w:hAnsi="Times New Roman"/>
                <w:b/>
                <w:sz w:val="24"/>
                <w:szCs w:val="24"/>
              </w:rPr>
              <w:t>CCMI/23</w:t>
            </w:r>
            <w:r>
              <w:rPr>
                <w:rFonts w:ascii="Times New Roman" w:hAnsi="Times New Roman"/>
                <w:b/>
                <w:sz w:val="24"/>
                <w:szCs w:val="24"/>
              </w:rPr>
              <w:t>1</w:t>
            </w:r>
            <w:r w:rsidR="001C4138" w:rsidRPr="00807B48">
              <w:rPr>
                <w:rFonts w:ascii="Times New Roman" w:hAnsi="Times New Roman"/>
                <w:b/>
                <w:sz w:val="24"/>
                <w:szCs w:val="24"/>
              </w:rPr>
              <w:br/>
            </w:r>
            <w:r w:rsidR="00265071">
              <w:rPr>
                <w:rFonts w:ascii="Times New Roman" w:hAnsi="Times New Roman"/>
                <w:b/>
                <w:sz w:val="24"/>
                <w:szCs w:val="24"/>
              </w:rPr>
              <w:t>592</w:t>
            </w:r>
            <w:r w:rsidR="00265071" w:rsidRPr="00265071">
              <w:rPr>
                <w:rFonts w:ascii="Times New Roman" w:hAnsi="Times New Roman"/>
                <w:b/>
                <w:sz w:val="24"/>
                <w:szCs w:val="24"/>
                <w:vertAlign w:val="superscript"/>
              </w:rPr>
              <w:t>nd</w:t>
            </w:r>
            <w:r w:rsidR="00265071">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sidR="00265071">
              <w:rPr>
                <w:rFonts w:ascii="Times New Roman" w:hAnsi="Times New Roman"/>
                <w:b/>
                <w:sz w:val="24"/>
                <w:szCs w:val="24"/>
              </w:rPr>
              <w:t>December 2024</w:t>
            </w:r>
            <w:r w:rsidR="001C4138" w:rsidRPr="00807B48">
              <w:rPr>
                <w:rFonts w:ascii="Times New Roman" w:hAnsi="Times New Roman"/>
                <w:b/>
                <w:sz w:val="24"/>
                <w:szCs w:val="24"/>
              </w:rPr>
              <w:br/>
              <w:t>Rapporteur:</w:t>
            </w:r>
            <w:r w:rsidR="00265071">
              <w:rPr>
                <w:rFonts w:ascii="Times New Roman" w:hAnsi="Times New Roman"/>
                <w:b/>
                <w:sz w:val="24"/>
                <w:szCs w:val="24"/>
              </w:rPr>
              <w:t xml:space="preserve"> </w:t>
            </w:r>
            <w:r w:rsidRPr="005A3A2F">
              <w:rPr>
                <w:rFonts w:ascii="Times New Roman" w:hAnsi="Times New Roman"/>
                <w:b/>
                <w:sz w:val="24"/>
                <w:szCs w:val="24"/>
              </w:rPr>
              <w:t xml:space="preserve">Violeta JELIĆ </w:t>
            </w:r>
            <w:r w:rsidR="00265071">
              <w:rPr>
                <w:rFonts w:ascii="Times New Roman" w:hAnsi="Times New Roman"/>
                <w:b/>
                <w:sz w:val="24"/>
                <w:szCs w:val="24"/>
              </w:rPr>
              <w:t>(</w:t>
            </w:r>
            <w:r w:rsidR="00905B16">
              <w:rPr>
                <w:rFonts w:ascii="Times New Roman" w:hAnsi="Times New Roman"/>
                <w:b/>
                <w:sz w:val="24"/>
                <w:szCs w:val="24"/>
              </w:rPr>
              <w:t>HR</w:t>
            </w:r>
            <w:r w:rsidR="00265071">
              <w:rPr>
                <w:rFonts w:ascii="Times New Roman" w:hAnsi="Times New Roman"/>
                <w:b/>
                <w:sz w:val="24"/>
                <w:szCs w:val="24"/>
              </w:rPr>
              <w:t>-I)</w:t>
            </w:r>
            <w:r w:rsidR="008C3B04">
              <w:rPr>
                <w:rFonts w:ascii="Times New Roman" w:hAnsi="Times New Roman"/>
                <w:b/>
                <w:sz w:val="24"/>
                <w:szCs w:val="24"/>
              </w:rPr>
              <w:br/>
            </w:r>
            <w:r w:rsidR="00265071">
              <w:rPr>
                <w:rFonts w:ascii="Times New Roman" w:hAnsi="Times New Roman"/>
                <w:b/>
                <w:sz w:val="24"/>
                <w:szCs w:val="24"/>
              </w:rPr>
              <w:t xml:space="preserve">Co-rapporteur: </w:t>
            </w:r>
            <w:r w:rsidRPr="005A3A2F">
              <w:rPr>
                <w:rFonts w:ascii="Times New Roman" w:hAnsi="Times New Roman"/>
                <w:b/>
                <w:sz w:val="24"/>
                <w:szCs w:val="24"/>
              </w:rPr>
              <w:t xml:space="preserve">Gaetano STELLA </w:t>
            </w:r>
            <w:r w:rsidR="00265071">
              <w:rPr>
                <w:rFonts w:ascii="Times New Roman" w:hAnsi="Times New Roman"/>
                <w:b/>
                <w:sz w:val="24"/>
                <w:szCs w:val="24"/>
              </w:rPr>
              <w:t>(IT-I</w:t>
            </w:r>
            <w:r w:rsidR="00DF2F01">
              <w:rPr>
                <w:rFonts w:ascii="Times New Roman" w:hAnsi="Times New Roman"/>
                <w:b/>
                <w:sz w:val="24"/>
                <w:szCs w:val="24"/>
              </w:rPr>
              <w:t>II</w:t>
            </w:r>
            <w:r w:rsidR="00265071">
              <w:rPr>
                <w:rFonts w:ascii="Times New Roman" w:hAnsi="Times New Roman"/>
                <w:b/>
                <w:sz w:val="24"/>
                <w:szCs w:val="24"/>
              </w:rPr>
              <w:t>)</w:t>
            </w:r>
            <w:r w:rsidR="001C4138" w:rsidRPr="00807B48">
              <w:rPr>
                <w:rFonts w:ascii="Times New Roman" w:hAnsi="Times New Roman"/>
                <w:b/>
                <w:sz w:val="24"/>
                <w:szCs w:val="24"/>
              </w:rPr>
              <w:br/>
              <w:t xml:space="preserve">DG </w:t>
            </w:r>
            <w:r w:rsidR="00265071">
              <w:rPr>
                <w:rFonts w:ascii="Times New Roman" w:hAnsi="Times New Roman"/>
                <w:b/>
                <w:sz w:val="24"/>
                <w:szCs w:val="24"/>
              </w:rPr>
              <w:t>GROW</w:t>
            </w:r>
            <w:r w:rsidR="001C4138" w:rsidRPr="00807B48">
              <w:rPr>
                <w:rFonts w:ascii="Times New Roman" w:hAnsi="Times New Roman"/>
                <w:b/>
                <w:sz w:val="24"/>
                <w:szCs w:val="24"/>
              </w:rPr>
              <w:t xml:space="preserve"> – </w:t>
            </w:r>
            <w:r>
              <w:rPr>
                <w:rFonts w:ascii="Times New Roman" w:hAnsi="Times New Roman"/>
                <w:b/>
                <w:sz w:val="24"/>
                <w:szCs w:val="24"/>
              </w:rPr>
              <w:t>Executive Vice-President</w:t>
            </w:r>
            <w:r w:rsidR="001C4138" w:rsidRPr="00807B48">
              <w:rPr>
                <w:rFonts w:ascii="Times New Roman" w:hAnsi="Times New Roman"/>
                <w:b/>
                <w:sz w:val="24"/>
                <w:szCs w:val="24"/>
              </w:rPr>
              <w:t xml:space="preserve"> </w:t>
            </w:r>
            <w:r w:rsidR="00265071">
              <w:rPr>
                <w:rFonts w:ascii="Times New Roman" w:hAnsi="Times New Roman"/>
                <w:b/>
                <w:sz w:val="24"/>
                <w:szCs w:val="24"/>
              </w:rPr>
              <w:t>S</w:t>
            </w:r>
            <w:r w:rsidR="00383255">
              <w:rPr>
                <w:rFonts w:ascii="Times New Roman" w:hAnsi="Times New Roman"/>
                <w:b/>
                <w:sz w:val="24"/>
                <w:szCs w:val="24"/>
              </w:rPr>
              <w:t>É</w:t>
            </w:r>
            <w:r w:rsidR="00265071">
              <w:rPr>
                <w:rFonts w:ascii="Times New Roman" w:hAnsi="Times New Roman"/>
                <w:b/>
                <w:sz w:val="24"/>
                <w:szCs w:val="24"/>
              </w:rPr>
              <w:t>JOURN</w:t>
            </w:r>
            <w:r w:rsidR="001A6C8F">
              <w:rPr>
                <w:rFonts w:ascii="Times New Roman" w:hAnsi="Times New Roman"/>
                <w:b/>
                <w:sz w:val="24"/>
                <w:szCs w:val="24"/>
              </w:rPr>
              <w:t>É</w:t>
            </w:r>
          </w:p>
        </w:tc>
      </w:tr>
      <w:tr w:rsidR="00734613" w:rsidRPr="00442552" w14:paraId="1937071F" w14:textId="77777777" w:rsidTr="008C3B04">
        <w:trPr>
          <w:jc w:val="center"/>
        </w:trPr>
        <w:tc>
          <w:tcPr>
            <w:tcW w:w="10101" w:type="dxa"/>
          </w:tcPr>
          <w:p w14:paraId="1E50B4DB" w14:textId="14162780"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16327D">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8C3B04">
        <w:trPr>
          <w:jc w:val="center"/>
        </w:trPr>
        <w:tc>
          <w:tcPr>
            <w:tcW w:w="10101" w:type="dxa"/>
          </w:tcPr>
          <w:p w14:paraId="3FC3F6C3" w14:textId="30F60AA7" w:rsidR="0049246C" w:rsidRPr="008C3B04" w:rsidRDefault="6475213F" w:rsidP="008C3B04">
            <w:pPr>
              <w:widowControl w:val="0"/>
              <w:spacing w:before="120" w:after="120"/>
              <w:ind w:left="125" w:right="125"/>
              <w:jc w:val="both"/>
              <w:rPr>
                <w:rFonts w:ascii="Times New Roman" w:eastAsia="Times New Roman" w:hAnsi="Times New Roman"/>
                <w:color w:val="000000"/>
                <w:sz w:val="24"/>
                <w:szCs w:val="24"/>
                <w:highlight w:val="yellow"/>
                <w:lang w:val="en-IE"/>
              </w:rPr>
            </w:pPr>
            <w:r w:rsidRPr="008C3B04">
              <w:rPr>
                <w:rFonts w:ascii="Times New Roman" w:eastAsia="Times New Roman" w:hAnsi="Times New Roman"/>
                <w:b/>
                <w:bCs/>
                <w:color w:val="000000"/>
                <w:sz w:val="24"/>
                <w:szCs w:val="24"/>
                <w:lang w:val="en-IE"/>
              </w:rPr>
              <w:t>Scant progress in structural reforms in the service sector</w:t>
            </w:r>
            <w:r w:rsidR="0016327D">
              <w:rPr>
                <w:rFonts w:ascii="Times New Roman" w:eastAsia="Times New Roman" w:hAnsi="Times New Roman"/>
                <w:b/>
                <w:bCs/>
                <w:color w:val="000000"/>
                <w:sz w:val="24"/>
                <w:szCs w:val="24"/>
                <w:lang w:val="en-IE"/>
              </w:rPr>
              <w:t>:</w:t>
            </w:r>
          </w:p>
          <w:p w14:paraId="30DA8316" w14:textId="4BD7E1E8" w:rsidR="00C77C99" w:rsidRPr="008C3B04" w:rsidRDefault="4B0B313A" w:rsidP="008C3B04">
            <w:pPr>
              <w:widowControl w:val="0"/>
              <w:spacing w:before="120" w:after="120"/>
              <w:ind w:left="125" w:right="125"/>
              <w:jc w:val="both"/>
              <w:rPr>
                <w:rFonts w:ascii="Times New Roman" w:eastAsia="Times New Roman" w:hAnsi="Times New Roman"/>
                <w:sz w:val="24"/>
                <w:szCs w:val="24"/>
                <w:lang w:val="en-IE"/>
              </w:rPr>
            </w:pPr>
            <w:r w:rsidRPr="008C3B04">
              <w:rPr>
                <w:rFonts w:ascii="Times New Roman" w:eastAsia="Times New Roman" w:hAnsi="Times New Roman"/>
                <w:sz w:val="24"/>
                <w:szCs w:val="24"/>
                <w:lang w:val="en-IE"/>
              </w:rPr>
              <w:t>T</w:t>
            </w:r>
            <w:r w:rsidR="65821A4F" w:rsidRPr="008C3B04">
              <w:rPr>
                <w:rFonts w:ascii="Times New Roman" w:eastAsia="Times New Roman" w:hAnsi="Times New Roman"/>
                <w:sz w:val="24"/>
                <w:szCs w:val="24"/>
                <w:lang w:val="en-IE"/>
              </w:rPr>
              <w:t xml:space="preserve">ackling barriers </w:t>
            </w:r>
            <w:proofErr w:type="gramStart"/>
            <w:r w:rsidR="65821A4F" w:rsidRPr="008C3B04">
              <w:rPr>
                <w:rFonts w:ascii="Times New Roman" w:eastAsia="Times New Roman" w:hAnsi="Times New Roman"/>
                <w:sz w:val="24"/>
                <w:szCs w:val="24"/>
                <w:lang w:val="en-IE"/>
              </w:rPr>
              <w:t>in the area of</w:t>
            </w:r>
            <w:proofErr w:type="gramEnd"/>
            <w:r w:rsidR="65821A4F" w:rsidRPr="008C3B04">
              <w:rPr>
                <w:rFonts w:ascii="Times New Roman" w:eastAsia="Times New Roman" w:hAnsi="Times New Roman"/>
                <w:sz w:val="24"/>
                <w:szCs w:val="24"/>
                <w:lang w:val="en-IE"/>
              </w:rPr>
              <w:t xml:space="preserve"> services is particularly important, given the large potential for increasing cross-border trade and investment. </w:t>
            </w:r>
            <w:r w:rsidR="5BFDDE72" w:rsidRPr="008C3B04">
              <w:rPr>
                <w:rFonts w:ascii="Times New Roman" w:eastAsia="Times New Roman" w:hAnsi="Times New Roman"/>
                <w:sz w:val="24"/>
                <w:szCs w:val="24"/>
                <w:lang w:val="en-IE"/>
              </w:rPr>
              <w:t xml:space="preserve">While services account for around 70% of EU </w:t>
            </w:r>
            <w:r w:rsidR="00383255" w:rsidRPr="00025A06">
              <w:rPr>
                <w:rFonts w:ascii="Times New Roman" w:eastAsia="Times New Roman" w:hAnsi="Times New Roman"/>
                <w:sz w:val="24"/>
                <w:szCs w:val="24"/>
                <w:lang w:val="en-IE"/>
              </w:rPr>
              <w:t>gross domestic product</w:t>
            </w:r>
            <w:r w:rsidR="00383255" w:rsidRPr="00383255">
              <w:rPr>
                <w:rFonts w:ascii="Times New Roman" w:eastAsia="Times New Roman" w:hAnsi="Times New Roman"/>
                <w:sz w:val="24"/>
                <w:szCs w:val="24"/>
                <w:lang w:val="en-IE"/>
              </w:rPr>
              <w:t xml:space="preserve"> </w:t>
            </w:r>
            <w:r w:rsidR="00383255">
              <w:rPr>
                <w:rFonts w:ascii="Times New Roman" w:eastAsia="Times New Roman" w:hAnsi="Times New Roman"/>
                <w:sz w:val="24"/>
                <w:szCs w:val="24"/>
                <w:lang w:val="en-IE"/>
              </w:rPr>
              <w:t>(</w:t>
            </w:r>
            <w:r w:rsidR="5BFDDE72" w:rsidRPr="008C3B04">
              <w:rPr>
                <w:rFonts w:ascii="Times New Roman" w:eastAsia="Times New Roman" w:hAnsi="Times New Roman"/>
                <w:sz w:val="24"/>
                <w:szCs w:val="24"/>
                <w:lang w:val="en-IE"/>
              </w:rPr>
              <w:t>GDP</w:t>
            </w:r>
            <w:r w:rsidR="00383255">
              <w:rPr>
                <w:rFonts w:ascii="Times New Roman" w:eastAsia="Times New Roman" w:hAnsi="Times New Roman"/>
                <w:sz w:val="24"/>
                <w:szCs w:val="24"/>
                <w:lang w:val="en-IE"/>
              </w:rPr>
              <w:t>)</w:t>
            </w:r>
            <w:r w:rsidR="5BFDDE72" w:rsidRPr="008C3B04">
              <w:rPr>
                <w:rFonts w:ascii="Times New Roman" w:eastAsia="Times New Roman" w:hAnsi="Times New Roman"/>
                <w:sz w:val="24"/>
                <w:szCs w:val="24"/>
                <w:lang w:val="en-IE"/>
              </w:rPr>
              <w:t xml:space="preserve"> and employment, the Single Market for Services continues to perform below </w:t>
            </w:r>
            <w:r w:rsidR="1B168C87" w:rsidRPr="008C3B04">
              <w:rPr>
                <w:rFonts w:ascii="Times New Roman" w:eastAsia="Times New Roman" w:hAnsi="Times New Roman"/>
                <w:sz w:val="24"/>
                <w:szCs w:val="24"/>
                <w:lang w:val="en-IE"/>
              </w:rPr>
              <w:t xml:space="preserve">its </w:t>
            </w:r>
            <w:r w:rsidR="5BFDDE72" w:rsidRPr="008C3B04">
              <w:rPr>
                <w:rFonts w:ascii="Times New Roman" w:eastAsia="Times New Roman" w:hAnsi="Times New Roman"/>
                <w:sz w:val="24"/>
                <w:szCs w:val="24"/>
                <w:lang w:val="en-IE"/>
              </w:rPr>
              <w:t>potential: cross-border services trade in the Single Market is less than a third of that in goods and, contrary to goods, not higher than services trade with non-EU countries. Services labour productivity growth remains low and negatively impacts competitiveness of both, the services sector itself and EU manufacturing industries, whose value added consists to 38% of services element</w:t>
            </w:r>
            <w:r w:rsidR="5BFAD7F0" w:rsidRPr="008C3B04">
              <w:rPr>
                <w:rFonts w:ascii="Times New Roman" w:eastAsia="Times New Roman" w:hAnsi="Times New Roman"/>
                <w:sz w:val="24"/>
                <w:szCs w:val="24"/>
                <w:lang w:val="en-IE"/>
              </w:rPr>
              <w:t>s.</w:t>
            </w:r>
          </w:p>
          <w:p w14:paraId="4B6D046E" w14:textId="399E9177" w:rsidR="0049246C" w:rsidRPr="00395DCA" w:rsidRDefault="4326513C" w:rsidP="008C3B04">
            <w:pPr>
              <w:widowControl w:val="0"/>
              <w:spacing w:before="120" w:after="120"/>
              <w:ind w:left="125" w:right="125"/>
              <w:jc w:val="both"/>
              <w:rPr>
                <w:rFonts w:ascii="Times New Roman" w:eastAsia="Times New Roman" w:hAnsi="Times New Roman"/>
                <w:color w:val="000000"/>
                <w:sz w:val="24"/>
                <w:szCs w:val="24"/>
                <w:lang w:val="en-IE"/>
              </w:rPr>
            </w:pPr>
            <w:r w:rsidRPr="008C3B04">
              <w:rPr>
                <w:rFonts w:ascii="Times New Roman" w:eastAsia="Times New Roman" w:hAnsi="Times New Roman"/>
                <w:sz w:val="24"/>
                <w:szCs w:val="24"/>
                <w:lang w:val="en-IE"/>
              </w:rPr>
              <w:t>M</w:t>
            </w:r>
            <w:r w:rsidR="65821A4F" w:rsidRPr="008C3B04">
              <w:rPr>
                <w:rFonts w:ascii="Times New Roman" w:eastAsia="Times New Roman" w:hAnsi="Times New Roman"/>
                <w:sz w:val="24"/>
                <w:szCs w:val="24"/>
                <w:lang w:val="en-IE"/>
              </w:rPr>
              <w:t>any</w:t>
            </w:r>
            <w:r w:rsidR="6C49E754" w:rsidRPr="008C3B04">
              <w:rPr>
                <w:rFonts w:ascii="Times New Roman" w:eastAsia="Times New Roman" w:hAnsi="Times New Roman"/>
                <w:sz w:val="24"/>
                <w:szCs w:val="24"/>
                <w:lang w:val="en-IE"/>
              </w:rPr>
              <w:t xml:space="preserve"> barriers, such as regulatory and administrative burden,</w:t>
            </w:r>
            <w:r w:rsidR="65821A4F" w:rsidRPr="008C3B04">
              <w:rPr>
                <w:rFonts w:ascii="Times New Roman" w:eastAsia="Times New Roman" w:hAnsi="Times New Roman"/>
                <w:sz w:val="24"/>
                <w:szCs w:val="24"/>
                <w:lang w:val="en-IE"/>
              </w:rPr>
              <w:t xml:space="preserve"> relate to national regulation and administrative as well as business practices. </w:t>
            </w:r>
            <w:r w:rsidR="7A82463E" w:rsidRPr="008C3B04">
              <w:rPr>
                <w:rFonts w:ascii="Times New Roman" w:eastAsia="Times New Roman" w:hAnsi="Times New Roman"/>
                <w:sz w:val="24"/>
                <w:szCs w:val="24"/>
                <w:lang w:val="en-IE"/>
              </w:rPr>
              <w:t xml:space="preserve">The </w:t>
            </w:r>
            <w:r w:rsidR="7E6B6374" w:rsidRPr="008C3B04">
              <w:rPr>
                <w:rFonts w:ascii="Times New Roman" w:eastAsia="Times New Roman" w:hAnsi="Times New Roman"/>
                <w:sz w:val="24"/>
                <w:szCs w:val="24"/>
                <w:lang w:val="en-IE"/>
              </w:rPr>
              <w:t xml:space="preserve">slow progress in removing </w:t>
            </w:r>
            <w:r w:rsidR="3EC5AABC" w:rsidRPr="008C3B04">
              <w:rPr>
                <w:rFonts w:ascii="Times New Roman" w:eastAsia="Times New Roman" w:hAnsi="Times New Roman"/>
                <w:sz w:val="24"/>
                <w:szCs w:val="24"/>
                <w:lang w:val="en-IE"/>
              </w:rPr>
              <w:t xml:space="preserve">barriers </w:t>
            </w:r>
            <w:r w:rsidR="7A82463E" w:rsidRPr="008C3B04">
              <w:rPr>
                <w:rFonts w:ascii="Times New Roman" w:eastAsia="Times New Roman" w:hAnsi="Times New Roman"/>
                <w:sz w:val="24"/>
                <w:szCs w:val="24"/>
                <w:lang w:val="en-IE"/>
              </w:rPr>
              <w:t>impacts all industrial ecosystems, hindering the EU’s green and digital transitions by limiting the effective deployment of technologies, innovation, and sustainable practices, and posing a significant challenge to the EU’s long-term economic competitiveness.</w:t>
            </w:r>
            <w:r w:rsidR="5BB5EE68" w:rsidRPr="008C3B04">
              <w:rPr>
                <w:rFonts w:ascii="Times New Roman" w:eastAsia="Times New Roman" w:hAnsi="Times New Roman"/>
                <w:sz w:val="24"/>
                <w:szCs w:val="24"/>
                <w:lang w:val="en-IE"/>
              </w:rPr>
              <w:t xml:space="preserve"> </w:t>
            </w:r>
            <w:r w:rsidR="00A22C34" w:rsidRPr="008C3B04">
              <w:rPr>
                <w:rFonts w:ascii="Times New Roman" w:eastAsia="Times New Roman" w:hAnsi="Times New Roman"/>
                <w:sz w:val="24"/>
                <w:szCs w:val="24"/>
                <w:lang w:val="en-IE"/>
              </w:rPr>
              <w:t>Member States need to ensure that their regulation is fit for purpose and that it supports business growth, innovation and the green transition</w:t>
            </w:r>
            <w:r w:rsidR="00913653" w:rsidRPr="008C3B04">
              <w:rPr>
                <w:rFonts w:ascii="Times New Roman" w:eastAsia="Times New Roman" w:hAnsi="Times New Roman"/>
                <w:sz w:val="24"/>
                <w:szCs w:val="24"/>
                <w:lang w:val="en-IE"/>
              </w:rPr>
              <w:t>, including cross-border</w:t>
            </w:r>
            <w:r w:rsidR="00A22C34" w:rsidRPr="008C3B04">
              <w:rPr>
                <w:rFonts w:ascii="Times New Roman" w:eastAsia="Times New Roman" w:hAnsi="Times New Roman"/>
                <w:sz w:val="24"/>
                <w:szCs w:val="24"/>
                <w:lang w:val="en-IE"/>
              </w:rPr>
              <w:t xml:space="preserve">. </w:t>
            </w:r>
            <w:r w:rsidR="65821A4F" w:rsidRPr="008C3B04">
              <w:rPr>
                <w:rFonts w:ascii="Times New Roman" w:eastAsia="Times New Roman" w:hAnsi="Times New Roman"/>
                <w:sz w:val="24"/>
                <w:szCs w:val="24"/>
                <w:lang w:val="en-IE"/>
              </w:rPr>
              <w:t xml:space="preserve">To encourage and support Member States reforms, the Commission has repeatedly issued recommendations on the regulation of services, </w:t>
            </w:r>
            <w:r w:rsidR="314D2AE4" w:rsidRPr="008C3B04">
              <w:rPr>
                <w:rFonts w:ascii="Times New Roman" w:eastAsia="Times New Roman" w:hAnsi="Times New Roman"/>
                <w:sz w:val="24"/>
                <w:szCs w:val="24"/>
                <w:lang w:val="en-IE"/>
              </w:rPr>
              <w:t>notably professional</w:t>
            </w:r>
            <w:r w:rsidR="002C581B" w:rsidRPr="008C3B04">
              <w:rPr>
                <w:rFonts w:ascii="Times New Roman" w:eastAsia="Times New Roman" w:hAnsi="Times New Roman"/>
                <w:sz w:val="24"/>
                <w:szCs w:val="24"/>
                <w:lang w:val="en-IE"/>
              </w:rPr>
              <w:t xml:space="preserve"> services</w:t>
            </w:r>
            <w:r w:rsidR="314D2AE4" w:rsidRPr="008C3B04">
              <w:rPr>
                <w:rFonts w:ascii="Times New Roman" w:eastAsia="Times New Roman" w:hAnsi="Times New Roman"/>
                <w:sz w:val="24"/>
                <w:szCs w:val="24"/>
                <w:lang w:val="en-IE"/>
              </w:rPr>
              <w:t xml:space="preserve">, </w:t>
            </w:r>
            <w:r w:rsidR="65821A4F" w:rsidRPr="008C3B04">
              <w:rPr>
                <w:rFonts w:ascii="Times New Roman" w:eastAsia="Times New Roman" w:hAnsi="Times New Roman"/>
                <w:sz w:val="24"/>
                <w:szCs w:val="24"/>
                <w:lang w:val="en-IE"/>
              </w:rPr>
              <w:t>as part of the European Semester</w:t>
            </w:r>
            <w:r w:rsidR="1835AFF1" w:rsidRPr="008C3B04">
              <w:rPr>
                <w:rFonts w:ascii="Times New Roman" w:eastAsia="Times New Roman" w:hAnsi="Times New Roman"/>
                <w:sz w:val="24"/>
                <w:szCs w:val="24"/>
                <w:lang w:val="en-IE"/>
              </w:rPr>
              <w:t>.</w:t>
            </w:r>
          </w:p>
          <w:p w14:paraId="3BA61109" w14:textId="37C8F8AF" w:rsidR="76081154" w:rsidRPr="008C3B04" w:rsidRDefault="1A27EEB3" w:rsidP="008C3B04">
            <w:pPr>
              <w:widowControl w:val="0"/>
              <w:spacing w:before="120" w:after="120"/>
              <w:ind w:left="125" w:right="125"/>
              <w:jc w:val="both"/>
              <w:rPr>
                <w:rFonts w:ascii="Times New Roman" w:eastAsia="Times New Roman" w:hAnsi="Times New Roman"/>
                <w:sz w:val="24"/>
                <w:szCs w:val="24"/>
                <w:lang w:val="en-IE"/>
              </w:rPr>
            </w:pPr>
            <w:r w:rsidRPr="008C3B04">
              <w:rPr>
                <w:rFonts w:ascii="Times New Roman" w:eastAsia="Times New Roman" w:hAnsi="Times New Roman"/>
                <w:sz w:val="24"/>
                <w:szCs w:val="24"/>
              </w:rPr>
              <w:t>T</w:t>
            </w:r>
            <w:r w:rsidR="65821A4F" w:rsidRPr="008C3B04">
              <w:rPr>
                <w:rFonts w:ascii="Times New Roman" w:eastAsia="Times New Roman" w:hAnsi="Times New Roman"/>
                <w:color w:val="000000"/>
                <w:sz w:val="24"/>
                <w:szCs w:val="24"/>
                <w:lang w:val="en-IE"/>
              </w:rPr>
              <w:t>he Antwerp Declaration for a European Industrial Deal</w:t>
            </w:r>
            <w:r w:rsidR="00383255">
              <w:rPr>
                <w:rStyle w:val="FootnoteReference"/>
                <w:rFonts w:ascii="Times New Roman" w:eastAsia="Times New Roman" w:hAnsi="Times New Roman"/>
                <w:color w:val="000000"/>
                <w:sz w:val="24"/>
                <w:szCs w:val="24"/>
                <w:lang w:val="en-IE"/>
              </w:rPr>
              <w:footnoteReference w:id="2"/>
            </w:r>
            <w:r w:rsidR="65821A4F" w:rsidRPr="008C3B04">
              <w:rPr>
                <w:rFonts w:ascii="Times New Roman" w:eastAsia="Times New Roman" w:hAnsi="Times New Roman"/>
                <w:color w:val="000000"/>
                <w:sz w:val="24"/>
                <w:szCs w:val="24"/>
                <w:lang w:val="en-IE"/>
              </w:rPr>
              <w:t xml:space="preserve"> is a new impetus for professional services. There is an urgent need for clarity, predictability and confidence in Europe and its industrial policy. The signatories call for a comprehensive action plan to elevate competitiveness as a strategic priority and to create conditions for a stronger busi</w:t>
            </w:r>
            <w:r w:rsidR="65821A4F" w:rsidRPr="008C3B04">
              <w:rPr>
                <w:rFonts w:ascii="Times New Roman" w:eastAsia="Times New Roman" w:hAnsi="Times New Roman"/>
                <w:sz w:val="24"/>
                <w:szCs w:val="24"/>
                <w:lang w:val="en-IE"/>
              </w:rPr>
              <w:t>ness case in Europe.</w:t>
            </w:r>
            <w:r w:rsidR="3732A612" w:rsidRPr="008C3B04">
              <w:rPr>
                <w:rFonts w:ascii="Times New Roman" w:eastAsia="Times New Roman" w:hAnsi="Times New Roman"/>
                <w:sz w:val="24"/>
                <w:szCs w:val="24"/>
                <w:lang w:val="en-IE"/>
              </w:rPr>
              <w:t xml:space="preserve"> </w:t>
            </w:r>
            <w:r w:rsidR="65821A4F" w:rsidRPr="008C3B04">
              <w:rPr>
                <w:rFonts w:ascii="Times New Roman" w:eastAsia="Times New Roman" w:hAnsi="Times New Roman"/>
                <w:sz w:val="24"/>
                <w:szCs w:val="24"/>
              </w:rPr>
              <w:t xml:space="preserve">Competitiveness ranks high </w:t>
            </w:r>
            <w:r w:rsidR="00DB543F" w:rsidRPr="008C3B04">
              <w:rPr>
                <w:rFonts w:ascii="Times New Roman" w:eastAsia="Times New Roman" w:hAnsi="Times New Roman"/>
                <w:sz w:val="24"/>
                <w:szCs w:val="24"/>
              </w:rPr>
              <w:t>on</w:t>
            </w:r>
            <w:r w:rsidR="65821A4F" w:rsidRPr="008C3B04">
              <w:rPr>
                <w:rFonts w:ascii="Times New Roman" w:eastAsia="Times New Roman" w:hAnsi="Times New Roman"/>
                <w:sz w:val="24"/>
                <w:szCs w:val="24"/>
              </w:rPr>
              <w:t xml:space="preserve"> the </w:t>
            </w:r>
            <w:r w:rsidR="15BDB95F" w:rsidRPr="008C3B04">
              <w:rPr>
                <w:rFonts w:ascii="Times New Roman" w:eastAsia="Times New Roman" w:hAnsi="Times New Roman"/>
                <w:sz w:val="24"/>
                <w:szCs w:val="24"/>
              </w:rPr>
              <w:t>EU</w:t>
            </w:r>
            <w:r w:rsidR="00DB543F" w:rsidRPr="008C3B04">
              <w:rPr>
                <w:rFonts w:ascii="Times New Roman" w:eastAsia="Times New Roman" w:hAnsi="Times New Roman"/>
                <w:sz w:val="24"/>
                <w:szCs w:val="24"/>
              </w:rPr>
              <w:t>’</w:t>
            </w:r>
            <w:r w:rsidR="65821A4F" w:rsidRPr="008C3B04">
              <w:rPr>
                <w:rFonts w:ascii="Times New Roman" w:eastAsia="Times New Roman" w:hAnsi="Times New Roman"/>
                <w:sz w:val="24"/>
                <w:szCs w:val="24"/>
              </w:rPr>
              <w:t>s political agenda. This is why the Competitiveness Compass</w:t>
            </w:r>
            <w:r w:rsidR="00383255">
              <w:rPr>
                <w:rStyle w:val="FootnoteReference"/>
                <w:rFonts w:ascii="Times New Roman" w:eastAsia="Times New Roman" w:hAnsi="Times New Roman"/>
                <w:sz w:val="24"/>
                <w:szCs w:val="24"/>
              </w:rPr>
              <w:footnoteReference w:id="3"/>
            </w:r>
            <w:r w:rsidR="00DB543F" w:rsidRPr="008C3B04">
              <w:rPr>
                <w:rFonts w:ascii="Times New Roman" w:eastAsia="Times New Roman" w:hAnsi="Times New Roman"/>
                <w:sz w:val="24"/>
                <w:szCs w:val="24"/>
              </w:rPr>
              <w:t xml:space="preserve"> was</w:t>
            </w:r>
            <w:r w:rsidR="65821A4F" w:rsidRPr="008C3B04">
              <w:rPr>
                <w:rFonts w:ascii="Times New Roman" w:eastAsia="Times New Roman" w:hAnsi="Times New Roman"/>
                <w:sz w:val="24"/>
                <w:szCs w:val="24"/>
              </w:rPr>
              <w:t xml:space="preserve"> put forward on 2</w:t>
            </w:r>
            <w:r w:rsidR="15790651" w:rsidRPr="008C3B04">
              <w:rPr>
                <w:rFonts w:ascii="Times New Roman" w:eastAsia="Times New Roman" w:hAnsi="Times New Roman"/>
                <w:sz w:val="24"/>
                <w:szCs w:val="24"/>
              </w:rPr>
              <w:t>9</w:t>
            </w:r>
            <w:r w:rsidR="65821A4F" w:rsidRPr="008C3B04">
              <w:rPr>
                <w:rFonts w:ascii="Times New Roman" w:eastAsia="Times New Roman" w:hAnsi="Times New Roman"/>
                <w:sz w:val="24"/>
                <w:szCs w:val="24"/>
              </w:rPr>
              <w:t xml:space="preserve"> January 2025 as one of the first deliverables of the Commission’s first 100 days</w:t>
            </w:r>
            <w:r w:rsidR="65821A4F" w:rsidRPr="008C3B04">
              <w:rPr>
                <w:rFonts w:ascii="Times New Roman" w:eastAsia="Times New Roman" w:hAnsi="Times New Roman"/>
                <w:sz w:val="24"/>
                <w:szCs w:val="24"/>
                <w:lang w:val="en-IE"/>
              </w:rPr>
              <w:t>.</w:t>
            </w:r>
          </w:p>
          <w:p w14:paraId="6B02F2C8" w14:textId="01362330" w:rsidR="385A8329" w:rsidRPr="008C3B04" w:rsidRDefault="25C8B353" w:rsidP="008C3B04">
            <w:pPr>
              <w:widowControl w:val="0"/>
              <w:spacing w:before="120" w:after="120"/>
              <w:ind w:left="125" w:right="125"/>
              <w:jc w:val="both"/>
              <w:rPr>
                <w:rFonts w:ascii="Times New Roman" w:eastAsia="Times New Roman" w:hAnsi="Times New Roman"/>
                <w:sz w:val="24"/>
                <w:szCs w:val="24"/>
                <w:lang w:val="en-IE"/>
              </w:rPr>
            </w:pPr>
            <w:r w:rsidRPr="008C3B04">
              <w:rPr>
                <w:rFonts w:ascii="Times New Roman" w:eastAsia="Times New Roman" w:hAnsi="Times New Roman"/>
                <w:color w:val="000000"/>
                <w:sz w:val="24"/>
                <w:szCs w:val="24"/>
                <w:lang w:val="en-IE"/>
              </w:rPr>
              <w:t>With the SME relief package</w:t>
            </w:r>
            <w:r w:rsidR="00383255">
              <w:rPr>
                <w:rStyle w:val="FootnoteReference"/>
                <w:rFonts w:ascii="Times New Roman" w:eastAsia="Times New Roman" w:hAnsi="Times New Roman"/>
                <w:color w:val="000000"/>
                <w:sz w:val="24"/>
                <w:szCs w:val="24"/>
                <w:lang w:val="en-IE"/>
              </w:rPr>
              <w:footnoteReference w:id="4"/>
            </w:r>
            <w:r w:rsidRPr="008C3B04">
              <w:rPr>
                <w:rFonts w:ascii="Times New Roman" w:hAnsi="Times New Roman"/>
                <w:sz w:val="24"/>
                <w:szCs w:val="24"/>
                <w:lang w:val="en-IE"/>
              </w:rPr>
              <w:t>,</w:t>
            </w:r>
            <w:r w:rsidRPr="008C3B04">
              <w:rPr>
                <w:rFonts w:ascii="Times New Roman" w:eastAsia="Times New Roman" w:hAnsi="Times New Roman"/>
                <w:color w:val="000000"/>
                <w:sz w:val="24"/>
                <w:szCs w:val="24"/>
                <w:lang w:val="en-IE"/>
              </w:rPr>
              <w:t xml:space="preserve"> the Commission has </w:t>
            </w:r>
            <w:r w:rsidR="009C2E84" w:rsidRPr="008C3B04">
              <w:rPr>
                <w:rFonts w:ascii="Times New Roman" w:eastAsia="Times New Roman" w:hAnsi="Times New Roman"/>
                <w:color w:val="000000"/>
                <w:sz w:val="24"/>
                <w:szCs w:val="24"/>
                <w:lang w:val="en-IE"/>
              </w:rPr>
              <w:t xml:space="preserve">reinforced </w:t>
            </w:r>
            <w:r w:rsidR="4F68319A" w:rsidRPr="008C3B04">
              <w:rPr>
                <w:rFonts w:ascii="Times New Roman" w:eastAsia="Times New Roman" w:hAnsi="Times New Roman"/>
                <w:color w:val="000000"/>
                <w:sz w:val="24"/>
                <w:szCs w:val="24"/>
                <w:lang w:val="en-IE"/>
              </w:rPr>
              <w:t xml:space="preserve">its support </w:t>
            </w:r>
            <w:r w:rsidR="00DB543F" w:rsidRPr="008C3B04">
              <w:rPr>
                <w:rFonts w:ascii="Times New Roman" w:eastAsia="Times New Roman" w:hAnsi="Times New Roman"/>
                <w:color w:val="000000"/>
                <w:sz w:val="24"/>
                <w:szCs w:val="24"/>
                <w:lang w:val="en-IE"/>
              </w:rPr>
              <w:t>for</w:t>
            </w:r>
            <w:r w:rsidR="4F68319A" w:rsidRPr="008C3B04">
              <w:rPr>
                <w:rFonts w:ascii="Times New Roman" w:eastAsia="Times New Roman" w:hAnsi="Times New Roman"/>
                <w:color w:val="000000"/>
                <w:sz w:val="24"/>
                <w:szCs w:val="24"/>
                <w:lang w:val="en-IE"/>
              </w:rPr>
              <w:t xml:space="preserve"> </w:t>
            </w:r>
            <w:r w:rsidR="00383255" w:rsidRPr="00383255">
              <w:rPr>
                <w:rFonts w:ascii="Times New Roman" w:eastAsia="Times New Roman" w:hAnsi="Times New Roman"/>
                <w:color w:val="000000"/>
                <w:sz w:val="24"/>
                <w:szCs w:val="24"/>
              </w:rPr>
              <w:t>small and medium-sized enterprises</w:t>
            </w:r>
            <w:r w:rsidR="00383255" w:rsidRPr="00383255">
              <w:rPr>
                <w:rFonts w:ascii="Times New Roman" w:eastAsia="Times New Roman" w:hAnsi="Times New Roman"/>
                <w:color w:val="000000"/>
                <w:sz w:val="24"/>
                <w:szCs w:val="24"/>
                <w:lang w:val="en-IE"/>
              </w:rPr>
              <w:t xml:space="preserve"> </w:t>
            </w:r>
            <w:r w:rsidR="00383255">
              <w:rPr>
                <w:rFonts w:ascii="Times New Roman" w:eastAsia="Times New Roman" w:hAnsi="Times New Roman"/>
                <w:color w:val="000000"/>
                <w:sz w:val="24"/>
                <w:szCs w:val="24"/>
                <w:lang w:val="en-IE"/>
              </w:rPr>
              <w:t>(</w:t>
            </w:r>
            <w:r w:rsidR="4F68319A" w:rsidRPr="008C3B04">
              <w:rPr>
                <w:rFonts w:ascii="Times New Roman" w:eastAsia="Times New Roman" w:hAnsi="Times New Roman"/>
                <w:color w:val="000000"/>
                <w:sz w:val="24"/>
                <w:szCs w:val="24"/>
                <w:lang w:val="en-IE"/>
              </w:rPr>
              <w:t>SMEs</w:t>
            </w:r>
            <w:r w:rsidR="00383255">
              <w:rPr>
                <w:rFonts w:ascii="Times New Roman" w:eastAsia="Times New Roman" w:hAnsi="Times New Roman"/>
                <w:color w:val="000000"/>
                <w:sz w:val="24"/>
                <w:szCs w:val="24"/>
                <w:lang w:val="en-IE"/>
              </w:rPr>
              <w:t>)</w:t>
            </w:r>
            <w:r w:rsidRPr="008C3B04">
              <w:rPr>
                <w:rFonts w:ascii="Times New Roman" w:eastAsia="Times New Roman" w:hAnsi="Times New Roman"/>
                <w:color w:val="000000"/>
                <w:sz w:val="24"/>
                <w:szCs w:val="24"/>
                <w:lang w:val="en-IE"/>
              </w:rPr>
              <w:t xml:space="preserve"> in a period of successive crises. </w:t>
            </w:r>
            <w:r w:rsidR="009C2E84" w:rsidRPr="008C3B04">
              <w:rPr>
                <w:rFonts w:ascii="Times New Roman" w:eastAsia="Times New Roman" w:hAnsi="Times New Roman"/>
                <w:color w:val="000000"/>
                <w:sz w:val="24"/>
                <w:szCs w:val="24"/>
                <w:lang w:val="en-IE"/>
              </w:rPr>
              <w:t xml:space="preserve">Since then, the Commission </w:t>
            </w:r>
            <w:r w:rsidRPr="008C3B04">
              <w:rPr>
                <w:rFonts w:ascii="Times New Roman" w:eastAsia="Times New Roman" w:hAnsi="Times New Roman"/>
                <w:color w:val="000000"/>
                <w:sz w:val="24"/>
                <w:szCs w:val="24"/>
                <w:lang w:val="en-IE"/>
              </w:rPr>
              <w:t>put forward measures</w:t>
            </w:r>
            <w:r w:rsidR="31854FD7" w:rsidRPr="008C3B04">
              <w:rPr>
                <w:rFonts w:ascii="Times New Roman" w:eastAsia="Times New Roman" w:hAnsi="Times New Roman"/>
                <w:color w:val="000000"/>
                <w:sz w:val="24"/>
                <w:szCs w:val="24"/>
                <w:lang w:val="en-IE"/>
              </w:rPr>
              <w:t xml:space="preserve"> – </w:t>
            </w:r>
            <w:r w:rsidR="441430A4" w:rsidRPr="008C3B04">
              <w:rPr>
                <w:rFonts w:ascii="Times New Roman" w:eastAsia="Times New Roman" w:hAnsi="Times New Roman"/>
                <w:color w:val="000000"/>
                <w:sz w:val="24"/>
                <w:szCs w:val="24"/>
                <w:lang w:val="en-IE"/>
              </w:rPr>
              <w:t>such as</w:t>
            </w:r>
            <w:r w:rsidR="31854FD7" w:rsidRPr="008C3B04">
              <w:rPr>
                <w:rFonts w:ascii="Times New Roman" w:eastAsia="Times New Roman" w:hAnsi="Times New Roman"/>
                <w:color w:val="000000"/>
                <w:sz w:val="24"/>
                <w:szCs w:val="24"/>
                <w:lang w:val="en-IE"/>
              </w:rPr>
              <w:t xml:space="preserve"> improve</w:t>
            </w:r>
            <w:r w:rsidR="5176A555" w:rsidRPr="008C3B04">
              <w:rPr>
                <w:rFonts w:ascii="Times New Roman" w:eastAsia="Times New Roman" w:hAnsi="Times New Roman"/>
                <w:color w:val="000000"/>
                <w:sz w:val="24"/>
                <w:szCs w:val="24"/>
                <w:lang w:val="en-IE"/>
              </w:rPr>
              <w:t>d</w:t>
            </w:r>
            <w:r w:rsidR="31854FD7" w:rsidRPr="008C3B04">
              <w:rPr>
                <w:rFonts w:ascii="Times New Roman" w:eastAsia="Times New Roman" w:hAnsi="Times New Roman"/>
                <w:color w:val="000000"/>
                <w:sz w:val="24"/>
                <w:szCs w:val="24"/>
                <w:lang w:val="en-IE"/>
              </w:rPr>
              <w:t xml:space="preserve"> access to finance and skilled workforce </w:t>
            </w:r>
            <w:r w:rsidR="009C2E84" w:rsidRPr="008C3B04">
              <w:rPr>
                <w:rFonts w:ascii="Times New Roman" w:eastAsia="Times New Roman" w:hAnsi="Times New Roman"/>
                <w:color w:val="000000"/>
                <w:sz w:val="24"/>
                <w:szCs w:val="24"/>
                <w:lang w:val="en-IE"/>
              </w:rPr>
              <w:t>–</w:t>
            </w:r>
            <w:r w:rsidR="31854FD7" w:rsidRPr="008C3B04">
              <w:rPr>
                <w:rFonts w:ascii="Times New Roman" w:eastAsia="Times New Roman" w:hAnsi="Times New Roman"/>
                <w:color w:val="000000"/>
                <w:sz w:val="24"/>
                <w:szCs w:val="24"/>
                <w:lang w:val="en-IE"/>
              </w:rPr>
              <w:t xml:space="preserve"> </w:t>
            </w:r>
            <w:r w:rsidRPr="008C3B04">
              <w:rPr>
                <w:rFonts w:ascii="Times New Roman" w:eastAsia="Times New Roman" w:hAnsi="Times New Roman"/>
                <w:color w:val="000000"/>
                <w:sz w:val="24"/>
                <w:szCs w:val="24"/>
                <w:lang w:val="en-IE"/>
              </w:rPr>
              <w:t xml:space="preserve">to give short-term relief to </w:t>
            </w:r>
            <w:r w:rsidRPr="008C3B04">
              <w:rPr>
                <w:rFonts w:ascii="Times New Roman" w:eastAsia="Times New Roman" w:hAnsi="Times New Roman"/>
                <w:color w:val="000000"/>
                <w:sz w:val="24"/>
                <w:szCs w:val="24"/>
                <w:lang w:val="en-IE"/>
              </w:rPr>
              <w:lastRenderedPageBreak/>
              <w:t>SMEs</w:t>
            </w:r>
            <w:r w:rsidR="253EA7B1" w:rsidRPr="008C3B04">
              <w:rPr>
                <w:rFonts w:ascii="Times New Roman" w:eastAsia="Times New Roman" w:hAnsi="Times New Roman"/>
                <w:color w:val="000000"/>
                <w:sz w:val="24"/>
                <w:szCs w:val="24"/>
                <w:lang w:val="en-IE"/>
              </w:rPr>
              <w:t xml:space="preserve"> throughout their business lifecycle</w:t>
            </w:r>
            <w:r w:rsidRPr="008C3B04">
              <w:rPr>
                <w:rFonts w:ascii="Times New Roman" w:eastAsia="Times New Roman" w:hAnsi="Times New Roman"/>
                <w:color w:val="000000"/>
                <w:sz w:val="24"/>
                <w:szCs w:val="24"/>
                <w:lang w:val="en-IE"/>
              </w:rPr>
              <w:t xml:space="preserve">, but also to boost </w:t>
            </w:r>
            <w:r w:rsidR="753D3349" w:rsidRPr="008C3B04">
              <w:rPr>
                <w:rFonts w:ascii="Times New Roman" w:eastAsia="Times New Roman" w:hAnsi="Times New Roman"/>
                <w:color w:val="000000"/>
                <w:sz w:val="24"/>
                <w:szCs w:val="24"/>
                <w:lang w:val="en-IE"/>
              </w:rPr>
              <w:t>their</w:t>
            </w:r>
            <w:r w:rsidRPr="008C3B04">
              <w:rPr>
                <w:rFonts w:ascii="Times New Roman" w:eastAsia="Times New Roman" w:hAnsi="Times New Roman"/>
                <w:color w:val="000000"/>
                <w:sz w:val="24"/>
                <w:szCs w:val="24"/>
                <w:lang w:val="en-IE"/>
              </w:rPr>
              <w:t xml:space="preserve"> long-term competitiveness and to strengthen fairness in the business environment across the Single Market.</w:t>
            </w:r>
            <w:r w:rsidR="6085C152" w:rsidRPr="008C3B04">
              <w:rPr>
                <w:rFonts w:ascii="Times New Roman" w:eastAsia="Times New Roman" w:hAnsi="Times New Roman"/>
                <w:color w:val="000000"/>
                <w:sz w:val="24"/>
                <w:szCs w:val="24"/>
                <w:lang w:val="en-IE"/>
              </w:rPr>
              <w:t xml:space="preserve"> </w:t>
            </w:r>
            <w:r w:rsidRPr="008C3B04">
              <w:rPr>
                <w:rFonts w:ascii="Times New Roman" w:eastAsia="Times New Roman" w:hAnsi="Times New Roman"/>
                <w:color w:val="000000"/>
                <w:sz w:val="24"/>
                <w:szCs w:val="24"/>
                <w:lang w:val="en-IE"/>
              </w:rPr>
              <w:t xml:space="preserve">The Commission is </w:t>
            </w:r>
            <w:r w:rsidR="009C2E84" w:rsidRPr="008C3B04">
              <w:rPr>
                <w:rFonts w:ascii="Times New Roman" w:eastAsia="Times New Roman" w:hAnsi="Times New Roman"/>
                <w:color w:val="000000"/>
                <w:sz w:val="24"/>
                <w:szCs w:val="24"/>
                <w:lang w:val="en-IE"/>
              </w:rPr>
              <w:t xml:space="preserve">also </w:t>
            </w:r>
            <w:r w:rsidRPr="008C3B04">
              <w:rPr>
                <w:rFonts w:ascii="Times New Roman" w:eastAsia="Times New Roman" w:hAnsi="Times New Roman"/>
                <w:color w:val="000000"/>
                <w:sz w:val="24"/>
                <w:szCs w:val="24"/>
                <w:lang w:val="en-IE"/>
              </w:rPr>
              <w:t xml:space="preserve">committed to ensuring a business-friendly regulatory environment. </w:t>
            </w:r>
            <w:r w:rsidR="28067D48" w:rsidRPr="008C3B04">
              <w:rPr>
                <w:rFonts w:ascii="Times New Roman" w:eastAsia="Times New Roman" w:hAnsi="Times New Roman"/>
                <w:sz w:val="24"/>
                <w:szCs w:val="24"/>
                <w:lang w:val="en-IE"/>
              </w:rPr>
              <w:t>To this end</w:t>
            </w:r>
            <w:r w:rsidRPr="008C3B04">
              <w:rPr>
                <w:rFonts w:ascii="Times New Roman" w:eastAsia="Times New Roman" w:hAnsi="Times New Roman"/>
                <w:sz w:val="24"/>
                <w:szCs w:val="24"/>
                <w:lang w:val="en-IE"/>
              </w:rPr>
              <w:t>, the Commission has proposed several improvements to its ‘better regulation’ system to reinforce the focus on SMEs and competitiveness</w:t>
            </w:r>
            <w:r w:rsidR="00DB543F" w:rsidRPr="008C3B04">
              <w:rPr>
                <w:rFonts w:ascii="Times New Roman" w:eastAsia="Times New Roman" w:hAnsi="Times New Roman"/>
                <w:sz w:val="24"/>
                <w:szCs w:val="24"/>
                <w:lang w:val="en-IE"/>
              </w:rPr>
              <w:t xml:space="preserve">. This includes </w:t>
            </w:r>
            <w:r w:rsidRPr="008C3B04">
              <w:rPr>
                <w:rFonts w:ascii="Times New Roman" w:eastAsia="Times New Roman" w:hAnsi="Times New Roman"/>
                <w:sz w:val="24"/>
                <w:szCs w:val="24"/>
                <w:lang w:val="en-IE"/>
              </w:rPr>
              <w:t xml:space="preserve">the Competitiveness check, the use of the SME test and Filter, and </w:t>
            </w:r>
            <w:r w:rsidR="008A73AF" w:rsidRPr="008C3B04">
              <w:rPr>
                <w:rFonts w:ascii="Times New Roman" w:eastAsia="Times New Roman" w:hAnsi="Times New Roman"/>
                <w:sz w:val="24"/>
                <w:szCs w:val="24"/>
                <w:lang w:val="en-IE"/>
              </w:rPr>
              <w:t xml:space="preserve">the </w:t>
            </w:r>
            <w:r w:rsidRPr="008C3B04">
              <w:rPr>
                <w:rFonts w:ascii="Times New Roman" w:eastAsia="Times New Roman" w:hAnsi="Times New Roman"/>
                <w:sz w:val="24"/>
                <w:szCs w:val="24"/>
                <w:lang w:val="en-IE"/>
              </w:rPr>
              <w:t>related SME-friendly provisions</w:t>
            </w:r>
            <w:r w:rsidR="008A73AF" w:rsidRPr="008C3B04">
              <w:rPr>
                <w:rFonts w:ascii="Times New Roman" w:eastAsia="Times New Roman" w:hAnsi="Times New Roman"/>
                <w:sz w:val="24"/>
                <w:szCs w:val="24"/>
                <w:lang w:val="en-IE"/>
              </w:rPr>
              <w:t xml:space="preserve">, as well as </w:t>
            </w:r>
            <w:r w:rsidRPr="008C3B04">
              <w:rPr>
                <w:rFonts w:ascii="Times New Roman" w:eastAsia="Times New Roman" w:hAnsi="Times New Roman"/>
                <w:sz w:val="24"/>
                <w:szCs w:val="24"/>
                <w:lang w:val="en-IE"/>
              </w:rPr>
              <w:t>the commitment for a 35% reduction of reporting obligations for SMEs from the new Commission.</w:t>
            </w:r>
          </w:p>
          <w:p w14:paraId="08AD737F" w14:textId="3507DA2A" w:rsidR="00FC5A0E" w:rsidRPr="008C3B04" w:rsidRDefault="00FC5A0E" w:rsidP="008C3B04">
            <w:pPr>
              <w:widowControl w:val="0"/>
              <w:spacing w:before="120" w:after="120"/>
              <w:ind w:left="125" w:right="125"/>
              <w:jc w:val="both"/>
              <w:rPr>
                <w:rFonts w:ascii="Times New Roman" w:eastAsia="Times New Roman" w:hAnsi="Times New Roman"/>
                <w:sz w:val="24"/>
                <w:szCs w:val="24"/>
                <w:lang w:val="en-IE"/>
              </w:rPr>
            </w:pPr>
            <w:r w:rsidRPr="008C3B04">
              <w:rPr>
                <w:rFonts w:ascii="Times New Roman" w:eastAsia="Times New Roman" w:hAnsi="Times New Roman"/>
                <w:sz w:val="24"/>
                <w:szCs w:val="24"/>
                <w:lang w:val="en-IE"/>
              </w:rPr>
              <w:t>The Commission has recognised the need to help businesses adapt to the green transition and has launched several initiatives to facilitate this transition. The Council Recommendation on a fair transition</w:t>
            </w:r>
            <w:r w:rsidR="00C103F6">
              <w:rPr>
                <w:rStyle w:val="FootnoteReference"/>
                <w:rFonts w:ascii="Times New Roman" w:eastAsia="Times New Roman" w:hAnsi="Times New Roman"/>
                <w:sz w:val="24"/>
                <w:szCs w:val="24"/>
                <w:lang w:val="en-IE"/>
              </w:rPr>
              <w:footnoteReference w:id="5"/>
            </w:r>
            <w:r w:rsidRPr="008C3B04">
              <w:rPr>
                <w:rFonts w:ascii="Times New Roman" w:eastAsia="Times New Roman" w:hAnsi="Times New Roman"/>
                <w:sz w:val="24"/>
                <w:szCs w:val="24"/>
                <w:lang w:val="en-IE"/>
              </w:rPr>
              <w:t xml:space="preserve"> encourages Member States to support </w:t>
            </w:r>
            <w:r w:rsidR="00C103F6">
              <w:rPr>
                <w:rFonts w:ascii="Times New Roman" w:eastAsia="Times New Roman" w:hAnsi="Times New Roman"/>
                <w:sz w:val="24"/>
                <w:szCs w:val="24"/>
                <w:lang w:val="en-IE"/>
              </w:rPr>
              <w:t>m</w:t>
            </w:r>
            <w:r w:rsidR="00C103F6" w:rsidRPr="00C103F6">
              <w:rPr>
                <w:rFonts w:ascii="Times New Roman" w:eastAsia="Times New Roman" w:hAnsi="Times New Roman"/>
                <w:sz w:val="24"/>
                <w:szCs w:val="24"/>
              </w:rPr>
              <w:t xml:space="preserve">icro, </w:t>
            </w:r>
            <w:r w:rsidR="00C103F6">
              <w:rPr>
                <w:rFonts w:ascii="Times New Roman" w:eastAsia="Times New Roman" w:hAnsi="Times New Roman"/>
                <w:sz w:val="24"/>
                <w:szCs w:val="24"/>
              </w:rPr>
              <w:t>s</w:t>
            </w:r>
            <w:r w:rsidR="00C103F6" w:rsidRPr="00C103F6">
              <w:rPr>
                <w:rFonts w:ascii="Times New Roman" w:eastAsia="Times New Roman" w:hAnsi="Times New Roman"/>
                <w:sz w:val="24"/>
                <w:szCs w:val="24"/>
              </w:rPr>
              <w:t xml:space="preserve">mall </w:t>
            </w:r>
            <w:r w:rsidR="00F370E9">
              <w:rPr>
                <w:rFonts w:ascii="Times New Roman" w:eastAsia="Times New Roman" w:hAnsi="Times New Roman"/>
                <w:sz w:val="24"/>
                <w:szCs w:val="24"/>
              </w:rPr>
              <w:t>and</w:t>
            </w:r>
            <w:r w:rsidR="00C103F6" w:rsidRPr="00C103F6">
              <w:rPr>
                <w:rFonts w:ascii="Times New Roman" w:eastAsia="Times New Roman" w:hAnsi="Times New Roman"/>
                <w:sz w:val="24"/>
                <w:szCs w:val="24"/>
              </w:rPr>
              <w:t xml:space="preserve"> </w:t>
            </w:r>
            <w:r w:rsidR="00C103F6">
              <w:rPr>
                <w:rFonts w:ascii="Times New Roman" w:eastAsia="Times New Roman" w:hAnsi="Times New Roman"/>
                <w:sz w:val="24"/>
                <w:szCs w:val="24"/>
              </w:rPr>
              <w:t>m</w:t>
            </w:r>
            <w:r w:rsidR="00C103F6" w:rsidRPr="00C103F6">
              <w:rPr>
                <w:rFonts w:ascii="Times New Roman" w:eastAsia="Times New Roman" w:hAnsi="Times New Roman"/>
                <w:sz w:val="24"/>
                <w:szCs w:val="24"/>
              </w:rPr>
              <w:t xml:space="preserve">edium </w:t>
            </w:r>
            <w:r w:rsidR="00C103F6">
              <w:rPr>
                <w:rFonts w:ascii="Times New Roman" w:eastAsia="Times New Roman" w:hAnsi="Times New Roman"/>
                <w:sz w:val="24"/>
                <w:szCs w:val="24"/>
              </w:rPr>
              <w:t>e</w:t>
            </w:r>
            <w:r w:rsidR="00C103F6" w:rsidRPr="00C103F6">
              <w:rPr>
                <w:rFonts w:ascii="Times New Roman" w:eastAsia="Times New Roman" w:hAnsi="Times New Roman"/>
                <w:sz w:val="24"/>
                <w:szCs w:val="24"/>
              </w:rPr>
              <w:t>nterprises</w:t>
            </w:r>
            <w:r w:rsidR="00C103F6">
              <w:rPr>
                <w:rFonts w:ascii="Times New Roman" w:eastAsia="Times New Roman" w:hAnsi="Times New Roman"/>
                <w:sz w:val="24"/>
                <w:szCs w:val="24"/>
              </w:rPr>
              <w:t xml:space="preserve"> (</w:t>
            </w:r>
            <w:r w:rsidRPr="008C3B04">
              <w:rPr>
                <w:rFonts w:ascii="Times New Roman" w:eastAsia="Times New Roman" w:hAnsi="Times New Roman"/>
                <w:sz w:val="24"/>
                <w:szCs w:val="24"/>
                <w:lang w:val="en-IE"/>
              </w:rPr>
              <w:t>MSMEs</w:t>
            </w:r>
            <w:r w:rsidR="00C103F6">
              <w:rPr>
                <w:rFonts w:ascii="Times New Roman" w:eastAsia="Times New Roman" w:hAnsi="Times New Roman"/>
                <w:sz w:val="24"/>
                <w:szCs w:val="24"/>
                <w:lang w:val="en-IE"/>
              </w:rPr>
              <w:t>)</w:t>
            </w:r>
            <w:r w:rsidRPr="008C3B04">
              <w:rPr>
                <w:rFonts w:ascii="Times New Roman" w:eastAsia="Times New Roman" w:hAnsi="Times New Roman"/>
                <w:sz w:val="24"/>
                <w:szCs w:val="24"/>
                <w:lang w:val="en-IE"/>
              </w:rPr>
              <w:t xml:space="preserve"> and family businesses through financial assistance, training programmes and improved market access, while promoting energy efficiency and job creation in sustainable industries. The Recommendation emphasises a whole-of-society approach, involving social partners, local authorities and civil society, and using EU financial instruments such as the Just Transition Fund. The 2023 review on the implementation of the Recommendation carried out under the Employment Committee (EMCO) found that Member States are focusing on reskilling efforts in high-demand green sectors, such as construction and renewable energy. In addition, the Social Climate Fund provides targeted support to vulnerable micro-enterprises affected by emissions regulations, helping them with energy-efficient renovations and access to low-emission transport.</w:t>
            </w:r>
          </w:p>
          <w:p w14:paraId="0332CF38" w14:textId="3C3A734C" w:rsidR="0049246C" w:rsidRPr="008C3B04" w:rsidRDefault="6475213F" w:rsidP="008C3B04">
            <w:pPr>
              <w:widowControl w:val="0"/>
              <w:spacing w:before="120" w:after="120"/>
              <w:ind w:left="125" w:right="125"/>
              <w:jc w:val="both"/>
              <w:rPr>
                <w:rFonts w:ascii="Times New Roman" w:eastAsia="Times New Roman" w:hAnsi="Times New Roman"/>
                <w:sz w:val="24"/>
                <w:szCs w:val="24"/>
                <w:lang w:val="en-IE"/>
              </w:rPr>
            </w:pPr>
            <w:r w:rsidRPr="008C3B04">
              <w:rPr>
                <w:rFonts w:ascii="Times New Roman" w:eastAsia="Times New Roman" w:hAnsi="Times New Roman"/>
                <w:b/>
                <w:bCs/>
                <w:color w:val="000000"/>
                <w:sz w:val="24"/>
                <w:szCs w:val="24"/>
                <w:lang w:val="en-IE"/>
              </w:rPr>
              <w:t>The key role of the service sector in achieving green supply chains and repositioning value chains</w:t>
            </w:r>
            <w:r w:rsidR="0016327D">
              <w:rPr>
                <w:rFonts w:ascii="Times New Roman" w:eastAsia="Times New Roman" w:hAnsi="Times New Roman"/>
                <w:b/>
                <w:bCs/>
                <w:color w:val="000000"/>
                <w:sz w:val="24"/>
                <w:szCs w:val="24"/>
                <w:lang w:val="en-IE"/>
              </w:rPr>
              <w:t>:</w:t>
            </w:r>
          </w:p>
          <w:p w14:paraId="082906E8" w14:textId="47D25793" w:rsidR="00FC5A0E" w:rsidRPr="00395DCA" w:rsidRDefault="49184CBB" w:rsidP="008C3B04">
            <w:pPr>
              <w:widowControl w:val="0"/>
              <w:spacing w:before="120" w:after="120"/>
              <w:ind w:left="125" w:right="125"/>
              <w:jc w:val="both"/>
              <w:rPr>
                <w:rFonts w:ascii="Times New Roman" w:eastAsia="Times New Roman" w:hAnsi="Times New Roman"/>
                <w:color w:val="000000"/>
                <w:sz w:val="24"/>
                <w:szCs w:val="24"/>
                <w:lang w:val="en-IE"/>
              </w:rPr>
            </w:pPr>
            <w:proofErr w:type="gramStart"/>
            <w:r w:rsidRPr="008C3B04">
              <w:rPr>
                <w:rFonts w:ascii="Times New Roman" w:eastAsia="Times New Roman" w:hAnsi="Times New Roman"/>
                <w:color w:val="000000"/>
                <w:sz w:val="24"/>
                <w:szCs w:val="24"/>
                <w:lang w:val="en-IE"/>
              </w:rPr>
              <w:t>With regard to</w:t>
            </w:r>
            <w:proofErr w:type="gramEnd"/>
            <w:r w:rsidRPr="008C3B04">
              <w:rPr>
                <w:rFonts w:ascii="Times New Roman" w:eastAsia="Times New Roman" w:hAnsi="Times New Roman"/>
                <w:color w:val="000000"/>
                <w:sz w:val="24"/>
                <w:szCs w:val="24"/>
                <w:lang w:val="en-IE"/>
              </w:rPr>
              <w:t xml:space="preserve"> the availability of funding resources, </w:t>
            </w:r>
            <w:r w:rsidR="7696F15E" w:rsidRPr="008C3B04">
              <w:rPr>
                <w:rFonts w:ascii="Times New Roman" w:eastAsia="Times New Roman" w:hAnsi="Times New Roman"/>
                <w:color w:val="000000"/>
                <w:sz w:val="24"/>
                <w:szCs w:val="24"/>
                <w:lang w:val="en-IE"/>
              </w:rPr>
              <w:t xml:space="preserve">in this </w:t>
            </w:r>
            <w:r w:rsidR="00C103F6">
              <w:rPr>
                <w:rFonts w:ascii="Times New Roman" w:eastAsia="Times New Roman" w:hAnsi="Times New Roman"/>
                <w:color w:val="000000"/>
                <w:sz w:val="24"/>
                <w:szCs w:val="24"/>
                <w:lang w:val="en-IE"/>
              </w:rPr>
              <w:t>m</w:t>
            </w:r>
            <w:r w:rsidR="79FDE8BD" w:rsidRPr="008C3B04">
              <w:rPr>
                <w:rFonts w:ascii="Times New Roman" w:eastAsia="Times New Roman" w:hAnsi="Times New Roman"/>
                <w:color w:val="000000"/>
                <w:sz w:val="24"/>
                <w:szCs w:val="24"/>
                <w:lang w:val="en-IE"/>
              </w:rPr>
              <w:t xml:space="preserve">ultiannual </w:t>
            </w:r>
            <w:r w:rsidR="00C103F6">
              <w:rPr>
                <w:rFonts w:ascii="Times New Roman" w:eastAsia="Times New Roman" w:hAnsi="Times New Roman"/>
                <w:color w:val="000000"/>
                <w:sz w:val="24"/>
                <w:szCs w:val="24"/>
                <w:lang w:val="en-IE"/>
              </w:rPr>
              <w:t>f</w:t>
            </w:r>
            <w:r w:rsidR="79FDE8BD" w:rsidRPr="008C3B04">
              <w:rPr>
                <w:rFonts w:ascii="Times New Roman" w:eastAsia="Times New Roman" w:hAnsi="Times New Roman"/>
                <w:color w:val="000000"/>
                <w:sz w:val="24"/>
                <w:szCs w:val="24"/>
                <w:lang w:val="en-IE"/>
              </w:rPr>
              <w:t xml:space="preserve">inancial </w:t>
            </w:r>
            <w:r w:rsidR="00C103F6">
              <w:rPr>
                <w:rFonts w:ascii="Times New Roman" w:eastAsia="Times New Roman" w:hAnsi="Times New Roman"/>
                <w:color w:val="000000"/>
                <w:sz w:val="24"/>
                <w:szCs w:val="24"/>
                <w:lang w:val="en-IE"/>
              </w:rPr>
              <w:t>f</w:t>
            </w:r>
            <w:r w:rsidR="79FDE8BD" w:rsidRPr="008C3B04">
              <w:rPr>
                <w:rFonts w:ascii="Times New Roman" w:eastAsia="Times New Roman" w:hAnsi="Times New Roman"/>
                <w:color w:val="000000"/>
                <w:sz w:val="24"/>
                <w:szCs w:val="24"/>
                <w:lang w:val="en-IE"/>
              </w:rPr>
              <w:t xml:space="preserve">ramework </w:t>
            </w:r>
            <w:r w:rsidR="00C103F6">
              <w:rPr>
                <w:rFonts w:ascii="Times New Roman" w:eastAsia="Times New Roman" w:hAnsi="Times New Roman"/>
                <w:color w:val="000000"/>
                <w:sz w:val="24"/>
                <w:szCs w:val="24"/>
                <w:lang w:val="en-IE"/>
              </w:rPr>
              <w:t xml:space="preserve">(MFF) </w:t>
            </w:r>
            <w:r w:rsidRPr="008C3B04">
              <w:rPr>
                <w:rFonts w:ascii="Times New Roman" w:eastAsia="Times New Roman" w:hAnsi="Times New Roman"/>
                <w:color w:val="000000"/>
                <w:sz w:val="24"/>
                <w:szCs w:val="24"/>
                <w:lang w:val="en-IE"/>
              </w:rPr>
              <w:t xml:space="preserve">the Commission </w:t>
            </w:r>
            <w:r w:rsidR="6D944606" w:rsidRPr="008C3B04">
              <w:rPr>
                <w:rFonts w:ascii="Times New Roman" w:eastAsia="Times New Roman" w:hAnsi="Times New Roman"/>
                <w:color w:val="000000"/>
                <w:sz w:val="24"/>
                <w:szCs w:val="24"/>
                <w:lang w:val="en-IE"/>
              </w:rPr>
              <w:t>has designed</w:t>
            </w:r>
            <w:r w:rsidR="6D944606" w:rsidRPr="008C3B04">
              <w:rPr>
                <w:rFonts w:ascii="Times New Roman" w:eastAsia="Times New Roman" w:hAnsi="Times New Roman"/>
                <w:sz w:val="24"/>
                <w:szCs w:val="24"/>
              </w:rPr>
              <w:t xml:space="preserve"> the</w:t>
            </w:r>
            <w:r w:rsidR="28647F3C" w:rsidRPr="008C3B04">
              <w:rPr>
                <w:rFonts w:ascii="Times New Roman" w:eastAsia="Times New Roman" w:hAnsi="Times New Roman"/>
                <w:sz w:val="24"/>
                <w:szCs w:val="24"/>
              </w:rPr>
              <w:t xml:space="preserve"> novel</w:t>
            </w:r>
            <w:r w:rsidR="6D944606" w:rsidRPr="008C3B04">
              <w:rPr>
                <w:rFonts w:ascii="Times New Roman" w:eastAsia="Times New Roman" w:hAnsi="Times New Roman"/>
                <w:sz w:val="24"/>
                <w:szCs w:val="24"/>
              </w:rPr>
              <w:t xml:space="preserve"> InvestEU Sustainability Guarantee </w:t>
            </w:r>
            <w:r w:rsidR="00C103F6" w:rsidRPr="008C3B04">
              <w:rPr>
                <w:rFonts w:ascii="Times New Roman" w:eastAsia="Times New Roman" w:hAnsi="Times New Roman"/>
                <w:color w:val="000000"/>
                <w:sz w:val="24"/>
                <w:szCs w:val="24"/>
                <w:lang w:val="en-IE"/>
              </w:rPr>
              <w:t>–</w:t>
            </w:r>
            <w:r w:rsidR="6D944606" w:rsidRPr="008C3B04">
              <w:rPr>
                <w:rFonts w:ascii="Times New Roman" w:eastAsia="Times New Roman" w:hAnsi="Times New Roman"/>
                <w:sz w:val="24"/>
                <w:szCs w:val="24"/>
              </w:rPr>
              <w:t xml:space="preserve"> a financial instrument </w:t>
            </w:r>
            <w:r w:rsidR="190E7323" w:rsidRPr="008C3B04">
              <w:rPr>
                <w:rFonts w:ascii="Times New Roman" w:eastAsia="Times New Roman" w:hAnsi="Times New Roman"/>
                <w:sz w:val="24"/>
                <w:szCs w:val="24"/>
              </w:rPr>
              <w:t xml:space="preserve">supporting lending </w:t>
            </w:r>
            <w:r w:rsidR="4C82B7E5" w:rsidRPr="008C3B04">
              <w:rPr>
                <w:rFonts w:ascii="Times New Roman" w:eastAsia="Times New Roman" w:hAnsi="Times New Roman"/>
                <w:sz w:val="24"/>
                <w:szCs w:val="24"/>
              </w:rPr>
              <w:t xml:space="preserve">to SMEs and small mid-cap companies for </w:t>
            </w:r>
            <w:r w:rsidR="101A391A" w:rsidRPr="008C3B04">
              <w:rPr>
                <w:rFonts w:ascii="Times New Roman" w:eastAsia="Times New Roman" w:hAnsi="Times New Roman"/>
                <w:sz w:val="24"/>
                <w:szCs w:val="24"/>
              </w:rPr>
              <w:t xml:space="preserve">their </w:t>
            </w:r>
            <w:r w:rsidR="6D944606" w:rsidRPr="008C3B04">
              <w:rPr>
                <w:rFonts w:ascii="Times New Roman" w:eastAsia="Times New Roman" w:hAnsi="Times New Roman"/>
                <w:sz w:val="24"/>
                <w:szCs w:val="24"/>
              </w:rPr>
              <w:t>green transition. The product is implemented by the European Investment Fund (EIF)</w:t>
            </w:r>
            <w:r w:rsidR="00936BE4" w:rsidRPr="008C3B04">
              <w:rPr>
                <w:rFonts w:ascii="Times New Roman" w:eastAsia="Times New Roman" w:hAnsi="Times New Roman"/>
                <w:sz w:val="24"/>
                <w:szCs w:val="24"/>
              </w:rPr>
              <w:t xml:space="preserve"> </w:t>
            </w:r>
            <w:r w:rsidR="6D944606" w:rsidRPr="008C3B04">
              <w:rPr>
                <w:rFonts w:ascii="Times New Roman" w:eastAsia="Times New Roman" w:hAnsi="Times New Roman"/>
                <w:sz w:val="24"/>
                <w:szCs w:val="24"/>
              </w:rPr>
              <w:t>and facilitates access to finance</w:t>
            </w:r>
            <w:r w:rsidR="471C188C" w:rsidRPr="008C3B04">
              <w:rPr>
                <w:rFonts w:ascii="Times New Roman" w:eastAsia="Times New Roman" w:hAnsi="Times New Roman"/>
                <w:sz w:val="24"/>
                <w:szCs w:val="24"/>
              </w:rPr>
              <w:t xml:space="preserve"> </w:t>
            </w:r>
            <w:r w:rsidR="6D944606" w:rsidRPr="008C3B04">
              <w:rPr>
                <w:rFonts w:ascii="Times New Roman" w:eastAsia="Times New Roman" w:hAnsi="Times New Roman"/>
                <w:sz w:val="24"/>
                <w:szCs w:val="24"/>
              </w:rPr>
              <w:t>to companies that are already sustainable or are seeking to engage in greener practices and have an economically viable financing initiative</w:t>
            </w:r>
            <w:r w:rsidR="1F730C48" w:rsidRPr="008C3B04">
              <w:rPr>
                <w:rFonts w:ascii="Times New Roman" w:eastAsia="Times New Roman" w:hAnsi="Times New Roman"/>
                <w:sz w:val="24"/>
                <w:szCs w:val="24"/>
              </w:rPr>
              <w:t xml:space="preserve">. The product implementation is progressing well, with </w:t>
            </w:r>
            <w:r w:rsidR="6B926E71" w:rsidRPr="008C3B04">
              <w:rPr>
                <w:rFonts w:ascii="Times New Roman" w:eastAsia="Times New Roman" w:hAnsi="Times New Roman"/>
                <w:sz w:val="24"/>
                <w:szCs w:val="24"/>
              </w:rPr>
              <w:t xml:space="preserve">high interest from financial intermediaries and </w:t>
            </w:r>
            <w:r w:rsidR="763699D2" w:rsidRPr="008C3B04">
              <w:rPr>
                <w:rFonts w:ascii="Times New Roman" w:eastAsia="Times New Roman" w:hAnsi="Times New Roman"/>
                <w:sz w:val="24"/>
                <w:szCs w:val="24"/>
              </w:rPr>
              <w:t>EIF transactions signed in almost all Member States.</w:t>
            </w:r>
          </w:p>
          <w:p w14:paraId="4DCAE3B3" w14:textId="77777777" w:rsidR="00FC5A0E" w:rsidRPr="00395DCA" w:rsidRDefault="65821A4F" w:rsidP="008C3B04">
            <w:pPr>
              <w:widowControl w:val="0"/>
              <w:spacing w:before="120" w:after="120"/>
              <w:ind w:left="125" w:right="125"/>
              <w:jc w:val="both"/>
              <w:rPr>
                <w:rFonts w:ascii="Times New Roman" w:eastAsia="Times New Roman" w:hAnsi="Times New Roman"/>
                <w:color w:val="000000"/>
                <w:sz w:val="24"/>
                <w:szCs w:val="24"/>
                <w:lang w:val="en-IE"/>
              </w:rPr>
            </w:pPr>
            <w:r w:rsidRPr="008C3B04">
              <w:rPr>
                <w:rFonts w:ascii="Times New Roman" w:eastAsia="Times New Roman" w:hAnsi="Times New Roman"/>
                <w:sz w:val="24"/>
                <w:szCs w:val="24"/>
                <w:lang w:val="en-IE"/>
              </w:rPr>
              <w:t xml:space="preserve">Achieving further progress </w:t>
            </w:r>
            <w:proofErr w:type="gramStart"/>
            <w:r w:rsidRPr="008C3B04">
              <w:rPr>
                <w:rFonts w:ascii="Times New Roman" w:eastAsia="Times New Roman" w:hAnsi="Times New Roman"/>
                <w:sz w:val="24"/>
                <w:szCs w:val="24"/>
                <w:lang w:val="en-IE"/>
              </w:rPr>
              <w:t>in the area of</w:t>
            </w:r>
            <w:proofErr w:type="gramEnd"/>
            <w:r w:rsidRPr="008C3B04">
              <w:rPr>
                <w:rFonts w:ascii="Times New Roman" w:eastAsia="Times New Roman" w:hAnsi="Times New Roman"/>
                <w:sz w:val="24"/>
                <w:szCs w:val="24"/>
                <w:lang w:val="en-IE"/>
              </w:rPr>
              <w:t xml:space="preserve"> services</w:t>
            </w:r>
            <w:r w:rsidR="7073CBC5" w:rsidRPr="008C3B04">
              <w:rPr>
                <w:rFonts w:ascii="Times New Roman" w:eastAsia="Times New Roman" w:hAnsi="Times New Roman"/>
                <w:sz w:val="24"/>
                <w:szCs w:val="24"/>
                <w:lang w:val="en-IE"/>
              </w:rPr>
              <w:t xml:space="preserve">, which </w:t>
            </w:r>
            <w:r w:rsidR="0F7583FA" w:rsidRPr="008C3B04">
              <w:rPr>
                <w:rFonts w:ascii="Times New Roman" w:eastAsia="Times New Roman" w:hAnsi="Times New Roman"/>
                <w:sz w:val="24"/>
                <w:szCs w:val="24"/>
                <w:lang w:val="en-IE"/>
              </w:rPr>
              <w:t>provides fundamental</w:t>
            </w:r>
            <w:r w:rsidR="7073CBC5" w:rsidRPr="008C3B04">
              <w:rPr>
                <w:rFonts w:ascii="Times New Roman" w:eastAsia="Times New Roman" w:hAnsi="Times New Roman"/>
                <w:sz w:val="24"/>
                <w:szCs w:val="24"/>
                <w:lang w:val="en-IE"/>
              </w:rPr>
              <w:t xml:space="preserve"> input for manufacturing,</w:t>
            </w:r>
            <w:r w:rsidRPr="008C3B04">
              <w:rPr>
                <w:rFonts w:ascii="Times New Roman" w:eastAsia="Times New Roman" w:hAnsi="Times New Roman"/>
                <w:sz w:val="24"/>
                <w:szCs w:val="24"/>
                <w:lang w:val="en-IE"/>
              </w:rPr>
              <w:t xml:space="preserve"> offers important positive spill-over effects for EU industry.</w:t>
            </w:r>
            <w:r w:rsidR="24B4C11C" w:rsidRPr="008C3B04">
              <w:rPr>
                <w:rFonts w:ascii="Times New Roman" w:eastAsia="Times New Roman" w:hAnsi="Times New Roman"/>
                <w:sz w:val="24"/>
                <w:szCs w:val="24"/>
                <w:lang w:val="en-IE"/>
              </w:rPr>
              <w:t xml:space="preserve"> </w:t>
            </w:r>
            <w:r w:rsidR="319368C5" w:rsidRPr="008C3B04">
              <w:rPr>
                <w:rFonts w:ascii="Times New Roman" w:eastAsia="Times New Roman" w:hAnsi="Times New Roman"/>
                <w:sz w:val="24"/>
                <w:szCs w:val="24"/>
                <w:lang w:val="en-IE"/>
              </w:rPr>
              <w:t>I</w:t>
            </w:r>
            <w:r w:rsidRPr="008C3B04">
              <w:rPr>
                <w:rFonts w:ascii="Times New Roman" w:eastAsia="Times New Roman" w:hAnsi="Times New Roman"/>
                <w:sz w:val="24"/>
                <w:szCs w:val="24"/>
                <w:lang w:val="en-IE"/>
              </w:rPr>
              <w:t xml:space="preserve">t is important to encompass all players </w:t>
            </w:r>
            <w:r w:rsidR="04BD4FAF" w:rsidRPr="008C3B04">
              <w:rPr>
                <w:rFonts w:ascii="Times New Roman" w:eastAsia="Times New Roman" w:hAnsi="Times New Roman"/>
                <w:sz w:val="24"/>
                <w:szCs w:val="24"/>
                <w:lang w:val="en-IE"/>
              </w:rPr>
              <w:t>of EU industrie</w:t>
            </w:r>
            <w:r w:rsidRPr="008C3B04">
              <w:rPr>
                <w:rFonts w:ascii="Times New Roman" w:eastAsia="Times New Roman" w:hAnsi="Times New Roman"/>
                <w:sz w:val="24"/>
                <w:szCs w:val="24"/>
                <w:lang w:val="en-IE"/>
              </w:rPr>
              <w:t>s operating in a value chain</w:t>
            </w:r>
            <w:r w:rsidR="22789B71" w:rsidRPr="008C3B04">
              <w:rPr>
                <w:rFonts w:ascii="Times New Roman" w:eastAsia="Times New Roman" w:hAnsi="Times New Roman"/>
                <w:sz w:val="24"/>
                <w:szCs w:val="24"/>
                <w:lang w:val="en-IE"/>
              </w:rPr>
              <w:t xml:space="preserve"> from an ecosystem perspective</w:t>
            </w:r>
            <w:r w:rsidRPr="008C3B04">
              <w:rPr>
                <w:rFonts w:ascii="Times New Roman" w:eastAsia="Times New Roman" w:hAnsi="Times New Roman"/>
                <w:sz w:val="24"/>
                <w:szCs w:val="24"/>
                <w:lang w:val="en-IE"/>
              </w:rPr>
              <w:t>.</w:t>
            </w:r>
            <w:r w:rsidR="2978B1DE" w:rsidRPr="008C3B04">
              <w:rPr>
                <w:rFonts w:ascii="Times New Roman" w:eastAsia="Times New Roman" w:hAnsi="Times New Roman"/>
                <w:sz w:val="24"/>
                <w:szCs w:val="24"/>
                <w:lang w:val="en-IE"/>
              </w:rPr>
              <w:t xml:space="preserve"> </w:t>
            </w:r>
            <w:r w:rsidRPr="008C3B04">
              <w:rPr>
                <w:rFonts w:ascii="Times New Roman" w:eastAsia="Times New Roman" w:hAnsi="Times New Roman"/>
                <w:sz w:val="24"/>
                <w:szCs w:val="24"/>
                <w:lang w:val="en-IE"/>
              </w:rPr>
              <w:t>Instead of a one-size- fits- all policy response, a combination of policy measures</w:t>
            </w:r>
            <w:r w:rsidR="208AC440" w:rsidRPr="008C3B04">
              <w:rPr>
                <w:rFonts w:ascii="Times New Roman" w:eastAsia="Times New Roman" w:hAnsi="Times New Roman"/>
                <w:sz w:val="24"/>
                <w:szCs w:val="24"/>
                <w:lang w:val="en-IE"/>
              </w:rPr>
              <w:t xml:space="preserve">, tailored to each industrial ecosystem, </w:t>
            </w:r>
            <w:r w:rsidRPr="008C3B04">
              <w:rPr>
                <w:rFonts w:ascii="Times New Roman" w:eastAsia="Times New Roman" w:hAnsi="Times New Roman"/>
                <w:sz w:val="24"/>
                <w:szCs w:val="24"/>
                <w:lang w:val="en-IE"/>
              </w:rPr>
              <w:t xml:space="preserve">can make a difference and bring substantial benefits, by ensuring </w:t>
            </w:r>
            <w:r w:rsidR="0072138B" w:rsidRPr="008C3B04">
              <w:rPr>
                <w:rFonts w:ascii="Times New Roman" w:eastAsia="Times New Roman" w:hAnsi="Times New Roman"/>
                <w:sz w:val="24"/>
                <w:szCs w:val="24"/>
                <w:lang w:val="en-IE"/>
              </w:rPr>
              <w:t>that regulation</w:t>
            </w:r>
            <w:r w:rsidRPr="008C3B04">
              <w:rPr>
                <w:rFonts w:ascii="Times New Roman" w:eastAsia="Times New Roman" w:hAnsi="Times New Roman"/>
                <w:sz w:val="24"/>
                <w:szCs w:val="24"/>
                <w:lang w:val="en-IE"/>
              </w:rPr>
              <w:t xml:space="preserve"> is justified and proportionate, reducing administrative burden and enhancing cooperation between authorities, facilitating mobility of professionals and addressing the skills gap.</w:t>
            </w:r>
          </w:p>
          <w:p w14:paraId="1F2F3E35" w14:textId="222572E8" w:rsidR="0049246C" w:rsidRPr="008C3B04" w:rsidRDefault="2798CBB0" w:rsidP="008C3B04">
            <w:pPr>
              <w:widowControl w:val="0"/>
              <w:spacing w:before="120" w:after="120"/>
              <w:ind w:left="125" w:right="125"/>
              <w:jc w:val="both"/>
              <w:rPr>
                <w:rFonts w:ascii="Times New Roman" w:eastAsia="Times New Roman" w:hAnsi="Times New Roman"/>
                <w:b/>
                <w:bCs/>
                <w:color w:val="000000"/>
                <w:sz w:val="24"/>
                <w:szCs w:val="24"/>
                <w:highlight w:val="yellow"/>
                <w:lang w:val="en-IE"/>
              </w:rPr>
            </w:pPr>
            <w:r w:rsidRPr="008C3B04">
              <w:rPr>
                <w:rFonts w:ascii="Times New Roman" w:eastAsia="Times New Roman" w:hAnsi="Times New Roman"/>
                <w:b/>
                <w:bCs/>
                <w:color w:val="000000"/>
                <w:sz w:val="24"/>
                <w:szCs w:val="24"/>
                <w:lang w:val="en-IE"/>
              </w:rPr>
              <w:t xml:space="preserve">Building skills </w:t>
            </w:r>
            <w:r w:rsidR="06F852C5" w:rsidRPr="008C3B04">
              <w:rPr>
                <w:rFonts w:ascii="Times New Roman" w:eastAsia="Times New Roman" w:hAnsi="Times New Roman"/>
                <w:b/>
                <w:bCs/>
                <w:color w:val="000000"/>
                <w:sz w:val="24"/>
                <w:szCs w:val="24"/>
                <w:lang w:val="en-IE"/>
              </w:rPr>
              <w:t xml:space="preserve">and quality jobs </w:t>
            </w:r>
            <w:r w:rsidRPr="008C3B04">
              <w:rPr>
                <w:rFonts w:ascii="Times New Roman" w:eastAsia="Times New Roman" w:hAnsi="Times New Roman"/>
                <w:b/>
                <w:bCs/>
                <w:color w:val="000000"/>
                <w:sz w:val="24"/>
                <w:szCs w:val="24"/>
                <w:lang w:val="en-IE"/>
              </w:rPr>
              <w:t>for the green and digital transitions</w:t>
            </w:r>
            <w:r w:rsidR="0016327D">
              <w:rPr>
                <w:rFonts w:ascii="Times New Roman" w:eastAsia="Times New Roman" w:hAnsi="Times New Roman"/>
                <w:b/>
                <w:bCs/>
                <w:color w:val="000000"/>
                <w:sz w:val="24"/>
                <w:szCs w:val="24"/>
                <w:lang w:val="en-IE"/>
              </w:rPr>
              <w:t>:</w:t>
            </w:r>
          </w:p>
          <w:p w14:paraId="31A12FF1" w14:textId="4EF05BE7" w:rsidR="00FC5A0E" w:rsidRPr="008C3B04" w:rsidRDefault="00C74A81" w:rsidP="008C3B04">
            <w:pPr>
              <w:widowControl w:val="0"/>
              <w:spacing w:before="120" w:after="120"/>
              <w:ind w:left="125" w:right="125"/>
              <w:jc w:val="both"/>
              <w:rPr>
                <w:rFonts w:ascii="Times New Roman" w:eastAsia="Times New Roman" w:hAnsi="Times New Roman"/>
                <w:sz w:val="24"/>
                <w:szCs w:val="24"/>
              </w:rPr>
            </w:pPr>
            <w:r w:rsidRPr="008C3B04">
              <w:rPr>
                <w:rFonts w:ascii="Times New Roman" w:eastAsia="Times New Roman" w:hAnsi="Times New Roman"/>
                <w:sz w:val="24"/>
                <w:szCs w:val="24"/>
              </w:rPr>
              <w:t>The Clean Industr</w:t>
            </w:r>
            <w:r w:rsidR="003C117A" w:rsidRPr="008C3B04">
              <w:rPr>
                <w:rFonts w:ascii="Times New Roman" w:eastAsia="Times New Roman" w:hAnsi="Times New Roman"/>
                <w:sz w:val="24"/>
                <w:szCs w:val="24"/>
              </w:rPr>
              <w:t>ial</w:t>
            </w:r>
            <w:r w:rsidRPr="008C3B04">
              <w:rPr>
                <w:rFonts w:ascii="Times New Roman" w:eastAsia="Times New Roman" w:hAnsi="Times New Roman"/>
                <w:sz w:val="24"/>
                <w:szCs w:val="24"/>
              </w:rPr>
              <w:t xml:space="preserve"> Deal</w:t>
            </w:r>
            <w:r w:rsidR="00C103F6">
              <w:rPr>
                <w:rStyle w:val="FootnoteReference"/>
                <w:rFonts w:ascii="Times New Roman" w:eastAsia="Times New Roman" w:hAnsi="Times New Roman"/>
                <w:sz w:val="24"/>
                <w:szCs w:val="24"/>
              </w:rPr>
              <w:footnoteReference w:id="6"/>
            </w:r>
            <w:r w:rsidRPr="008C3B04">
              <w:rPr>
                <w:rFonts w:ascii="Times New Roman" w:eastAsia="Times New Roman" w:hAnsi="Times New Roman"/>
                <w:sz w:val="24"/>
                <w:szCs w:val="24"/>
              </w:rPr>
              <w:t xml:space="preserve"> will focus on decarbonisation, clean technologies and incentivising </w:t>
            </w:r>
            <w:r w:rsidRPr="008C3B04">
              <w:rPr>
                <w:rFonts w:ascii="Times New Roman" w:eastAsia="Times New Roman" w:hAnsi="Times New Roman"/>
                <w:sz w:val="24"/>
                <w:szCs w:val="24"/>
              </w:rPr>
              <w:lastRenderedPageBreak/>
              <w:t>investment. It will build a growth-conducive regulatory framework, supporting industry in its efforts to innovate, scale up, manufacture goods and provide services. To this purpose, the Clean Industr</w:t>
            </w:r>
            <w:r w:rsidR="003C117A" w:rsidRPr="008C3B04">
              <w:rPr>
                <w:rFonts w:ascii="Times New Roman" w:eastAsia="Times New Roman" w:hAnsi="Times New Roman"/>
                <w:sz w:val="24"/>
                <w:szCs w:val="24"/>
              </w:rPr>
              <w:t>ial</w:t>
            </w:r>
            <w:r w:rsidRPr="008C3B04">
              <w:rPr>
                <w:rFonts w:ascii="Times New Roman" w:eastAsia="Times New Roman" w:hAnsi="Times New Roman"/>
                <w:sz w:val="24"/>
                <w:szCs w:val="24"/>
              </w:rPr>
              <w:t xml:space="preserve"> Deal will also focus on improving access to skills and quality jobs.</w:t>
            </w:r>
          </w:p>
          <w:p w14:paraId="38027A19" w14:textId="6B767665" w:rsidR="00FC5A0E" w:rsidRPr="008C3B04" w:rsidRDefault="00FC5A0E" w:rsidP="008C3B04">
            <w:pPr>
              <w:widowControl w:val="0"/>
              <w:spacing w:before="120" w:after="120"/>
              <w:ind w:left="125" w:right="125"/>
              <w:jc w:val="both"/>
              <w:rPr>
                <w:rFonts w:ascii="Times New Roman" w:eastAsia="Times New Roman" w:hAnsi="Times New Roman"/>
                <w:sz w:val="24"/>
                <w:szCs w:val="24"/>
              </w:rPr>
            </w:pPr>
            <w:r w:rsidRPr="008C3B04">
              <w:rPr>
                <w:rFonts w:ascii="Times New Roman" w:eastAsia="Times New Roman" w:hAnsi="Times New Roman"/>
                <w:sz w:val="24"/>
                <w:szCs w:val="24"/>
              </w:rPr>
              <w:t xml:space="preserve">The Commission has recognised the necessity to promote measures for businesses to adapt to the green transition and has adopted </w:t>
            </w:r>
            <w:proofErr w:type="gramStart"/>
            <w:r w:rsidRPr="008C3B04">
              <w:rPr>
                <w:rFonts w:ascii="Times New Roman" w:eastAsia="Times New Roman" w:hAnsi="Times New Roman"/>
                <w:sz w:val="24"/>
                <w:szCs w:val="24"/>
              </w:rPr>
              <w:t>a number of</w:t>
            </w:r>
            <w:proofErr w:type="gramEnd"/>
            <w:r w:rsidRPr="008C3B04">
              <w:rPr>
                <w:rFonts w:ascii="Times New Roman" w:eastAsia="Times New Roman" w:hAnsi="Times New Roman"/>
                <w:sz w:val="24"/>
                <w:szCs w:val="24"/>
              </w:rPr>
              <w:t xml:space="preserve"> initiatives in this context, actively tackling skills shortages to help European businesses achieve the green transition. The Net Zero Industry Act Skills Academies</w:t>
            </w:r>
            <w:r w:rsidR="000D2F61">
              <w:rPr>
                <w:rStyle w:val="FootnoteReference"/>
                <w:rFonts w:ascii="Times New Roman" w:eastAsia="Times New Roman" w:hAnsi="Times New Roman"/>
                <w:sz w:val="24"/>
                <w:szCs w:val="24"/>
              </w:rPr>
              <w:footnoteReference w:id="7"/>
            </w:r>
            <w:r w:rsidRPr="008C3B04">
              <w:rPr>
                <w:rFonts w:ascii="Times New Roman" w:eastAsia="Times New Roman" w:hAnsi="Times New Roman"/>
                <w:sz w:val="24"/>
                <w:szCs w:val="24"/>
              </w:rPr>
              <w:t>, including those managed by the European Institute of Innovation and Technology (EIT)</w:t>
            </w:r>
            <w:r w:rsidR="008C23BE">
              <w:rPr>
                <w:rStyle w:val="FootnoteReference"/>
                <w:rFonts w:ascii="Times New Roman" w:eastAsia="Times New Roman" w:hAnsi="Times New Roman"/>
                <w:sz w:val="24"/>
                <w:szCs w:val="24"/>
              </w:rPr>
              <w:footnoteReference w:id="8"/>
            </w:r>
            <w:r w:rsidRPr="008C3B04">
              <w:rPr>
                <w:rFonts w:ascii="Times New Roman" w:eastAsia="Times New Roman" w:hAnsi="Times New Roman"/>
                <w:sz w:val="24"/>
                <w:szCs w:val="24"/>
              </w:rPr>
              <w:t>, are designed to co-create learning content together with the industry, thus ensuring that the content is up to date and in actual demand by the industry and learners. This content is rolled out in cooperation with local training providers</w:t>
            </w:r>
            <w:r w:rsidR="00DB543F" w:rsidRPr="008C3B04">
              <w:rPr>
                <w:rFonts w:ascii="Times New Roman" w:eastAsia="Times New Roman" w:hAnsi="Times New Roman"/>
                <w:sz w:val="24"/>
                <w:szCs w:val="24"/>
              </w:rPr>
              <w:t>. I</w:t>
            </w:r>
            <w:r w:rsidRPr="008C3B04">
              <w:rPr>
                <w:rFonts w:ascii="Times New Roman" w:eastAsia="Times New Roman" w:hAnsi="Times New Roman"/>
                <w:sz w:val="24"/>
                <w:szCs w:val="24"/>
              </w:rPr>
              <w:t xml:space="preserve">n many cases </w:t>
            </w:r>
            <w:r w:rsidR="00DB543F" w:rsidRPr="008C3B04">
              <w:rPr>
                <w:rFonts w:ascii="Times New Roman" w:eastAsia="Times New Roman" w:hAnsi="Times New Roman"/>
                <w:sz w:val="24"/>
                <w:szCs w:val="24"/>
              </w:rPr>
              <w:t xml:space="preserve">these are </w:t>
            </w:r>
            <w:r w:rsidRPr="008C3B04">
              <w:rPr>
                <w:rFonts w:ascii="Times New Roman" w:eastAsia="Times New Roman" w:hAnsi="Times New Roman"/>
                <w:sz w:val="24"/>
                <w:szCs w:val="24"/>
              </w:rPr>
              <w:t>Universities which include the courses as part of their offer to students, thus bringing academia, industry, and learners</w:t>
            </w:r>
            <w:r w:rsidR="00DB543F" w:rsidRPr="008C3B04">
              <w:rPr>
                <w:rFonts w:ascii="Times New Roman" w:eastAsia="Times New Roman" w:hAnsi="Times New Roman"/>
                <w:sz w:val="24"/>
                <w:szCs w:val="24"/>
              </w:rPr>
              <w:t xml:space="preserve"> closer together</w:t>
            </w:r>
            <w:r w:rsidRPr="008C3B04">
              <w:rPr>
                <w:rFonts w:ascii="Times New Roman" w:eastAsia="Times New Roman" w:hAnsi="Times New Roman"/>
                <w:sz w:val="24"/>
                <w:szCs w:val="24"/>
              </w:rPr>
              <w:t>. The 2022 Council Recommendation on learning for the green transition and sustainable development</w:t>
            </w:r>
            <w:r w:rsidR="008C23BE">
              <w:rPr>
                <w:rStyle w:val="FootnoteReference"/>
                <w:rFonts w:ascii="Times New Roman" w:eastAsia="Times New Roman" w:hAnsi="Times New Roman"/>
                <w:sz w:val="24"/>
                <w:szCs w:val="24"/>
              </w:rPr>
              <w:footnoteReference w:id="9"/>
            </w:r>
            <w:r w:rsidRPr="008C3B04">
              <w:rPr>
                <w:rFonts w:ascii="Times New Roman" w:eastAsia="Times New Roman" w:hAnsi="Times New Roman"/>
                <w:color w:val="000000"/>
                <w:sz w:val="24"/>
                <w:szCs w:val="24"/>
                <w:lang w:val="en-IE"/>
              </w:rPr>
              <w:t xml:space="preserve"> </w:t>
            </w:r>
            <w:r w:rsidRPr="008C3B04">
              <w:rPr>
                <w:rFonts w:ascii="Times New Roman" w:eastAsia="Times New Roman" w:hAnsi="Times New Roman"/>
                <w:sz w:val="24"/>
                <w:szCs w:val="24"/>
              </w:rPr>
              <w:t>calls on Member States to provide all learners with high-quality education and training on the green transition and to embed sustainability in education policies and programmes from early years to adult learning. The Commission also encourages the uptake of the European Sustainability Competence Framework (GreenComp)</w:t>
            </w:r>
            <w:r w:rsidRPr="008C3B04">
              <w:rPr>
                <w:rStyle w:val="FootnoteReference"/>
                <w:rFonts w:ascii="Times New Roman" w:eastAsia="Times New Roman" w:hAnsi="Times New Roman"/>
                <w:sz w:val="24"/>
                <w:szCs w:val="24"/>
              </w:rPr>
              <w:footnoteReference w:id="10"/>
            </w:r>
            <w:r w:rsidRPr="008C3B04">
              <w:rPr>
                <w:rFonts w:ascii="Times New Roman" w:eastAsia="Times New Roman" w:hAnsi="Times New Roman"/>
                <w:sz w:val="24"/>
                <w:szCs w:val="24"/>
              </w:rPr>
              <w:t xml:space="preserve"> which sets out the skills that all learners should acquire for the green transition.</w:t>
            </w:r>
          </w:p>
          <w:p w14:paraId="0D145636" w14:textId="4C0EBD3E" w:rsidR="00FC5A0E" w:rsidRPr="00395DCA" w:rsidRDefault="1F466191" w:rsidP="008C3B04">
            <w:pPr>
              <w:widowControl w:val="0"/>
              <w:spacing w:before="120" w:after="120"/>
              <w:ind w:left="125" w:right="125"/>
              <w:jc w:val="both"/>
              <w:rPr>
                <w:rFonts w:ascii="Times New Roman" w:eastAsia="Times New Roman" w:hAnsi="Times New Roman"/>
                <w:color w:val="000000"/>
                <w:sz w:val="24"/>
                <w:szCs w:val="24"/>
                <w:highlight w:val="yellow"/>
                <w:lang w:val="en-IE"/>
              </w:rPr>
            </w:pPr>
            <w:r w:rsidRPr="008C3B04">
              <w:rPr>
                <w:rFonts w:ascii="Times New Roman" w:eastAsia="Times New Roman" w:hAnsi="Times New Roman"/>
                <w:sz w:val="24"/>
                <w:szCs w:val="24"/>
                <w:lang w:val="en-IE"/>
              </w:rPr>
              <w:t>T</w:t>
            </w:r>
            <w:r w:rsidR="2D442B06" w:rsidRPr="008C3B04">
              <w:rPr>
                <w:rFonts w:ascii="Times New Roman" w:eastAsia="Times New Roman" w:hAnsi="Times New Roman"/>
                <w:sz w:val="24"/>
                <w:szCs w:val="24"/>
                <w:lang w:val="en-IE"/>
              </w:rPr>
              <w:t>he Commission encourages the use of EU funds such as the European Social Fund to support reskilling and upskilling of the European workforce</w:t>
            </w:r>
            <w:r w:rsidR="00DB543F" w:rsidRPr="008C3B04">
              <w:rPr>
                <w:rFonts w:ascii="Times New Roman" w:eastAsia="Times New Roman" w:hAnsi="Times New Roman"/>
                <w:sz w:val="24"/>
                <w:szCs w:val="24"/>
                <w:lang w:val="en-IE"/>
              </w:rPr>
              <w:t>. This includes</w:t>
            </w:r>
            <w:r w:rsidR="2D442B06" w:rsidRPr="008C3B04">
              <w:rPr>
                <w:rFonts w:ascii="Times New Roman" w:eastAsia="Times New Roman" w:hAnsi="Times New Roman"/>
                <w:sz w:val="24"/>
                <w:szCs w:val="24"/>
                <w:lang w:val="en-IE"/>
              </w:rPr>
              <w:t xml:space="preserve"> supporting companies, in particular SMEs, to use the initiatives set up by the Commission</w:t>
            </w:r>
            <w:r w:rsidR="3583C255" w:rsidRPr="008C3B04">
              <w:rPr>
                <w:rFonts w:ascii="Times New Roman" w:eastAsia="Times New Roman" w:hAnsi="Times New Roman"/>
                <w:sz w:val="24"/>
                <w:szCs w:val="24"/>
                <w:lang w:val="en-IE"/>
              </w:rPr>
              <w:t>, such as</w:t>
            </w:r>
            <w:r w:rsidR="2D442B06" w:rsidRPr="008C3B04">
              <w:rPr>
                <w:rFonts w:ascii="Times New Roman" w:eastAsia="Times New Roman" w:hAnsi="Times New Roman"/>
                <w:sz w:val="24"/>
                <w:szCs w:val="24"/>
                <w:lang w:val="en-IE"/>
              </w:rPr>
              <w:t xml:space="preserve"> Pact for Skills</w:t>
            </w:r>
            <w:r w:rsidR="000D2F61">
              <w:rPr>
                <w:rStyle w:val="FootnoteReference"/>
                <w:rFonts w:ascii="Times New Roman" w:eastAsia="Times New Roman" w:hAnsi="Times New Roman"/>
                <w:sz w:val="24"/>
                <w:szCs w:val="24"/>
                <w:lang w:val="en-IE"/>
              </w:rPr>
              <w:footnoteReference w:id="11"/>
            </w:r>
            <w:r w:rsidR="676FDE15" w:rsidRPr="008C3B04">
              <w:rPr>
                <w:rFonts w:ascii="Times New Roman" w:eastAsia="Times New Roman" w:hAnsi="Times New Roman"/>
                <w:sz w:val="24"/>
                <w:szCs w:val="24"/>
                <w:lang w:val="en-IE"/>
              </w:rPr>
              <w:t xml:space="preserve"> </w:t>
            </w:r>
            <w:r w:rsidR="57858B05" w:rsidRPr="008C3B04">
              <w:rPr>
                <w:rFonts w:ascii="Times New Roman" w:eastAsia="Times New Roman" w:hAnsi="Times New Roman"/>
                <w:sz w:val="24"/>
                <w:szCs w:val="24"/>
                <w:lang w:val="en-IE"/>
              </w:rPr>
              <w:t xml:space="preserve">which </w:t>
            </w:r>
            <w:r w:rsidR="676FDE15" w:rsidRPr="008C3B04">
              <w:rPr>
                <w:rFonts w:ascii="Times New Roman" w:eastAsia="Times New Roman" w:hAnsi="Times New Roman"/>
                <w:color w:val="000000"/>
                <w:sz w:val="24"/>
                <w:szCs w:val="24"/>
                <w:lang w:val="en-IE"/>
              </w:rPr>
              <w:t>brings public and private organisations together and supports them in concrete actions to upskill and reskill adults</w:t>
            </w:r>
            <w:r w:rsidR="3B4458AE" w:rsidRPr="008C3B04">
              <w:rPr>
                <w:rFonts w:ascii="Times New Roman" w:eastAsia="Times New Roman" w:hAnsi="Times New Roman"/>
                <w:color w:val="000000"/>
                <w:sz w:val="24"/>
                <w:szCs w:val="24"/>
                <w:lang w:val="en-IE"/>
              </w:rPr>
              <w:t>, or t</w:t>
            </w:r>
            <w:r w:rsidR="2D442B06" w:rsidRPr="008C3B04">
              <w:rPr>
                <w:rFonts w:ascii="Times New Roman" w:eastAsia="Times New Roman" w:hAnsi="Times New Roman"/>
                <w:sz w:val="24"/>
                <w:szCs w:val="24"/>
                <w:lang w:val="en-IE"/>
              </w:rPr>
              <w:t xml:space="preserve">he learning content of the </w:t>
            </w:r>
            <w:r w:rsidR="0D82E946" w:rsidRPr="008C3B04">
              <w:rPr>
                <w:rFonts w:ascii="Times New Roman" w:eastAsia="Times New Roman" w:hAnsi="Times New Roman"/>
                <w:sz w:val="24"/>
                <w:szCs w:val="24"/>
                <w:lang w:val="en-IE"/>
              </w:rPr>
              <w:t xml:space="preserve">above-mentioned </w:t>
            </w:r>
            <w:r w:rsidR="2D442B06" w:rsidRPr="008C3B04">
              <w:rPr>
                <w:rFonts w:ascii="Times New Roman" w:eastAsia="Times New Roman" w:hAnsi="Times New Roman"/>
                <w:sz w:val="24"/>
                <w:szCs w:val="24"/>
                <w:lang w:val="en-IE"/>
              </w:rPr>
              <w:t>Net Zero Industry Academies</w:t>
            </w:r>
            <w:r w:rsidR="530DC42B" w:rsidRPr="008C3B04">
              <w:rPr>
                <w:rFonts w:ascii="Times New Roman" w:eastAsia="Times New Roman" w:hAnsi="Times New Roman"/>
                <w:color w:val="000000"/>
                <w:sz w:val="24"/>
                <w:szCs w:val="24"/>
                <w:lang w:val="en-IE"/>
              </w:rPr>
              <w:t>, directly upholding the greenification of the European economy</w:t>
            </w:r>
            <w:r w:rsidR="2D442B06" w:rsidRPr="008C3B04">
              <w:rPr>
                <w:rFonts w:ascii="Times New Roman" w:eastAsia="Times New Roman" w:hAnsi="Times New Roman"/>
                <w:sz w:val="24"/>
                <w:szCs w:val="24"/>
                <w:lang w:val="en-IE"/>
              </w:rPr>
              <w:t>. Lack of funds is one of the main reasons European businesses put forward as an obstacle to reskilling and upskilling. A more effective, targeted use of EU funds would help remedy these issues.</w:t>
            </w:r>
          </w:p>
          <w:p w14:paraId="1EFE41BB" w14:textId="62FC41DA" w:rsidR="00E37216" w:rsidRPr="008C3B04" w:rsidRDefault="00E37216" w:rsidP="008C3B04">
            <w:pPr>
              <w:widowControl w:val="0"/>
              <w:spacing w:before="120" w:after="120"/>
              <w:ind w:left="125" w:right="125"/>
              <w:jc w:val="both"/>
              <w:rPr>
                <w:rFonts w:ascii="Times New Roman" w:eastAsia="Times New Roman" w:hAnsi="Times New Roman"/>
                <w:sz w:val="24"/>
                <w:szCs w:val="24"/>
                <w:lang w:val="en-IE"/>
              </w:rPr>
            </w:pPr>
            <w:r w:rsidRPr="008C3B04">
              <w:rPr>
                <w:rFonts w:ascii="Times New Roman" w:eastAsia="Times New Roman" w:hAnsi="Times New Roman"/>
                <w:sz w:val="24"/>
                <w:szCs w:val="24"/>
                <w:lang w:val="en-IE"/>
              </w:rPr>
              <w:t>As part of the Union of skills, the upcoming STEM</w:t>
            </w:r>
            <w:r w:rsidR="008C23BE">
              <w:rPr>
                <w:rStyle w:val="FootnoteReference"/>
                <w:rFonts w:ascii="Times New Roman" w:eastAsia="Times New Roman" w:hAnsi="Times New Roman"/>
                <w:sz w:val="24"/>
                <w:szCs w:val="24"/>
                <w:lang w:val="en-IE"/>
              </w:rPr>
              <w:footnoteReference w:id="12"/>
            </w:r>
            <w:r w:rsidRPr="008C3B04">
              <w:rPr>
                <w:rFonts w:ascii="Times New Roman" w:eastAsia="Times New Roman" w:hAnsi="Times New Roman"/>
                <w:sz w:val="24"/>
                <w:szCs w:val="24"/>
                <w:lang w:val="en-IE"/>
              </w:rPr>
              <w:t xml:space="preserve"> Education Strategic Plan</w:t>
            </w:r>
            <w:r w:rsidR="000D2F61">
              <w:rPr>
                <w:rStyle w:val="FootnoteReference"/>
                <w:rFonts w:ascii="Times New Roman" w:eastAsia="Times New Roman" w:hAnsi="Times New Roman"/>
                <w:sz w:val="24"/>
                <w:szCs w:val="24"/>
                <w:lang w:val="en-IE"/>
              </w:rPr>
              <w:footnoteReference w:id="13"/>
            </w:r>
            <w:r w:rsidRPr="008C3B04">
              <w:rPr>
                <w:rFonts w:ascii="Times New Roman" w:eastAsia="Times New Roman" w:hAnsi="Times New Roman"/>
                <w:sz w:val="24"/>
                <w:szCs w:val="24"/>
                <w:lang w:val="en-IE"/>
              </w:rPr>
              <w:t xml:space="preserve"> will support Member States in developing coherent strategies in STEM education and training. It will foster partnerships between businesses and the education and training sector for a better alignment of skills with demand. It will offer a coordinated framework for action at EU and Member State levels, outlining concrete measures to boost STEM education, including </w:t>
            </w:r>
            <w:proofErr w:type="gramStart"/>
            <w:r w:rsidRPr="008C3B04">
              <w:rPr>
                <w:rFonts w:ascii="Times New Roman" w:eastAsia="Times New Roman" w:hAnsi="Times New Roman"/>
                <w:sz w:val="24"/>
                <w:szCs w:val="24"/>
                <w:lang w:val="en-IE"/>
              </w:rPr>
              <w:t>in the area of</w:t>
            </w:r>
            <w:proofErr w:type="gramEnd"/>
            <w:r w:rsidRPr="008C3B04">
              <w:rPr>
                <w:rFonts w:ascii="Times New Roman" w:eastAsia="Times New Roman" w:hAnsi="Times New Roman"/>
                <w:sz w:val="24"/>
                <w:szCs w:val="24"/>
                <w:lang w:val="en-IE"/>
              </w:rPr>
              <w:t xml:space="preserve"> vocational education and training, and strengthen Europe's position in an increasingly technology-driven world.</w:t>
            </w:r>
          </w:p>
          <w:p w14:paraId="0667A9B4" w14:textId="7E639C14" w:rsidR="2447E49F" w:rsidRPr="00395DCA" w:rsidRDefault="1EE065C8" w:rsidP="008C3B04">
            <w:pPr>
              <w:widowControl w:val="0"/>
              <w:spacing w:before="120" w:after="120"/>
              <w:ind w:left="125" w:right="125"/>
              <w:jc w:val="both"/>
              <w:rPr>
                <w:rFonts w:ascii="Times New Roman" w:eastAsia="Times New Roman" w:hAnsi="Times New Roman"/>
                <w:color w:val="000000"/>
                <w:sz w:val="24"/>
                <w:szCs w:val="24"/>
                <w:lang w:val="en-IE"/>
              </w:rPr>
            </w:pPr>
            <w:r w:rsidRPr="008C3B04">
              <w:rPr>
                <w:rFonts w:ascii="Times New Roman" w:eastAsia="Times New Roman" w:hAnsi="Times New Roman"/>
                <w:color w:val="000000"/>
                <w:sz w:val="24"/>
                <w:szCs w:val="24"/>
                <w:lang w:val="en-IE"/>
              </w:rPr>
              <w:t>A</w:t>
            </w:r>
            <w:r w:rsidR="01972D3F" w:rsidRPr="008C3B04">
              <w:rPr>
                <w:rFonts w:ascii="Times New Roman" w:eastAsia="Times New Roman" w:hAnsi="Times New Roman"/>
                <w:color w:val="000000"/>
                <w:sz w:val="24"/>
                <w:szCs w:val="24"/>
                <w:lang w:val="en-IE"/>
              </w:rPr>
              <w:t xml:space="preserve"> common training framework is a means to facilitate cross-border recognition of qualifications for </w:t>
            </w:r>
            <w:r w:rsidR="01972D3F" w:rsidRPr="008C3B04">
              <w:rPr>
                <w:rFonts w:ascii="Times New Roman" w:eastAsia="Times New Roman" w:hAnsi="Times New Roman"/>
                <w:color w:val="000000"/>
                <w:sz w:val="24"/>
                <w:szCs w:val="24"/>
                <w:lang w:val="en-IE"/>
              </w:rPr>
              <w:lastRenderedPageBreak/>
              <w:t xml:space="preserve">access to specific regulated professions. To establish it, the conditions of Article 49a of Directive </w:t>
            </w:r>
            <w:r w:rsidR="000D2F61" w:rsidRPr="00025A06">
              <w:rPr>
                <w:rFonts w:ascii="Times New Roman" w:hAnsi="Times New Roman"/>
                <w:sz w:val="24"/>
                <w:szCs w:val="24"/>
              </w:rPr>
              <w:t>on the recognition of professional qualifications</w:t>
            </w:r>
            <w:r w:rsidR="000D2F61">
              <w:rPr>
                <w:rStyle w:val="FootnoteReference"/>
                <w:rFonts w:ascii="Times New Roman" w:eastAsia="Times New Roman" w:hAnsi="Times New Roman"/>
                <w:color w:val="000000"/>
                <w:sz w:val="24"/>
                <w:szCs w:val="24"/>
                <w:lang w:val="en-IE"/>
              </w:rPr>
              <w:footnoteReference w:id="14"/>
            </w:r>
            <w:r w:rsidR="01972D3F" w:rsidRPr="008C3B04">
              <w:rPr>
                <w:rFonts w:ascii="Times New Roman" w:eastAsia="Times New Roman" w:hAnsi="Times New Roman"/>
                <w:color w:val="000000"/>
                <w:sz w:val="24"/>
                <w:szCs w:val="24"/>
                <w:lang w:val="en-IE"/>
              </w:rPr>
              <w:t xml:space="preserve"> must be fulfilled, and one of them is an existing degree of commonality in the education and training among Member States.</w:t>
            </w:r>
          </w:p>
          <w:p w14:paraId="51ED65B1" w14:textId="2C48A521" w:rsidR="0049246C" w:rsidRPr="008C3B04" w:rsidRDefault="6475213F" w:rsidP="008C3B04">
            <w:pPr>
              <w:widowControl w:val="0"/>
              <w:spacing w:before="120" w:after="120"/>
              <w:ind w:left="125" w:right="125"/>
              <w:jc w:val="both"/>
              <w:rPr>
                <w:rFonts w:ascii="Times New Roman" w:eastAsia="Times New Roman" w:hAnsi="Times New Roman"/>
                <w:color w:val="000000"/>
                <w:sz w:val="24"/>
                <w:szCs w:val="24"/>
                <w:lang w:val="en-US"/>
              </w:rPr>
            </w:pPr>
            <w:r w:rsidRPr="008C3B04">
              <w:rPr>
                <w:rFonts w:ascii="Times New Roman" w:eastAsia="Times New Roman" w:hAnsi="Times New Roman"/>
                <w:b/>
                <w:bCs/>
                <w:color w:val="000000"/>
                <w:sz w:val="24"/>
                <w:szCs w:val="24"/>
                <w:lang w:val="en-IE"/>
              </w:rPr>
              <w:t>Facing skill gaps</w:t>
            </w:r>
            <w:r w:rsidR="0016327D">
              <w:rPr>
                <w:rFonts w:ascii="Times New Roman" w:eastAsia="Times New Roman" w:hAnsi="Times New Roman"/>
                <w:b/>
                <w:bCs/>
                <w:color w:val="000000"/>
                <w:sz w:val="24"/>
                <w:szCs w:val="24"/>
                <w:lang w:val="en-IE"/>
              </w:rPr>
              <w:t>:</w:t>
            </w:r>
          </w:p>
          <w:p w14:paraId="1A4B91BA" w14:textId="3E83B75D" w:rsidR="0049246C" w:rsidRPr="00395DCA" w:rsidRDefault="37C3F6F6" w:rsidP="008C3B04">
            <w:pPr>
              <w:widowControl w:val="0"/>
              <w:spacing w:before="120" w:after="120"/>
              <w:ind w:left="125" w:right="125"/>
              <w:jc w:val="both"/>
              <w:rPr>
                <w:rFonts w:ascii="Times New Roman" w:eastAsia="Times New Roman" w:hAnsi="Times New Roman"/>
                <w:color w:val="000000"/>
                <w:sz w:val="24"/>
                <w:szCs w:val="24"/>
                <w:lang w:val="en-IE"/>
              </w:rPr>
            </w:pPr>
            <w:r w:rsidRPr="008C3B04">
              <w:rPr>
                <w:rFonts w:ascii="Times New Roman" w:eastAsia="Times New Roman" w:hAnsi="Times New Roman"/>
                <w:color w:val="000000"/>
                <w:sz w:val="24"/>
                <w:szCs w:val="24"/>
                <w:lang w:val="en-IE"/>
              </w:rPr>
              <w:t xml:space="preserve">A </w:t>
            </w:r>
            <w:r w:rsidR="0072138B" w:rsidRPr="008C3B04">
              <w:rPr>
                <w:rFonts w:ascii="Times New Roman" w:eastAsia="Times New Roman" w:hAnsi="Times New Roman"/>
                <w:sz w:val="24"/>
                <w:szCs w:val="24"/>
                <w:lang w:val="en-IE"/>
              </w:rPr>
              <w:t>persistent challenge hindering Europe’s effort</w:t>
            </w:r>
            <w:r w:rsidR="65821A4F" w:rsidRPr="008C3B04">
              <w:rPr>
                <w:rFonts w:ascii="Times New Roman" w:eastAsia="Times New Roman" w:hAnsi="Times New Roman"/>
                <w:sz w:val="24"/>
                <w:szCs w:val="24"/>
                <w:lang w:val="en-IE"/>
              </w:rPr>
              <w:t xml:space="preserve"> to attract and integrate skilled third-country nationals into Union labour markets is the slow and inefficient recognition of qualifications</w:t>
            </w:r>
            <w:r w:rsidR="194E270D" w:rsidRPr="008C3B04">
              <w:rPr>
                <w:rFonts w:ascii="Times New Roman" w:eastAsia="Times New Roman" w:hAnsi="Times New Roman"/>
                <w:sz w:val="24"/>
                <w:szCs w:val="24"/>
                <w:lang w:val="en-IE"/>
              </w:rPr>
              <w:t>, due to the lack of</w:t>
            </w:r>
            <w:r w:rsidR="15419B89" w:rsidRPr="008C3B04">
              <w:rPr>
                <w:rFonts w:ascii="Times New Roman" w:eastAsia="Times New Roman" w:hAnsi="Times New Roman"/>
                <w:sz w:val="24"/>
                <w:szCs w:val="24"/>
                <w:lang w:val="en-IE"/>
              </w:rPr>
              <w:t xml:space="preserve"> </w:t>
            </w:r>
            <w:r w:rsidR="65821A4F" w:rsidRPr="008C3B04">
              <w:rPr>
                <w:rFonts w:ascii="Times New Roman" w:eastAsia="Times New Roman" w:hAnsi="Times New Roman"/>
                <w:sz w:val="24"/>
                <w:szCs w:val="24"/>
                <w:lang w:val="en-IE"/>
              </w:rPr>
              <w:t xml:space="preserve">EU framework for </w:t>
            </w:r>
            <w:r w:rsidR="4EF97440" w:rsidRPr="008C3B04">
              <w:rPr>
                <w:rFonts w:ascii="Times New Roman" w:eastAsia="Times New Roman" w:hAnsi="Times New Roman"/>
                <w:sz w:val="24"/>
                <w:szCs w:val="24"/>
                <w:lang w:val="en-IE"/>
              </w:rPr>
              <w:t xml:space="preserve">those </w:t>
            </w:r>
            <w:r w:rsidR="65821A4F" w:rsidRPr="008C3B04">
              <w:rPr>
                <w:rFonts w:ascii="Times New Roman" w:eastAsia="Times New Roman" w:hAnsi="Times New Roman"/>
                <w:sz w:val="24"/>
                <w:szCs w:val="24"/>
                <w:lang w:val="en-IE"/>
              </w:rPr>
              <w:t xml:space="preserve">obtained in third countries. The </w:t>
            </w:r>
            <w:r w:rsidR="00E15577" w:rsidRPr="008C3B04">
              <w:rPr>
                <w:rFonts w:ascii="Times New Roman" w:eastAsia="Times New Roman" w:hAnsi="Times New Roman"/>
                <w:sz w:val="24"/>
                <w:szCs w:val="24"/>
                <w:lang w:val="en-IE"/>
              </w:rPr>
              <w:t xml:space="preserve">2024-2029 </w:t>
            </w:r>
            <w:r w:rsidR="65821A4F" w:rsidRPr="008C3B04">
              <w:rPr>
                <w:rFonts w:ascii="Times New Roman" w:eastAsia="Times New Roman" w:hAnsi="Times New Roman"/>
                <w:sz w:val="24"/>
                <w:szCs w:val="24"/>
                <w:lang w:val="en-IE"/>
              </w:rPr>
              <w:t>political guidelines of President von der Leyen announced an action to harmonise rules for the recognition of qualifications of third-country nationals</w:t>
            </w:r>
            <w:r w:rsidR="22B17343" w:rsidRPr="008C3B04">
              <w:rPr>
                <w:rFonts w:ascii="Times New Roman" w:eastAsia="Times New Roman" w:hAnsi="Times New Roman"/>
                <w:sz w:val="24"/>
                <w:szCs w:val="24"/>
                <w:lang w:val="en-IE"/>
              </w:rPr>
              <w:t xml:space="preserve"> and</w:t>
            </w:r>
            <w:r w:rsidR="65821A4F" w:rsidRPr="008C3B04">
              <w:rPr>
                <w:rFonts w:ascii="Times New Roman" w:eastAsia="Times New Roman" w:hAnsi="Times New Roman"/>
                <w:sz w:val="24"/>
                <w:szCs w:val="24"/>
                <w:lang w:val="en-IE"/>
              </w:rPr>
              <w:t xml:space="preserve"> would aim to streamline procedures, particularly for regulated professions, enhancing the EU’s attractiveness as a destination for skilled workers.</w:t>
            </w:r>
          </w:p>
          <w:p w14:paraId="5523748F" w14:textId="070E4925" w:rsidR="0049246C" w:rsidRPr="008C3B04" w:rsidRDefault="01A46BE7" w:rsidP="008C3B04">
            <w:pPr>
              <w:widowControl w:val="0"/>
              <w:spacing w:before="120" w:after="120"/>
              <w:ind w:left="125" w:right="125"/>
              <w:jc w:val="both"/>
              <w:rPr>
                <w:rFonts w:ascii="Times New Roman" w:eastAsia="Times New Roman" w:hAnsi="Times New Roman"/>
                <w:color w:val="000000"/>
                <w:sz w:val="24"/>
                <w:szCs w:val="24"/>
                <w:lang w:val="en-IE"/>
              </w:rPr>
            </w:pPr>
            <w:proofErr w:type="gramStart"/>
            <w:r w:rsidRPr="008C3B04">
              <w:rPr>
                <w:rFonts w:ascii="Times New Roman" w:eastAsia="Times New Roman" w:hAnsi="Times New Roman"/>
                <w:color w:val="000000"/>
                <w:sz w:val="24"/>
                <w:szCs w:val="24"/>
              </w:rPr>
              <w:t>With regard to</w:t>
            </w:r>
            <w:proofErr w:type="gramEnd"/>
            <w:r w:rsidRPr="008C3B04">
              <w:rPr>
                <w:rFonts w:ascii="Times New Roman" w:eastAsia="Times New Roman" w:hAnsi="Times New Roman"/>
                <w:color w:val="000000"/>
                <w:sz w:val="24"/>
                <w:szCs w:val="24"/>
              </w:rPr>
              <w:t xml:space="preserve"> Talent Pool, the Commission would like to clarify that its main focus is on matching EU-based employers with jobseekers from outside the EU</w:t>
            </w:r>
            <w:r w:rsidR="00E15577" w:rsidRPr="008C3B04">
              <w:rPr>
                <w:rFonts w:ascii="Times New Roman" w:eastAsia="Times New Roman" w:hAnsi="Times New Roman"/>
                <w:color w:val="000000"/>
                <w:sz w:val="24"/>
                <w:szCs w:val="24"/>
              </w:rPr>
              <w:t>. M</w:t>
            </w:r>
            <w:r w:rsidRPr="008C3B04">
              <w:rPr>
                <w:rFonts w:ascii="Times New Roman" w:eastAsia="Times New Roman" w:hAnsi="Times New Roman"/>
                <w:color w:val="000000"/>
                <w:sz w:val="24"/>
                <w:szCs w:val="24"/>
              </w:rPr>
              <w:t xml:space="preserve">atching EU-based jobseekers with vacancies outside the EU, or matching between enterprises, falls outside of the scope of the Talent Pool. Concerning the reference to the </w:t>
            </w:r>
            <w:hyperlink r:id="rId10" w:tgtFrame="_blank" w:history="1">
              <w:r w:rsidR="002E0ADC" w:rsidRPr="00025A06">
                <w:rPr>
                  <w:rFonts w:ascii="Times New Roman" w:hAnsi="Times New Roman"/>
                  <w:color w:val="000000"/>
                  <w:sz w:val="24"/>
                  <w:szCs w:val="24"/>
                </w:rPr>
                <w:t>European Skills, Competences, Qualifications and Occupations</w:t>
              </w:r>
            </w:hyperlink>
            <w:r w:rsidR="002E0ADC" w:rsidRPr="002E0ADC">
              <w:rPr>
                <w:rFonts w:ascii="Times New Roman" w:eastAsia="Times New Roman" w:hAnsi="Times New Roman"/>
                <w:color w:val="000000"/>
                <w:sz w:val="24"/>
                <w:szCs w:val="24"/>
              </w:rPr>
              <w:t xml:space="preserve"> (</w:t>
            </w:r>
            <w:r w:rsidRPr="002E0ADC">
              <w:rPr>
                <w:rFonts w:ascii="Times New Roman" w:eastAsia="Times New Roman" w:hAnsi="Times New Roman"/>
                <w:color w:val="000000"/>
                <w:sz w:val="24"/>
                <w:szCs w:val="24"/>
              </w:rPr>
              <w:t>ESCO</w:t>
            </w:r>
            <w:r w:rsidR="002E0ADC" w:rsidRPr="002E0ADC">
              <w:rPr>
                <w:rFonts w:ascii="Times New Roman" w:eastAsia="Times New Roman" w:hAnsi="Times New Roman"/>
                <w:color w:val="000000"/>
                <w:sz w:val="24"/>
                <w:szCs w:val="24"/>
              </w:rPr>
              <w:t>)</w:t>
            </w:r>
            <w:r w:rsidRPr="002E0ADC">
              <w:rPr>
                <w:rFonts w:ascii="Times New Roman" w:eastAsia="Times New Roman" w:hAnsi="Times New Roman"/>
                <w:color w:val="000000"/>
                <w:sz w:val="24"/>
                <w:szCs w:val="24"/>
              </w:rPr>
              <w:t xml:space="preserve"> taxonomy in paragr</w:t>
            </w:r>
            <w:r w:rsidRPr="008C3B04">
              <w:rPr>
                <w:rFonts w:ascii="Times New Roman" w:eastAsia="Times New Roman" w:hAnsi="Times New Roman"/>
                <w:color w:val="000000"/>
                <w:sz w:val="24"/>
                <w:szCs w:val="24"/>
              </w:rPr>
              <w:t>aph 5.2, the Commission would like to rectify there are 591 green skills, transversal skills and knowledge concepts in the revised version of ESCO.</w:t>
            </w:r>
          </w:p>
          <w:p w14:paraId="30D14481" w14:textId="4E67A8FF" w:rsidR="0049246C" w:rsidRDefault="72E90FAA" w:rsidP="008C3B04">
            <w:pPr>
              <w:widowControl w:val="0"/>
              <w:spacing w:before="120" w:after="120"/>
              <w:ind w:left="125" w:right="125"/>
              <w:jc w:val="both"/>
              <w:rPr>
                <w:rFonts w:ascii="Times New Roman" w:eastAsia="Times New Roman" w:hAnsi="Times New Roman"/>
                <w:b/>
                <w:bCs/>
                <w:color w:val="000000"/>
                <w:sz w:val="24"/>
                <w:szCs w:val="24"/>
                <w:lang w:val="en-IE"/>
              </w:rPr>
            </w:pPr>
            <w:r w:rsidRPr="008C3B04">
              <w:rPr>
                <w:rFonts w:ascii="Times New Roman" w:eastAsia="Times New Roman" w:hAnsi="Times New Roman"/>
                <w:color w:val="000000"/>
                <w:sz w:val="24"/>
                <w:szCs w:val="24"/>
                <w:lang w:val="en-IE"/>
              </w:rPr>
              <w:t>D</w:t>
            </w:r>
            <w:r w:rsidR="48A3D2CC" w:rsidRPr="008C3B04">
              <w:rPr>
                <w:rFonts w:ascii="Times New Roman" w:eastAsia="Times New Roman" w:hAnsi="Times New Roman"/>
                <w:color w:val="000000"/>
                <w:sz w:val="24"/>
                <w:szCs w:val="24"/>
                <w:lang w:val="en-IE"/>
              </w:rPr>
              <w:t xml:space="preserve">isproportionate regulation </w:t>
            </w:r>
            <w:r w:rsidR="415A8D16" w:rsidRPr="008C3B04">
              <w:rPr>
                <w:rFonts w:ascii="Times New Roman" w:eastAsia="Times New Roman" w:hAnsi="Times New Roman"/>
                <w:color w:val="000000"/>
                <w:sz w:val="24"/>
                <w:szCs w:val="24"/>
                <w:lang w:val="en-IE"/>
              </w:rPr>
              <w:t>of professions is a major barrier in the Single Market.</w:t>
            </w:r>
            <w:r w:rsidR="00913653" w:rsidRPr="008C3B04">
              <w:rPr>
                <w:rFonts w:ascii="Times New Roman" w:eastAsia="Times New Roman" w:hAnsi="Times New Roman"/>
                <w:color w:val="000000"/>
                <w:sz w:val="24"/>
                <w:szCs w:val="24"/>
                <w:lang w:val="en-IE"/>
              </w:rPr>
              <w:t xml:space="preserve"> There are currently still around 5,700 regulated professions in the EU.</w:t>
            </w:r>
            <w:r w:rsidR="415A8D16" w:rsidRPr="008C3B04">
              <w:rPr>
                <w:rFonts w:ascii="Times New Roman" w:eastAsia="Times New Roman" w:hAnsi="Times New Roman"/>
                <w:color w:val="000000"/>
                <w:sz w:val="24"/>
                <w:szCs w:val="24"/>
                <w:lang w:val="en-IE"/>
              </w:rPr>
              <w:t xml:space="preserve"> Member States should not maintain or introduce unnecessary professional requirements to access economic activities. Indeed, formal recognition of qualifications in another Member State is only needed where specific qualifications are required by law to access a given profession. EU rules, </w:t>
            </w:r>
            <w:proofErr w:type="gramStart"/>
            <w:r w:rsidR="415A8D16" w:rsidRPr="008C3B04">
              <w:rPr>
                <w:rFonts w:ascii="Times New Roman" w:eastAsia="Times New Roman" w:hAnsi="Times New Roman"/>
                <w:color w:val="000000"/>
                <w:sz w:val="24"/>
                <w:szCs w:val="24"/>
                <w:lang w:val="en-IE"/>
              </w:rPr>
              <w:t>in particular</w:t>
            </w:r>
            <w:proofErr w:type="gramEnd"/>
            <w:r w:rsidR="415A8D16" w:rsidRPr="008C3B04">
              <w:rPr>
                <w:rFonts w:ascii="Times New Roman" w:eastAsia="Times New Roman" w:hAnsi="Times New Roman"/>
                <w:color w:val="000000"/>
                <w:sz w:val="24"/>
                <w:szCs w:val="24"/>
                <w:lang w:val="en-IE"/>
              </w:rPr>
              <w:t xml:space="preserve"> </w:t>
            </w:r>
            <w:r w:rsidR="00E15577" w:rsidRPr="008C3B04">
              <w:rPr>
                <w:rFonts w:ascii="Times New Roman" w:eastAsia="Times New Roman" w:hAnsi="Times New Roman"/>
                <w:color w:val="000000"/>
                <w:sz w:val="24"/>
                <w:szCs w:val="24"/>
                <w:lang w:val="en-IE"/>
              </w:rPr>
              <w:t xml:space="preserve">the </w:t>
            </w:r>
            <w:r w:rsidR="415A8D16" w:rsidRPr="008C3B04">
              <w:rPr>
                <w:rFonts w:ascii="Times New Roman" w:eastAsia="Times New Roman" w:hAnsi="Times New Roman"/>
                <w:color w:val="000000"/>
                <w:sz w:val="24"/>
                <w:szCs w:val="24"/>
                <w:lang w:val="en-IE"/>
              </w:rPr>
              <w:t xml:space="preserve">Directive </w:t>
            </w:r>
            <w:r w:rsidR="00E15577" w:rsidRPr="008C3B04">
              <w:rPr>
                <w:rFonts w:ascii="Times New Roman" w:eastAsia="Times New Roman" w:hAnsi="Times New Roman"/>
                <w:color w:val="000000"/>
                <w:sz w:val="24"/>
                <w:szCs w:val="24"/>
                <w:lang w:val="en-IE"/>
              </w:rPr>
              <w:t>on the recognition of professional qualifications</w:t>
            </w:r>
            <w:r w:rsidR="415A8D16" w:rsidRPr="008C3B04">
              <w:rPr>
                <w:rFonts w:ascii="Times New Roman" w:eastAsia="Times New Roman" w:hAnsi="Times New Roman"/>
                <w:color w:val="000000"/>
                <w:sz w:val="24"/>
                <w:szCs w:val="24"/>
                <w:lang w:val="en-IE"/>
              </w:rPr>
              <w:t>, facilitate the process of cross-border recognition of qualifications in such cases. The European Court of Auditors (ECA) published a special report in 2024</w:t>
            </w:r>
            <w:r w:rsidR="002E0ADC">
              <w:rPr>
                <w:rStyle w:val="FootnoteReference"/>
                <w:rFonts w:ascii="Times New Roman" w:eastAsia="Times New Roman" w:hAnsi="Times New Roman"/>
                <w:color w:val="000000"/>
                <w:sz w:val="24"/>
                <w:szCs w:val="24"/>
                <w:lang w:val="en-IE"/>
              </w:rPr>
              <w:footnoteReference w:id="15"/>
            </w:r>
            <w:r w:rsidR="415A8D16" w:rsidRPr="008C3B04">
              <w:rPr>
                <w:rFonts w:ascii="Times New Roman" w:eastAsia="Times New Roman" w:hAnsi="Times New Roman"/>
                <w:color w:val="000000"/>
                <w:sz w:val="24"/>
                <w:szCs w:val="24"/>
                <w:lang w:val="en-IE"/>
              </w:rPr>
              <w:t xml:space="preserve">, in which it held that the recognition of professional qualifications is an essential mechanism for the EU. ECA also indicated areas for further improvement, issuing four targeted recommendations. The Commission welcomed the report and is currently preparing the next periodic assessment of the functioning of </w:t>
            </w:r>
            <w:r w:rsidR="00E5214F" w:rsidRPr="008C3B04">
              <w:rPr>
                <w:rFonts w:ascii="Times New Roman" w:eastAsia="Times New Roman" w:hAnsi="Times New Roman"/>
                <w:color w:val="000000"/>
                <w:sz w:val="24"/>
                <w:szCs w:val="24"/>
                <w:lang w:val="en-IE"/>
              </w:rPr>
              <w:t xml:space="preserve">the </w:t>
            </w:r>
            <w:r w:rsidR="415A8D16" w:rsidRPr="008C3B04">
              <w:rPr>
                <w:rFonts w:ascii="Times New Roman" w:eastAsia="Times New Roman" w:hAnsi="Times New Roman"/>
                <w:color w:val="000000"/>
                <w:sz w:val="24"/>
                <w:szCs w:val="24"/>
                <w:lang w:val="en-IE"/>
              </w:rPr>
              <w:t>Directive to be published mid-2025.</w:t>
            </w:r>
          </w:p>
        </w:tc>
      </w:tr>
    </w:tbl>
    <w:p w14:paraId="6AF07B14" w14:textId="26AEAB66" w:rsidR="004F6117" w:rsidRPr="008C3B04" w:rsidRDefault="004F6117" w:rsidP="008C3B04">
      <w:pPr>
        <w:widowControl w:val="0"/>
        <w:spacing w:after="0" w:line="240" w:lineRule="auto"/>
        <w:ind w:left="-567"/>
        <w:rPr>
          <w:rFonts w:ascii="Times New Roman" w:hAnsi="Times New Roman"/>
          <w:bCs/>
          <w:sz w:val="16"/>
          <w:szCs w:val="16"/>
        </w:rPr>
      </w:pPr>
    </w:p>
    <w:sectPr w:rsidR="004F6117" w:rsidRPr="008C3B0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A1D4" w14:textId="77777777" w:rsidR="00E97351" w:rsidRDefault="00E97351" w:rsidP="00FF63EA">
      <w:pPr>
        <w:spacing w:after="0" w:line="240" w:lineRule="auto"/>
      </w:pPr>
      <w:r>
        <w:separator/>
      </w:r>
    </w:p>
  </w:endnote>
  <w:endnote w:type="continuationSeparator" w:id="0">
    <w:p w14:paraId="5085765E" w14:textId="77777777" w:rsidR="00E97351" w:rsidRDefault="00E97351" w:rsidP="00FF63EA">
      <w:pPr>
        <w:spacing w:after="0" w:line="240" w:lineRule="auto"/>
      </w:pPr>
      <w:r>
        <w:continuationSeparator/>
      </w:r>
    </w:p>
  </w:endnote>
  <w:endnote w:type="continuationNotice" w:id="1">
    <w:p w14:paraId="40CFD864" w14:textId="77777777" w:rsidR="00E97351" w:rsidRDefault="00E97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30B5" w14:textId="77777777" w:rsidR="00025A06" w:rsidRDefault="00025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FB0C" w14:textId="77777777" w:rsidR="00E53CE9" w:rsidRDefault="00E53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C686" w14:textId="77777777" w:rsidR="00025A06" w:rsidRDefault="00025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60C4" w14:textId="77777777" w:rsidR="00E97351" w:rsidRDefault="00E97351" w:rsidP="00FF63EA">
      <w:pPr>
        <w:spacing w:after="0" w:line="240" w:lineRule="auto"/>
      </w:pPr>
      <w:r>
        <w:separator/>
      </w:r>
    </w:p>
  </w:footnote>
  <w:footnote w:type="continuationSeparator" w:id="0">
    <w:p w14:paraId="4F123589" w14:textId="77777777" w:rsidR="00E97351" w:rsidRDefault="00E97351" w:rsidP="00FF63EA">
      <w:pPr>
        <w:spacing w:after="0" w:line="240" w:lineRule="auto"/>
      </w:pPr>
      <w:r>
        <w:continuationSeparator/>
      </w:r>
    </w:p>
  </w:footnote>
  <w:footnote w:type="continuationNotice" w:id="1">
    <w:p w14:paraId="7BB550BD" w14:textId="77777777" w:rsidR="00E97351" w:rsidRDefault="00E97351">
      <w:pPr>
        <w:spacing w:after="0" w:line="240" w:lineRule="auto"/>
      </w:pPr>
    </w:p>
  </w:footnote>
  <w:footnote w:id="2">
    <w:p w14:paraId="53DD259A" w14:textId="347279E9" w:rsidR="00383255" w:rsidRPr="0016327D" w:rsidRDefault="00383255" w:rsidP="00025A06">
      <w:pPr>
        <w:pStyle w:val="FootnoteText"/>
        <w:spacing w:after="0" w:line="240" w:lineRule="auto"/>
        <w:ind w:left="-141" w:right="-426" w:hanging="284"/>
        <w:jc w:val="both"/>
        <w:rPr>
          <w:rFonts w:ascii="Times New Roman" w:hAnsi="Times New Roman"/>
          <w:lang w:val="en-IE"/>
        </w:rPr>
      </w:pPr>
      <w:r w:rsidRPr="0016327D">
        <w:rPr>
          <w:rStyle w:val="FootnoteReference"/>
          <w:rFonts w:ascii="Times New Roman" w:hAnsi="Times New Roman"/>
        </w:rPr>
        <w:footnoteRef/>
      </w:r>
      <w:r w:rsidRPr="0016327D">
        <w:rPr>
          <w:rFonts w:ascii="Times New Roman" w:hAnsi="Times New Roman"/>
        </w:rPr>
        <w:t xml:space="preserve"> </w:t>
      </w:r>
      <w:r w:rsidRPr="0016327D">
        <w:rPr>
          <w:rFonts w:ascii="Times New Roman" w:hAnsi="Times New Roman"/>
          <w:lang w:val="en-IE"/>
        </w:rPr>
        <w:tab/>
      </w:r>
      <w:hyperlink r:id="rId1" w:history="1">
        <w:r w:rsidRPr="0016327D">
          <w:rPr>
            <w:rStyle w:val="Hyperlink"/>
            <w:rFonts w:ascii="Times New Roman" w:hAnsi="Times New Roman"/>
          </w:rPr>
          <w:t>The Antwerp Declaration for a European Industrial Deal</w:t>
        </w:r>
      </w:hyperlink>
      <w:r w:rsidRPr="0016327D">
        <w:rPr>
          <w:rFonts w:ascii="Times New Roman" w:hAnsi="Times New Roman"/>
          <w:lang w:val="en-IE"/>
        </w:rPr>
        <w:t>.</w:t>
      </w:r>
    </w:p>
  </w:footnote>
  <w:footnote w:id="3">
    <w:p w14:paraId="33F92798" w14:textId="7EE48C86" w:rsidR="00383255" w:rsidRPr="0016327D" w:rsidRDefault="00383255" w:rsidP="00025A06">
      <w:pPr>
        <w:pStyle w:val="FootnoteText"/>
        <w:spacing w:after="0" w:line="240" w:lineRule="auto"/>
        <w:ind w:left="-141" w:right="-426" w:hanging="284"/>
        <w:jc w:val="both"/>
        <w:rPr>
          <w:rFonts w:ascii="Times New Roman" w:hAnsi="Times New Roman"/>
          <w:lang w:val="pt-PT"/>
        </w:rPr>
      </w:pPr>
      <w:r w:rsidRPr="0016327D">
        <w:rPr>
          <w:rStyle w:val="FootnoteReference"/>
          <w:rFonts w:ascii="Times New Roman" w:hAnsi="Times New Roman"/>
        </w:rPr>
        <w:footnoteRef/>
      </w:r>
      <w:r w:rsidRPr="0016327D">
        <w:rPr>
          <w:rFonts w:ascii="Times New Roman" w:hAnsi="Times New Roman"/>
          <w:lang w:val="pt-PT"/>
        </w:rPr>
        <w:t xml:space="preserve"> </w:t>
      </w:r>
      <w:r w:rsidRPr="0016327D">
        <w:rPr>
          <w:rFonts w:ascii="Times New Roman" w:hAnsi="Times New Roman"/>
          <w:lang w:val="pt-PT"/>
        </w:rPr>
        <w:tab/>
        <w:t>COM(2025) 30 final (</w:t>
      </w:r>
      <w:r>
        <w:fldChar w:fldCharType="begin"/>
      </w:r>
      <w:r w:rsidRPr="006E034B">
        <w:rPr>
          <w:lang w:val="pt-PT"/>
        </w:rPr>
        <w:instrText>HYPERLINK "https://commission.europa.eu/document/download/10017eb1-4722-4333-add2-e0ed18105a34_en?filename=Communication_1.pdf"</w:instrText>
      </w:r>
      <w:r>
        <w:fldChar w:fldCharType="separate"/>
      </w:r>
      <w:r w:rsidRPr="0016327D">
        <w:rPr>
          <w:rStyle w:val="Hyperlink"/>
          <w:rFonts w:ascii="Times New Roman" w:hAnsi="Times New Roman"/>
          <w:lang w:val="pt-PT"/>
        </w:rPr>
        <w:t>10017eb1-4722-4333-add2-e0ed18105a34_en</w:t>
      </w:r>
      <w:r>
        <w:fldChar w:fldCharType="end"/>
      </w:r>
      <w:r w:rsidRPr="0016327D">
        <w:rPr>
          <w:rFonts w:ascii="Times New Roman" w:hAnsi="Times New Roman"/>
          <w:lang w:val="pt-PT"/>
        </w:rPr>
        <w:t>).</w:t>
      </w:r>
    </w:p>
  </w:footnote>
  <w:footnote w:id="4">
    <w:p w14:paraId="14F09360" w14:textId="71569B67" w:rsidR="00383255" w:rsidRPr="0016327D" w:rsidRDefault="00383255" w:rsidP="00025A06">
      <w:pPr>
        <w:pStyle w:val="FootnoteText"/>
        <w:spacing w:after="0" w:line="240" w:lineRule="auto"/>
        <w:ind w:left="-141" w:right="-426" w:hanging="284"/>
        <w:jc w:val="both"/>
        <w:rPr>
          <w:rFonts w:ascii="Times New Roman" w:hAnsi="Times New Roman"/>
          <w:lang w:val="pt-PT"/>
        </w:rPr>
      </w:pPr>
      <w:r w:rsidRPr="0016327D">
        <w:rPr>
          <w:rStyle w:val="FootnoteReference"/>
          <w:rFonts w:ascii="Times New Roman" w:hAnsi="Times New Roman"/>
        </w:rPr>
        <w:footnoteRef/>
      </w:r>
      <w:r w:rsidRPr="0016327D">
        <w:rPr>
          <w:rFonts w:ascii="Times New Roman" w:hAnsi="Times New Roman"/>
          <w:lang w:val="pt-PT"/>
        </w:rPr>
        <w:t xml:space="preserve"> </w:t>
      </w:r>
      <w:r w:rsidRPr="0016327D">
        <w:rPr>
          <w:rFonts w:ascii="Times New Roman" w:hAnsi="Times New Roman"/>
          <w:lang w:val="pt-PT"/>
        </w:rPr>
        <w:tab/>
        <w:t>COM(2023) 535 final (</w:t>
      </w:r>
      <w:r>
        <w:fldChar w:fldCharType="begin"/>
      </w:r>
      <w:r w:rsidRPr="006E034B">
        <w:rPr>
          <w:lang w:val="pt-PT"/>
        </w:rPr>
        <w:instrText>HYPERLINK "https://single-market-economy.ec.europa.eu/document/download/8b64cc33-b9d9-4a73-b470-8fae8a59dba5_en?filename=COM_2023_535_1_EN_ACT_part1_v12.pdf"</w:instrText>
      </w:r>
      <w:r>
        <w:fldChar w:fldCharType="separate"/>
      </w:r>
      <w:r w:rsidRPr="0016327D">
        <w:rPr>
          <w:rStyle w:val="Hyperlink"/>
          <w:rFonts w:ascii="Times New Roman" w:hAnsi="Times New Roman"/>
          <w:lang w:val="pt-PT"/>
        </w:rPr>
        <w:t>8b64cc33-b9d9-4a73-b470-8fae8a59dba5_en</w:t>
      </w:r>
      <w:r>
        <w:fldChar w:fldCharType="end"/>
      </w:r>
      <w:r w:rsidRPr="0016327D">
        <w:rPr>
          <w:rFonts w:ascii="Times New Roman" w:hAnsi="Times New Roman"/>
          <w:lang w:val="pt-PT"/>
        </w:rPr>
        <w:t>).</w:t>
      </w:r>
    </w:p>
  </w:footnote>
  <w:footnote w:id="5">
    <w:p w14:paraId="76513D53" w14:textId="1E0BFB53" w:rsidR="00C103F6" w:rsidRPr="0016327D" w:rsidRDefault="00C103F6" w:rsidP="00025A06">
      <w:pPr>
        <w:pStyle w:val="FootnoteText"/>
        <w:spacing w:after="0" w:line="240" w:lineRule="auto"/>
        <w:ind w:left="-141" w:right="-426" w:hanging="284"/>
        <w:jc w:val="both"/>
        <w:rPr>
          <w:rFonts w:ascii="Times New Roman" w:hAnsi="Times New Roman"/>
          <w:lang w:val="en-IE"/>
        </w:rPr>
      </w:pPr>
      <w:r w:rsidRPr="0016327D">
        <w:rPr>
          <w:rStyle w:val="FootnoteReference"/>
          <w:rFonts w:ascii="Times New Roman" w:hAnsi="Times New Roman"/>
        </w:rPr>
        <w:footnoteRef/>
      </w:r>
      <w:r w:rsidRPr="0016327D">
        <w:rPr>
          <w:rFonts w:ascii="Times New Roman" w:hAnsi="Times New Roman"/>
        </w:rPr>
        <w:t xml:space="preserve"> </w:t>
      </w:r>
      <w:r w:rsidRPr="0016327D">
        <w:rPr>
          <w:rFonts w:ascii="Times New Roman" w:hAnsi="Times New Roman"/>
          <w:lang w:val="en-IE"/>
        </w:rPr>
        <w:tab/>
      </w:r>
      <w:r w:rsidRPr="0016327D">
        <w:rPr>
          <w:rFonts w:ascii="Times New Roman" w:hAnsi="Times New Roman"/>
        </w:rPr>
        <w:t>Council Recommendation of 16 June 2022 on ensuring a fair transition towards climate neutrality 2022/C 243/04 (</w:t>
      </w:r>
      <w:hyperlink r:id="rId2" w:history="1">
        <w:r w:rsidRPr="0016327D">
          <w:rPr>
            <w:rStyle w:val="Hyperlink"/>
            <w:rFonts w:ascii="Times New Roman" w:hAnsi="Times New Roman"/>
          </w:rPr>
          <w:t>EUR-Lex - 32022H0627(04) - EN - EUR-Lex</w:t>
        </w:r>
      </w:hyperlink>
      <w:r w:rsidRPr="0016327D">
        <w:rPr>
          <w:rFonts w:ascii="Times New Roman" w:hAnsi="Times New Roman"/>
        </w:rPr>
        <w:t>).</w:t>
      </w:r>
    </w:p>
  </w:footnote>
  <w:footnote w:id="6">
    <w:p w14:paraId="36D80F79" w14:textId="4FD31765" w:rsidR="00C103F6" w:rsidRPr="0016327D" w:rsidRDefault="00C103F6" w:rsidP="00025A06">
      <w:pPr>
        <w:pStyle w:val="FootnoteText"/>
        <w:spacing w:after="0" w:line="240" w:lineRule="auto"/>
        <w:ind w:left="-141" w:hanging="284"/>
        <w:rPr>
          <w:rFonts w:ascii="Times New Roman" w:hAnsi="Times New Roman"/>
          <w:lang w:val="pt-PT"/>
        </w:rPr>
      </w:pPr>
      <w:r w:rsidRPr="0016327D">
        <w:rPr>
          <w:rStyle w:val="FootnoteReference"/>
          <w:rFonts w:ascii="Times New Roman" w:hAnsi="Times New Roman"/>
        </w:rPr>
        <w:footnoteRef/>
      </w:r>
      <w:r w:rsidRPr="0016327D">
        <w:rPr>
          <w:rFonts w:ascii="Times New Roman" w:hAnsi="Times New Roman"/>
          <w:lang w:val="pt-PT"/>
        </w:rPr>
        <w:t xml:space="preserve"> </w:t>
      </w:r>
      <w:r w:rsidRPr="0016327D">
        <w:rPr>
          <w:rFonts w:ascii="Times New Roman" w:hAnsi="Times New Roman"/>
          <w:lang w:val="pt-PT"/>
        </w:rPr>
        <w:tab/>
        <w:t>COM(2025) 85 final (</w:t>
      </w:r>
      <w:r>
        <w:fldChar w:fldCharType="begin"/>
      </w:r>
      <w:r w:rsidRPr="006E034B">
        <w:rPr>
          <w:lang w:val="pt-PT"/>
        </w:rPr>
        <w:instrText>HYPERLINK "https://commission.europa.eu/document/download/9db1c5c8-9e82-467b-ab6a-905feeb4b6b0_en?filename=Communication%20-%20Clean%20Industrial%20Deal_en.pdf"</w:instrText>
      </w:r>
      <w:r>
        <w:fldChar w:fldCharType="separate"/>
      </w:r>
      <w:r w:rsidRPr="0016327D">
        <w:rPr>
          <w:rStyle w:val="Hyperlink"/>
          <w:rFonts w:ascii="Times New Roman" w:hAnsi="Times New Roman"/>
          <w:lang w:val="pt-PT"/>
        </w:rPr>
        <w:t>9db1c5c8-9e82-467b-ab6a-905feeb4b6b0_en</w:t>
      </w:r>
      <w:r>
        <w:fldChar w:fldCharType="end"/>
      </w:r>
      <w:r w:rsidRPr="0016327D">
        <w:rPr>
          <w:rFonts w:ascii="Times New Roman" w:hAnsi="Times New Roman"/>
          <w:lang w:val="pt-PT"/>
        </w:rPr>
        <w:t>).</w:t>
      </w:r>
    </w:p>
  </w:footnote>
  <w:footnote w:id="7">
    <w:p w14:paraId="154E16CF" w14:textId="30253356" w:rsidR="000D2F61" w:rsidRPr="0016327D" w:rsidRDefault="000D2F61" w:rsidP="00025A06">
      <w:pPr>
        <w:pStyle w:val="FootnoteText"/>
        <w:widowControl w:val="0"/>
        <w:spacing w:after="0" w:line="240" w:lineRule="auto"/>
        <w:ind w:left="-141" w:right="-425" w:hanging="284"/>
        <w:jc w:val="both"/>
        <w:rPr>
          <w:rFonts w:ascii="Times New Roman" w:hAnsi="Times New Roman"/>
          <w:lang w:val="en-IE"/>
        </w:rPr>
      </w:pPr>
      <w:r>
        <w:rPr>
          <w:rStyle w:val="FootnoteReference"/>
        </w:rPr>
        <w:footnoteRef/>
      </w:r>
      <w:r>
        <w:t xml:space="preserve"> </w:t>
      </w:r>
      <w:r w:rsidRPr="0016327D">
        <w:rPr>
          <w:rFonts w:ascii="Times New Roman" w:hAnsi="Times New Roman"/>
          <w:lang w:val="en-IE"/>
        </w:rPr>
        <w:tab/>
      </w:r>
      <w:hyperlink r:id="rId3" w:history="1">
        <w:r w:rsidRPr="0016327D">
          <w:rPr>
            <w:rStyle w:val="Hyperlink"/>
            <w:rFonts w:ascii="Times New Roman" w:hAnsi="Times New Roman"/>
          </w:rPr>
          <w:t>INTERNAL MARKET, INDUSTRY, ENTREPRENEURSHIP AND SMES - With the Net-zero Industry Academies, the Commission acts to train Europe’s workforce for the net-zero economy</w:t>
        </w:r>
      </w:hyperlink>
      <w:r w:rsidRPr="0016327D">
        <w:rPr>
          <w:rFonts w:ascii="Times New Roman" w:hAnsi="Times New Roman"/>
          <w:lang w:val="en-IE"/>
        </w:rPr>
        <w:t>.</w:t>
      </w:r>
    </w:p>
  </w:footnote>
  <w:footnote w:id="8">
    <w:p w14:paraId="6596E1E0" w14:textId="6A4B9281" w:rsidR="008C23BE" w:rsidRPr="0016327D" w:rsidRDefault="008C23BE" w:rsidP="00025A06">
      <w:pPr>
        <w:pStyle w:val="FootnoteText"/>
        <w:widowControl w:val="0"/>
        <w:spacing w:after="0" w:line="20" w:lineRule="atLeast"/>
        <w:ind w:left="-142" w:hanging="284"/>
        <w:rPr>
          <w:rFonts w:ascii="Times New Roman" w:hAnsi="Times New Roman"/>
          <w:lang w:val="en-IE"/>
        </w:rPr>
      </w:pPr>
      <w:r w:rsidRPr="0016327D">
        <w:rPr>
          <w:rStyle w:val="FootnoteReference"/>
          <w:rFonts w:ascii="Times New Roman" w:hAnsi="Times New Roman"/>
        </w:rPr>
        <w:footnoteRef/>
      </w:r>
      <w:r w:rsidRPr="0016327D">
        <w:rPr>
          <w:rFonts w:ascii="Times New Roman" w:hAnsi="Times New Roman"/>
        </w:rPr>
        <w:t xml:space="preserve"> </w:t>
      </w:r>
      <w:r w:rsidRPr="0016327D">
        <w:rPr>
          <w:rFonts w:ascii="Times New Roman" w:hAnsi="Times New Roman"/>
          <w:lang w:val="en-IE"/>
        </w:rPr>
        <w:tab/>
      </w:r>
      <w:hyperlink r:id="rId4" w:history="1">
        <w:r w:rsidRPr="0016327D">
          <w:rPr>
            <w:rStyle w:val="Hyperlink"/>
            <w:rFonts w:ascii="Times New Roman" w:hAnsi="Times New Roman"/>
            <w:lang w:val="en-IE"/>
          </w:rPr>
          <w:t>https://eit.europa.eu/</w:t>
        </w:r>
      </w:hyperlink>
      <w:r w:rsidRPr="0016327D">
        <w:rPr>
          <w:rStyle w:val="Hyperlink"/>
          <w:rFonts w:ascii="Times New Roman" w:hAnsi="Times New Roman"/>
          <w:lang w:val="en-IE"/>
        </w:rPr>
        <w:t>.</w:t>
      </w:r>
    </w:p>
  </w:footnote>
  <w:footnote w:id="9">
    <w:p w14:paraId="6CED7461" w14:textId="317BEEF9" w:rsidR="008C23BE" w:rsidRPr="0016327D" w:rsidRDefault="008C23BE" w:rsidP="00025A06">
      <w:pPr>
        <w:pStyle w:val="FootnoteText"/>
        <w:widowControl w:val="0"/>
        <w:spacing w:after="0" w:line="240" w:lineRule="auto"/>
        <w:ind w:left="-141" w:right="-426" w:hanging="284"/>
        <w:jc w:val="both"/>
        <w:rPr>
          <w:rFonts w:ascii="Times New Roman" w:hAnsi="Times New Roman"/>
          <w:lang w:val="en-IE"/>
        </w:rPr>
      </w:pPr>
      <w:r w:rsidRPr="0016327D">
        <w:rPr>
          <w:rStyle w:val="FootnoteReference"/>
          <w:rFonts w:ascii="Times New Roman" w:hAnsi="Times New Roman"/>
        </w:rPr>
        <w:footnoteRef/>
      </w:r>
      <w:r w:rsidRPr="0016327D">
        <w:rPr>
          <w:rFonts w:ascii="Times New Roman" w:hAnsi="Times New Roman"/>
          <w:lang w:val="en-IE"/>
        </w:rPr>
        <w:t xml:space="preserve"> </w:t>
      </w:r>
      <w:r w:rsidRPr="0016327D">
        <w:rPr>
          <w:rFonts w:ascii="Times New Roman" w:hAnsi="Times New Roman"/>
          <w:lang w:val="en-IE"/>
        </w:rPr>
        <w:tab/>
      </w:r>
      <w:r w:rsidRPr="0016327D">
        <w:rPr>
          <w:rFonts w:ascii="Times New Roman" w:hAnsi="Times New Roman"/>
        </w:rPr>
        <w:t>Council Recommendation of 16 June 2022 on learning for the green transition and sustainable development 2022/C 243/01</w:t>
      </w:r>
      <w:r w:rsidRPr="0016327D">
        <w:rPr>
          <w:rFonts w:ascii="Times New Roman" w:hAnsi="Times New Roman"/>
          <w:lang w:val="en-IE"/>
        </w:rPr>
        <w:t xml:space="preserve"> (</w:t>
      </w:r>
      <w:hyperlink r:id="rId5" w:history="1">
        <w:r w:rsidRPr="0016327D">
          <w:rPr>
            <w:rStyle w:val="Hyperlink"/>
            <w:rFonts w:ascii="Times New Roman" w:hAnsi="Times New Roman"/>
            <w:lang w:val="en-IE"/>
          </w:rPr>
          <w:t>https://eur-lex.europa.eu/legal-content/EN/TXT/?uri=CELEX%3A32022H0627%2801%29</w:t>
        </w:r>
      </w:hyperlink>
      <w:r w:rsidRPr="0016327D">
        <w:rPr>
          <w:rStyle w:val="Hyperlink"/>
          <w:rFonts w:ascii="Times New Roman" w:hAnsi="Times New Roman"/>
          <w:lang w:val="en-IE"/>
        </w:rPr>
        <w:t>).</w:t>
      </w:r>
    </w:p>
  </w:footnote>
  <w:footnote w:id="10">
    <w:p w14:paraId="223FF885" w14:textId="2F694035" w:rsidR="00FC5A0E" w:rsidRPr="0016327D" w:rsidRDefault="00FC5A0E" w:rsidP="00025A06">
      <w:pPr>
        <w:pStyle w:val="FootnoteText"/>
        <w:widowControl w:val="0"/>
        <w:spacing w:after="0" w:line="240" w:lineRule="auto"/>
        <w:ind w:left="-141" w:right="-425" w:hanging="284"/>
        <w:jc w:val="both"/>
        <w:rPr>
          <w:rFonts w:ascii="Times New Roman" w:hAnsi="Times New Roman"/>
          <w:lang w:val="en-IE"/>
        </w:rPr>
      </w:pPr>
      <w:r w:rsidRPr="0016327D">
        <w:rPr>
          <w:rStyle w:val="FootnoteReference"/>
          <w:rFonts w:ascii="Times New Roman" w:hAnsi="Times New Roman"/>
        </w:rPr>
        <w:footnoteRef/>
      </w:r>
      <w:r w:rsidRPr="0016327D">
        <w:rPr>
          <w:rFonts w:ascii="Times New Roman" w:hAnsi="Times New Roman"/>
          <w:lang w:val="en-IE"/>
        </w:rPr>
        <w:t xml:space="preserve"> </w:t>
      </w:r>
      <w:r w:rsidR="001A6C8F" w:rsidRPr="0016327D">
        <w:rPr>
          <w:rFonts w:ascii="Times New Roman" w:hAnsi="Times New Roman"/>
          <w:lang w:val="en-IE"/>
        </w:rPr>
        <w:tab/>
      </w:r>
      <w:r w:rsidR="008C23BE" w:rsidRPr="0016327D">
        <w:rPr>
          <w:rFonts w:ascii="Times New Roman" w:hAnsi="Times New Roman"/>
        </w:rPr>
        <w:t>European Commission: Joint Research Centre, </w:t>
      </w:r>
      <w:r w:rsidR="008C23BE" w:rsidRPr="0016327D">
        <w:rPr>
          <w:rFonts w:ascii="Times New Roman" w:hAnsi="Times New Roman"/>
          <w:i/>
          <w:iCs/>
        </w:rPr>
        <w:t>GreenComp, the European sustainability competence framework</w:t>
      </w:r>
      <w:r w:rsidR="008C23BE" w:rsidRPr="0016327D">
        <w:rPr>
          <w:rFonts w:ascii="Times New Roman" w:hAnsi="Times New Roman"/>
        </w:rPr>
        <w:t>, Publications Office of the European Union, 2022 (</w:t>
      </w:r>
      <w:hyperlink r:id="rId6" w:history="1">
        <w:r w:rsidR="008C23BE" w:rsidRPr="0016327D">
          <w:rPr>
            <w:rStyle w:val="Hyperlink"/>
            <w:rFonts w:ascii="Times New Roman" w:hAnsi="Times New Roman"/>
          </w:rPr>
          <w:t>https://data.europa.eu/doi/10.2760/13286</w:t>
        </w:r>
      </w:hyperlink>
      <w:r w:rsidR="008C23BE" w:rsidRPr="0016327D">
        <w:rPr>
          <w:rFonts w:ascii="Times New Roman" w:hAnsi="Times New Roman"/>
          <w:lang w:val="en-IE"/>
        </w:rPr>
        <w:t>)</w:t>
      </w:r>
    </w:p>
  </w:footnote>
  <w:footnote w:id="11">
    <w:p w14:paraId="6C7EE077" w14:textId="67036E0D" w:rsidR="000D2F61" w:rsidRPr="0016327D" w:rsidRDefault="000D2F61" w:rsidP="00025A06">
      <w:pPr>
        <w:pStyle w:val="FootnoteText"/>
        <w:widowControl w:val="0"/>
        <w:spacing w:after="0" w:line="240" w:lineRule="auto"/>
        <w:ind w:left="-141" w:hanging="284"/>
        <w:jc w:val="both"/>
        <w:rPr>
          <w:rFonts w:ascii="Times New Roman" w:hAnsi="Times New Roman"/>
        </w:rPr>
      </w:pPr>
      <w:r w:rsidRPr="0016327D">
        <w:rPr>
          <w:rStyle w:val="FootnoteReference"/>
          <w:rFonts w:ascii="Times New Roman" w:hAnsi="Times New Roman"/>
        </w:rPr>
        <w:footnoteRef/>
      </w:r>
      <w:r w:rsidRPr="0016327D">
        <w:rPr>
          <w:rFonts w:ascii="Times New Roman" w:hAnsi="Times New Roman"/>
        </w:rPr>
        <w:t xml:space="preserve"> </w:t>
      </w:r>
      <w:r w:rsidRPr="0016327D">
        <w:rPr>
          <w:rFonts w:ascii="Times New Roman" w:hAnsi="Times New Roman"/>
        </w:rPr>
        <w:tab/>
      </w:r>
      <w:hyperlink r:id="rId7" w:history="1">
        <w:r w:rsidRPr="0016327D">
          <w:rPr>
            <w:rStyle w:val="Hyperlink"/>
            <w:rFonts w:ascii="Times New Roman" w:hAnsi="Times New Roman"/>
          </w:rPr>
          <w:t>Homepage of Pact for skills</w:t>
        </w:r>
      </w:hyperlink>
      <w:r w:rsidRPr="0016327D">
        <w:rPr>
          <w:rFonts w:ascii="Times New Roman" w:hAnsi="Times New Roman"/>
        </w:rPr>
        <w:t>.</w:t>
      </w:r>
    </w:p>
  </w:footnote>
  <w:footnote w:id="12">
    <w:p w14:paraId="32273BA1" w14:textId="48D7C723" w:rsidR="008C23BE" w:rsidRPr="0016327D" w:rsidRDefault="008C23BE" w:rsidP="00025A06">
      <w:pPr>
        <w:pStyle w:val="FootnoteText"/>
        <w:widowControl w:val="0"/>
        <w:spacing w:after="0" w:line="240" w:lineRule="auto"/>
        <w:ind w:left="-141" w:hanging="284"/>
        <w:rPr>
          <w:rFonts w:ascii="Times New Roman" w:hAnsi="Times New Roman"/>
          <w:lang w:val="en-IE"/>
        </w:rPr>
      </w:pPr>
      <w:r w:rsidRPr="0016327D">
        <w:rPr>
          <w:rStyle w:val="FootnoteReference"/>
          <w:rFonts w:ascii="Times New Roman" w:hAnsi="Times New Roman"/>
        </w:rPr>
        <w:footnoteRef/>
      </w:r>
      <w:r w:rsidRPr="0016327D">
        <w:rPr>
          <w:rFonts w:ascii="Times New Roman" w:hAnsi="Times New Roman"/>
          <w:lang w:val="en-IE"/>
        </w:rPr>
        <w:t xml:space="preserve"> </w:t>
      </w:r>
      <w:r w:rsidRPr="0016327D">
        <w:rPr>
          <w:rFonts w:ascii="Times New Roman" w:hAnsi="Times New Roman"/>
          <w:lang w:val="en-IE"/>
        </w:rPr>
        <w:tab/>
      </w:r>
      <w:r w:rsidRPr="0016327D">
        <w:rPr>
          <w:rFonts w:ascii="Times New Roman" w:hAnsi="Times New Roman"/>
        </w:rPr>
        <w:t>Science, technology, engineering and mathematics.</w:t>
      </w:r>
    </w:p>
  </w:footnote>
  <w:footnote w:id="13">
    <w:p w14:paraId="02773BAA" w14:textId="5AA0AB13" w:rsidR="000D2F61" w:rsidRPr="0016327D" w:rsidRDefault="000D2F61" w:rsidP="00025A06">
      <w:pPr>
        <w:pStyle w:val="FootnoteText"/>
        <w:widowControl w:val="0"/>
        <w:spacing w:after="0" w:line="240" w:lineRule="auto"/>
        <w:ind w:left="-142" w:hanging="284"/>
        <w:jc w:val="both"/>
        <w:rPr>
          <w:rFonts w:ascii="Times New Roman" w:hAnsi="Times New Roman"/>
        </w:rPr>
      </w:pPr>
      <w:r w:rsidRPr="0016327D">
        <w:rPr>
          <w:rStyle w:val="FootnoteReference"/>
          <w:rFonts w:ascii="Times New Roman" w:hAnsi="Times New Roman"/>
        </w:rPr>
        <w:footnoteRef/>
      </w:r>
      <w:r w:rsidRPr="0016327D">
        <w:rPr>
          <w:rFonts w:ascii="Times New Roman" w:hAnsi="Times New Roman"/>
        </w:rPr>
        <w:t xml:space="preserve"> </w:t>
      </w:r>
      <w:r w:rsidRPr="0016327D">
        <w:rPr>
          <w:rFonts w:ascii="Times New Roman" w:hAnsi="Times New Roman"/>
        </w:rPr>
        <w:tab/>
        <w:t>COM(2025) 89 final (</w:t>
      </w:r>
      <w:hyperlink r:id="rId8" w:history="1">
        <w:r w:rsidRPr="0016327D">
          <w:rPr>
            <w:rStyle w:val="Hyperlink"/>
            <w:rFonts w:ascii="Times New Roman" w:hAnsi="Times New Roman"/>
          </w:rPr>
          <w:t>STEM_Education_Strategic_Plan_COM_2025_89_1_EN_0.pdf</w:t>
        </w:r>
      </w:hyperlink>
      <w:r w:rsidRPr="0016327D">
        <w:rPr>
          <w:rFonts w:ascii="Times New Roman" w:hAnsi="Times New Roman"/>
        </w:rPr>
        <w:t>).</w:t>
      </w:r>
    </w:p>
  </w:footnote>
  <w:footnote w:id="14">
    <w:p w14:paraId="12CFE6A0" w14:textId="56ADF61C" w:rsidR="000D2F61" w:rsidRPr="0016327D" w:rsidRDefault="000D2F61" w:rsidP="00025A06">
      <w:pPr>
        <w:pStyle w:val="FootnoteText"/>
        <w:widowControl w:val="0"/>
        <w:spacing w:after="0" w:line="240" w:lineRule="auto"/>
        <w:ind w:left="-141" w:right="-425" w:hanging="285"/>
        <w:jc w:val="both"/>
        <w:rPr>
          <w:rFonts w:ascii="Times New Roman" w:hAnsi="Times New Roman"/>
        </w:rPr>
      </w:pPr>
      <w:r w:rsidRPr="00025A06">
        <w:rPr>
          <w:rStyle w:val="FootnoteReference"/>
          <w:rFonts w:ascii="Times New Roman" w:hAnsi="Times New Roman"/>
        </w:rPr>
        <w:footnoteRef/>
      </w:r>
      <w:r w:rsidRPr="00025A06">
        <w:rPr>
          <w:rFonts w:ascii="Times New Roman" w:hAnsi="Times New Roman"/>
        </w:rPr>
        <w:t xml:space="preserve"> </w:t>
      </w:r>
      <w:r w:rsidRPr="00025A06">
        <w:rPr>
          <w:rFonts w:ascii="Times New Roman" w:hAnsi="Times New Roman"/>
        </w:rPr>
        <w:tab/>
      </w:r>
      <w:r w:rsidRPr="0016327D">
        <w:rPr>
          <w:rFonts w:ascii="Times New Roman" w:hAnsi="Times New Roman"/>
        </w:rPr>
        <w:t>Directive 2005/36/EC of the European Parliament and of the Council of 7 September 2005 on the recognition of professional qualifications (</w:t>
      </w:r>
      <w:hyperlink r:id="rId9" w:tooltip="Gives access to this document through its ELI URI." w:history="1">
        <w:r w:rsidRPr="0016327D">
          <w:rPr>
            <w:rStyle w:val="Hyperlink"/>
            <w:rFonts w:ascii="Times New Roman" w:hAnsi="Times New Roman"/>
          </w:rPr>
          <w:t>http://data.europa.eu/eli/dir/2005/36/oj</w:t>
        </w:r>
      </w:hyperlink>
      <w:r w:rsidRPr="0016327D">
        <w:rPr>
          <w:rFonts w:ascii="Times New Roman" w:hAnsi="Times New Roman"/>
        </w:rPr>
        <w:t>).</w:t>
      </w:r>
    </w:p>
  </w:footnote>
  <w:footnote w:id="15">
    <w:p w14:paraId="0BD2CA77" w14:textId="72D862F6" w:rsidR="002E0ADC" w:rsidRPr="0016327D" w:rsidRDefault="002E0ADC" w:rsidP="00025A06">
      <w:pPr>
        <w:pStyle w:val="FootnoteText"/>
        <w:widowControl w:val="0"/>
        <w:spacing w:after="0" w:line="240" w:lineRule="auto"/>
        <w:ind w:left="-141" w:right="-425" w:hanging="284"/>
        <w:jc w:val="both"/>
        <w:rPr>
          <w:rFonts w:ascii="Times New Roman" w:hAnsi="Times New Roman"/>
          <w:lang w:val="en-IE"/>
        </w:rPr>
      </w:pPr>
      <w:r w:rsidRPr="0016327D">
        <w:rPr>
          <w:rStyle w:val="FootnoteReference"/>
          <w:rFonts w:ascii="Times New Roman" w:hAnsi="Times New Roman"/>
        </w:rPr>
        <w:footnoteRef/>
      </w:r>
      <w:r w:rsidRPr="0016327D">
        <w:rPr>
          <w:rFonts w:ascii="Times New Roman" w:hAnsi="Times New Roman"/>
        </w:rPr>
        <w:t xml:space="preserve"> </w:t>
      </w:r>
      <w:r w:rsidRPr="0016327D">
        <w:rPr>
          <w:rFonts w:ascii="Times New Roman" w:hAnsi="Times New Roman"/>
          <w:lang w:val="en-IE"/>
        </w:rPr>
        <w:tab/>
      </w:r>
      <w:hyperlink r:id="rId10" w:history="1">
        <w:r w:rsidRPr="0016327D">
          <w:rPr>
            <w:rStyle w:val="Hyperlink"/>
            <w:rFonts w:ascii="Times New Roman" w:hAnsi="Times New Roman"/>
          </w:rPr>
          <w:t>Special report 10/2024: The recognition of professional qualifications in the EU | European Court of Auditors</w:t>
        </w:r>
      </w:hyperlink>
      <w:r w:rsidRPr="0016327D">
        <w:rPr>
          <w:rFonts w:ascii="Times New Roman" w:hAnsi="Times New Roman"/>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DF70" w14:textId="77777777" w:rsidR="00025A06" w:rsidRDefault="00025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A8B3" w14:textId="77777777" w:rsidR="00E53CE9" w:rsidRPr="00025A06" w:rsidRDefault="00E53CE9" w:rsidP="00025A06">
    <w:pPr>
      <w:pStyle w:val="Header"/>
      <w:spacing w:after="0" w:line="24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1220" w14:textId="77777777" w:rsidR="00025A06" w:rsidRDefault="00025A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4F47"/>
    <w:rsid w:val="00010C91"/>
    <w:rsid w:val="00012A37"/>
    <w:rsid w:val="00025A06"/>
    <w:rsid w:val="00036A9C"/>
    <w:rsid w:val="00046B15"/>
    <w:rsid w:val="00050DC7"/>
    <w:rsid w:val="000645BE"/>
    <w:rsid w:val="00075015"/>
    <w:rsid w:val="00076109"/>
    <w:rsid w:val="0007649F"/>
    <w:rsid w:val="00077C4F"/>
    <w:rsid w:val="00083BEB"/>
    <w:rsid w:val="000A3DFF"/>
    <w:rsid w:val="000A7191"/>
    <w:rsid w:val="000D2F61"/>
    <w:rsid w:val="000F5FD8"/>
    <w:rsid w:val="001020A8"/>
    <w:rsid w:val="00104984"/>
    <w:rsid w:val="00115721"/>
    <w:rsid w:val="001167C0"/>
    <w:rsid w:val="00124487"/>
    <w:rsid w:val="00133ED8"/>
    <w:rsid w:val="001348FD"/>
    <w:rsid w:val="00135C2A"/>
    <w:rsid w:val="001428E5"/>
    <w:rsid w:val="001508AB"/>
    <w:rsid w:val="00151367"/>
    <w:rsid w:val="0015178A"/>
    <w:rsid w:val="001574E4"/>
    <w:rsid w:val="00160749"/>
    <w:rsid w:val="0016098A"/>
    <w:rsid w:val="0016327D"/>
    <w:rsid w:val="001742B6"/>
    <w:rsid w:val="0017587E"/>
    <w:rsid w:val="00192905"/>
    <w:rsid w:val="001A5416"/>
    <w:rsid w:val="001A696B"/>
    <w:rsid w:val="001A6C8F"/>
    <w:rsid w:val="001B0E0B"/>
    <w:rsid w:val="001B6249"/>
    <w:rsid w:val="001C0ADA"/>
    <w:rsid w:val="001C1FF9"/>
    <w:rsid w:val="001C4138"/>
    <w:rsid w:val="001E2540"/>
    <w:rsid w:val="001F2EC6"/>
    <w:rsid w:val="001F40B9"/>
    <w:rsid w:val="001F65D0"/>
    <w:rsid w:val="00206BE6"/>
    <w:rsid w:val="00217E59"/>
    <w:rsid w:val="002204CA"/>
    <w:rsid w:val="002608F3"/>
    <w:rsid w:val="00265071"/>
    <w:rsid w:val="0026510A"/>
    <w:rsid w:val="0026608C"/>
    <w:rsid w:val="002721E6"/>
    <w:rsid w:val="002779FC"/>
    <w:rsid w:val="00292537"/>
    <w:rsid w:val="002960D7"/>
    <w:rsid w:val="002C581B"/>
    <w:rsid w:val="002D6747"/>
    <w:rsid w:val="002E0ADC"/>
    <w:rsid w:val="002F03FA"/>
    <w:rsid w:val="002F3564"/>
    <w:rsid w:val="002F4306"/>
    <w:rsid w:val="003004D2"/>
    <w:rsid w:val="00310637"/>
    <w:rsid w:val="00314344"/>
    <w:rsid w:val="003144D6"/>
    <w:rsid w:val="00316D0B"/>
    <w:rsid w:val="00323697"/>
    <w:rsid w:val="003338CB"/>
    <w:rsid w:val="003349A3"/>
    <w:rsid w:val="00346B98"/>
    <w:rsid w:val="00366DF2"/>
    <w:rsid w:val="0037543C"/>
    <w:rsid w:val="00377967"/>
    <w:rsid w:val="00383255"/>
    <w:rsid w:val="00386143"/>
    <w:rsid w:val="003929B7"/>
    <w:rsid w:val="00395DCA"/>
    <w:rsid w:val="003B58DC"/>
    <w:rsid w:val="003C117A"/>
    <w:rsid w:val="003D1E42"/>
    <w:rsid w:val="003D6664"/>
    <w:rsid w:val="003F686E"/>
    <w:rsid w:val="004018B0"/>
    <w:rsid w:val="00424A3D"/>
    <w:rsid w:val="0043250D"/>
    <w:rsid w:val="00434152"/>
    <w:rsid w:val="00442552"/>
    <w:rsid w:val="00453B1C"/>
    <w:rsid w:val="00455A1C"/>
    <w:rsid w:val="004675B5"/>
    <w:rsid w:val="00475B64"/>
    <w:rsid w:val="004770D6"/>
    <w:rsid w:val="0049246C"/>
    <w:rsid w:val="004964DA"/>
    <w:rsid w:val="004A0FED"/>
    <w:rsid w:val="004C39A9"/>
    <w:rsid w:val="004C7B8B"/>
    <w:rsid w:val="004E36CB"/>
    <w:rsid w:val="004F6117"/>
    <w:rsid w:val="004F63F1"/>
    <w:rsid w:val="004F651E"/>
    <w:rsid w:val="00515926"/>
    <w:rsid w:val="0052596B"/>
    <w:rsid w:val="00533864"/>
    <w:rsid w:val="00536002"/>
    <w:rsid w:val="00554D8D"/>
    <w:rsid w:val="00560B51"/>
    <w:rsid w:val="0057237D"/>
    <w:rsid w:val="00573835"/>
    <w:rsid w:val="00577BEF"/>
    <w:rsid w:val="00581306"/>
    <w:rsid w:val="005A2BE0"/>
    <w:rsid w:val="005A3A2F"/>
    <w:rsid w:val="005A5A48"/>
    <w:rsid w:val="005C3105"/>
    <w:rsid w:val="005C7926"/>
    <w:rsid w:val="005D1DE0"/>
    <w:rsid w:val="005D2C72"/>
    <w:rsid w:val="005E2F34"/>
    <w:rsid w:val="005E49A0"/>
    <w:rsid w:val="00620C7C"/>
    <w:rsid w:val="0062578E"/>
    <w:rsid w:val="00635127"/>
    <w:rsid w:val="0064157C"/>
    <w:rsid w:val="0064263A"/>
    <w:rsid w:val="00657D5D"/>
    <w:rsid w:val="00681309"/>
    <w:rsid w:val="00692C2F"/>
    <w:rsid w:val="00695797"/>
    <w:rsid w:val="00696A5E"/>
    <w:rsid w:val="006A06EC"/>
    <w:rsid w:val="006A47F6"/>
    <w:rsid w:val="006AE541"/>
    <w:rsid w:val="006B07D0"/>
    <w:rsid w:val="006B3B69"/>
    <w:rsid w:val="006B72A4"/>
    <w:rsid w:val="006B7709"/>
    <w:rsid w:val="006E034B"/>
    <w:rsid w:val="006F70D2"/>
    <w:rsid w:val="00704787"/>
    <w:rsid w:val="0071774C"/>
    <w:rsid w:val="007207B3"/>
    <w:rsid w:val="0072138B"/>
    <w:rsid w:val="00725B4F"/>
    <w:rsid w:val="00734613"/>
    <w:rsid w:val="007453BA"/>
    <w:rsid w:val="00751910"/>
    <w:rsid w:val="00751E60"/>
    <w:rsid w:val="007547B5"/>
    <w:rsid w:val="00756D56"/>
    <w:rsid w:val="00790DE5"/>
    <w:rsid w:val="00793F0F"/>
    <w:rsid w:val="00795A9E"/>
    <w:rsid w:val="0079657F"/>
    <w:rsid w:val="007A4188"/>
    <w:rsid w:val="007A606D"/>
    <w:rsid w:val="007B244F"/>
    <w:rsid w:val="007B27BF"/>
    <w:rsid w:val="007C2214"/>
    <w:rsid w:val="007C4D4B"/>
    <w:rsid w:val="007C5EA2"/>
    <w:rsid w:val="007F06D1"/>
    <w:rsid w:val="00800D4B"/>
    <w:rsid w:val="00807B48"/>
    <w:rsid w:val="008135CA"/>
    <w:rsid w:val="0081584F"/>
    <w:rsid w:val="00823915"/>
    <w:rsid w:val="0083786F"/>
    <w:rsid w:val="00855EB3"/>
    <w:rsid w:val="0085744F"/>
    <w:rsid w:val="008703BF"/>
    <w:rsid w:val="008743FB"/>
    <w:rsid w:val="00876CF2"/>
    <w:rsid w:val="008925CE"/>
    <w:rsid w:val="008A5A7B"/>
    <w:rsid w:val="008A73AF"/>
    <w:rsid w:val="008A7AAC"/>
    <w:rsid w:val="008C23BE"/>
    <w:rsid w:val="008C3B04"/>
    <w:rsid w:val="008C4D41"/>
    <w:rsid w:val="008E2086"/>
    <w:rsid w:val="00905B16"/>
    <w:rsid w:val="00907769"/>
    <w:rsid w:val="00913653"/>
    <w:rsid w:val="00921197"/>
    <w:rsid w:val="009227C0"/>
    <w:rsid w:val="00924FCB"/>
    <w:rsid w:val="00932D35"/>
    <w:rsid w:val="00932FA1"/>
    <w:rsid w:val="00936BE4"/>
    <w:rsid w:val="0096382F"/>
    <w:rsid w:val="00964189"/>
    <w:rsid w:val="00976FF7"/>
    <w:rsid w:val="00981F45"/>
    <w:rsid w:val="009842D6"/>
    <w:rsid w:val="00984302"/>
    <w:rsid w:val="00991ED2"/>
    <w:rsid w:val="00994D12"/>
    <w:rsid w:val="009B128B"/>
    <w:rsid w:val="009B1F91"/>
    <w:rsid w:val="009B3718"/>
    <w:rsid w:val="009C2E84"/>
    <w:rsid w:val="009D1A28"/>
    <w:rsid w:val="009D6289"/>
    <w:rsid w:val="009D7CF4"/>
    <w:rsid w:val="009E736C"/>
    <w:rsid w:val="009F11CC"/>
    <w:rsid w:val="009F5687"/>
    <w:rsid w:val="00A066B1"/>
    <w:rsid w:val="00A10489"/>
    <w:rsid w:val="00A14CFE"/>
    <w:rsid w:val="00A16F07"/>
    <w:rsid w:val="00A22C34"/>
    <w:rsid w:val="00A62C7B"/>
    <w:rsid w:val="00A7507C"/>
    <w:rsid w:val="00A7709A"/>
    <w:rsid w:val="00AA15C4"/>
    <w:rsid w:val="00AA17EC"/>
    <w:rsid w:val="00AB5169"/>
    <w:rsid w:val="00AC213B"/>
    <w:rsid w:val="00AC3499"/>
    <w:rsid w:val="00AD5D81"/>
    <w:rsid w:val="00AD745B"/>
    <w:rsid w:val="00AE1842"/>
    <w:rsid w:val="00AE3C7C"/>
    <w:rsid w:val="00AE62AB"/>
    <w:rsid w:val="00B0586D"/>
    <w:rsid w:val="00B222F9"/>
    <w:rsid w:val="00B30BD8"/>
    <w:rsid w:val="00B31306"/>
    <w:rsid w:val="00B34921"/>
    <w:rsid w:val="00B36B91"/>
    <w:rsid w:val="00B42814"/>
    <w:rsid w:val="00B4520D"/>
    <w:rsid w:val="00B62E54"/>
    <w:rsid w:val="00B76EFA"/>
    <w:rsid w:val="00B83936"/>
    <w:rsid w:val="00B85F91"/>
    <w:rsid w:val="00BD1B95"/>
    <w:rsid w:val="00BD6EB7"/>
    <w:rsid w:val="00C01750"/>
    <w:rsid w:val="00C02FA9"/>
    <w:rsid w:val="00C05185"/>
    <w:rsid w:val="00C103F6"/>
    <w:rsid w:val="00C11043"/>
    <w:rsid w:val="00C34466"/>
    <w:rsid w:val="00C54D27"/>
    <w:rsid w:val="00C74A81"/>
    <w:rsid w:val="00C76EEB"/>
    <w:rsid w:val="00C77C99"/>
    <w:rsid w:val="00CDEF04"/>
    <w:rsid w:val="00CE0F31"/>
    <w:rsid w:val="00CE45D9"/>
    <w:rsid w:val="00CE6B2E"/>
    <w:rsid w:val="00D01F5A"/>
    <w:rsid w:val="00D070AE"/>
    <w:rsid w:val="00D127B3"/>
    <w:rsid w:val="00D1716E"/>
    <w:rsid w:val="00D20656"/>
    <w:rsid w:val="00D22EE4"/>
    <w:rsid w:val="00D54E6E"/>
    <w:rsid w:val="00D552DB"/>
    <w:rsid w:val="00D61B40"/>
    <w:rsid w:val="00D64E05"/>
    <w:rsid w:val="00D802DA"/>
    <w:rsid w:val="00D83EFA"/>
    <w:rsid w:val="00D92FD3"/>
    <w:rsid w:val="00D9413C"/>
    <w:rsid w:val="00D97163"/>
    <w:rsid w:val="00DA25D3"/>
    <w:rsid w:val="00DA3B6E"/>
    <w:rsid w:val="00DA7C07"/>
    <w:rsid w:val="00DB543F"/>
    <w:rsid w:val="00DB7581"/>
    <w:rsid w:val="00DC70C1"/>
    <w:rsid w:val="00DD785F"/>
    <w:rsid w:val="00DF2F01"/>
    <w:rsid w:val="00E069AF"/>
    <w:rsid w:val="00E15577"/>
    <w:rsid w:val="00E20BAC"/>
    <w:rsid w:val="00E37216"/>
    <w:rsid w:val="00E5214F"/>
    <w:rsid w:val="00E53CE9"/>
    <w:rsid w:val="00E61826"/>
    <w:rsid w:val="00E83C12"/>
    <w:rsid w:val="00E904C8"/>
    <w:rsid w:val="00E952E6"/>
    <w:rsid w:val="00E97351"/>
    <w:rsid w:val="00EA1BBF"/>
    <w:rsid w:val="00EA2E41"/>
    <w:rsid w:val="00EB09C0"/>
    <w:rsid w:val="00EB29A9"/>
    <w:rsid w:val="00EB77D2"/>
    <w:rsid w:val="00EC23DF"/>
    <w:rsid w:val="00EE62A7"/>
    <w:rsid w:val="00EF63D4"/>
    <w:rsid w:val="00EF6C9A"/>
    <w:rsid w:val="00F04042"/>
    <w:rsid w:val="00F17DB9"/>
    <w:rsid w:val="00F20E59"/>
    <w:rsid w:val="00F22729"/>
    <w:rsid w:val="00F316C8"/>
    <w:rsid w:val="00F36EDD"/>
    <w:rsid w:val="00F370E9"/>
    <w:rsid w:val="00F372F0"/>
    <w:rsid w:val="00F55641"/>
    <w:rsid w:val="00F632DE"/>
    <w:rsid w:val="00F735E4"/>
    <w:rsid w:val="00F73AAC"/>
    <w:rsid w:val="00FA6E08"/>
    <w:rsid w:val="00FB7713"/>
    <w:rsid w:val="00FB7834"/>
    <w:rsid w:val="00FC5473"/>
    <w:rsid w:val="00FC54F3"/>
    <w:rsid w:val="00FC5A0E"/>
    <w:rsid w:val="00FD4B6A"/>
    <w:rsid w:val="00FF03A8"/>
    <w:rsid w:val="00FF1BC3"/>
    <w:rsid w:val="00FF4B38"/>
    <w:rsid w:val="00FF63EA"/>
    <w:rsid w:val="01002244"/>
    <w:rsid w:val="0154F7A0"/>
    <w:rsid w:val="016DD2E6"/>
    <w:rsid w:val="01972D3F"/>
    <w:rsid w:val="01A46BE7"/>
    <w:rsid w:val="02040E9D"/>
    <w:rsid w:val="020DFFEA"/>
    <w:rsid w:val="02A68B00"/>
    <w:rsid w:val="02D52583"/>
    <w:rsid w:val="034DDE43"/>
    <w:rsid w:val="040E8233"/>
    <w:rsid w:val="04256E72"/>
    <w:rsid w:val="04679A8A"/>
    <w:rsid w:val="047BD93F"/>
    <w:rsid w:val="04BD4FAF"/>
    <w:rsid w:val="05D9C14F"/>
    <w:rsid w:val="05E4F435"/>
    <w:rsid w:val="05EF137B"/>
    <w:rsid w:val="060D02B4"/>
    <w:rsid w:val="068A1386"/>
    <w:rsid w:val="06DCEDE6"/>
    <w:rsid w:val="06F7E189"/>
    <w:rsid w:val="06F852C5"/>
    <w:rsid w:val="07BE9C50"/>
    <w:rsid w:val="07F4D372"/>
    <w:rsid w:val="08C50FEA"/>
    <w:rsid w:val="08DBF7EA"/>
    <w:rsid w:val="0903599F"/>
    <w:rsid w:val="095DA6BD"/>
    <w:rsid w:val="09639067"/>
    <w:rsid w:val="097A3710"/>
    <w:rsid w:val="09A260D6"/>
    <w:rsid w:val="0A0B6525"/>
    <w:rsid w:val="0ADB8087"/>
    <w:rsid w:val="0B85FD0A"/>
    <w:rsid w:val="0BB628B5"/>
    <w:rsid w:val="0CE87EEC"/>
    <w:rsid w:val="0D5A8603"/>
    <w:rsid w:val="0D82E946"/>
    <w:rsid w:val="0D91A902"/>
    <w:rsid w:val="0DAE55F1"/>
    <w:rsid w:val="0DE0FE77"/>
    <w:rsid w:val="0E87FB64"/>
    <w:rsid w:val="0F7583FA"/>
    <w:rsid w:val="0FA30619"/>
    <w:rsid w:val="0FDBAD30"/>
    <w:rsid w:val="1015F5C3"/>
    <w:rsid w:val="101A391A"/>
    <w:rsid w:val="105CB415"/>
    <w:rsid w:val="10DA5C82"/>
    <w:rsid w:val="11094DB9"/>
    <w:rsid w:val="1114AAAF"/>
    <w:rsid w:val="11518B85"/>
    <w:rsid w:val="1164747D"/>
    <w:rsid w:val="11683309"/>
    <w:rsid w:val="116EE56A"/>
    <w:rsid w:val="11F1B2BC"/>
    <w:rsid w:val="1225960C"/>
    <w:rsid w:val="125FD31D"/>
    <w:rsid w:val="13157D90"/>
    <w:rsid w:val="13C5D2AE"/>
    <w:rsid w:val="1444AFFF"/>
    <w:rsid w:val="1471974B"/>
    <w:rsid w:val="14E71342"/>
    <w:rsid w:val="15419B89"/>
    <w:rsid w:val="154E02A1"/>
    <w:rsid w:val="1558908D"/>
    <w:rsid w:val="15790651"/>
    <w:rsid w:val="158B132F"/>
    <w:rsid w:val="15BDB95F"/>
    <w:rsid w:val="15CFBFDE"/>
    <w:rsid w:val="1614745E"/>
    <w:rsid w:val="162CDF7D"/>
    <w:rsid w:val="1691F63D"/>
    <w:rsid w:val="16C5DA96"/>
    <w:rsid w:val="16DB2F28"/>
    <w:rsid w:val="1776FFAB"/>
    <w:rsid w:val="17916A4C"/>
    <w:rsid w:val="1835AFF1"/>
    <w:rsid w:val="183D1EA5"/>
    <w:rsid w:val="18E42DEC"/>
    <w:rsid w:val="190E7323"/>
    <w:rsid w:val="1915F64A"/>
    <w:rsid w:val="194E270D"/>
    <w:rsid w:val="1997A571"/>
    <w:rsid w:val="19E219B2"/>
    <w:rsid w:val="19F4DC05"/>
    <w:rsid w:val="19F54D85"/>
    <w:rsid w:val="1A27EEB3"/>
    <w:rsid w:val="1A475F74"/>
    <w:rsid w:val="1AD2369C"/>
    <w:rsid w:val="1B168C87"/>
    <w:rsid w:val="1BE5979E"/>
    <w:rsid w:val="1C6DE116"/>
    <w:rsid w:val="1CBEC67C"/>
    <w:rsid w:val="1CDEDFA5"/>
    <w:rsid w:val="1CE05CAE"/>
    <w:rsid w:val="1D0AB633"/>
    <w:rsid w:val="1D470F18"/>
    <w:rsid w:val="1D6288F9"/>
    <w:rsid w:val="1E03AB91"/>
    <w:rsid w:val="1E2CDAC1"/>
    <w:rsid w:val="1E636E39"/>
    <w:rsid w:val="1EE065C8"/>
    <w:rsid w:val="1F466191"/>
    <w:rsid w:val="1F730C48"/>
    <w:rsid w:val="1F7C3DE5"/>
    <w:rsid w:val="1FE6E949"/>
    <w:rsid w:val="1FF3819B"/>
    <w:rsid w:val="20089F99"/>
    <w:rsid w:val="201EDC54"/>
    <w:rsid w:val="208AC440"/>
    <w:rsid w:val="20ACC8F8"/>
    <w:rsid w:val="21052070"/>
    <w:rsid w:val="21088595"/>
    <w:rsid w:val="221A8FEF"/>
    <w:rsid w:val="22789B71"/>
    <w:rsid w:val="22B17343"/>
    <w:rsid w:val="22CB0E9C"/>
    <w:rsid w:val="22E45249"/>
    <w:rsid w:val="22EF0F12"/>
    <w:rsid w:val="236A993A"/>
    <w:rsid w:val="2387C4CC"/>
    <w:rsid w:val="23A4EA3C"/>
    <w:rsid w:val="23B01413"/>
    <w:rsid w:val="2447E49F"/>
    <w:rsid w:val="246B4825"/>
    <w:rsid w:val="2470F274"/>
    <w:rsid w:val="247E886E"/>
    <w:rsid w:val="24869351"/>
    <w:rsid w:val="24B4C11C"/>
    <w:rsid w:val="24D96B0D"/>
    <w:rsid w:val="24F218C1"/>
    <w:rsid w:val="253EA7B1"/>
    <w:rsid w:val="25B1B1A6"/>
    <w:rsid w:val="25C8B353"/>
    <w:rsid w:val="25E01F47"/>
    <w:rsid w:val="268FFDB9"/>
    <w:rsid w:val="26AF6C41"/>
    <w:rsid w:val="273F2696"/>
    <w:rsid w:val="2798CBB0"/>
    <w:rsid w:val="27E8FB04"/>
    <w:rsid w:val="28067D48"/>
    <w:rsid w:val="281B3CF0"/>
    <w:rsid w:val="281FDD2F"/>
    <w:rsid w:val="28647F3C"/>
    <w:rsid w:val="2866D998"/>
    <w:rsid w:val="28A3E64B"/>
    <w:rsid w:val="294D3AD2"/>
    <w:rsid w:val="2978B1DE"/>
    <w:rsid w:val="2979A78F"/>
    <w:rsid w:val="29E7B802"/>
    <w:rsid w:val="29E85CC6"/>
    <w:rsid w:val="2A739F9F"/>
    <w:rsid w:val="2AED1AE0"/>
    <w:rsid w:val="2AED4736"/>
    <w:rsid w:val="2B229D18"/>
    <w:rsid w:val="2B2BFEF6"/>
    <w:rsid w:val="2B332796"/>
    <w:rsid w:val="2BB41F3C"/>
    <w:rsid w:val="2BE90844"/>
    <w:rsid w:val="2C170566"/>
    <w:rsid w:val="2C32E7D4"/>
    <w:rsid w:val="2C458767"/>
    <w:rsid w:val="2CB627BF"/>
    <w:rsid w:val="2CE4752B"/>
    <w:rsid w:val="2D442B06"/>
    <w:rsid w:val="2E81CA5F"/>
    <w:rsid w:val="2EC37AA2"/>
    <w:rsid w:val="2ED7AF60"/>
    <w:rsid w:val="2F1C3304"/>
    <w:rsid w:val="2F9F3189"/>
    <w:rsid w:val="2FED5E30"/>
    <w:rsid w:val="307A16C7"/>
    <w:rsid w:val="30DA9BAA"/>
    <w:rsid w:val="30DEAC2B"/>
    <w:rsid w:val="30FACC3F"/>
    <w:rsid w:val="314D2AE4"/>
    <w:rsid w:val="3177B0FE"/>
    <w:rsid w:val="31854FD7"/>
    <w:rsid w:val="319368C5"/>
    <w:rsid w:val="31A17778"/>
    <w:rsid w:val="31C521A0"/>
    <w:rsid w:val="31CE4327"/>
    <w:rsid w:val="3283E4F9"/>
    <w:rsid w:val="33435F8F"/>
    <w:rsid w:val="34750C25"/>
    <w:rsid w:val="34AF6A8A"/>
    <w:rsid w:val="34BAABA0"/>
    <w:rsid w:val="34CCD669"/>
    <w:rsid w:val="3557C8FA"/>
    <w:rsid w:val="3583C255"/>
    <w:rsid w:val="35E681E3"/>
    <w:rsid w:val="364C9205"/>
    <w:rsid w:val="36526269"/>
    <w:rsid w:val="36985125"/>
    <w:rsid w:val="36D50DD1"/>
    <w:rsid w:val="3732A612"/>
    <w:rsid w:val="37618342"/>
    <w:rsid w:val="37AE10E9"/>
    <w:rsid w:val="37C3F6F6"/>
    <w:rsid w:val="37C4F014"/>
    <w:rsid w:val="385A8329"/>
    <w:rsid w:val="38E4D26F"/>
    <w:rsid w:val="3957E986"/>
    <w:rsid w:val="39986176"/>
    <w:rsid w:val="3A08B7AE"/>
    <w:rsid w:val="3A34A9F8"/>
    <w:rsid w:val="3AB5FD20"/>
    <w:rsid w:val="3B4458AE"/>
    <w:rsid w:val="3B6273AD"/>
    <w:rsid w:val="3B81B414"/>
    <w:rsid w:val="3BDBAB5A"/>
    <w:rsid w:val="3C08C81A"/>
    <w:rsid w:val="3C13BFC9"/>
    <w:rsid w:val="3C1FFE92"/>
    <w:rsid w:val="3CA8471A"/>
    <w:rsid w:val="3CD91DE6"/>
    <w:rsid w:val="3D15A4B7"/>
    <w:rsid w:val="3D494890"/>
    <w:rsid w:val="3D84AB08"/>
    <w:rsid w:val="3DA4CE80"/>
    <w:rsid w:val="3DD31219"/>
    <w:rsid w:val="3E850F58"/>
    <w:rsid w:val="3EC5AABC"/>
    <w:rsid w:val="3F1403C9"/>
    <w:rsid w:val="3FAD65C0"/>
    <w:rsid w:val="3FDFF25C"/>
    <w:rsid w:val="4014C7EE"/>
    <w:rsid w:val="405999E3"/>
    <w:rsid w:val="408395B4"/>
    <w:rsid w:val="41514BAE"/>
    <w:rsid w:val="415A8D16"/>
    <w:rsid w:val="418C1FFC"/>
    <w:rsid w:val="419A5CAE"/>
    <w:rsid w:val="41A7DC12"/>
    <w:rsid w:val="41C09A4D"/>
    <w:rsid w:val="426FB854"/>
    <w:rsid w:val="4312506F"/>
    <w:rsid w:val="4326513C"/>
    <w:rsid w:val="4341777C"/>
    <w:rsid w:val="437E30B6"/>
    <w:rsid w:val="43C2F84D"/>
    <w:rsid w:val="43E78D90"/>
    <w:rsid w:val="441430A4"/>
    <w:rsid w:val="445C4EB5"/>
    <w:rsid w:val="44C0FBA6"/>
    <w:rsid w:val="459AF338"/>
    <w:rsid w:val="45DD45B9"/>
    <w:rsid w:val="464D93F4"/>
    <w:rsid w:val="471C188C"/>
    <w:rsid w:val="47276120"/>
    <w:rsid w:val="4731D7C8"/>
    <w:rsid w:val="474E2974"/>
    <w:rsid w:val="4756BB8D"/>
    <w:rsid w:val="476C670A"/>
    <w:rsid w:val="478D7038"/>
    <w:rsid w:val="4854E84B"/>
    <w:rsid w:val="4862E885"/>
    <w:rsid w:val="48A3D2CC"/>
    <w:rsid w:val="48AEE0EE"/>
    <w:rsid w:val="4911C966"/>
    <w:rsid w:val="49184CBB"/>
    <w:rsid w:val="49322F73"/>
    <w:rsid w:val="49DD675C"/>
    <w:rsid w:val="4A0174B7"/>
    <w:rsid w:val="4AB932CD"/>
    <w:rsid w:val="4B0B313A"/>
    <w:rsid w:val="4B88770A"/>
    <w:rsid w:val="4BA203A5"/>
    <w:rsid w:val="4BC73156"/>
    <w:rsid w:val="4BF8931F"/>
    <w:rsid w:val="4C038DAD"/>
    <w:rsid w:val="4C065CDC"/>
    <w:rsid w:val="4C0BB880"/>
    <w:rsid w:val="4C82B7E5"/>
    <w:rsid w:val="4C915B59"/>
    <w:rsid w:val="4DAFA2FB"/>
    <w:rsid w:val="4DB64C4A"/>
    <w:rsid w:val="4E0A82FF"/>
    <w:rsid w:val="4EB3A466"/>
    <w:rsid w:val="4EF97440"/>
    <w:rsid w:val="4F07D226"/>
    <w:rsid w:val="4F382FEB"/>
    <w:rsid w:val="4F68319A"/>
    <w:rsid w:val="4FA6E107"/>
    <w:rsid w:val="4FD6CC99"/>
    <w:rsid w:val="4FE15CDD"/>
    <w:rsid w:val="50333AC2"/>
    <w:rsid w:val="504D9CFD"/>
    <w:rsid w:val="5083F9FB"/>
    <w:rsid w:val="50DEA7D6"/>
    <w:rsid w:val="51367387"/>
    <w:rsid w:val="5167150C"/>
    <w:rsid w:val="5176A555"/>
    <w:rsid w:val="51B0AA07"/>
    <w:rsid w:val="51B8E650"/>
    <w:rsid w:val="51C6D0D1"/>
    <w:rsid w:val="51C74AA7"/>
    <w:rsid w:val="51F926E2"/>
    <w:rsid w:val="520FB348"/>
    <w:rsid w:val="52474B88"/>
    <w:rsid w:val="5249B90A"/>
    <w:rsid w:val="530DC42B"/>
    <w:rsid w:val="533F2927"/>
    <w:rsid w:val="53465D81"/>
    <w:rsid w:val="540721EC"/>
    <w:rsid w:val="54139AF7"/>
    <w:rsid w:val="542D168C"/>
    <w:rsid w:val="5472B708"/>
    <w:rsid w:val="54F71EA7"/>
    <w:rsid w:val="5514773B"/>
    <w:rsid w:val="55395DE2"/>
    <w:rsid w:val="55436834"/>
    <w:rsid w:val="55A415E0"/>
    <w:rsid w:val="55FC4181"/>
    <w:rsid w:val="56F07F87"/>
    <w:rsid w:val="57858B05"/>
    <w:rsid w:val="578A94CA"/>
    <w:rsid w:val="5825125D"/>
    <w:rsid w:val="586FB8A8"/>
    <w:rsid w:val="592FFC62"/>
    <w:rsid w:val="5941CBE5"/>
    <w:rsid w:val="597D8FE4"/>
    <w:rsid w:val="59C1A072"/>
    <w:rsid w:val="5A1B7902"/>
    <w:rsid w:val="5A7A6214"/>
    <w:rsid w:val="5ABBFABF"/>
    <w:rsid w:val="5B0E36DF"/>
    <w:rsid w:val="5B39280F"/>
    <w:rsid w:val="5BB5EE68"/>
    <w:rsid w:val="5BFAD7F0"/>
    <w:rsid w:val="5BFDDE72"/>
    <w:rsid w:val="5C1E1C29"/>
    <w:rsid w:val="5D150A1B"/>
    <w:rsid w:val="5D35738A"/>
    <w:rsid w:val="5D57D58B"/>
    <w:rsid w:val="5D7A96C1"/>
    <w:rsid w:val="5D83DD71"/>
    <w:rsid w:val="5E3B97FD"/>
    <w:rsid w:val="5E4026B4"/>
    <w:rsid w:val="5E8EAB03"/>
    <w:rsid w:val="5F63BF7E"/>
    <w:rsid w:val="6085C152"/>
    <w:rsid w:val="60E7D257"/>
    <w:rsid w:val="611DFA43"/>
    <w:rsid w:val="61354F9E"/>
    <w:rsid w:val="61C1D353"/>
    <w:rsid w:val="61D00E6D"/>
    <w:rsid w:val="621DDFA4"/>
    <w:rsid w:val="62254430"/>
    <w:rsid w:val="633AC920"/>
    <w:rsid w:val="63B32562"/>
    <w:rsid w:val="63F7623D"/>
    <w:rsid w:val="643D42B4"/>
    <w:rsid w:val="6475213F"/>
    <w:rsid w:val="64D9F48A"/>
    <w:rsid w:val="6517A72E"/>
    <w:rsid w:val="652FE696"/>
    <w:rsid w:val="655774F0"/>
    <w:rsid w:val="6567ABE2"/>
    <w:rsid w:val="65821A4F"/>
    <w:rsid w:val="65B61215"/>
    <w:rsid w:val="65F15E4E"/>
    <w:rsid w:val="663D1C98"/>
    <w:rsid w:val="6665FA8E"/>
    <w:rsid w:val="666C6D65"/>
    <w:rsid w:val="666E1FF9"/>
    <w:rsid w:val="668F6802"/>
    <w:rsid w:val="66CA3CF8"/>
    <w:rsid w:val="66F0303F"/>
    <w:rsid w:val="674D29A5"/>
    <w:rsid w:val="676FDE15"/>
    <w:rsid w:val="67C5F0B3"/>
    <w:rsid w:val="6A382029"/>
    <w:rsid w:val="6A7A60D9"/>
    <w:rsid w:val="6ADBB4D3"/>
    <w:rsid w:val="6AEE3375"/>
    <w:rsid w:val="6AF232C0"/>
    <w:rsid w:val="6B1218F3"/>
    <w:rsid w:val="6B926E71"/>
    <w:rsid w:val="6C2C38D1"/>
    <w:rsid w:val="6C34B1CF"/>
    <w:rsid w:val="6C49E754"/>
    <w:rsid w:val="6C7BE94F"/>
    <w:rsid w:val="6CE63E31"/>
    <w:rsid w:val="6D38FEE8"/>
    <w:rsid w:val="6D8DC0FE"/>
    <w:rsid w:val="6D944606"/>
    <w:rsid w:val="6DC6EDF2"/>
    <w:rsid w:val="6E5DFE1B"/>
    <w:rsid w:val="6EEF6E9D"/>
    <w:rsid w:val="6EFAE00F"/>
    <w:rsid w:val="6FF1C86E"/>
    <w:rsid w:val="70520AC7"/>
    <w:rsid w:val="7073CBC5"/>
    <w:rsid w:val="70FB2A5E"/>
    <w:rsid w:val="7108E9C7"/>
    <w:rsid w:val="71D39868"/>
    <w:rsid w:val="71DF8599"/>
    <w:rsid w:val="71EE2090"/>
    <w:rsid w:val="72316D48"/>
    <w:rsid w:val="724D6857"/>
    <w:rsid w:val="724EF5EE"/>
    <w:rsid w:val="727352DF"/>
    <w:rsid w:val="727730B1"/>
    <w:rsid w:val="728C5C66"/>
    <w:rsid w:val="7292C583"/>
    <w:rsid w:val="72AF8459"/>
    <w:rsid w:val="72E90FAA"/>
    <w:rsid w:val="731397CB"/>
    <w:rsid w:val="73384442"/>
    <w:rsid w:val="7349DBE6"/>
    <w:rsid w:val="735C4DB4"/>
    <w:rsid w:val="73828559"/>
    <w:rsid w:val="73966A07"/>
    <w:rsid w:val="73CC3692"/>
    <w:rsid w:val="74894B6A"/>
    <w:rsid w:val="74A7C579"/>
    <w:rsid w:val="74B6E93D"/>
    <w:rsid w:val="753D3349"/>
    <w:rsid w:val="7540F51C"/>
    <w:rsid w:val="754CFD69"/>
    <w:rsid w:val="75D9B010"/>
    <w:rsid w:val="76081154"/>
    <w:rsid w:val="763699D2"/>
    <w:rsid w:val="7677CFB3"/>
    <w:rsid w:val="7696F15E"/>
    <w:rsid w:val="76BA62FF"/>
    <w:rsid w:val="76DDF66A"/>
    <w:rsid w:val="76F0F045"/>
    <w:rsid w:val="76F86A51"/>
    <w:rsid w:val="77DDD078"/>
    <w:rsid w:val="77E3768F"/>
    <w:rsid w:val="7824BA0F"/>
    <w:rsid w:val="788731FE"/>
    <w:rsid w:val="78A97937"/>
    <w:rsid w:val="78ADA841"/>
    <w:rsid w:val="78FA070E"/>
    <w:rsid w:val="793E48A3"/>
    <w:rsid w:val="79FDE8BD"/>
    <w:rsid w:val="7A168866"/>
    <w:rsid w:val="7A783D9D"/>
    <w:rsid w:val="7A82463E"/>
    <w:rsid w:val="7AC61CA0"/>
    <w:rsid w:val="7B2592D3"/>
    <w:rsid w:val="7B3A6C05"/>
    <w:rsid w:val="7BC7D6D8"/>
    <w:rsid w:val="7C0E6AD9"/>
    <w:rsid w:val="7C66E772"/>
    <w:rsid w:val="7CEB3558"/>
    <w:rsid w:val="7D1DE73A"/>
    <w:rsid w:val="7D575B77"/>
    <w:rsid w:val="7D8D0F1F"/>
    <w:rsid w:val="7DD2E11C"/>
    <w:rsid w:val="7E12C1AA"/>
    <w:rsid w:val="7E1CB230"/>
    <w:rsid w:val="7E6B6374"/>
    <w:rsid w:val="7E81E79A"/>
    <w:rsid w:val="7F3869B1"/>
    <w:rsid w:val="7F7EC797"/>
    <w:rsid w:val="7F8150FE"/>
    <w:rsid w:val="7FAE6F52"/>
    <w:rsid w:val="7FCC6F52"/>
    <w:rsid w:val="7FEDF3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4F6D9C2-078C-41AF-A137-B415E058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29E85CC6"/>
    <w:rPr>
      <w:color w:val="0563C1"/>
      <w:u w:val="single"/>
    </w:rPr>
  </w:style>
  <w:style w:type="paragraph" w:styleId="Revision">
    <w:name w:val="Revision"/>
    <w:hidden/>
    <w:uiPriority w:val="99"/>
    <w:semiHidden/>
    <w:rsid w:val="00A066B1"/>
    <w:rPr>
      <w:sz w:val="22"/>
      <w:szCs w:val="22"/>
      <w:lang w:val="en-GB" w:eastAsia="en-US"/>
    </w:rPr>
  </w:style>
  <w:style w:type="paragraph" w:styleId="Header">
    <w:name w:val="header"/>
    <w:basedOn w:val="Normal"/>
    <w:link w:val="HeaderChar"/>
    <w:uiPriority w:val="99"/>
    <w:unhideWhenUsed/>
    <w:rsid w:val="00A066B1"/>
    <w:pPr>
      <w:tabs>
        <w:tab w:val="center" w:pos="4513"/>
        <w:tab w:val="right" w:pos="9026"/>
      </w:tabs>
    </w:pPr>
  </w:style>
  <w:style w:type="character" w:customStyle="1" w:styleId="HeaderChar">
    <w:name w:val="Header Char"/>
    <w:link w:val="Header"/>
    <w:uiPriority w:val="99"/>
    <w:rsid w:val="00A066B1"/>
    <w:rPr>
      <w:sz w:val="22"/>
      <w:szCs w:val="22"/>
      <w:lang w:val="en-GB" w:eastAsia="en-US"/>
    </w:rPr>
  </w:style>
  <w:style w:type="paragraph" w:styleId="Footer">
    <w:name w:val="footer"/>
    <w:basedOn w:val="Normal"/>
    <w:link w:val="FooterChar"/>
    <w:uiPriority w:val="99"/>
    <w:unhideWhenUsed/>
    <w:rsid w:val="00A066B1"/>
    <w:pPr>
      <w:tabs>
        <w:tab w:val="center" w:pos="4513"/>
        <w:tab w:val="right" w:pos="9026"/>
      </w:tabs>
    </w:pPr>
  </w:style>
  <w:style w:type="character" w:customStyle="1" w:styleId="FooterChar">
    <w:name w:val="Footer Char"/>
    <w:link w:val="Footer"/>
    <w:uiPriority w:val="99"/>
    <w:rsid w:val="00A066B1"/>
    <w:rPr>
      <w:sz w:val="22"/>
      <w:szCs w:val="22"/>
      <w:lang w:val="en-GB"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GB"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745B"/>
    <w:rPr>
      <w:b/>
      <w:bCs/>
    </w:rPr>
  </w:style>
  <w:style w:type="character" w:customStyle="1" w:styleId="CommentSubjectChar">
    <w:name w:val="Comment Subject Char"/>
    <w:link w:val="CommentSubject"/>
    <w:uiPriority w:val="99"/>
    <w:semiHidden/>
    <w:rsid w:val="00AD745B"/>
    <w:rPr>
      <w:b/>
      <w:bCs/>
      <w:lang w:val="en-GB" w:eastAsia="en-US"/>
    </w:rPr>
  </w:style>
  <w:style w:type="paragraph" w:styleId="FootnoteText">
    <w:name w:val="footnote text"/>
    <w:basedOn w:val="Normal"/>
    <w:link w:val="FootnoteTextChar"/>
    <w:uiPriority w:val="99"/>
    <w:semiHidden/>
    <w:unhideWhenUsed/>
    <w:rsid w:val="00D552DB"/>
    <w:rPr>
      <w:sz w:val="20"/>
      <w:szCs w:val="20"/>
    </w:rPr>
  </w:style>
  <w:style w:type="character" w:customStyle="1" w:styleId="FootnoteTextChar">
    <w:name w:val="Footnote Text Char"/>
    <w:link w:val="FootnoteText"/>
    <w:uiPriority w:val="99"/>
    <w:semiHidden/>
    <w:rsid w:val="00D552DB"/>
    <w:rPr>
      <w:lang w:val="en-GB" w:eastAsia="en-US"/>
    </w:rPr>
  </w:style>
  <w:style w:type="character" w:styleId="FootnoteReference">
    <w:name w:val="footnote reference"/>
    <w:uiPriority w:val="99"/>
    <w:semiHidden/>
    <w:unhideWhenUsed/>
    <w:rsid w:val="00D552DB"/>
    <w:rPr>
      <w:vertAlign w:val="superscript"/>
    </w:rPr>
  </w:style>
  <w:style w:type="character" w:styleId="UnresolvedMention">
    <w:name w:val="Unresolved Mention"/>
    <w:basedOn w:val="DefaultParagraphFont"/>
    <w:uiPriority w:val="99"/>
    <w:semiHidden/>
    <w:unhideWhenUsed/>
    <w:rsid w:val="00E15577"/>
    <w:rPr>
      <w:color w:val="605E5C"/>
      <w:shd w:val="clear" w:color="auto" w:fill="E1DFDD"/>
    </w:rPr>
  </w:style>
  <w:style w:type="character" w:styleId="FollowedHyperlink">
    <w:name w:val="FollowedHyperlink"/>
    <w:basedOn w:val="DefaultParagraphFont"/>
    <w:uiPriority w:val="99"/>
    <w:semiHidden/>
    <w:unhideWhenUsed/>
    <w:rsid w:val="008C23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ing.com/ck/a?!&amp;&amp;p=fc5b5dbb73a5a3d725b00b5e9c543e74a2375112a6c2a0f5add9f517c6e790f8JmltdHM9MTc0NjQ4OTYwMA&amp;ptn=3&amp;ver=2&amp;hsh=4&amp;fclid=023de18e-c514-6b70-274e-f4ddc4b86a60&amp;psq=ESCO+taxonomy+&amp;u=a1aHR0cHM6Ly93d3cuY2VkZWZvcC5ldXJvcGEuZXUvZW4vbmV3cy9lc2NvLXRheG9ub215LWxhdW5jaGVk&amp;ntb=1"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ducation.ec.europa.eu/sites/default/files/2025-03/STEM_Education_Strategic_Plan_COM_2025_89_1_EN_0.pdf" TargetMode="External"/><Relationship Id="rId3" Type="http://schemas.openxmlformats.org/officeDocument/2006/relationships/hyperlink" Target="https://ec.europa.eu/newsroom/growth/items/823315/en" TargetMode="External"/><Relationship Id="rId7" Type="http://schemas.openxmlformats.org/officeDocument/2006/relationships/hyperlink" Target="https://pact-for-skills.ec.europa.eu/index_en" TargetMode="External"/><Relationship Id="rId2" Type="http://schemas.openxmlformats.org/officeDocument/2006/relationships/hyperlink" Target="https://eur-lex.europa.eu/legal-content/EN/TXT/?uri=oj:JOC_2022_243_R_0004" TargetMode="External"/><Relationship Id="rId1" Type="http://schemas.openxmlformats.org/officeDocument/2006/relationships/hyperlink" Target="https://antwerp-declaration.eu/" TargetMode="External"/><Relationship Id="rId6" Type="http://schemas.openxmlformats.org/officeDocument/2006/relationships/hyperlink" Target="https://data.europa.eu/doi/10.2760/13286" TargetMode="External"/><Relationship Id="rId5" Type="http://schemas.openxmlformats.org/officeDocument/2006/relationships/hyperlink" Target="https://eur-lex.europa.eu/legal-content/EN/TXT/?uri=CELEX%3A32022H0627%2801%29" TargetMode="External"/><Relationship Id="rId10" Type="http://schemas.openxmlformats.org/officeDocument/2006/relationships/hyperlink" Target="https://www.eca.europa.eu/en/publications?ref=SR-2024-10" TargetMode="External"/><Relationship Id="rId4" Type="http://schemas.openxmlformats.org/officeDocument/2006/relationships/hyperlink" Target="https://eit.europa.eu/" TargetMode="External"/><Relationship Id="rId9" Type="http://schemas.openxmlformats.org/officeDocument/2006/relationships/hyperlink" Target="http://data.europa.eu/eli/dir/2005/36/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77bd4c56248ebdf5993d09df5533488f">
  <xsd:schema xmlns:xsd="http://www.w3.org/2001/XMLSchema" xmlns:xs="http://www.w3.org/2001/XMLSchema" xmlns:p="http://schemas.microsoft.com/office/2006/metadata/properties" xmlns:ns2="2a565401-6124-4834-af4c-bc1a772a6083" targetNamespace="http://schemas.microsoft.com/office/2006/metadata/properties" ma:root="true" ma:fieldsID="0d21c66c8a208a651832a9e3056369d0"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CE1FD-BCB8-408D-8156-0CB6CC0705F3}">
  <ds:schemaRefs>
    <ds:schemaRef ds:uri="http://schemas.microsoft.com/sharepoint/v3/contenttype/forms"/>
  </ds:schemaRefs>
</ds:datastoreItem>
</file>

<file path=customXml/itemProps2.xml><?xml version="1.0" encoding="utf-8"?>
<ds:datastoreItem xmlns:ds="http://schemas.openxmlformats.org/officeDocument/2006/customXml" ds:itemID="{74473967-4644-4739-9B0C-C4BF4DCD1A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33519-5C9F-43EA-A0FE-27E66CF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973B8-2A47-4516-8AAE-DD771BE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1725</Words>
  <Characters>10182</Characters>
  <Application>Microsoft Office Word</Application>
  <DocSecurity>0</DocSecurity>
  <Lines>135</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4</cp:revision>
  <cp:lastPrinted>2013-03-02T09:02:00Z</cp:lastPrinted>
  <dcterms:created xsi:type="dcterms:W3CDTF">2025-10-27T16:59:00Z</dcterms:created>
  <dcterms:modified xsi:type="dcterms:W3CDTF">2025-10-27T17:05:00Z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ies>
</file>