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51"/>
      </w:tblGrid>
      <w:tr w:rsidR="001C4138" w:rsidRPr="00855010" w14:paraId="7E6372DC" w14:textId="77777777" w:rsidTr="00855010">
        <w:trPr>
          <w:jc w:val="center"/>
        </w:trPr>
        <w:tc>
          <w:tcPr>
            <w:tcW w:w="10251" w:type="dxa"/>
          </w:tcPr>
          <w:p w14:paraId="3A4EDC3A" w14:textId="3D6A8A2A" w:rsidR="001C4138" w:rsidRPr="00855010" w:rsidRDefault="00315018" w:rsidP="00315018">
            <w:pPr>
              <w:spacing w:before="120" w:after="120"/>
              <w:rPr>
                <w:rFonts w:ascii="Times New Roman" w:hAnsi="Times New Roman"/>
                <w:b/>
                <w:sz w:val="24"/>
                <w:szCs w:val="24"/>
                <w:lang w:val="en-IE"/>
              </w:rPr>
            </w:pPr>
            <w:r w:rsidRPr="00855010">
              <w:rPr>
                <w:rFonts w:ascii="Times New Roman" w:hAnsi="Times New Roman"/>
                <w:b/>
                <w:sz w:val="24"/>
                <w:szCs w:val="24"/>
              </w:rPr>
              <w:t>Review of the securitisation regulation</w:t>
            </w:r>
            <w:r w:rsidR="00EC1E03">
              <w:rPr>
                <w:rFonts w:ascii="Times New Roman" w:hAnsi="Times New Roman"/>
                <w:b/>
                <w:sz w:val="24"/>
                <w:szCs w:val="24"/>
              </w:rPr>
              <w:br/>
              <w:t>(mandatory opinion)</w:t>
            </w:r>
            <w:r w:rsidR="001C4138" w:rsidRPr="00855010">
              <w:rPr>
                <w:rFonts w:ascii="Times New Roman" w:hAnsi="Times New Roman"/>
                <w:b/>
                <w:sz w:val="24"/>
                <w:szCs w:val="24"/>
              </w:rPr>
              <w:br/>
            </w:r>
            <w:proofErr w:type="gramStart"/>
            <w:r w:rsidRPr="00855010">
              <w:rPr>
                <w:rFonts w:ascii="Times New Roman" w:hAnsi="Times New Roman"/>
                <w:b/>
                <w:sz w:val="24"/>
                <w:szCs w:val="24"/>
              </w:rPr>
              <w:t>COM(</w:t>
            </w:r>
            <w:proofErr w:type="gramEnd"/>
            <w:r w:rsidRPr="00855010">
              <w:rPr>
                <w:rFonts w:ascii="Times New Roman" w:hAnsi="Times New Roman"/>
                <w:b/>
                <w:sz w:val="24"/>
                <w:szCs w:val="24"/>
              </w:rPr>
              <w:t>2025) 825</w:t>
            </w:r>
            <w:r w:rsidR="00855010">
              <w:rPr>
                <w:rFonts w:ascii="Times New Roman" w:hAnsi="Times New Roman"/>
                <w:b/>
                <w:sz w:val="24"/>
                <w:szCs w:val="24"/>
              </w:rPr>
              <w:t xml:space="preserve"> final</w:t>
            </w:r>
            <w:r w:rsidRPr="00855010">
              <w:rPr>
                <w:rFonts w:ascii="Times New Roman" w:hAnsi="Times New Roman"/>
                <w:b/>
                <w:sz w:val="24"/>
                <w:szCs w:val="24"/>
              </w:rPr>
              <w:t>,</w:t>
            </w:r>
            <w:r w:rsidR="00855010">
              <w:rPr>
                <w:rFonts w:ascii="Times New Roman" w:hAnsi="Times New Roman"/>
                <w:b/>
                <w:sz w:val="24"/>
                <w:szCs w:val="24"/>
              </w:rPr>
              <w:br/>
            </w:r>
            <w:r w:rsidRPr="00855010">
              <w:rPr>
                <w:rFonts w:ascii="Times New Roman" w:hAnsi="Times New Roman"/>
                <w:b/>
                <w:sz w:val="24"/>
                <w:szCs w:val="24"/>
              </w:rPr>
              <w:t>COM(2025) 826</w:t>
            </w:r>
            <w:r w:rsidR="00855010">
              <w:rPr>
                <w:rFonts w:ascii="Times New Roman" w:hAnsi="Times New Roman"/>
                <w:b/>
                <w:sz w:val="24"/>
                <w:szCs w:val="24"/>
              </w:rPr>
              <w:t xml:space="preserve"> final</w:t>
            </w:r>
            <w:r w:rsidR="001C4138" w:rsidRPr="00855010">
              <w:rPr>
                <w:rFonts w:ascii="Times New Roman" w:hAnsi="Times New Roman"/>
                <w:b/>
                <w:sz w:val="24"/>
                <w:szCs w:val="24"/>
                <w:lang w:val="en-IE"/>
              </w:rPr>
              <w:br/>
              <w:t>EESC-</w:t>
            </w:r>
            <w:r w:rsidRPr="00855010">
              <w:rPr>
                <w:rFonts w:ascii="Times New Roman" w:hAnsi="Times New Roman"/>
                <w:b/>
                <w:sz w:val="24"/>
                <w:szCs w:val="24"/>
              </w:rPr>
              <w:t>2025</w:t>
            </w:r>
            <w:r w:rsidR="00855010">
              <w:rPr>
                <w:rFonts w:ascii="Times New Roman" w:hAnsi="Times New Roman"/>
                <w:b/>
                <w:sz w:val="24"/>
                <w:szCs w:val="24"/>
              </w:rPr>
              <w:t>-</w:t>
            </w:r>
            <w:r w:rsidRPr="00855010">
              <w:rPr>
                <w:rFonts w:ascii="Times New Roman" w:hAnsi="Times New Roman"/>
                <w:b/>
                <w:sz w:val="24"/>
                <w:szCs w:val="24"/>
              </w:rPr>
              <w:t>02283</w:t>
            </w:r>
            <w:r w:rsidR="00855010">
              <w:rPr>
                <w:rFonts w:ascii="Times New Roman" w:hAnsi="Times New Roman"/>
                <w:b/>
                <w:sz w:val="24"/>
                <w:szCs w:val="24"/>
              </w:rPr>
              <w:t xml:space="preserve"> </w:t>
            </w:r>
            <w:r w:rsidR="001C4138" w:rsidRPr="00855010">
              <w:rPr>
                <w:rFonts w:ascii="Times New Roman" w:hAnsi="Times New Roman"/>
                <w:b/>
                <w:sz w:val="24"/>
                <w:szCs w:val="24"/>
              </w:rPr>
              <w:t xml:space="preserve">‒ </w:t>
            </w:r>
            <w:r w:rsidRPr="00855010">
              <w:rPr>
                <w:rFonts w:ascii="Times New Roman" w:hAnsi="Times New Roman"/>
                <w:b/>
                <w:sz w:val="24"/>
                <w:szCs w:val="24"/>
              </w:rPr>
              <w:t>ECO/681</w:t>
            </w:r>
            <w:r w:rsidR="001C4138" w:rsidRPr="00855010">
              <w:rPr>
                <w:rFonts w:ascii="Times New Roman" w:hAnsi="Times New Roman"/>
                <w:b/>
                <w:sz w:val="24"/>
                <w:szCs w:val="24"/>
              </w:rPr>
              <w:br/>
            </w:r>
            <w:r w:rsidRPr="00855010">
              <w:rPr>
                <w:rFonts w:ascii="Times New Roman" w:hAnsi="Times New Roman"/>
                <w:b/>
                <w:sz w:val="24"/>
                <w:szCs w:val="24"/>
              </w:rPr>
              <w:t>599</w:t>
            </w:r>
            <w:r w:rsidRPr="00855010">
              <w:rPr>
                <w:rFonts w:ascii="Times New Roman" w:hAnsi="Times New Roman"/>
                <w:b/>
                <w:sz w:val="24"/>
                <w:szCs w:val="24"/>
                <w:vertAlign w:val="superscript"/>
              </w:rPr>
              <w:t>th</w:t>
            </w:r>
            <w:r w:rsidR="001C4138" w:rsidRPr="00855010">
              <w:rPr>
                <w:rFonts w:ascii="Times New Roman" w:hAnsi="Times New Roman"/>
                <w:b/>
                <w:lang w:val="en-IE"/>
              </w:rPr>
              <w:t xml:space="preserve"> </w:t>
            </w:r>
            <w:r w:rsidR="001C4138" w:rsidRPr="00855010">
              <w:rPr>
                <w:rFonts w:ascii="Times New Roman" w:hAnsi="Times New Roman"/>
                <w:b/>
                <w:sz w:val="24"/>
                <w:szCs w:val="24"/>
              </w:rPr>
              <w:t xml:space="preserve">Plenary Session – </w:t>
            </w:r>
            <w:r w:rsidRPr="00855010">
              <w:rPr>
                <w:rFonts w:ascii="Times New Roman" w:hAnsi="Times New Roman"/>
                <w:b/>
                <w:sz w:val="24"/>
                <w:szCs w:val="24"/>
              </w:rPr>
              <w:t>September 2025</w:t>
            </w:r>
            <w:r w:rsidR="001C4138" w:rsidRPr="00855010">
              <w:rPr>
                <w:rFonts w:ascii="Times New Roman" w:hAnsi="Times New Roman"/>
                <w:b/>
                <w:sz w:val="24"/>
                <w:szCs w:val="24"/>
              </w:rPr>
              <w:br/>
              <w:t xml:space="preserve">Rapporteur: </w:t>
            </w:r>
            <w:r w:rsidRPr="00855010">
              <w:rPr>
                <w:rFonts w:ascii="Times New Roman" w:hAnsi="Times New Roman"/>
                <w:b/>
                <w:sz w:val="24"/>
                <w:szCs w:val="24"/>
              </w:rPr>
              <w:t>Petru Sorin DANDEA</w:t>
            </w:r>
            <w:r w:rsidR="001C4138" w:rsidRPr="00855010">
              <w:rPr>
                <w:rFonts w:ascii="Times New Roman" w:hAnsi="Times New Roman"/>
                <w:b/>
                <w:sz w:val="24"/>
                <w:szCs w:val="24"/>
              </w:rPr>
              <w:t xml:space="preserve"> </w:t>
            </w:r>
            <w:r w:rsidRPr="00855010">
              <w:rPr>
                <w:rFonts w:ascii="Times New Roman" w:hAnsi="Times New Roman"/>
                <w:b/>
                <w:sz w:val="24"/>
                <w:szCs w:val="24"/>
              </w:rPr>
              <w:t>(RO-II)</w:t>
            </w:r>
            <w:r w:rsidR="00855010">
              <w:rPr>
                <w:rFonts w:ascii="Times New Roman" w:hAnsi="Times New Roman"/>
                <w:b/>
                <w:sz w:val="24"/>
                <w:szCs w:val="24"/>
              </w:rPr>
              <w:br/>
            </w:r>
            <w:r w:rsidRPr="00855010">
              <w:rPr>
                <w:rFonts w:ascii="Times New Roman" w:hAnsi="Times New Roman"/>
                <w:b/>
                <w:sz w:val="24"/>
                <w:szCs w:val="24"/>
                <w:lang w:val="en-IE"/>
              </w:rPr>
              <w:t>Co-Rapporteur: Kęstutis KUPŠYS (LT-III)</w:t>
            </w:r>
            <w:r w:rsidR="001C4138" w:rsidRPr="00855010">
              <w:rPr>
                <w:rFonts w:ascii="Times New Roman" w:hAnsi="Times New Roman"/>
                <w:b/>
                <w:sz w:val="24"/>
                <w:szCs w:val="24"/>
                <w:lang w:val="en-IE"/>
              </w:rPr>
              <w:br/>
              <w:t xml:space="preserve">DG </w:t>
            </w:r>
            <w:r w:rsidRPr="00855010">
              <w:rPr>
                <w:rFonts w:ascii="Times New Roman" w:hAnsi="Times New Roman"/>
                <w:b/>
                <w:sz w:val="24"/>
                <w:szCs w:val="24"/>
                <w:lang w:val="en-IE"/>
              </w:rPr>
              <w:t>FISMA</w:t>
            </w:r>
            <w:r w:rsidR="001C4138" w:rsidRPr="00855010">
              <w:rPr>
                <w:rFonts w:ascii="Times New Roman" w:hAnsi="Times New Roman"/>
                <w:b/>
                <w:sz w:val="24"/>
                <w:szCs w:val="24"/>
                <w:lang w:val="en-IE"/>
              </w:rPr>
              <w:t xml:space="preserve"> – Commissioner </w:t>
            </w:r>
            <w:r w:rsidRPr="00855010">
              <w:rPr>
                <w:rFonts w:ascii="Times New Roman" w:hAnsi="Times New Roman"/>
                <w:b/>
                <w:sz w:val="24"/>
                <w:szCs w:val="24"/>
                <w:lang w:val="en-IE"/>
              </w:rPr>
              <w:t>ALBURQUERQUE</w:t>
            </w:r>
          </w:p>
        </w:tc>
      </w:tr>
      <w:tr w:rsidR="00734613" w:rsidRPr="00855010" w14:paraId="1937071F" w14:textId="77777777" w:rsidTr="00855010">
        <w:trPr>
          <w:jc w:val="center"/>
        </w:trPr>
        <w:tc>
          <w:tcPr>
            <w:tcW w:w="10251" w:type="dxa"/>
          </w:tcPr>
          <w:p w14:paraId="1E50B4DB" w14:textId="28A65E7C" w:rsidR="00734613" w:rsidRPr="00855010" w:rsidRDefault="004F6117" w:rsidP="004F6117">
            <w:pPr>
              <w:spacing w:before="120" w:after="120"/>
              <w:jc w:val="center"/>
              <w:rPr>
                <w:rFonts w:ascii="Times New Roman" w:hAnsi="Times New Roman"/>
                <w:b/>
                <w:sz w:val="24"/>
                <w:szCs w:val="24"/>
              </w:rPr>
            </w:pPr>
            <w:r w:rsidRPr="00855010">
              <w:rPr>
                <w:rFonts w:ascii="Times New Roman" w:hAnsi="Times New Roman"/>
                <w:b/>
                <w:sz w:val="24"/>
                <w:szCs w:val="24"/>
              </w:rPr>
              <w:t>European Commission position on points</w:t>
            </w:r>
            <w:r w:rsidRPr="00855010">
              <w:rPr>
                <w:rFonts w:ascii="Times New Roman" w:hAnsi="Times New Roman"/>
                <w:b/>
                <w:sz w:val="24"/>
                <w:szCs w:val="24"/>
              </w:rPr>
              <w:br/>
              <w:t xml:space="preserve">of the European Economic and Social Committee </w:t>
            </w:r>
            <w:r w:rsidR="00855010">
              <w:rPr>
                <w:rFonts w:ascii="Times New Roman" w:hAnsi="Times New Roman"/>
                <w:b/>
                <w:sz w:val="24"/>
                <w:szCs w:val="24"/>
              </w:rPr>
              <w:t xml:space="preserve">(EESC) </w:t>
            </w:r>
            <w:r w:rsidRPr="00855010">
              <w:rPr>
                <w:rFonts w:ascii="Times New Roman" w:hAnsi="Times New Roman"/>
                <w:b/>
                <w:sz w:val="24"/>
                <w:szCs w:val="24"/>
              </w:rPr>
              <w:t>opinion</w:t>
            </w:r>
            <w:r w:rsidR="00E83C12" w:rsidRPr="00855010">
              <w:rPr>
                <w:rFonts w:ascii="Times New Roman" w:hAnsi="Times New Roman"/>
                <w:b/>
                <w:sz w:val="24"/>
                <w:szCs w:val="24"/>
              </w:rPr>
              <w:t xml:space="preserve"> considered as essential</w:t>
            </w:r>
          </w:p>
        </w:tc>
      </w:tr>
      <w:tr w:rsidR="00734613" w:rsidRPr="00855010" w14:paraId="673DDC1B" w14:textId="77777777" w:rsidTr="00855010">
        <w:trPr>
          <w:jc w:val="center"/>
        </w:trPr>
        <w:tc>
          <w:tcPr>
            <w:tcW w:w="10251" w:type="dxa"/>
          </w:tcPr>
          <w:p w14:paraId="790B0F30" w14:textId="404A2493"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u w:val="single"/>
              </w:rPr>
              <w:t>Point 1.1 of the opinion:</w:t>
            </w:r>
          </w:p>
          <w:p w14:paraId="7C912376" w14:textId="2E1F95C3"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rPr>
              <w:t xml:space="preserve">The Commission shares the vision that a well-functioning European securitisation market can help increase financing </w:t>
            </w:r>
            <w:r w:rsidR="005A4BA8">
              <w:rPr>
                <w:rFonts w:ascii="Times New Roman" w:eastAsia="Times New Roman" w:hAnsi="Times New Roman"/>
                <w:sz w:val="24"/>
                <w:szCs w:val="24"/>
              </w:rPr>
              <w:t>for</w:t>
            </w:r>
            <w:r w:rsidRPr="00855010">
              <w:rPr>
                <w:rFonts w:ascii="Times New Roman" w:eastAsia="Times New Roman" w:hAnsi="Times New Roman"/>
                <w:sz w:val="24"/>
                <w:szCs w:val="24"/>
              </w:rPr>
              <w:t xml:space="preserve"> the real economy. The Commission recognises the importance of ensuring an understanding of how much additional lending is generated by the proposed amendments to the regulatory framework. This is the reason why the review includes a specific requirement for assessing the contribution of securitisation to funding EU companies and economy.</w:t>
            </w:r>
          </w:p>
          <w:p w14:paraId="268415CD" w14:textId="7BCC7084"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rPr>
              <w:t xml:space="preserve">Specifically on the inclusion of </w:t>
            </w:r>
            <w:r w:rsidR="00855010" w:rsidRPr="00F22B8F">
              <w:rPr>
                <w:rFonts w:ascii="Times New Roman" w:eastAsia="Times New Roman" w:hAnsi="Times New Roman"/>
                <w:sz w:val="24"/>
                <w:szCs w:val="24"/>
              </w:rPr>
              <w:t>environmental, social and governance</w:t>
            </w:r>
            <w:r w:rsidR="00855010">
              <w:rPr>
                <w:rFonts w:ascii="Times New Roman" w:eastAsia="Times New Roman" w:hAnsi="Times New Roman"/>
                <w:sz w:val="24"/>
                <w:szCs w:val="24"/>
              </w:rPr>
              <w:t> (</w:t>
            </w:r>
            <w:r w:rsidRPr="00855010">
              <w:rPr>
                <w:rFonts w:ascii="Times New Roman" w:eastAsia="Times New Roman" w:hAnsi="Times New Roman"/>
                <w:sz w:val="24"/>
                <w:szCs w:val="24"/>
              </w:rPr>
              <w:t>ESG</w:t>
            </w:r>
            <w:r w:rsidR="00855010">
              <w:rPr>
                <w:rFonts w:ascii="Times New Roman" w:eastAsia="Times New Roman" w:hAnsi="Times New Roman"/>
                <w:sz w:val="24"/>
                <w:szCs w:val="24"/>
              </w:rPr>
              <w:t>)</w:t>
            </w:r>
            <w:r w:rsidRPr="00855010">
              <w:rPr>
                <w:rFonts w:ascii="Times New Roman" w:eastAsia="Times New Roman" w:hAnsi="Times New Roman"/>
                <w:sz w:val="24"/>
                <w:szCs w:val="24"/>
              </w:rPr>
              <w:t xml:space="preserve"> information in reporting templates, the Commission points out that the European Green Bond Standard Regulation</w:t>
            </w:r>
            <w:r w:rsidR="00855010">
              <w:rPr>
                <w:rStyle w:val="FootnoteReference"/>
                <w:rFonts w:ascii="Times New Roman" w:eastAsia="Times New Roman" w:hAnsi="Times New Roman"/>
                <w:sz w:val="24"/>
                <w:szCs w:val="24"/>
              </w:rPr>
              <w:footnoteReference w:id="2"/>
            </w:r>
            <w:r w:rsidRPr="00855010">
              <w:rPr>
                <w:rFonts w:ascii="Times New Roman" w:eastAsia="Times New Roman" w:hAnsi="Times New Roman"/>
                <w:sz w:val="24"/>
                <w:szCs w:val="24"/>
              </w:rPr>
              <w:t xml:space="preserve"> sets out a</w:t>
            </w:r>
            <w:r w:rsidR="00855010">
              <w:rPr>
                <w:rFonts w:ascii="Times New Roman" w:eastAsia="Times New Roman" w:hAnsi="Times New Roman"/>
                <w:sz w:val="24"/>
                <w:szCs w:val="24"/>
              </w:rPr>
              <w:t> </w:t>
            </w:r>
            <w:r w:rsidRPr="00855010">
              <w:rPr>
                <w:rFonts w:ascii="Times New Roman" w:eastAsia="Times New Roman" w:hAnsi="Times New Roman"/>
                <w:sz w:val="24"/>
                <w:szCs w:val="24"/>
              </w:rPr>
              <w:t xml:space="preserve">specific regime for green securitisation. </w:t>
            </w:r>
            <w:r w:rsidR="00653F48" w:rsidRPr="00855010">
              <w:rPr>
                <w:rFonts w:ascii="Times New Roman" w:eastAsia="Times New Roman" w:hAnsi="Times New Roman"/>
                <w:sz w:val="24"/>
                <w:szCs w:val="24"/>
              </w:rPr>
              <w:t>In preparation of the proposal, the Commission concluded that m</w:t>
            </w:r>
            <w:r w:rsidRPr="00855010">
              <w:rPr>
                <w:rFonts w:ascii="Times New Roman" w:eastAsia="Times New Roman" w:hAnsi="Times New Roman"/>
                <w:sz w:val="24"/>
                <w:szCs w:val="24"/>
              </w:rPr>
              <w:t>ore time is needed to assess this new framework before considering further initiatives. Moreover, the Commission recalls that for Simple, Transparent and Standardised</w:t>
            </w:r>
            <w:r w:rsidR="00F22B8F">
              <w:rPr>
                <w:rFonts w:ascii="Times New Roman" w:eastAsia="Times New Roman" w:hAnsi="Times New Roman"/>
                <w:sz w:val="24"/>
                <w:szCs w:val="24"/>
              </w:rPr>
              <w:t xml:space="preserve"> securitisations</w:t>
            </w:r>
            <w:r w:rsidR="00855010">
              <w:rPr>
                <w:rFonts w:ascii="Times New Roman" w:eastAsia="Times New Roman" w:hAnsi="Times New Roman"/>
                <w:sz w:val="24"/>
                <w:szCs w:val="24"/>
              </w:rPr>
              <w:t> </w:t>
            </w:r>
            <w:r w:rsidRPr="00855010">
              <w:rPr>
                <w:rFonts w:ascii="Times New Roman" w:eastAsia="Times New Roman" w:hAnsi="Times New Roman"/>
                <w:sz w:val="24"/>
                <w:szCs w:val="24"/>
              </w:rPr>
              <w:t>(STS) where the underlying exposures are residential loans or auto loans/leases, originators/sponsors are required to publish the available information related to the environmental performance of the assets financed by such instruments. Securitisation can therefore help to increase transparency about the sustainability of underlying exposures.</w:t>
            </w:r>
          </w:p>
          <w:p w14:paraId="1B9F6C25" w14:textId="6BF9E60C"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u w:val="single"/>
              </w:rPr>
              <w:t>Point 1.2 of the opinion:</w:t>
            </w:r>
          </w:p>
          <w:p w14:paraId="27C2C052" w14:textId="4FB3ED82"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rPr>
              <w:t>The Commission takes note of the assessment that recalibrating prudential requirements would not, by itself, ensure the revival of the securitisation market. The Commission’s securitisation initiative</w:t>
            </w:r>
            <w:r w:rsidR="00A92C4D">
              <w:rPr>
                <w:rStyle w:val="FootnoteReference"/>
                <w:rFonts w:ascii="Times New Roman" w:eastAsia="Times New Roman" w:hAnsi="Times New Roman"/>
                <w:sz w:val="24"/>
                <w:szCs w:val="24"/>
              </w:rPr>
              <w:footnoteReference w:id="3"/>
            </w:r>
            <w:r w:rsidRPr="00855010">
              <w:rPr>
                <w:rFonts w:ascii="Times New Roman" w:eastAsia="Times New Roman" w:hAnsi="Times New Roman"/>
                <w:sz w:val="24"/>
                <w:szCs w:val="24"/>
              </w:rPr>
              <w:t xml:space="preserve"> consists of a package of measures that together aim to tackle various elements of the EU securitisation framework that provide impediments to the effective functioning of the securitisation market, and which extend beyond the prudential treatment. As such, it includes a set of measures that address both the supply side as well as the demand side of the market and that aim to reduce undue prudential barriers for banks, but also undue prudential costs for insurers</w:t>
            </w:r>
            <w:r w:rsidR="005A4BA8">
              <w:rPr>
                <w:rFonts w:ascii="Times New Roman" w:eastAsia="Times New Roman" w:hAnsi="Times New Roman"/>
                <w:sz w:val="24"/>
                <w:szCs w:val="24"/>
              </w:rPr>
              <w:t>,</w:t>
            </w:r>
            <w:r w:rsidRPr="00855010">
              <w:rPr>
                <w:rFonts w:ascii="Times New Roman" w:eastAsia="Times New Roman" w:hAnsi="Times New Roman"/>
                <w:sz w:val="24"/>
                <w:szCs w:val="24"/>
              </w:rPr>
              <w:t xml:space="preserve"> and reduce high operational costs </w:t>
            </w:r>
            <w:r w:rsidR="00653F48" w:rsidRPr="00855010">
              <w:rPr>
                <w:rFonts w:ascii="Times New Roman" w:eastAsia="Times New Roman" w:hAnsi="Times New Roman"/>
                <w:sz w:val="24"/>
                <w:szCs w:val="24"/>
              </w:rPr>
              <w:t xml:space="preserve">related to due diligence and transparency requirements </w:t>
            </w:r>
            <w:r w:rsidRPr="00855010">
              <w:rPr>
                <w:rFonts w:ascii="Times New Roman" w:eastAsia="Times New Roman" w:hAnsi="Times New Roman"/>
                <w:sz w:val="24"/>
                <w:szCs w:val="24"/>
              </w:rPr>
              <w:t>for participants in the securitisation market in general. The measures reinforce and complement each other to produce the desired impact.</w:t>
            </w:r>
          </w:p>
          <w:p w14:paraId="2EDC047E" w14:textId="30F5EB6C"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rPr>
              <w:lastRenderedPageBreak/>
              <w:t xml:space="preserve">The Commission points out that </w:t>
            </w:r>
            <w:r w:rsidR="27ED6546" w:rsidRPr="00855010">
              <w:rPr>
                <w:rFonts w:ascii="Times New Roman" w:eastAsia="Times New Roman" w:hAnsi="Times New Roman"/>
                <w:sz w:val="24"/>
                <w:szCs w:val="24"/>
              </w:rPr>
              <w:t>t</w:t>
            </w:r>
            <w:r w:rsidRPr="00855010">
              <w:rPr>
                <w:rFonts w:ascii="Times New Roman" w:eastAsia="Times New Roman" w:hAnsi="Times New Roman"/>
                <w:sz w:val="24"/>
                <w:szCs w:val="24"/>
              </w:rPr>
              <w:t>he Savings and Investment</w:t>
            </w:r>
            <w:r w:rsidR="1282F4FA" w:rsidRPr="00855010">
              <w:rPr>
                <w:rFonts w:ascii="Times New Roman" w:eastAsia="Times New Roman" w:hAnsi="Times New Roman"/>
                <w:sz w:val="24"/>
                <w:szCs w:val="24"/>
              </w:rPr>
              <w:t>s</w:t>
            </w:r>
            <w:r w:rsidRPr="00855010">
              <w:rPr>
                <w:rFonts w:ascii="Times New Roman" w:eastAsia="Times New Roman" w:hAnsi="Times New Roman"/>
                <w:sz w:val="24"/>
                <w:szCs w:val="24"/>
              </w:rPr>
              <w:t xml:space="preserve"> Union</w:t>
            </w:r>
            <w:r w:rsidR="006B2603">
              <w:rPr>
                <w:rFonts w:ascii="Times New Roman" w:eastAsia="Times New Roman" w:hAnsi="Times New Roman"/>
                <w:sz w:val="24"/>
                <w:szCs w:val="24"/>
              </w:rPr>
              <w:t> </w:t>
            </w:r>
            <w:r w:rsidRPr="00855010">
              <w:rPr>
                <w:rFonts w:ascii="Times New Roman" w:eastAsia="Times New Roman" w:hAnsi="Times New Roman"/>
                <w:sz w:val="24"/>
                <w:szCs w:val="24"/>
              </w:rPr>
              <w:t xml:space="preserve">(SIU) is designed precisely to strengthen financing of the real economy and deepen EU capital markets, </w:t>
            </w:r>
            <w:r w:rsidR="005A4BA8">
              <w:rPr>
                <w:rFonts w:ascii="Times New Roman" w:eastAsia="Times New Roman" w:hAnsi="Times New Roman"/>
                <w:sz w:val="24"/>
                <w:szCs w:val="24"/>
              </w:rPr>
              <w:t xml:space="preserve">and </w:t>
            </w:r>
            <w:r w:rsidRPr="00855010">
              <w:rPr>
                <w:rFonts w:ascii="Times New Roman" w:eastAsia="Times New Roman" w:hAnsi="Times New Roman"/>
                <w:sz w:val="24"/>
                <w:szCs w:val="24"/>
              </w:rPr>
              <w:t xml:space="preserve">thus directly addresses the concerns raised. </w:t>
            </w:r>
            <w:r w:rsidR="00732A72" w:rsidRPr="00855010">
              <w:rPr>
                <w:rFonts w:ascii="Times New Roman" w:eastAsia="Times New Roman" w:hAnsi="Times New Roman"/>
                <w:sz w:val="24"/>
                <w:szCs w:val="24"/>
              </w:rPr>
              <w:t>The review of the Securitisation framework</w:t>
            </w:r>
            <w:r w:rsidR="005C0F1C">
              <w:rPr>
                <w:rStyle w:val="FootnoteReference"/>
                <w:rFonts w:ascii="Times New Roman" w:eastAsia="Times New Roman" w:hAnsi="Times New Roman"/>
                <w:sz w:val="24"/>
                <w:szCs w:val="24"/>
              </w:rPr>
              <w:footnoteReference w:id="4"/>
            </w:r>
            <w:r w:rsidR="00732A72" w:rsidRPr="00855010">
              <w:rPr>
                <w:rFonts w:ascii="Times New Roman" w:eastAsia="Times New Roman" w:hAnsi="Times New Roman"/>
                <w:sz w:val="24"/>
                <w:szCs w:val="24"/>
              </w:rPr>
              <w:t xml:space="preserve"> is the first initiative proposed under the SIU </w:t>
            </w:r>
            <w:r w:rsidR="007F7051">
              <w:rPr>
                <w:rFonts w:ascii="Times New Roman" w:eastAsia="Times New Roman" w:hAnsi="Times New Roman"/>
                <w:sz w:val="24"/>
                <w:szCs w:val="24"/>
              </w:rPr>
              <w:t>Strategy</w:t>
            </w:r>
            <w:r w:rsidR="005C0F1C">
              <w:rPr>
                <w:rStyle w:val="FootnoteReference"/>
                <w:rFonts w:ascii="Times New Roman" w:eastAsia="Times New Roman" w:hAnsi="Times New Roman"/>
                <w:sz w:val="24"/>
                <w:szCs w:val="24"/>
              </w:rPr>
              <w:footnoteReference w:id="5"/>
            </w:r>
            <w:r w:rsidR="00732A72" w:rsidRPr="00855010">
              <w:rPr>
                <w:rFonts w:ascii="Times New Roman" w:eastAsia="Times New Roman" w:hAnsi="Times New Roman"/>
                <w:sz w:val="24"/>
                <w:szCs w:val="24"/>
              </w:rPr>
              <w:t>, which aims to harness the potential of both capital markets and the banking sector to help channel savings to productive investments. A vibrant EU securitisation market can contribute to a</w:t>
            </w:r>
            <w:r w:rsidR="006976F7">
              <w:rPr>
                <w:rFonts w:ascii="Times New Roman" w:eastAsia="Times New Roman" w:hAnsi="Times New Roman"/>
                <w:sz w:val="24"/>
                <w:szCs w:val="24"/>
              </w:rPr>
              <w:t> </w:t>
            </w:r>
            <w:r w:rsidR="00732A72" w:rsidRPr="00855010">
              <w:rPr>
                <w:rFonts w:ascii="Times New Roman" w:eastAsia="Times New Roman" w:hAnsi="Times New Roman"/>
                <w:sz w:val="24"/>
                <w:szCs w:val="24"/>
              </w:rPr>
              <w:t xml:space="preserve">more diversified financial system and greater risk-sharing, and it has the potential to free up additional lending for the EU economy. </w:t>
            </w:r>
            <w:r w:rsidRPr="00855010">
              <w:rPr>
                <w:rFonts w:ascii="Times New Roman" w:eastAsia="Times New Roman" w:hAnsi="Times New Roman"/>
                <w:sz w:val="24"/>
                <w:szCs w:val="24"/>
              </w:rPr>
              <w:t xml:space="preserve">The SIU explicitly prioritises the development of EU equity markets, channelling more private savings into investment boosting access to equity financing for </w:t>
            </w:r>
            <w:r w:rsidR="005C0F1C">
              <w:rPr>
                <w:rFonts w:ascii="Times New Roman" w:eastAsia="Times New Roman" w:hAnsi="Times New Roman"/>
                <w:sz w:val="24"/>
                <w:szCs w:val="24"/>
              </w:rPr>
              <w:t>s</w:t>
            </w:r>
            <w:r w:rsidR="005C0F1C" w:rsidRPr="005C0F1C">
              <w:rPr>
                <w:rFonts w:ascii="Times New Roman" w:eastAsia="Times New Roman" w:hAnsi="Times New Roman"/>
                <w:sz w:val="24"/>
                <w:szCs w:val="24"/>
              </w:rPr>
              <w:t>mall and medium-sized enterprises</w:t>
            </w:r>
            <w:r w:rsidR="005C0F1C">
              <w:rPr>
                <w:rFonts w:ascii="Times New Roman" w:eastAsia="Times New Roman" w:hAnsi="Times New Roman"/>
                <w:sz w:val="24"/>
                <w:szCs w:val="24"/>
              </w:rPr>
              <w:t> (</w:t>
            </w:r>
            <w:r w:rsidRPr="00855010">
              <w:rPr>
                <w:rFonts w:ascii="Times New Roman" w:eastAsia="Times New Roman" w:hAnsi="Times New Roman"/>
                <w:sz w:val="24"/>
                <w:szCs w:val="24"/>
              </w:rPr>
              <w:t>SMEs</w:t>
            </w:r>
            <w:r w:rsidR="005C0F1C">
              <w:rPr>
                <w:rFonts w:ascii="Times New Roman" w:eastAsia="Times New Roman" w:hAnsi="Times New Roman"/>
                <w:sz w:val="24"/>
                <w:szCs w:val="24"/>
              </w:rPr>
              <w:t>)</w:t>
            </w:r>
            <w:r w:rsidRPr="00855010">
              <w:rPr>
                <w:rFonts w:ascii="Times New Roman" w:eastAsia="Times New Roman" w:hAnsi="Times New Roman"/>
                <w:sz w:val="24"/>
                <w:szCs w:val="24"/>
              </w:rPr>
              <w:t xml:space="preserve"> and innovative firms. </w:t>
            </w:r>
            <w:r w:rsidR="00653F48" w:rsidRPr="00855010">
              <w:rPr>
                <w:rFonts w:ascii="Times New Roman" w:eastAsia="Times New Roman" w:hAnsi="Times New Roman"/>
                <w:sz w:val="24"/>
                <w:szCs w:val="24"/>
              </w:rPr>
              <w:t>SIU aims to mobilise</w:t>
            </w:r>
            <w:r w:rsidRPr="00855010">
              <w:rPr>
                <w:rFonts w:ascii="Times New Roman" w:eastAsia="Times New Roman" w:hAnsi="Times New Roman"/>
                <w:sz w:val="24"/>
                <w:szCs w:val="24"/>
              </w:rPr>
              <w:t xml:space="preserve"> private savings into productive investment, </w:t>
            </w:r>
            <w:r w:rsidR="00653F48" w:rsidRPr="00855010">
              <w:rPr>
                <w:rFonts w:ascii="Times New Roman" w:eastAsia="Times New Roman" w:hAnsi="Times New Roman"/>
                <w:sz w:val="24"/>
                <w:szCs w:val="24"/>
              </w:rPr>
              <w:t>strengthen</w:t>
            </w:r>
            <w:r w:rsidRPr="00855010">
              <w:rPr>
                <w:rFonts w:ascii="Times New Roman" w:eastAsia="Times New Roman" w:hAnsi="Times New Roman"/>
                <w:sz w:val="24"/>
                <w:szCs w:val="24"/>
              </w:rPr>
              <w:t xml:space="preserve"> market depth, </w:t>
            </w:r>
            <w:r w:rsidR="00653F48" w:rsidRPr="00855010">
              <w:rPr>
                <w:rFonts w:ascii="Times New Roman" w:eastAsia="Times New Roman" w:hAnsi="Times New Roman"/>
                <w:sz w:val="24"/>
                <w:szCs w:val="24"/>
              </w:rPr>
              <w:t>diversify</w:t>
            </w:r>
            <w:r w:rsidRPr="00855010">
              <w:rPr>
                <w:rFonts w:ascii="Times New Roman" w:eastAsia="Times New Roman" w:hAnsi="Times New Roman"/>
                <w:sz w:val="24"/>
                <w:szCs w:val="24"/>
              </w:rPr>
              <w:t xml:space="preserve"> funding sources for businesses, enhance equity market development, reduce reliance on debt, and support sustainable growth. </w:t>
            </w:r>
            <w:r w:rsidR="00732A72" w:rsidRPr="00855010">
              <w:rPr>
                <w:rFonts w:ascii="Times New Roman" w:eastAsia="Times New Roman" w:hAnsi="Times New Roman"/>
                <w:sz w:val="24"/>
                <w:szCs w:val="24"/>
              </w:rPr>
              <w:t>The review aims to facilitate further use of securitisation to the benefit of the EU economy. However, while a revived and growing EU securitisation market holds promise, it is also essential to acknowledge that it is not a</w:t>
            </w:r>
            <w:r w:rsidR="006976F7">
              <w:rPr>
                <w:rFonts w:ascii="Times New Roman" w:eastAsia="Times New Roman" w:hAnsi="Times New Roman"/>
                <w:sz w:val="24"/>
                <w:szCs w:val="24"/>
              </w:rPr>
              <w:t> </w:t>
            </w:r>
            <w:r w:rsidR="00732A72" w:rsidRPr="00855010">
              <w:rPr>
                <w:rFonts w:ascii="Times New Roman" w:eastAsia="Times New Roman" w:hAnsi="Times New Roman"/>
                <w:sz w:val="24"/>
                <w:szCs w:val="24"/>
              </w:rPr>
              <w:t>‘silver bullet' for the EU's funding needs. Rather, it serves as one of the many components of the Savings and Investments Union.</w:t>
            </w:r>
          </w:p>
          <w:p w14:paraId="685D91BC" w14:textId="73A52686"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u w:val="single"/>
              </w:rPr>
              <w:t>Point 1.3 of the opinion:</w:t>
            </w:r>
          </w:p>
          <w:p w14:paraId="07B64348" w14:textId="042E151E"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rPr>
              <w:t>The Commission is fully committed to maintain the strength of internationally developed prudential standards to prevent emerging global systemic risks. The proposed changes are targeted and limited in scope, aiming to improve the usability and effectiveness of the securitisation market without undermining prudential soundness. The targeted amendments address specific EU market needs and maintain a high level of international consistency.</w:t>
            </w:r>
          </w:p>
          <w:p w14:paraId="0118B24A" w14:textId="1711CFB0"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u w:val="single"/>
              </w:rPr>
              <w:t>Point 1.4 of the opinion:</w:t>
            </w:r>
          </w:p>
          <w:p w14:paraId="7D06C998" w14:textId="06AF0A62"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rPr>
              <w:t>The Commission reiterates that the aim of the package is to increase the amount of financing available to EU businesses and households, and to enhance risk diversification within the financial system. The Commission recognises the importance of monitoring the impact of the amendments on additional lending by credit institutions to households and businesses. However, introducing additional red tape through further layers of monitoring and reporting beyond those proposed would be contrary to the simplification objective of this package.</w:t>
            </w:r>
          </w:p>
          <w:p w14:paraId="672AC28C" w14:textId="39E39BDE"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u w:val="single"/>
              </w:rPr>
              <w:t>Point 1.5 of the opinion:</w:t>
            </w:r>
          </w:p>
          <w:p w14:paraId="488B2B2D" w14:textId="77D9BA27"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rPr>
              <w:t xml:space="preserve">The Commission welcomes the EESC’s support to the Commission proposal </w:t>
            </w:r>
            <w:r w:rsidR="00CE1DAE">
              <w:rPr>
                <w:rFonts w:ascii="Times New Roman" w:eastAsia="Times New Roman" w:hAnsi="Times New Roman"/>
                <w:sz w:val="24"/>
                <w:szCs w:val="24"/>
              </w:rPr>
              <w:t>on</w:t>
            </w:r>
            <w:r w:rsidRPr="00855010">
              <w:rPr>
                <w:rFonts w:ascii="Times New Roman" w:eastAsia="Times New Roman" w:hAnsi="Times New Roman"/>
                <w:sz w:val="24"/>
                <w:szCs w:val="24"/>
              </w:rPr>
              <w:t xml:space="preserve"> supervision. The aim is to strengthen the supervisory coordination, promote supervisory convergence and prevent fragmentation and divergent regulatory interpretations.</w:t>
            </w:r>
          </w:p>
          <w:p w14:paraId="5A8038EA" w14:textId="0DE37450" w:rsidR="5C3C2FA9" w:rsidRPr="00855010" w:rsidRDefault="62E13A03" w:rsidP="00855010">
            <w:pPr>
              <w:widowControl w:val="0"/>
              <w:spacing w:before="120" w:after="120"/>
              <w:jc w:val="both"/>
              <w:rPr>
                <w:rFonts w:ascii="Times New Roman" w:hAnsi="Times New Roman"/>
              </w:rPr>
            </w:pPr>
            <w:r w:rsidRPr="00855010">
              <w:rPr>
                <w:rFonts w:ascii="Times New Roman" w:eastAsia="Times New Roman" w:hAnsi="Times New Roman"/>
                <w:sz w:val="24"/>
                <w:szCs w:val="24"/>
                <w:u w:val="single"/>
              </w:rPr>
              <w:t>Point 1.6 of the opinion:</w:t>
            </w:r>
          </w:p>
          <w:p w14:paraId="798F4F59" w14:textId="10EC1F3E" w:rsidR="2A7D4715" w:rsidRPr="00855010" w:rsidRDefault="4A5ADD8B" w:rsidP="00855010">
            <w:pPr>
              <w:widowControl w:val="0"/>
              <w:spacing w:before="120" w:after="120"/>
              <w:jc w:val="both"/>
              <w:rPr>
                <w:rFonts w:ascii="Times New Roman" w:eastAsia="Times New Roman" w:hAnsi="Times New Roman"/>
                <w:sz w:val="24"/>
                <w:szCs w:val="24"/>
              </w:rPr>
            </w:pPr>
            <w:r w:rsidRPr="00855010">
              <w:rPr>
                <w:rFonts w:ascii="Times New Roman" w:eastAsia="Times New Roman" w:hAnsi="Times New Roman"/>
                <w:sz w:val="24"/>
                <w:szCs w:val="24"/>
              </w:rPr>
              <w:t xml:space="preserve">The Commission is committed to </w:t>
            </w:r>
            <w:r w:rsidR="7781AC33" w:rsidRPr="00855010">
              <w:rPr>
                <w:rFonts w:ascii="Times New Roman" w:eastAsia="Times New Roman" w:hAnsi="Times New Roman"/>
                <w:sz w:val="24"/>
                <w:szCs w:val="24"/>
              </w:rPr>
              <w:t>improve the</w:t>
            </w:r>
            <w:r w:rsidR="2DE8EA32" w:rsidRPr="00855010">
              <w:rPr>
                <w:rFonts w:ascii="Times New Roman" w:eastAsia="Times New Roman" w:hAnsi="Times New Roman"/>
                <w:sz w:val="24"/>
                <w:szCs w:val="24"/>
              </w:rPr>
              <w:t xml:space="preserve"> risk </w:t>
            </w:r>
            <w:r w:rsidR="00C33025" w:rsidRPr="00855010">
              <w:rPr>
                <w:rFonts w:ascii="Times New Roman" w:eastAsia="Times New Roman" w:hAnsi="Times New Roman"/>
                <w:sz w:val="24"/>
                <w:szCs w:val="24"/>
              </w:rPr>
              <w:t>sensitivity of</w:t>
            </w:r>
            <w:r w:rsidR="2DE8EA32" w:rsidRPr="00855010">
              <w:rPr>
                <w:rFonts w:ascii="Times New Roman" w:eastAsia="Times New Roman" w:hAnsi="Times New Roman"/>
                <w:sz w:val="24"/>
                <w:szCs w:val="24"/>
              </w:rPr>
              <w:t xml:space="preserve"> the capitalisation </w:t>
            </w:r>
            <w:r w:rsidR="386C62BF" w:rsidRPr="00855010">
              <w:rPr>
                <w:rFonts w:ascii="Times New Roman" w:eastAsia="Times New Roman" w:hAnsi="Times New Roman"/>
                <w:sz w:val="24"/>
                <w:szCs w:val="24"/>
              </w:rPr>
              <w:t>for</w:t>
            </w:r>
            <w:r w:rsidR="2AE66354" w:rsidRPr="00855010">
              <w:rPr>
                <w:rFonts w:ascii="Times New Roman" w:eastAsia="Times New Roman" w:hAnsi="Times New Roman"/>
                <w:sz w:val="24"/>
                <w:szCs w:val="24"/>
              </w:rPr>
              <w:t xml:space="preserve"> exposures to securitisations, with the </w:t>
            </w:r>
            <w:r w:rsidR="78F48F25" w:rsidRPr="00855010">
              <w:rPr>
                <w:rFonts w:ascii="Times New Roman" w:eastAsia="Times New Roman" w:hAnsi="Times New Roman"/>
                <w:sz w:val="24"/>
                <w:szCs w:val="24"/>
              </w:rPr>
              <w:t xml:space="preserve">introduction </w:t>
            </w:r>
            <w:r w:rsidR="06D3D48E" w:rsidRPr="00855010">
              <w:rPr>
                <w:rFonts w:ascii="Times New Roman" w:eastAsia="Times New Roman" w:hAnsi="Times New Roman"/>
                <w:sz w:val="24"/>
                <w:szCs w:val="24"/>
              </w:rPr>
              <w:t>of</w:t>
            </w:r>
            <w:r w:rsidR="032D3F00" w:rsidRPr="00855010">
              <w:rPr>
                <w:rFonts w:ascii="Times New Roman" w:eastAsia="Times New Roman" w:hAnsi="Times New Roman"/>
                <w:sz w:val="24"/>
                <w:szCs w:val="24"/>
              </w:rPr>
              <w:t xml:space="preserve"> the concept of </w:t>
            </w:r>
            <w:r w:rsidRPr="00855010">
              <w:rPr>
                <w:rFonts w:ascii="Times New Roman" w:eastAsia="Times New Roman" w:hAnsi="Times New Roman"/>
                <w:sz w:val="24"/>
                <w:szCs w:val="24"/>
              </w:rPr>
              <w:t>‘resilient positions’</w:t>
            </w:r>
            <w:r w:rsidR="35C54BAC" w:rsidRPr="00855010">
              <w:rPr>
                <w:rFonts w:ascii="Times New Roman" w:eastAsia="Times New Roman" w:hAnsi="Times New Roman"/>
                <w:sz w:val="24"/>
                <w:szCs w:val="24"/>
              </w:rPr>
              <w:t xml:space="preserve"> and to </w:t>
            </w:r>
            <w:r w:rsidR="63070EB0" w:rsidRPr="00855010">
              <w:rPr>
                <w:rFonts w:ascii="Times New Roman" w:eastAsia="Times New Roman" w:hAnsi="Times New Roman"/>
                <w:sz w:val="24"/>
                <w:szCs w:val="24"/>
              </w:rPr>
              <w:t xml:space="preserve">mitigate </w:t>
            </w:r>
            <w:r w:rsidR="7E5D5342" w:rsidRPr="00855010">
              <w:rPr>
                <w:rFonts w:ascii="Times New Roman" w:eastAsia="Times New Roman" w:hAnsi="Times New Roman"/>
                <w:sz w:val="24"/>
                <w:szCs w:val="24"/>
              </w:rPr>
              <w:t xml:space="preserve">modelling risk and </w:t>
            </w:r>
            <w:r w:rsidR="1397BB77" w:rsidRPr="00855010">
              <w:rPr>
                <w:rFonts w:ascii="Times New Roman" w:eastAsia="Times New Roman" w:hAnsi="Times New Roman"/>
                <w:sz w:val="24"/>
                <w:szCs w:val="24"/>
              </w:rPr>
              <w:t xml:space="preserve">the risk of </w:t>
            </w:r>
            <w:r w:rsidR="63070EB0" w:rsidRPr="00855010">
              <w:rPr>
                <w:rFonts w:ascii="Times New Roman" w:eastAsia="Times New Roman" w:hAnsi="Times New Roman"/>
                <w:sz w:val="24"/>
                <w:szCs w:val="24"/>
              </w:rPr>
              <w:t>regulatory arbitrage</w:t>
            </w:r>
            <w:r w:rsidR="5F9368D3" w:rsidRPr="00855010">
              <w:rPr>
                <w:rFonts w:ascii="Times New Roman" w:eastAsia="Times New Roman" w:hAnsi="Times New Roman"/>
                <w:sz w:val="24"/>
                <w:szCs w:val="24"/>
              </w:rPr>
              <w:t>.</w:t>
            </w:r>
          </w:p>
          <w:p w14:paraId="39FCC9E1" w14:textId="57319F4F"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rPr>
              <w:t xml:space="preserve">The impact assessment </w:t>
            </w:r>
            <w:r w:rsidR="00C33025" w:rsidRPr="00855010">
              <w:rPr>
                <w:rFonts w:ascii="Times New Roman" w:eastAsia="Times New Roman" w:hAnsi="Times New Roman"/>
                <w:sz w:val="24"/>
                <w:szCs w:val="24"/>
              </w:rPr>
              <w:t xml:space="preserve">carried out </w:t>
            </w:r>
            <w:r w:rsidRPr="00855010">
              <w:rPr>
                <w:rFonts w:ascii="Times New Roman" w:eastAsia="Times New Roman" w:hAnsi="Times New Roman"/>
                <w:sz w:val="24"/>
                <w:szCs w:val="24"/>
              </w:rPr>
              <w:t xml:space="preserve">by the Commission recommends enhancing the risk-sensitivity of </w:t>
            </w:r>
            <w:r w:rsidRPr="00855010">
              <w:rPr>
                <w:rFonts w:ascii="Times New Roman" w:eastAsia="Times New Roman" w:hAnsi="Times New Roman"/>
                <w:sz w:val="24"/>
                <w:szCs w:val="24"/>
              </w:rPr>
              <w:lastRenderedPageBreak/>
              <w:t>non-STS securitisations for insurance investors, which is identified as the most urgent and effective solution to encourage insurers</w:t>
            </w:r>
            <w:r w:rsidR="00286EBC">
              <w:rPr>
                <w:rFonts w:ascii="Times New Roman" w:eastAsia="Times New Roman" w:hAnsi="Times New Roman"/>
                <w:sz w:val="24"/>
                <w:szCs w:val="24"/>
              </w:rPr>
              <w:t>’</w:t>
            </w:r>
            <w:r w:rsidRPr="00855010">
              <w:rPr>
                <w:rFonts w:ascii="Times New Roman" w:eastAsia="Times New Roman" w:hAnsi="Times New Roman"/>
                <w:sz w:val="24"/>
                <w:szCs w:val="24"/>
              </w:rPr>
              <w:t xml:space="preserve"> investments in securitisation. It has been implemented by lowering the calibration of non-STS securitisations and differentiating between capital requirements for senior and non-senior tranches of non-STS securitisations.</w:t>
            </w:r>
          </w:p>
          <w:p w14:paraId="45ADCBC2" w14:textId="76C7529D"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rPr>
              <w:t>The evaluation of the Solvency II</w:t>
            </w:r>
            <w:r w:rsidR="005C0F1C">
              <w:rPr>
                <w:rStyle w:val="FootnoteReference"/>
                <w:rFonts w:ascii="Times New Roman" w:eastAsia="Times New Roman" w:hAnsi="Times New Roman"/>
                <w:sz w:val="24"/>
                <w:szCs w:val="24"/>
              </w:rPr>
              <w:footnoteReference w:id="6"/>
            </w:r>
            <w:r w:rsidRPr="00855010">
              <w:rPr>
                <w:rFonts w:ascii="Times New Roman" w:eastAsia="Times New Roman" w:hAnsi="Times New Roman"/>
                <w:sz w:val="24"/>
                <w:szCs w:val="24"/>
              </w:rPr>
              <w:t xml:space="preserve"> framework supports the policy choice to make targeted adjustments to the prudential treatment of senior STS securitisations, while not being identified as urgent in the impact assessment. The Commission </w:t>
            </w:r>
            <w:r w:rsidR="2744E0D6" w:rsidRPr="00855010">
              <w:rPr>
                <w:rFonts w:ascii="Times New Roman" w:eastAsia="Times New Roman" w:hAnsi="Times New Roman"/>
                <w:sz w:val="24"/>
                <w:szCs w:val="24"/>
              </w:rPr>
              <w:t>is</w:t>
            </w:r>
            <w:r w:rsidRPr="00855010">
              <w:rPr>
                <w:rFonts w:ascii="Times New Roman" w:eastAsia="Times New Roman" w:hAnsi="Times New Roman"/>
                <w:sz w:val="24"/>
                <w:szCs w:val="24"/>
              </w:rPr>
              <w:t xml:space="preserve"> proposing to reduce capital requirements for senior STS securitisations aiming at aligning them with those of corporate or covered bonds. For consistency purposes, the calibration for non-senior STS securitisations is proposed to be reduced to a comparable extent.</w:t>
            </w:r>
          </w:p>
          <w:p w14:paraId="723F0FA2" w14:textId="39087B8D" w:rsidR="5C3C2FA9" w:rsidRPr="00855010" w:rsidRDefault="5C3C2FA9" w:rsidP="00855010">
            <w:pPr>
              <w:widowControl w:val="0"/>
              <w:spacing w:before="120" w:after="120"/>
              <w:jc w:val="both"/>
              <w:rPr>
                <w:rFonts w:ascii="Times New Roman" w:eastAsia="Times New Roman" w:hAnsi="Times New Roman"/>
                <w:sz w:val="24"/>
                <w:szCs w:val="24"/>
              </w:rPr>
            </w:pPr>
            <w:r w:rsidRPr="00855010">
              <w:rPr>
                <w:rFonts w:ascii="Times New Roman" w:eastAsia="Times New Roman" w:hAnsi="Times New Roman"/>
                <w:sz w:val="24"/>
                <w:szCs w:val="24"/>
              </w:rPr>
              <w:t>The creation of mezzanine tranches for the STS category has been considered but discarded because of introducing significant complexity.</w:t>
            </w:r>
          </w:p>
          <w:p w14:paraId="3C8072F3" w14:textId="7107A2C1" w:rsidR="00390A09" w:rsidRPr="00855010" w:rsidRDefault="00390A09" w:rsidP="00855010">
            <w:pPr>
              <w:widowControl w:val="0"/>
              <w:spacing w:before="120" w:after="120"/>
              <w:jc w:val="both"/>
              <w:rPr>
                <w:rFonts w:ascii="Times New Roman" w:hAnsi="Times New Roman"/>
              </w:rPr>
            </w:pPr>
            <w:r w:rsidRPr="00855010">
              <w:rPr>
                <w:rFonts w:ascii="Times New Roman" w:eastAsia="Times New Roman" w:hAnsi="Times New Roman"/>
                <w:sz w:val="24"/>
                <w:szCs w:val="24"/>
              </w:rPr>
              <w:t xml:space="preserve">On </w:t>
            </w:r>
            <w:r w:rsidR="00705270" w:rsidRPr="00855010">
              <w:rPr>
                <w:rFonts w:ascii="Times New Roman" w:eastAsia="Times New Roman" w:hAnsi="Times New Roman"/>
                <w:sz w:val="24"/>
                <w:szCs w:val="24"/>
              </w:rPr>
              <w:t xml:space="preserve">the proposal to waive due diligence and risk retention requirements for securitisations where the first loss tranche </w:t>
            </w:r>
            <w:r w:rsidR="00250224" w:rsidRPr="00855010">
              <w:rPr>
                <w:rFonts w:ascii="Times New Roman" w:eastAsia="Times New Roman" w:hAnsi="Times New Roman"/>
                <w:sz w:val="24"/>
                <w:szCs w:val="24"/>
              </w:rPr>
              <w:t>constitutes</w:t>
            </w:r>
            <w:r w:rsidR="00705270" w:rsidRPr="00855010">
              <w:rPr>
                <w:rFonts w:ascii="Times New Roman" w:eastAsia="Times New Roman" w:hAnsi="Times New Roman"/>
                <w:sz w:val="24"/>
                <w:szCs w:val="24"/>
              </w:rPr>
              <w:t xml:space="preserve"> at least 15% of the total nominal value and is </w:t>
            </w:r>
            <w:r w:rsidR="00250224" w:rsidRPr="00855010">
              <w:rPr>
                <w:rFonts w:ascii="Times New Roman" w:eastAsia="Times New Roman" w:hAnsi="Times New Roman"/>
                <w:sz w:val="24"/>
                <w:szCs w:val="24"/>
              </w:rPr>
              <w:t>held/</w:t>
            </w:r>
            <w:r w:rsidR="00724AF3" w:rsidRPr="00855010">
              <w:rPr>
                <w:rFonts w:ascii="Times New Roman" w:eastAsia="Times New Roman" w:hAnsi="Times New Roman"/>
                <w:sz w:val="24"/>
                <w:szCs w:val="24"/>
              </w:rPr>
              <w:t>guaranteed by public entitie</w:t>
            </w:r>
            <w:r w:rsidR="00AD15BB" w:rsidRPr="00855010">
              <w:rPr>
                <w:rFonts w:ascii="Times New Roman" w:eastAsia="Times New Roman" w:hAnsi="Times New Roman"/>
                <w:sz w:val="24"/>
                <w:szCs w:val="24"/>
              </w:rPr>
              <w:t xml:space="preserve">s, the Commission recalls that the </w:t>
            </w:r>
            <w:r w:rsidR="007C2631" w:rsidRPr="00855010">
              <w:rPr>
                <w:rFonts w:ascii="Times New Roman" w:eastAsia="Times New Roman" w:hAnsi="Times New Roman"/>
                <w:sz w:val="24"/>
                <w:szCs w:val="24"/>
              </w:rPr>
              <w:t>proposed adjustments are expected to be conducive to the uptake of private investments in public-private funds</w:t>
            </w:r>
            <w:r w:rsidR="006976F7">
              <w:rPr>
                <w:rFonts w:ascii="Times New Roman" w:eastAsia="Times New Roman" w:hAnsi="Times New Roman"/>
                <w:sz w:val="24"/>
                <w:szCs w:val="24"/>
              </w:rPr>
              <w:t> </w:t>
            </w:r>
            <w:r w:rsidR="007C2631" w:rsidRPr="00855010">
              <w:rPr>
                <w:rFonts w:ascii="Times New Roman" w:eastAsia="Times New Roman" w:hAnsi="Times New Roman"/>
                <w:sz w:val="24"/>
                <w:szCs w:val="24"/>
              </w:rPr>
              <w:t>(PPFs). These structures can help leverage the scale and influence of private institutional investors to support policy objectives.</w:t>
            </w:r>
            <w:r w:rsidR="00CA06FF" w:rsidRPr="00855010">
              <w:rPr>
                <w:rFonts w:ascii="Times New Roman" w:eastAsia="Times New Roman" w:hAnsi="Times New Roman"/>
                <w:sz w:val="24"/>
                <w:szCs w:val="24"/>
              </w:rPr>
              <w:t xml:space="preserve"> Moreover, the transactions in question possess characteristics </w:t>
            </w:r>
            <w:r w:rsidR="00432CB4" w:rsidRPr="00855010">
              <w:rPr>
                <w:rFonts w:ascii="Times New Roman" w:eastAsia="Times New Roman" w:hAnsi="Times New Roman"/>
                <w:sz w:val="24"/>
                <w:szCs w:val="24"/>
              </w:rPr>
              <w:t>that mitigate the need for carrying out full due diligence and risk retention.</w:t>
            </w:r>
          </w:p>
          <w:p w14:paraId="25578BA9" w14:textId="0EC64395" w:rsidR="5C3C2FA9" w:rsidRPr="00855010" w:rsidRDefault="5C3C2FA9" w:rsidP="00855010">
            <w:pPr>
              <w:widowControl w:val="0"/>
              <w:spacing w:before="120" w:after="120"/>
              <w:jc w:val="both"/>
              <w:rPr>
                <w:rFonts w:ascii="Times New Roman" w:hAnsi="Times New Roman"/>
              </w:rPr>
            </w:pPr>
            <w:r w:rsidRPr="00855010">
              <w:rPr>
                <w:rFonts w:ascii="Times New Roman" w:eastAsia="Times New Roman" w:hAnsi="Times New Roman"/>
                <w:sz w:val="24"/>
                <w:szCs w:val="24"/>
                <w:u w:val="single"/>
              </w:rPr>
              <w:t>Point 1.7 of the opinion:</w:t>
            </w:r>
          </w:p>
          <w:p w14:paraId="506705C8" w14:textId="074B0433" w:rsidR="001E142A" w:rsidRPr="00855010" w:rsidRDefault="5C3C2FA9" w:rsidP="00855010">
            <w:pPr>
              <w:widowControl w:val="0"/>
              <w:spacing w:before="120" w:after="120"/>
              <w:jc w:val="both"/>
              <w:rPr>
                <w:rFonts w:ascii="Times New Roman" w:eastAsia="Times New Roman" w:hAnsi="Times New Roman"/>
                <w:sz w:val="24"/>
                <w:szCs w:val="24"/>
                <w:lang w:val="en-IE"/>
              </w:rPr>
            </w:pPr>
            <w:r w:rsidRPr="00855010">
              <w:rPr>
                <w:rFonts w:ascii="Times New Roman" w:eastAsia="Times New Roman" w:hAnsi="Times New Roman"/>
                <w:sz w:val="24"/>
                <w:szCs w:val="24"/>
              </w:rPr>
              <w:t>The Commission takes note of the EESC’s concerns regarding the preservation of the long-term relationship between lenders and borrowers. However, the cited areas of insolvency law are outside the scope of the securitisation framework and of the related Commission proposals.</w:t>
            </w:r>
          </w:p>
        </w:tc>
      </w:tr>
    </w:tbl>
    <w:p w14:paraId="6AF07B14" w14:textId="26AEAB66" w:rsidR="004F6117" w:rsidRPr="00855010" w:rsidRDefault="004F6117" w:rsidP="00855010">
      <w:pPr>
        <w:spacing w:after="0" w:line="240" w:lineRule="auto"/>
        <w:ind w:left="-567"/>
        <w:rPr>
          <w:rFonts w:ascii="Times New Roman" w:hAnsi="Times New Roman"/>
          <w:bCs/>
          <w:sz w:val="16"/>
          <w:szCs w:val="16"/>
        </w:rPr>
      </w:pPr>
    </w:p>
    <w:sectPr w:rsidR="004F6117" w:rsidRPr="0085501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DB13" w14:textId="77777777" w:rsidR="00303EBD" w:rsidRDefault="00303EBD" w:rsidP="00FF63EA">
      <w:pPr>
        <w:spacing w:after="0" w:line="240" w:lineRule="auto"/>
      </w:pPr>
      <w:r>
        <w:separator/>
      </w:r>
    </w:p>
  </w:endnote>
  <w:endnote w:type="continuationSeparator" w:id="0">
    <w:p w14:paraId="25D095DA" w14:textId="77777777" w:rsidR="00303EBD" w:rsidRDefault="00303EBD" w:rsidP="00FF63EA">
      <w:pPr>
        <w:spacing w:after="0" w:line="240" w:lineRule="auto"/>
      </w:pPr>
      <w:r>
        <w:continuationSeparator/>
      </w:r>
    </w:p>
  </w:endnote>
  <w:endnote w:type="continuationNotice" w:id="1">
    <w:p w14:paraId="114D304C" w14:textId="77777777" w:rsidR="00303EBD" w:rsidRDefault="00303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35D1" w14:textId="77777777" w:rsidR="003E6FE3" w:rsidRDefault="003E6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67B3" w14:textId="77777777" w:rsidR="003E6FE3" w:rsidRDefault="003E6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749B" w14:textId="77777777" w:rsidR="003E6FE3" w:rsidRDefault="003E6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3F2B" w14:textId="77777777" w:rsidR="00303EBD" w:rsidRDefault="00303EBD" w:rsidP="00FF63EA">
      <w:pPr>
        <w:spacing w:after="0" w:line="240" w:lineRule="auto"/>
      </w:pPr>
      <w:r>
        <w:separator/>
      </w:r>
    </w:p>
  </w:footnote>
  <w:footnote w:type="continuationSeparator" w:id="0">
    <w:p w14:paraId="0554D619" w14:textId="77777777" w:rsidR="00303EBD" w:rsidRDefault="00303EBD" w:rsidP="00FF63EA">
      <w:pPr>
        <w:spacing w:after="0" w:line="240" w:lineRule="auto"/>
      </w:pPr>
      <w:r>
        <w:continuationSeparator/>
      </w:r>
    </w:p>
  </w:footnote>
  <w:footnote w:type="continuationNotice" w:id="1">
    <w:p w14:paraId="5DC6E26E" w14:textId="77777777" w:rsidR="00303EBD" w:rsidRDefault="00303EBD">
      <w:pPr>
        <w:spacing w:after="0" w:line="240" w:lineRule="auto"/>
      </w:pPr>
    </w:p>
  </w:footnote>
  <w:footnote w:id="2">
    <w:p w14:paraId="019A7CD0" w14:textId="6C18F2DE" w:rsidR="00855010" w:rsidRPr="006976F7" w:rsidRDefault="00855010" w:rsidP="00F22B8F">
      <w:pPr>
        <w:pStyle w:val="FootnoteText"/>
        <w:spacing w:after="0" w:line="240" w:lineRule="auto"/>
        <w:ind w:left="-141" w:right="-567" w:hanging="284"/>
        <w:jc w:val="both"/>
        <w:rPr>
          <w:rFonts w:ascii="Times New Roman" w:hAnsi="Times New Roman"/>
          <w:lang w:val="en-IE"/>
        </w:rPr>
      </w:pPr>
      <w:r w:rsidRPr="006976F7">
        <w:rPr>
          <w:rStyle w:val="FootnoteReference"/>
          <w:rFonts w:ascii="Times New Roman" w:hAnsi="Times New Roman"/>
        </w:rPr>
        <w:footnoteRef/>
      </w:r>
      <w:r w:rsidRPr="006976F7">
        <w:rPr>
          <w:rFonts w:ascii="Times New Roman" w:hAnsi="Times New Roman"/>
        </w:rPr>
        <w:t xml:space="preserve"> </w:t>
      </w:r>
      <w:r w:rsidRPr="006976F7">
        <w:rPr>
          <w:rFonts w:ascii="Times New Roman" w:hAnsi="Times New Roman"/>
          <w:lang w:val="en-IE"/>
        </w:rPr>
        <w:tab/>
      </w:r>
      <w:r w:rsidRPr="006976F7">
        <w:rPr>
          <w:rFonts w:ascii="Times New Roman" w:hAnsi="Times New Roman"/>
        </w:rPr>
        <w:t>Regulation (EU) 2023/2631 of the European Parliament and of the Council of 22 November 2023 on European Green Bonds and optional disclosures for bonds marketed as environmentally sustainable and for sustainability-linked bonds (</w:t>
      </w:r>
      <w:hyperlink r:id="rId1" w:tooltip="Gives access to this document through its ELI URI." w:history="1">
        <w:r w:rsidRPr="006976F7">
          <w:rPr>
            <w:rStyle w:val="Hyperlink"/>
            <w:rFonts w:ascii="Times New Roman" w:hAnsi="Times New Roman"/>
          </w:rPr>
          <w:t>http://data.europa.eu/eli/reg/2023/2631/oj</w:t>
        </w:r>
      </w:hyperlink>
      <w:r w:rsidRPr="006976F7">
        <w:rPr>
          <w:rFonts w:ascii="Times New Roman" w:hAnsi="Times New Roman"/>
        </w:rPr>
        <w:t>).</w:t>
      </w:r>
    </w:p>
  </w:footnote>
  <w:footnote w:id="3">
    <w:p w14:paraId="585F7FC7" w14:textId="63A4F674" w:rsidR="00A92C4D" w:rsidRPr="006976F7" w:rsidRDefault="00A92C4D" w:rsidP="00F22B8F">
      <w:pPr>
        <w:pStyle w:val="FootnoteText"/>
        <w:spacing w:after="0" w:line="240" w:lineRule="auto"/>
        <w:ind w:left="-141" w:right="-567" w:hanging="284"/>
        <w:jc w:val="both"/>
        <w:rPr>
          <w:rFonts w:ascii="Times New Roman" w:hAnsi="Times New Roman"/>
          <w:lang w:val="en-IE"/>
        </w:rPr>
      </w:pPr>
      <w:r w:rsidRPr="006976F7">
        <w:rPr>
          <w:rStyle w:val="FootnoteReference"/>
          <w:rFonts w:ascii="Times New Roman" w:hAnsi="Times New Roman"/>
        </w:rPr>
        <w:footnoteRef/>
      </w:r>
      <w:r w:rsidRPr="006976F7">
        <w:rPr>
          <w:rFonts w:ascii="Times New Roman" w:hAnsi="Times New Roman"/>
        </w:rPr>
        <w:t xml:space="preserve"> </w:t>
      </w:r>
      <w:r w:rsidRPr="006976F7">
        <w:rPr>
          <w:rFonts w:ascii="Times New Roman" w:hAnsi="Times New Roman"/>
          <w:lang w:val="en-IE"/>
        </w:rPr>
        <w:tab/>
      </w:r>
      <w:hyperlink r:id="rId2" w:history="1">
        <w:r w:rsidRPr="006976F7">
          <w:rPr>
            <w:rStyle w:val="Hyperlink"/>
            <w:rFonts w:ascii="Times New Roman" w:hAnsi="Times New Roman"/>
          </w:rPr>
          <w:t>Securitisation initiative - Finance - European Commission</w:t>
        </w:r>
      </w:hyperlink>
      <w:r w:rsidRPr="006976F7">
        <w:rPr>
          <w:rFonts w:ascii="Times New Roman" w:hAnsi="Times New Roman"/>
          <w:lang w:val="en-IE"/>
        </w:rPr>
        <w:t>.</w:t>
      </w:r>
    </w:p>
  </w:footnote>
  <w:footnote w:id="4">
    <w:p w14:paraId="149A2F56" w14:textId="17958EE2" w:rsidR="005C0F1C" w:rsidRPr="006976F7" w:rsidRDefault="005C0F1C" w:rsidP="00F22B8F">
      <w:pPr>
        <w:pStyle w:val="FootnoteText"/>
        <w:widowControl w:val="0"/>
        <w:spacing w:after="0" w:line="240" w:lineRule="auto"/>
        <w:ind w:left="-141" w:right="-567" w:hanging="284"/>
        <w:jc w:val="both"/>
        <w:rPr>
          <w:rFonts w:ascii="Times New Roman" w:hAnsi="Times New Roman"/>
          <w:lang w:val="en-IE"/>
        </w:rPr>
      </w:pPr>
      <w:r w:rsidRPr="006976F7">
        <w:rPr>
          <w:rStyle w:val="FootnoteReference"/>
          <w:rFonts w:ascii="Times New Roman" w:hAnsi="Times New Roman"/>
        </w:rPr>
        <w:footnoteRef/>
      </w:r>
      <w:r w:rsidRPr="006976F7">
        <w:rPr>
          <w:rFonts w:ascii="Times New Roman" w:hAnsi="Times New Roman"/>
        </w:rPr>
        <w:t xml:space="preserve"> </w:t>
      </w:r>
      <w:r w:rsidRPr="006976F7">
        <w:rPr>
          <w:rFonts w:ascii="Times New Roman" w:hAnsi="Times New Roman"/>
          <w:lang w:val="en-IE"/>
        </w:rPr>
        <w:tab/>
      </w:r>
      <w:hyperlink r:id="rId3" w:history="1">
        <w:r w:rsidRPr="006976F7">
          <w:rPr>
            <w:rStyle w:val="Hyperlink"/>
            <w:rFonts w:ascii="Times New Roman" w:hAnsi="Times New Roman"/>
          </w:rPr>
          <w:t>Review of the EU securitisation framework</w:t>
        </w:r>
      </w:hyperlink>
      <w:r w:rsidRPr="006976F7">
        <w:rPr>
          <w:rFonts w:ascii="Times New Roman" w:hAnsi="Times New Roman"/>
          <w:lang w:val="en-IE"/>
        </w:rPr>
        <w:t>.</w:t>
      </w:r>
    </w:p>
  </w:footnote>
  <w:footnote w:id="5">
    <w:p w14:paraId="3CF082F4" w14:textId="4CFBB528" w:rsidR="005C0F1C" w:rsidRPr="006976F7" w:rsidRDefault="005C0F1C" w:rsidP="00F22B8F">
      <w:pPr>
        <w:pStyle w:val="FootnoteText"/>
        <w:widowControl w:val="0"/>
        <w:spacing w:after="0"/>
        <w:ind w:left="-142" w:right="-567" w:hanging="283"/>
        <w:rPr>
          <w:rFonts w:ascii="Times New Roman" w:hAnsi="Times New Roman"/>
          <w:lang w:val="fr-BE"/>
        </w:rPr>
      </w:pPr>
      <w:r w:rsidRPr="006976F7">
        <w:rPr>
          <w:rStyle w:val="FootnoteReference"/>
          <w:rFonts w:ascii="Times New Roman" w:hAnsi="Times New Roman"/>
        </w:rPr>
        <w:footnoteRef/>
      </w:r>
      <w:r w:rsidRPr="006976F7">
        <w:rPr>
          <w:rFonts w:ascii="Times New Roman" w:hAnsi="Times New Roman"/>
          <w:lang w:val="fr-BE"/>
        </w:rPr>
        <w:t xml:space="preserve"> </w:t>
      </w:r>
      <w:r w:rsidRPr="006976F7">
        <w:rPr>
          <w:rFonts w:ascii="Times New Roman" w:hAnsi="Times New Roman"/>
          <w:lang w:val="fr-BE"/>
        </w:rPr>
        <w:tab/>
      </w:r>
      <w:proofErr w:type="gramStart"/>
      <w:r w:rsidRPr="006976F7">
        <w:rPr>
          <w:rFonts w:ascii="Times New Roman" w:hAnsi="Times New Roman"/>
          <w:lang w:val="fr-BE"/>
        </w:rPr>
        <w:t>COM(</w:t>
      </w:r>
      <w:proofErr w:type="gramEnd"/>
      <w:r w:rsidRPr="006976F7">
        <w:rPr>
          <w:rFonts w:ascii="Times New Roman" w:hAnsi="Times New Roman"/>
          <w:lang w:val="fr-BE"/>
        </w:rPr>
        <w:t>202</w:t>
      </w:r>
      <w:r w:rsidR="006976F7" w:rsidRPr="00CF511A">
        <w:rPr>
          <w:rFonts w:ascii="Times New Roman" w:hAnsi="Times New Roman"/>
          <w:lang w:val="fr-BE"/>
        </w:rPr>
        <w:t>5</w:t>
      </w:r>
      <w:r w:rsidRPr="006976F7">
        <w:rPr>
          <w:rFonts w:ascii="Times New Roman" w:hAnsi="Times New Roman"/>
          <w:lang w:val="fr-BE"/>
        </w:rPr>
        <w:t>) 124 final (</w:t>
      </w:r>
      <w:hyperlink r:id="rId4" w:history="1">
        <w:r w:rsidRPr="006976F7">
          <w:rPr>
            <w:rStyle w:val="Hyperlink"/>
            <w:rFonts w:ascii="Times New Roman" w:hAnsi="Times New Roman"/>
            <w:lang w:val="fr-BE"/>
          </w:rPr>
          <w:t>EUR-Lex - 52025DC0124 - EN - EUR-Lex</w:t>
        </w:r>
      </w:hyperlink>
      <w:r w:rsidRPr="006976F7">
        <w:rPr>
          <w:rFonts w:ascii="Times New Roman" w:hAnsi="Times New Roman"/>
          <w:lang w:val="fr-BE"/>
        </w:rPr>
        <w:t>).</w:t>
      </w:r>
    </w:p>
  </w:footnote>
  <w:footnote w:id="6">
    <w:p w14:paraId="38123844" w14:textId="37A1D888" w:rsidR="005C0F1C" w:rsidRPr="00F22B8F" w:rsidRDefault="005C0F1C" w:rsidP="00F22B8F">
      <w:pPr>
        <w:pStyle w:val="FootnoteText"/>
        <w:spacing w:after="0" w:line="240" w:lineRule="auto"/>
        <w:ind w:left="-141" w:right="-567" w:hanging="284"/>
        <w:jc w:val="both"/>
        <w:rPr>
          <w:rFonts w:ascii="Times New Roman" w:hAnsi="Times New Roman"/>
          <w:lang w:val="en-IE"/>
        </w:rPr>
      </w:pPr>
      <w:r w:rsidRPr="00F22B8F">
        <w:rPr>
          <w:rStyle w:val="FootnoteReference"/>
          <w:rFonts w:ascii="Times New Roman" w:hAnsi="Times New Roman"/>
        </w:rPr>
        <w:footnoteRef/>
      </w:r>
      <w:r w:rsidRPr="00F22B8F">
        <w:rPr>
          <w:rFonts w:ascii="Times New Roman" w:hAnsi="Times New Roman"/>
        </w:rPr>
        <w:t xml:space="preserve"> </w:t>
      </w:r>
      <w:r w:rsidRPr="00F22B8F">
        <w:rPr>
          <w:rFonts w:ascii="Times New Roman" w:hAnsi="Times New Roman"/>
          <w:lang w:val="en-IE"/>
        </w:rPr>
        <w:tab/>
      </w:r>
      <w:r w:rsidRPr="00F22B8F">
        <w:rPr>
          <w:rFonts w:ascii="Times New Roman" w:hAnsi="Times New Roman"/>
        </w:rPr>
        <w:t>Directive 2009/138/EC of the European Parliament and of the Council of 25 November 2009 on the taking-up and pursuit of the business of Insurance and Reinsurance (Solvency II) (recast) (</w:t>
      </w:r>
      <w:hyperlink r:id="rId5" w:tooltip="Gives access to this document through its ELI URI." w:history="1">
        <w:r w:rsidRPr="00F22B8F">
          <w:rPr>
            <w:rStyle w:val="Hyperlink"/>
            <w:rFonts w:ascii="Times New Roman" w:hAnsi="Times New Roman"/>
          </w:rPr>
          <w:t>http://data.europa.eu/eli/dir/2009/138/oj</w:t>
        </w:r>
      </w:hyperlink>
      <w:r w:rsidRPr="00F22B8F">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8EFB" w14:textId="77777777" w:rsidR="003E6FE3" w:rsidRDefault="003E6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4893" w14:textId="77777777" w:rsidR="003E6FE3" w:rsidRDefault="003E6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039D" w14:textId="77777777" w:rsidR="003E6FE3" w:rsidRDefault="003E6F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4EA6"/>
    <w:rsid w:val="00005321"/>
    <w:rsid w:val="00012A37"/>
    <w:rsid w:val="00025647"/>
    <w:rsid w:val="000262E8"/>
    <w:rsid w:val="000344BC"/>
    <w:rsid w:val="00042F1D"/>
    <w:rsid w:val="00046B15"/>
    <w:rsid w:val="00050DC7"/>
    <w:rsid w:val="000551BE"/>
    <w:rsid w:val="00057E18"/>
    <w:rsid w:val="000612AA"/>
    <w:rsid w:val="0007403C"/>
    <w:rsid w:val="00076109"/>
    <w:rsid w:val="00077C4F"/>
    <w:rsid w:val="00083F42"/>
    <w:rsid w:val="00094C5C"/>
    <w:rsid w:val="00095EBD"/>
    <w:rsid w:val="000F5FD8"/>
    <w:rsid w:val="00107391"/>
    <w:rsid w:val="001167C0"/>
    <w:rsid w:val="00135C2A"/>
    <w:rsid w:val="001742D4"/>
    <w:rsid w:val="001B0E0B"/>
    <w:rsid w:val="001C4138"/>
    <w:rsid w:val="001E142A"/>
    <w:rsid w:val="001E7E2C"/>
    <w:rsid w:val="001F2EC6"/>
    <w:rsid w:val="001F46EC"/>
    <w:rsid w:val="001F65D0"/>
    <w:rsid w:val="002160E8"/>
    <w:rsid w:val="00217E59"/>
    <w:rsid w:val="00246080"/>
    <w:rsid w:val="00250224"/>
    <w:rsid w:val="00283B5B"/>
    <w:rsid w:val="00284422"/>
    <w:rsid w:val="00286EBC"/>
    <w:rsid w:val="002A6224"/>
    <w:rsid w:val="002B50C9"/>
    <w:rsid w:val="002C75AF"/>
    <w:rsid w:val="002F03FA"/>
    <w:rsid w:val="003004D2"/>
    <w:rsid w:val="00303EBD"/>
    <w:rsid w:val="00311CDF"/>
    <w:rsid w:val="00315018"/>
    <w:rsid w:val="003349A3"/>
    <w:rsid w:val="003461B8"/>
    <w:rsid w:val="00377967"/>
    <w:rsid w:val="00386143"/>
    <w:rsid w:val="00390A09"/>
    <w:rsid w:val="003A55B4"/>
    <w:rsid w:val="003B58DC"/>
    <w:rsid w:val="003C121F"/>
    <w:rsid w:val="003C1E16"/>
    <w:rsid w:val="003C1E95"/>
    <w:rsid w:val="003D3E1F"/>
    <w:rsid w:val="003E6FE3"/>
    <w:rsid w:val="003F686E"/>
    <w:rsid w:val="00432CB4"/>
    <w:rsid w:val="00435DE2"/>
    <w:rsid w:val="00442552"/>
    <w:rsid w:val="00455A1C"/>
    <w:rsid w:val="004675B5"/>
    <w:rsid w:val="00467FAE"/>
    <w:rsid w:val="004770D6"/>
    <w:rsid w:val="0049246C"/>
    <w:rsid w:val="004960F5"/>
    <w:rsid w:val="004F6117"/>
    <w:rsid w:val="004F63F1"/>
    <w:rsid w:val="004F651E"/>
    <w:rsid w:val="00506DE8"/>
    <w:rsid w:val="0052596B"/>
    <w:rsid w:val="005329C7"/>
    <w:rsid w:val="00537696"/>
    <w:rsid w:val="0054236E"/>
    <w:rsid w:val="00554D8D"/>
    <w:rsid w:val="00573835"/>
    <w:rsid w:val="00581306"/>
    <w:rsid w:val="005850F7"/>
    <w:rsid w:val="0059238D"/>
    <w:rsid w:val="005A4BA8"/>
    <w:rsid w:val="005C0F1C"/>
    <w:rsid w:val="005C3105"/>
    <w:rsid w:val="005C40A9"/>
    <w:rsid w:val="005C5712"/>
    <w:rsid w:val="00643750"/>
    <w:rsid w:val="0065369D"/>
    <w:rsid w:val="00653F48"/>
    <w:rsid w:val="0066665E"/>
    <w:rsid w:val="00692C2F"/>
    <w:rsid w:val="00695797"/>
    <w:rsid w:val="00696A5E"/>
    <w:rsid w:val="006973FB"/>
    <w:rsid w:val="006976F7"/>
    <w:rsid w:val="006B2603"/>
    <w:rsid w:val="006B3B69"/>
    <w:rsid w:val="006C5D15"/>
    <w:rsid w:val="006E4F14"/>
    <w:rsid w:val="00705270"/>
    <w:rsid w:val="00717A43"/>
    <w:rsid w:val="007216C6"/>
    <w:rsid w:val="00724AF3"/>
    <w:rsid w:val="007300FA"/>
    <w:rsid w:val="00732A72"/>
    <w:rsid w:val="00734613"/>
    <w:rsid w:val="0074338F"/>
    <w:rsid w:val="00751910"/>
    <w:rsid w:val="00751E60"/>
    <w:rsid w:val="007547B5"/>
    <w:rsid w:val="00786A4F"/>
    <w:rsid w:val="00795A9E"/>
    <w:rsid w:val="007A606D"/>
    <w:rsid w:val="007B26EE"/>
    <w:rsid w:val="007B59DF"/>
    <w:rsid w:val="007C2214"/>
    <w:rsid w:val="007C2631"/>
    <w:rsid w:val="007F59BA"/>
    <w:rsid w:val="007F7051"/>
    <w:rsid w:val="00807B48"/>
    <w:rsid w:val="008135CA"/>
    <w:rsid w:val="0081584F"/>
    <w:rsid w:val="0085098C"/>
    <w:rsid w:val="00855010"/>
    <w:rsid w:val="008703BF"/>
    <w:rsid w:val="00886CDC"/>
    <w:rsid w:val="00892368"/>
    <w:rsid w:val="008925CE"/>
    <w:rsid w:val="008C4D41"/>
    <w:rsid w:val="008E0BA8"/>
    <w:rsid w:val="00917099"/>
    <w:rsid w:val="0095543B"/>
    <w:rsid w:val="009764D8"/>
    <w:rsid w:val="00981F45"/>
    <w:rsid w:val="00994168"/>
    <w:rsid w:val="00994D12"/>
    <w:rsid w:val="009A57B8"/>
    <w:rsid w:val="009B128B"/>
    <w:rsid w:val="009B5974"/>
    <w:rsid w:val="009C23C1"/>
    <w:rsid w:val="009D58C1"/>
    <w:rsid w:val="009D7380"/>
    <w:rsid w:val="009E2B0E"/>
    <w:rsid w:val="009E7246"/>
    <w:rsid w:val="009E79D1"/>
    <w:rsid w:val="00A03335"/>
    <w:rsid w:val="00A16F07"/>
    <w:rsid w:val="00A301AB"/>
    <w:rsid w:val="00A41DD2"/>
    <w:rsid w:val="00A62C7B"/>
    <w:rsid w:val="00A7709A"/>
    <w:rsid w:val="00A853E7"/>
    <w:rsid w:val="00A87A38"/>
    <w:rsid w:val="00A92C4D"/>
    <w:rsid w:val="00A969D0"/>
    <w:rsid w:val="00AA16B4"/>
    <w:rsid w:val="00AA6F73"/>
    <w:rsid w:val="00AB1A8C"/>
    <w:rsid w:val="00AD15BB"/>
    <w:rsid w:val="00AE1842"/>
    <w:rsid w:val="00AE3C7C"/>
    <w:rsid w:val="00AF3ACD"/>
    <w:rsid w:val="00B047E0"/>
    <w:rsid w:val="00B248D0"/>
    <w:rsid w:val="00B31306"/>
    <w:rsid w:val="00B42814"/>
    <w:rsid w:val="00B64FE5"/>
    <w:rsid w:val="00B6576B"/>
    <w:rsid w:val="00B70A19"/>
    <w:rsid w:val="00B824EB"/>
    <w:rsid w:val="00B83936"/>
    <w:rsid w:val="00BA4240"/>
    <w:rsid w:val="00BD6EB7"/>
    <w:rsid w:val="00BF532A"/>
    <w:rsid w:val="00BF61DC"/>
    <w:rsid w:val="00C00256"/>
    <w:rsid w:val="00C33025"/>
    <w:rsid w:val="00C54D27"/>
    <w:rsid w:val="00C71D38"/>
    <w:rsid w:val="00C76EEB"/>
    <w:rsid w:val="00C8184A"/>
    <w:rsid w:val="00CA06FF"/>
    <w:rsid w:val="00CC212F"/>
    <w:rsid w:val="00CE1DAE"/>
    <w:rsid w:val="00D01F5A"/>
    <w:rsid w:val="00D1716E"/>
    <w:rsid w:val="00D261EC"/>
    <w:rsid w:val="00D32EEE"/>
    <w:rsid w:val="00D54351"/>
    <w:rsid w:val="00D6427E"/>
    <w:rsid w:val="00D64E05"/>
    <w:rsid w:val="00D83AFF"/>
    <w:rsid w:val="00D92FD3"/>
    <w:rsid w:val="00D9495D"/>
    <w:rsid w:val="00DA3B6E"/>
    <w:rsid w:val="00DB7581"/>
    <w:rsid w:val="00DC3199"/>
    <w:rsid w:val="00DC70C1"/>
    <w:rsid w:val="00DD1F74"/>
    <w:rsid w:val="00DD2C7F"/>
    <w:rsid w:val="00E12540"/>
    <w:rsid w:val="00E24CA9"/>
    <w:rsid w:val="00E25DE6"/>
    <w:rsid w:val="00E518A9"/>
    <w:rsid w:val="00E832A6"/>
    <w:rsid w:val="00E83C12"/>
    <w:rsid w:val="00E841AB"/>
    <w:rsid w:val="00E904C8"/>
    <w:rsid w:val="00E905B9"/>
    <w:rsid w:val="00EA1492"/>
    <w:rsid w:val="00EA1BBF"/>
    <w:rsid w:val="00EB29A9"/>
    <w:rsid w:val="00EB77D2"/>
    <w:rsid w:val="00EC1E03"/>
    <w:rsid w:val="00F22B8F"/>
    <w:rsid w:val="00F316C8"/>
    <w:rsid w:val="00F5383C"/>
    <w:rsid w:val="00F55D40"/>
    <w:rsid w:val="00F564F4"/>
    <w:rsid w:val="00F632DE"/>
    <w:rsid w:val="00F65309"/>
    <w:rsid w:val="00F735E4"/>
    <w:rsid w:val="00F9530B"/>
    <w:rsid w:val="00FA21CA"/>
    <w:rsid w:val="00FA7317"/>
    <w:rsid w:val="00FB7834"/>
    <w:rsid w:val="00FB7A9D"/>
    <w:rsid w:val="00FD48D3"/>
    <w:rsid w:val="00FD4B6A"/>
    <w:rsid w:val="00FF03A8"/>
    <w:rsid w:val="00FF4A12"/>
    <w:rsid w:val="00FF63EA"/>
    <w:rsid w:val="032D3F00"/>
    <w:rsid w:val="06D3D48E"/>
    <w:rsid w:val="07001A75"/>
    <w:rsid w:val="09D45CE3"/>
    <w:rsid w:val="0A3D4E45"/>
    <w:rsid w:val="0FA107B1"/>
    <w:rsid w:val="105A29C4"/>
    <w:rsid w:val="10FE5A6C"/>
    <w:rsid w:val="1282F4FA"/>
    <w:rsid w:val="1397BB77"/>
    <w:rsid w:val="13CD1A54"/>
    <w:rsid w:val="15BFE8C2"/>
    <w:rsid w:val="1D5CC2AB"/>
    <w:rsid w:val="2129BB3F"/>
    <w:rsid w:val="2744E0D6"/>
    <w:rsid w:val="27ED6546"/>
    <w:rsid w:val="2994E645"/>
    <w:rsid w:val="2A7D4715"/>
    <w:rsid w:val="2AE66354"/>
    <w:rsid w:val="2AEC0535"/>
    <w:rsid w:val="2D5C1860"/>
    <w:rsid w:val="2DE8EA32"/>
    <w:rsid w:val="2FF97283"/>
    <w:rsid w:val="33C938EE"/>
    <w:rsid w:val="35C54BAC"/>
    <w:rsid w:val="386C62BF"/>
    <w:rsid w:val="3CF01E67"/>
    <w:rsid w:val="3FAFDE7D"/>
    <w:rsid w:val="4184565F"/>
    <w:rsid w:val="4707BF07"/>
    <w:rsid w:val="4A5ADD8B"/>
    <w:rsid w:val="4F2C1C14"/>
    <w:rsid w:val="53121707"/>
    <w:rsid w:val="54489286"/>
    <w:rsid w:val="57A6F7ED"/>
    <w:rsid w:val="5903E218"/>
    <w:rsid w:val="5AD05D61"/>
    <w:rsid w:val="5C3C2FA9"/>
    <w:rsid w:val="5F9368D3"/>
    <w:rsid w:val="6141E6BF"/>
    <w:rsid w:val="61FE15C7"/>
    <w:rsid w:val="62E13A03"/>
    <w:rsid w:val="63070EB0"/>
    <w:rsid w:val="639ED509"/>
    <w:rsid w:val="6A1F388B"/>
    <w:rsid w:val="6B5CD481"/>
    <w:rsid w:val="6E991699"/>
    <w:rsid w:val="70467B64"/>
    <w:rsid w:val="739444EF"/>
    <w:rsid w:val="7455F947"/>
    <w:rsid w:val="752AD6C6"/>
    <w:rsid w:val="77014C01"/>
    <w:rsid w:val="7781AC33"/>
    <w:rsid w:val="78F48F25"/>
    <w:rsid w:val="7A72DD5D"/>
    <w:rsid w:val="7E5D53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83C"/>
    <w:pPr>
      <w:tabs>
        <w:tab w:val="center" w:pos="4680"/>
        <w:tab w:val="right" w:pos="9360"/>
      </w:tabs>
    </w:pPr>
  </w:style>
  <w:style w:type="character" w:customStyle="1" w:styleId="HeaderChar">
    <w:name w:val="Header Char"/>
    <w:link w:val="Header"/>
    <w:uiPriority w:val="99"/>
    <w:rsid w:val="00F5383C"/>
    <w:rPr>
      <w:sz w:val="22"/>
      <w:szCs w:val="22"/>
      <w:lang w:val="en-GB" w:eastAsia="en-US"/>
    </w:rPr>
  </w:style>
  <w:style w:type="paragraph" w:styleId="Footer">
    <w:name w:val="footer"/>
    <w:basedOn w:val="Normal"/>
    <w:link w:val="FooterChar"/>
    <w:uiPriority w:val="99"/>
    <w:unhideWhenUsed/>
    <w:rsid w:val="00F5383C"/>
    <w:pPr>
      <w:tabs>
        <w:tab w:val="center" w:pos="4680"/>
        <w:tab w:val="right" w:pos="9360"/>
      </w:tabs>
    </w:pPr>
  </w:style>
  <w:style w:type="character" w:customStyle="1" w:styleId="FooterChar">
    <w:name w:val="Footer Char"/>
    <w:link w:val="Footer"/>
    <w:uiPriority w:val="99"/>
    <w:rsid w:val="00F5383C"/>
    <w:rPr>
      <w:sz w:val="22"/>
      <w:szCs w:val="22"/>
      <w:lang w:val="en-GB"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val="en-GB" w:eastAsia="en-US"/>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B70A19"/>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A03335"/>
    <w:rPr>
      <w:b/>
      <w:bCs/>
    </w:rPr>
  </w:style>
  <w:style w:type="character" w:customStyle="1" w:styleId="CommentSubjectChar">
    <w:name w:val="Comment Subject Char"/>
    <w:link w:val="CommentSubject"/>
    <w:uiPriority w:val="99"/>
    <w:semiHidden/>
    <w:rsid w:val="00A03335"/>
    <w:rPr>
      <w:b/>
      <w:bCs/>
      <w:lang w:val="en-GB" w:eastAsia="en-US"/>
    </w:rPr>
  </w:style>
  <w:style w:type="character" w:styleId="Mention">
    <w:name w:val="Mention"/>
    <w:uiPriority w:val="99"/>
    <w:unhideWhenUsed/>
    <w:rsid w:val="00786A4F"/>
    <w:rPr>
      <w:color w:val="2B579A"/>
      <w:shd w:val="clear" w:color="auto" w:fill="E1DFDD"/>
    </w:rPr>
  </w:style>
  <w:style w:type="paragraph" w:styleId="FootnoteText">
    <w:name w:val="footnote text"/>
    <w:basedOn w:val="Normal"/>
    <w:link w:val="FootnoteTextChar"/>
    <w:uiPriority w:val="99"/>
    <w:semiHidden/>
    <w:unhideWhenUsed/>
    <w:rsid w:val="00855010"/>
    <w:rPr>
      <w:sz w:val="20"/>
      <w:szCs w:val="20"/>
    </w:rPr>
  </w:style>
  <w:style w:type="character" w:customStyle="1" w:styleId="FootnoteTextChar">
    <w:name w:val="Footnote Text Char"/>
    <w:link w:val="FootnoteText"/>
    <w:uiPriority w:val="99"/>
    <w:semiHidden/>
    <w:rsid w:val="00855010"/>
    <w:rPr>
      <w:lang w:val="en-GB" w:eastAsia="en-US"/>
    </w:rPr>
  </w:style>
  <w:style w:type="character" w:styleId="FootnoteReference">
    <w:name w:val="footnote reference"/>
    <w:uiPriority w:val="99"/>
    <w:semiHidden/>
    <w:unhideWhenUsed/>
    <w:rsid w:val="00855010"/>
    <w:rPr>
      <w:vertAlign w:val="superscript"/>
    </w:rPr>
  </w:style>
  <w:style w:type="character" w:styleId="Hyperlink">
    <w:name w:val="Hyperlink"/>
    <w:uiPriority w:val="99"/>
    <w:unhideWhenUsed/>
    <w:rsid w:val="00855010"/>
    <w:rPr>
      <w:color w:val="0563C1"/>
      <w:u w:val="single"/>
    </w:rPr>
  </w:style>
  <w:style w:type="character" w:styleId="UnresolvedMention">
    <w:name w:val="Unresolved Mention"/>
    <w:uiPriority w:val="99"/>
    <w:semiHidden/>
    <w:unhideWhenUsed/>
    <w:rsid w:val="00855010"/>
    <w:rPr>
      <w:color w:val="605E5C"/>
      <w:shd w:val="clear" w:color="auto" w:fill="E1DFDD"/>
    </w:rPr>
  </w:style>
  <w:style w:type="character" w:styleId="FollowedHyperlink">
    <w:name w:val="FollowedHyperlink"/>
    <w:basedOn w:val="DefaultParagraphFont"/>
    <w:uiPriority w:val="99"/>
    <w:semiHidden/>
    <w:unhideWhenUsed/>
    <w:rsid w:val="006976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9031">
      <w:bodyDiv w:val="1"/>
      <w:marLeft w:val="0"/>
      <w:marRight w:val="0"/>
      <w:marTop w:val="0"/>
      <w:marBottom w:val="0"/>
      <w:divBdr>
        <w:top w:val="none" w:sz="0" w:space="0" w:color="auto"/>
        <w:left w:val="none" w:sz="0" w:space="0" w:color="auto"/>
        <w:bottom w:val="none" w:sz="0" w:space="0" w:color="auto"/>
        <w:right w:val="none" w:sz="0" w:space="0" w:color="auto"/>
      </w:divBdr>
    </w:div>
    <w:div w:id="1683969089">
      <w:bodyDiv w:val="1"/>
      <w:marLeft w:val="0"/>
      <w:marRight w:val="0"/>
      <w:marTop w:val="0"/>
      <w:marBottom w:val="0"/>
      <w:divBdr>
        <w:top w:val="none" w:sz="0" w:space="0" w:color="auto"/>
        <w:left w:val="none" w:sz="0" w:space="0" w:color="auto"/>
        <w:bottom w:val="none" w:sz="0" w:space="0" w:color="auto"/>
        <w:right w:val="none" w:sz="0" w:space="0" w:color="auto"/>
      </w:divBdr>
    </w:div>
    <w:div w:id="1705523773">
      <w:bodyDiv w:val="1"/>
      <w:marLeft w:val="0"/>
      <w:marRight w:val="0"/>
      <w:marTop w:val="0"/>
      <w:marBottom w:val="0"/>
      <w:divBdr>
        <w:top w:val="none" w:sz="0" w:space="0" w:color="auto"/>
        <w:left w:val="none" w:sz="0" w:space="0" w:color="auto"/>
        <w:bottom w:val="none" w:sz="0" w:space="0" w:color="auto"/>
        <w:right w:val="none" w:sz="0" w:space="0" w:color="auto"/>
      </w:divBdr>
    </w:div>
    <w:div w:id="1889602906">
      <w:bodyDiv w:val="1"/>
      <w:marLeft w:val="0"/>
      <w:marRight w:val="0"/>
      <w:marTop w:val="0"/>
      <w:marBottom w:val="0"/>
      <w:divBdr>
        <w:top w:val="none" w:sz="0" w:space="0" w:color="auto"/>
        <w:left w:val="none" w:sz="0" w:space="0" w:color="auto"/>
        <w:bottom w:val="none" w:sz="0" w:space="0" w:color="auto"/>
        <w:right w:val="none" w:sz="0" w:space="0" w:color="auto"/>
      </w:divBdr>
    </w:div>
    <w:div w:id="1970893037">
      <w:bodyDiv w:val="1"/>
      <w:marLeft w:val="0"/>
      <w:marRight w:val="0"/>
      <w:marTop w:val="0"/>
      <w:marBottom w:val="0"/>
      <w:divBdr>
        <w:top w:val="none" w:sz="0" w:space="0" w:color="auto"/>
        <w:left w:val="none" w:sz="0" w:space="0" w:color="auto"/>
        <w:bottom w:val="none" w:sz="0" w:space="0" w:color="auto"/>
        <w:right w:val="none" w:sz="0" w:space="0" w:color="auto"/>
      </w:divBdr>
    </w:div>
    <w:div w:id="1987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RegData/etudes/BRIE/2025/765799/EPRS_BRI(2025)765799_EN.pdf" TargetMode="External"/><Relationship Id="rId2" Type="http://schemas.openxmlformats.org/officeDocument/2006/relationships/hyperlink" Target="https://finance.ec.europa.eu/publications/securitisation-initiative_en" TargetMode="External"/><Relationship Id="rId1" Type="http://schemas.openxmlformats.org/officeDocument/2006/relationships/hyperlink" Target="http://data.europa.eu/eli/reg/2023/2631/oj" TargetMode="External"/><Relationship Id="rId5" Type="http://schemas.openxmlformats.org/officeDocument/2006/relationships/hyperlink" Target="http://data.europa.eu/eli/dir/2009/138/oj" TargetMode="External"/><Relationship Id="rId4" Type="http://schemas.openxmlformats.org/officeDocument/2006/relationships/hyperlink" Target="https://eur-lex.europa.eu/legal-content/EN/TXT/?uri=celex:52025DC0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449e43-94aa-43bd-86ca-ac3eb7cdf43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507E09BD1DAC46A65746F89734B139" ma:contentTypeVersion="11" ma:contentTypeDescription="Create a new document." ma:contentTypeScope="" ma:versionID="ba1c78c4bf2a621b08ea5055ad2c93ac">
  <xsd:schema xmlns:xsd="http://www.w3.org/2001/XMLSchema" xmlns:xs="http://www.w3.org/2001/XMLSchema" xmlns:p="http://schemas.microsoft.com/office/2006/metadata/properties" xmlns:ns1="http://schemas.microsoft.com/sharepoint/v3" xmlns:ns2="ac449e43-94aa-43bd-86ca-ac3eb7cdf43b" targetNamespace="http://schemas.microsoft.com/office/2006/metadata/properties" ma:root="true" ma:fieldsID="699c81845281f8faf279e77aa4c75fbc" ns1:_="" ns2:_="">
    <xsd:import namespace="http://schemas.microsoft.com/sharepoint/v3"/>
    <xsd:import namespace="ac449e43-94aa-43bd-86ca-ac3eb7cdf43b"/>
    <xsd:element name="properties">
      <xsd:complexType>
        <xsd:sequence>
          <xsd:element name="documentManagement">
            <xsd:complexType>
              <xsd:all>
                <xsd:element ref="ns1:_vti_ItemDeclaredRecor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449e43-94aa-43bd-86ca-ac3eb7cdf43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7E25B-85E9-43D7-B150-7A34D8D0269A}">
  <ds:schemaRefs>
    <ds:schemaRef ds:uri="http://schemas.openxmlformats.org/officeDocument/2006/bibliography"/>
  </ds:schemaRefs>
</ds:datastoreItem>
</file>

<file path=customXml/itemProps2.xml><?xml version="1.0" encoding="utf-8"?>
<ds:datastoreItem xmlns:ds="http://schemas.openxmlformats.org/officeDocument/2006/customXml" ds:itemID="{3CAC6708-5576-4EA7-9A96-A79C5AC70D5B}">
  <ds:schemaRefs>
    <ds:schemaRef ds:uri="http://schemas.microsoft.com/sharepoint/v3/contenttype/forms"/>
  </ds:schemaRefs>
</ds:datastoreItem>
</file>

<file path=customXml/itemProps3.xml><?xml version="1.0" encoding="utf-8"?>
<ds:datastoreItem xmlns:ds="http://schemas.openxmlformats.org/officeDocument/2006/customXml" ds:itemID="{A1F76008-A270-4DB9-BF4B-4221FF60FAB9}">
  <ds:schemaRefs>
    <ds:schemaRef ds:uri="http://schemas.microsoft.com/office/2006/metadata/properties"/>
    <ds:schemaRef ds:uri="http://schemas.microsoft.com/office/infopath/2007/PartnerControls"/>
    <ds:schemaRef ds:uri="ac449e43-94aa-43bd-86ca-ac3eb7cdf43b"/>
  </ds:schemaRefs>
</ds:datastoreItem>
</file>

<file path=customXml/itemProps4.xml><?xml version="1.0" encoding="utf-8"?>
<ds:datastoreItem xmlns:ds="http://schemas.openxmlformats.org/officeDocument/2006/customXml" ds:itemID="{026AB96D-4EE9-4C75-85F1-0BCD94C18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49e43-94aa-43bd-86ca-ac3eb7cdf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1119</Words>
  <Characters>6580</Characters>
  <Application>Microsoft Office Word</Application>
  <DocSecurity>0</DocSecurity>
  <Lines>95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2025-11-18T08:33:00Z</dcterms:created>
  <dcterms:modified xsi:type="dcterms:W3CDTF">2025-11-18T08:37:00Z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2025-10-07T15:42:53Z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aca95dd9-f16b-4f1f-b3d2-526568faccc7</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0x010100BF507E09BD1DAC46A65746F89734B139</vt:lpwstr>
  </property>
  <property fmtid="{D5CDD505-2E9C-101B-9397-08002B2CF9AE}" pid="11" name="EC_TX_Corporate_x0020_Body">
    <vt:lpwstr/>
  </property>
  <property fmtid="{D5CDD505-2E9C-101B-9397-08002B2CF9AE}" pid="12" name="EC_TX_All_World_Countries">
    <vt:lpwstr/>
  </property>
  <property fmtid="{D5CDD505-2E9C-101B-9397-08002B2CF9AE}" pid="13" name="MediaServiceImageTags">
    <vt:lpwstr/>
  </property>
  <property fmtid="{D5CDD505-2E9C-101B-9397-08002B2CF9AE}" pid="14" name="i8c8ab8b63424c5d9f8c4a8434abf670">
    <vt:lpwstr/>
  </property>
  <property fmtid="{D5CDD505-2E9C-101B-9397-08002B2CF9AE}" pid="15" name="p26229aee9004b9f888149fd0449ec68">
    <vt:lpwstr/>
  </property>
  <property fmtid="{D5CDD505-2E9C-101B-9397-08002B2CF9AE}" pid="16" name="eff2cf69f10b4279bbb27215ca009b37">
    <vt:lpwstr/>
  </property>
  <property fmtid="{D5CDD505-2E9C-101B-9397-08002B2CF9AE}" pid="17" name="EC_TX_Resource_Type">
    <vt:lpwstr/>
  </property>
  <property fmtid="{D5CDD505-2E9C-101B-9397-08002B2CF9AE}" pid="18" name="EC_TX_EU_Member_State">
    <vt:lpwstr/>
  </property>
  <property fmtid="{D5CDD505-2E9C-101B-9397-08002B2CF9AE}" pid="19" name="j8309f8bc3e645d1a2f07391f8e5795a">
    <vt:lpwstr/>
  </property>
  <property fmtid="{D5CDD505-2E9C-101B-9397-08002B2CF9AE}" pid="20" name="g81cb4d17be94922847ce418ea81f55a">
    <vt:lpwstr/>
  </property>
  <property fmtid="{D5CDD505-2E9C-101B-9397-08002B2CF9AE}" pid="21" name="TaxCatchAll">
    <vt:lpwstr/>
  </property>
  <property fmtid="{D5CDD505-2E9C-101B-9397-08002B2CF9AE}" pid="22" name="k2c54712f93b47eb83e1835ba301b6c6">
    <vt:lpwstr/>
  </property>
  <property fmtid="{D5CDD505-2E9C-101B-9397-08002B2CF9AE}" pid="23" name="EC_TX_Strategic_Priority">
    <vt:lpwstr/>
  </property>
  <property fmtid="{D5CDD505-2E9C-101B-9397-08002B2CF9AE}" pid="24" name="EC_TX_EU_Political_Leader">
    <vt:lpwstr/>
  </property>
  <property fmtid="{D5CDD505-2E9C-101B-9397-08002B2CF9AE}" pid="25" name="EC_TX_Corporate Body">
    <vt:lpwstr/>
  </property>
</Properties>
</file>