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CE3197" w:rsidRPr="00D57857" w14:paraId="4C6B74CD" w14:textId="77777777" w:rsidTr="5F46652E">
        <w:trPr>
          <w:jc w:val="center"/>
        </w:trPr>
        <w:tc>
          <w:tcPr>
            <w:tcW w:w="9711" w:type="dxa"/>
          </w:tcPr>
          <w:p w14:paraId="57074192" w14:textId="19A530CA" w:rsidR="00CE3197" w:rsidRPr="007C59BF" w:rsidRDefault="00CE3197" w:rsidP="007C59BF">
            <w:pPr>
              <w:keepNext/>
              <w:keepLines/>
              <w:widowControl w:val="0"/>
              <w:spacing w:before="120" w:after="120"/>
              <w:rPr>
                <w:rFonts w:ascii="Times New Roman" w:hAnsi="Times New Roman"/>
                <w:b/>
                <w:sz w:val="24"/>
                <w:szCs w:val="24"/>
              </w:rPr>
            </w:pPr>
            <w:r w:rsidRPr="00D57857">
              <w:rPr>
                <w:rFonts w:ascii="Times New Roman" w:hAnsi="Times New Roman"/>
                <w:b/>
                <w:sz w:val="24"/>
                <w:szCs w:val="24"/>
              </w:rPr>
              <w:t xml:space="preserve">Imbalances in social protection in general and specifically for the ‘new forms of work’ and ‘atypical workers’ </w:t>
            </w:r>
            <w:r w:rsidR="007C59BF">
              <w:rPr>
                <w:rFonts w:ascii="Times New Roman" w:hAnsi="Times New Roman"/>
                <w:b/>
                <w:sz w:val="24"/>
                <w:szCs w:val="24"/>
              </w:rPr>
              <w:br/>
            </w:r>
            <w:r w:rsidRPr="00D57857">
              <w:rPr>
                <w:rFonts w:ascii="Times New Roman" w:hAnsi="Times New Roman"/>
                <w:b/>
                <w:sz w:val="24"/>
                <w:szCs w:val="24"/>
              </w:rPr>
              <w:t>(own-initiative opinion)</w:t>
            </w:r>
            <w:r w:rsidR="007C59BF">
              <w:rPr>
                <w:rFonts w:ascii="Times New Roman" w:hAnsi="Times New Roman"/>
                <w:b/>
                <w:sz w:val="24"/>
                <w:szCs w:val="24"/>
              </w:rPr>
              <w:br/>
            </w:r>
            <w:r w:rsidRPr="00D57857">
              <w:rPr>
                <w:rFonts w:ascii="Times New Roman" w:hAnsi="Times New Roman"/>
                <w:b/>
                <w:sz w:val="24"/>
                <w:szCs w:val="24"/>
                <w:lang w:val="en-IE"/>
              </w:rPr>
              <w:t>EESC</w:t>
            </w:r>
            <w:r w:rsidR="006C752B">
              <w:rPr>
                <w:rFonts w:ascii="Times New Roman" w:hAnsi="Times New Roman"/>
                <w:b/>
                <w:sz w:val="24"/>
                <w:szCs w:val="24"/>
                <w:lang w:val="en-IE"/>
              </w:rPr>
              <w:t>-</w:t>
            </w:r>
            <w:r w:rsidRPr="00D57857">
              <w:rPr>
                <w:rFonts w:ascii="Times New Roman" w:hAnsi="Times New Roman"/>
                <w:b/>
                <w:sz w:val="24"/>
                <w:szCs w:val="24"/>
                <w:lang w:val="en-IE"/>
              </w:rPr>
              <w:t xml:space="preserve">2024-01141 </w:t>
            </w:r>
            <w:r w:rsidRPr="00D57857">
              <w:rPr>
                <w:rFonts w:ascii="Times New Roman" w:hAnsi="Times New Roman"/>
                <w:b/>
                <w:sz w:val="24"/>
                <w:szCs w:val="24"/>
              </w:rPr>
              <w:t>‒ SOC/802</w:t>
            </w:r>
            <w:r w:rsidRPr="00D57857">
              <w:rPr>
                <w:rFonts w:ascii="Times New Roman" w:hAnsi="Times New Roman"/>
                <w:b/>
                <w:sz w:val="24"/>
                <w:szCs w:val="24"/>
              </w:rPr>
              <w:br/>
              <w:t>591</w:t>
            </w:r>
            <w:r w:rsidRPr="00D57857">
              <w:rPr>
                <w:rFonts w:ascii="Times New Roman" w:hAnsi="Times New Roman"/>
                <w:b/>
                <w:sz w:val="24"/>
                <w:szCs w:val="24"/>
                <w:vertAlign w:val="superscript"/>
              </w:rPr>
              <w:t>st</w:t>
            </w:r>
            <w:r w:rsidRPr="00D57857">
              <w:rPr>
                <w:rFonts w:ascii="Times New Roman" w:hAnsi="Times New Roman"/>
                <w:b/>
                <w:sz w:val="24"/>
                <w:szCs w:val="24"/>
              </w:rPr>
              <w:t xml:space="preserve"> Plenary Session – </w:t>
            </w:r>
            <w:r w:rsidR="007C59BF">
              <w:rPr>
                <w:rFonts w:ascii="Times New Roman" w:hAnsi="Times New Roman"/>
                <w:b/>
                <w:sz w:val="24"/>
                <w:szCs w:val="24"/>
              </w:rPr>
              <w:t xml:space="preserve">October </w:t>
            </w:r>
            <w:r w:rsidRPr="00D57857">
              <w:rPr>
                <w:rFonts w:ascii="Times New Roman" w:hAnsi="Times New Roman"/>
                <w:b/>
                <w:sz w:val="24"/>
                <w:szCs w:val="24"/>
              </w:rPr>
              <w:t>2024</w:t>
            </w:r>
            <w:r w:rsidRPr="00D57857">
              <w:rPr>
                <w:rFonts w:ascii="Times New Roman" w:hAnsi="Times New Roman"/>
                <w:b/>
                <w:sz w:val="24"/>
                <w:szCs w:val="24"/>
              </w:rPr>
              <w:br/>
              <w:t xml:space="preserve">Rapporteur: </w:t>
            </w:r>
            <w:r w:rsidR="007C59BF" w:rsidRPr="007C59BF">
              <w:rPr>
                <w:rFonts w:ascii="Times New Roman" w:hAnsi="Times New Roman"/>
                <w:b/>
                <w:sz w:val="24"/>
                <w:szCs w:val="24"/>
              </w:rPr>
              <w:t>María del Carmen BARRERA CHAMORRO (ES-II)</w:t>
            </w:r>
            <w:r w:rsidR="007C59BF">
              <w:rPr>
                <w:rFonts w:ascii="Times New Roman" w:hAnsi="Times New Roman"/>
                <w:b/>
                <w:sz w:val="24"/>
                <w:szCs w:val="24"/>
                <w:lang w:val="en-IE"/>
              </w:rPr>
              <w:br/>
            </w:r>
            <w:r w:rsidRPr="00D57857">
              <w:rPr>
                <w:rFonts w:ascii="Times New Roman" w:hAnsi="Times New Roman"/>
                <w:b/>
                <w:sz w:val="24"/>
                <w:szCs w:val="24"/>
              </w:rPr>
              <w:t xml:space="preserve">DG EMPL – </w:t>
            </w:r>
            <w:r w:rsidR="007C59BF">
              <w:rPr>
                <w:rFonts w:ascii="Times New Roman" w:hAnsi="Times New Roman"/>
                <w:b/>
                <w:sz w:val="24"/>
                <w:szCs w:val="24"/>
              </w:rPr>
              <w:t>Commissioner</w:t>
            </w:r>
            <w:r>
              <w:rPr>
                <w:rFonts w:ascii="Times New Roman" w:hAnsi="Times New Roman"/>
                <w:b/>
                <w:sz w:val="24"/>
                <w:szCs w:val="24"/>
              </w:rPr>
              <w:t xml:space="preserve"> </w:t>
            </w:r>
            <w:r w:rsidRPr="005223A9">
              <w:rPr>
                <w:rFonts w:ascii="Times New Roman" w:hAnsi="Times New Roman"/>
                <w:b/>
                <w:sz w:val="24"/>
                <w:szCs w:val="24"/>
              </w:rPr>
              <w:t>M</w:t>
            </w:r>
            <w:r w:rsidR="00B140C7" w:rsidRPr="00B140C7">
              <w:rPr>
                <w:rFonts w:ascii="Times New Roman" w:hAnsi="Times New Roman"/>
                <w:b/>
                <w:sz w:val="24"/>
                <w:szCs w:val="24"/>
              </w:rPr>
              <w:t>Î</w:t>
            </w:r>
            <w:r w:rsidRPr="005223A9">
              <w:rPr>
                <w:rFonts w:ascii="Times New Roman" w:hAnsi="Times New Roman"/>
                <w:b/>
                <w:sz w:val="24"/>
                <w:szCs w:val="24"/>
              </w:rPr>
              <w:t>NZATU</w:t>
            </w:r>
          </w:p>
        </w:tc>
      </w:tr>
      <w:tr w:rsidR="00302289" w:rsidRPr="00D57857" w14:paraId="1937071F" w14:textId="77777777" w:rsidTr="5F46652E">
        <w:trPr>
          <w:jc w:val="center"/>
        </w:trPr>
        <w:tc>
          <w:tcPr>
            <w:tcW w:w="9711" w:type="dxa"/>
          </w:tcPr>
          <w:p w14:paraId="1E50B4DB" w14:textId="68DE5B94" w:rsidR="00734613" w:rsidRPr="00D57857" w:rsidRDefault="00CE3197" w:rsidP="007C59BF">
            <w:pPr>
              <w:keepNext/>
              <w:keepLines/>
              <w:widowControl w:val="0"/>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B140C7">
              <w:rPr>
                <w:rFonts w:ascii="Times New Roman" w:hAnsi="Times New Roman"/>
                <w:b/>
                <w:sz w:val="24"/>
                <w:szCs w:val="24"/>
              </w:rPr>
              <w:t xml:space="preserve">(EESC) </w:t>
            </w:r>
            <w:r w:rsidRPr="004F6117">
              <w:rPr>
                <w:rFonts w:ascii="Times New Roman" w:hAnsi="Times New Roman"/>
                <w:b/>
                <w:sz w:val="24"/>
                <w:szCs w:val="24"/>
              </w:rPr>
              <w:t>opinion</w:t>
            </w:r>
            <w:r>
              <w:rPr>
                <w:rFonts w:ascii="Times New Roman" w:hAnsi="Times New Roman"/>
                <w:b/>
                <w:sz w:val="24"/>
                <w:szCs w:val="24"/>
              </w:rPr>
              <w:t xml:space="preserve"> </w:t>
            </w:r>
            <w:r w:rsidRPr="00E83C12">
              <w:rPr>
                <w:rFonts w:ascii="Times New Roman" w:hAnsi="Times New Roman"/>
                <w:b/>
                <w:sz w:val="24"/>
                <w:szCs w:val="24"/>
              </w:rPr>
              <w:t>considered as essential</w:t>
            </w:r>
          </w:p>
        </w:tc>
      </w:tr>
      <w:tr w:rsidR="004D18E7" w:rsidRPr="00302289" w14:paraId="624E38FA" w14:textId="77777777" w:rsidTr="5F46652E">
        <w:trPr>
          <w:jc w:val="center"/>
        </w:trPr>
        <w:tc>
          <w:tcPr>
            <w:tcW w:w="9711" w:type="dxa"/>
          </w:tcPr>
          <w:p w14:paraId="4CA6FF36" w14:textId="34994292" w:rsidR="003641EA" w:rsidRPr="00D57857" w:rsidRDefault="00D135CB" w:rsidP="007C59BF">
            <w:pPr>
              <w:keepNext/>
              <w:keepLines/>
              <w:widowControl w:val="0"/>
              <w:spacing w:before="120" w:after="120"/>
              <w:jc w:val="both"/>
              <w:rPr>
                <w:rFonts w:ascii="Times New Roman" w:hAnsi="Times New Roman"/>
                <w:bCs/>
                <w:sz w:val="24"/>
                <w:szCs w:val="24"/>
              </w:rPr>
            </w:pPr>
            <w:r w:rsidRPr="00D57857">
              <w:rPr>
                <w:rFonts w:ascii="Times New Roman" w:hAnsi="Times New Roman"/>
                <w:bCs/>
                <w:sz w:val="24"/>
                <w:szCs w:val="24"/>
                <w:u w:val="single"/>
              </w:rPr>
              <w:t>Point 1.4</w:t>
            </w:r>
            <w:r w:rsidR="00A16E2F">
              <w:rPr>
                <w:rFonts w:ascii="Times New Roman" w:hAnsi="Times New Roman"/>
                <w:bCs/>
                <w:sz w:val="24"/>
                <w:szCs w:val="24"/>
                <w:u w:val="single"/>
              </w:rPr>
              <w:t>.</w:t>
            </w:r>
            <w:r w:rsidRPr="00D57857">
              <w:rPr>
                <w:rFonts w:ascii="Times New Roman" w:hAnsi="Times New Roman"/>
                <w:bCs/>
                <w:sz w:val="24"/>
                <w:szCs w:val="24"/>
                <w:u w:val="single"/>
              </w:rPr>
              <w:t xml:space="preserve"> of the opinion</w:t>
            </w:r>
            <w:r w:rsidR="00B23C9D" w:rsidRPr="00D57857">
              <w:rPr>
                <w:rFonts w:ascii="Times New Roman" w:hAnsi="Times New Roman"/>
                <w:bCs/>
                <w:sz w:val="24"/>
                <w:szCs w:val="24"/>
                <w:u w:val="single"/>
              </w:rPr>
              <w:t xml:space="preserve"> </w:t>
            </w:r>
            <w:r w:rsidR="00E74B5C" w:rsidRPr="00D57857">
              <w:rPr>
                <w:rFonts w:ascii="Times New Roman" w:hAnsi="Times New Roman"/>
                <w:bCs/>
                <w:sz w:val="24"/>
                <w:szCs w:val="24"/>
                <w:u w:val="single"/>
              </w:rPr>
              <w:t>(also</w:t>
            </w:r>
            <w:r w:rsidR="00AD592A" w:rsidRPr="00D57857">
              <w:rPr>
                <w:rFonts w:ascii="Times New Roman" w:hAnsi="Times New Roman"/>
                <w:bCs/>
                <w:sz w:val="24"/>
                <w:szCs w:val="24"/>
                <w:u w:val="single"/>
              </w:rPr>
              <w:t xml:space="preserve"> reflected in point 2.9</w:t>
            </w:r>
            <w:r w:rsidR="00A16E2F">
              <w:rPr>
                <w:rFonts w:ascii="Times New Roman" w:hAnsi="Times New Roman"/>
                <w:bCs/>
                <w:sz w:val="24"/>
                <w:szCs w:val="24"/>
                <w:u w:val="single"/>
              </w:rPr>
              <w:t>.</w:t>
            </w:r>
            <w:r w:rsidR="00AD592A" w:rsidRPr="00D57857">
              <w:rPr>
                <w:rFonts w:ascii="Times New Roman" w:hAnsi="Times New Roman"/>
                <w:bCs/>
                <w:sz w:val="24"/>
                <w:szCs w:val="24"/>
                <w:u w:val="single"/>
              </w:rPr>
              <w:t>)</w:t>
            </w:r>
            <w:r w:rsidR="00FF45A9" w:rsidRPr="00D57857">
              <w:rPr>
                <w:rFonts w:ascii="Times New Roman" w:hAnsi="Times New Roman"/>
                <w:bCs/>
                <w:sz w:val="24"/>
                <w:szCs w:val="24"/>
              </w:rPr>
              <w:t xml:space="preserve">: </w:t>
            </w:r>
            <w:proofErr w:type="gramStart"/>
            <w:r w:rsidR="007B2980" w:rsidRPr="00D57857">
              <w:rPr>
                <w:rFonts w:ascii="Times New Roman" w:hAnsi="Times New Roman"/>
                <w:bCs/>
                <w:sz w:val="24"/>
                <w:szCs w:val="24"/>
              </w:rPr>
              <w:t>In order to</w:t>
            </w:r>
            <w:proofErr w:type="gramEnd"/>
            <w:r w:rsidR="007B2980" w:rsidRPr="00D57857">
              <w:rPr>
                <w:rFonts w:ascii="Times New Roman" w:hAnsi="Times New Roman"/>
                <w:bCs/>
                <w:sz w:val="24"/>
                <w:szCs w:val="24"/>
              </w:rPr>
              <w:t xml:space="preserve"> encourage Member States to ensure their social protection systems are adapted to non-standard forms of work, the</w:t>
            </w:r>
            <w:r w:rsidR="00F10411" w:rsidRPr="00D57857">
              <w:rPr>
                <w:rFonts w:ascii="Times New Roman" w:hAnsi="Times New Roman"/>
                <w:bCs/>
                <w:sz w:val="24"/>
                <w:szCs w:val="24"/>
              </w:rPr>
              <w:t xml:space="preserve"> C</w:t>
            </w:r>
            <w:r w:rsidR="00677125" w:rsidRPr="00D57857">
              <w:rPr>
                <w:rFonts w:ascii="Times New Roman" w:hAnsi="Times New Roman"/>
                <w:bCs/>
                <w:sz w:val="24"/>
                <w:szCs w:val="24"/>
              </w:rPr>
              <w:t xml:space="preserve">ommission </w:t>
            </w:r>
            <w:r w:rsidR="00A47414" w:rsidRPr="00D57857">
              <w:rPr>
                <w:rFonts w:ascii="Times New Roman" w:hAnsi="Times New Roman"/>
                <w:bCs/>
                <w:sz w:val="24"/>
                <w:szCs w:val="24"/>
              </w:rPr>
              <w:t xml:space="preserve">proposed a </w:t>
            </w:r>
            <w:r w:rsidR="007B2980" w:rsidRPr="00D57857">
              <w:rPr>
                <w:rFonts w:ascii="Times New Roman" w:hAnsi="Times New Roman"/>
                <w:bCs/>
                <w:sz w:val="24"/>
                <w:szCs w:val="24"/>
              </w:rPr>
              <w:t xml:space="preserve">Council recommendation on access to social protection for workers and the self-employed, </w:t>
            </w:r>
            <w:r w:rsidR="00A47414" w:rsidRPr="00D57857">
              <w:rPr>
                <w:rFonts w:ascii="Times New Roman" w:hAnsi="Times New Roman"/>
                <w:bCs/>
                <w:sz w:val="24"/>
                <w:szCs w:val="24"/>
              </w:rPr>
              <w:t>adopted by the Council in 2019</w:t>
            </w:r>
            <w:r w:rsidR="00E123C8" w:rsidRPr="00D57857">
              <w:rPr>
                <w:rStyle w:val="FootnoteReference"/>
                <w:rFonts w:ascii="Times New Roman" w:hAnsi="Times New Roman"/>
                <w:bCs/>
                <w:sz w:val="24"/>
                <w:szCs w:val="24"/>
              </w:rPr>
              <w:footnoteReference w:id="2"/>
            </w:r>
            <w:r w:rsidR="007B2980" w:rsidRPr="00D57857">
              <w:rPr>
                <w:rFonts w:ascii="Times New Roman" w:hAnsi="Times New Roman"/>
                <w:bCs/>
                <w:sz w:val="24"/>
                <w:szCs w:val="24"/>
              </w:rPr>
              <w:t>. All Member States submitted national plans to put the Recommendation into practice and the Commission adopted in 2023 a report on the implementation of the Recommendation</w:t>
            </w:r>
            <w:r w:rsidR="00B34FC7" w:rsidRPr="00D57857">
              <w:rPr>
                <w:rStyle w:val="FootnoteReference"/>
                <w:rFonts w:ascii="Times New Roman" w:hAnsi="Times New Roman"/>
                <w:bCs/>
                <w:sz w:val="24"/>
                <w:szCs w:val="24"/>
              </w:rPr>
              <w:footnoteReference w:id="3"/>
            </w:r>
            <w:r w:rsidR="007B2980" w:rsidRPr="00D57857">
              <w:rPr>
                <w:rFonts w:ascii="Times New Roman" w:hAnsi="Times New Roman"/>
                <w:bCs/>
                <w:sz w:val="24"/>
                <w:szCs w:val="24"/>
              </w:rPr>
              <w:t xml:space="preserve">, highlighting both progress made and remaining challenges. </w:t>
            </w:r>
            <w:r w:rsidR="003641EA" w:rsidRPr="00D57857">
              <w:rPr>
                <w:rFonts w:ascii="Times New Roman" w:hAnsi="Times New Roman"/>
                <w:bCs/>
                <w:sz w:val="24"/>
                <w:szCs w:val="24"/>
              </w:rPr>
              <w:t>The Commission will continue to support Member States’ implementation efforts (see more details below).</w:t>
            </w:r>
          </w:p>
          <w:p w14:paraId="1EE845D0" w14:textId="78C4B6A6" w:rsidR="00D135CB" w:rsidRPr="00D57857" w:rsidRDefault="00B34FC7" w:rsidP="007C59BF">
            <w:pPr>
              <w:keepNext/>
              <w:keepLines/>
              <w:widowControl w:val="0"/>
              <w:spacing w:before="120" w:after="120"/>
              <w:jc w:val="both"/>
              <w:rPr>
                <w:rFonts w:ascii="Times New Roman" w:hAnsi="Times New Roman"/>
                <w:bCs/>
                <w:sz w:val="24"/>
                <w:szCs w:val="24"/>
                <w:u w:val="single"/>
              </w:rPr>
            </w:pPr>
            <w:r w:rsidRPr="00D57857">
              <w:rPr>
                <w:rFonts w:ascii="Times New Roman" w:hAnsi="Times New Roman"/>
                <w:bCs/>
                <w:sz w:val="24"/>
                <w:szCs w:val="24"/>
              </w:rPr>
              <w:t xml:space="preserve">As for the specific group of platform workers, </w:t>
            </w:r>
            <w:r w:rsidR="00893591" w:rsidRPr="00D57857">
              <w:rPr>
                <w:rFonts w:ascii="Times New Roman" w:hAnsi="Times New Roman"/>
                <w:bCs/>
                <w:sz w:val="24"/>
                <w:szCs w:val="24"/>
              </w:rPr>
              <w:t>t</w:t>
            </w:r>
            <w:r w:rsidR="00D135CB" w:rsidRPr="00D57857">
              <w:rPr>
                <w:rFonts w:ascii="Times New Roman" w:hAnsi="Times New Roman"/>
                <w:bCs/>
                <w:sz w:val="24"/>
                <w:szCs w:val="24"/>
              </w:rPr>
              <w:t>he Directive on improving working conditions in platform work</w:t>
            </w:r>
            <w:r w:rsidR="00893591" w:rsidRPr="00D57857">
              <w:rPr>
                <w:rStyle w:val="FootnoteReference"/>
                <w:rFonts w:ascii="Times New Roman" w:hAnsi="Times New Roman"/>
                <w:bCs/>
                <w:sz w:val="24"/>
                <w:szCs w:val="24"/>
              </w:rPr>
              <w:footnoteReference w:id="4"/>
            </w:r>
            <w:r w:rsidR="00D135CB" w:rsidRPr="00D57857">
              <w:rPr>
                <w:rFonts w:ascii="Times New Roman" w:hAnsi="Times New Roman"/>
                <w:bCs/>
                <w:sz w:val="24"/>
                <w:szCs w:val="24"/>
              </w:rPr>
              <w:t xml:space="preserve"> protects the rights of people working in the platform economy. It will help false self-employed working on platforms to correctly determine their employment status and enjoy the rights that come with this status</w:t>
            </w:r>
            <w:r w:rsidR="003A5E28" w:rsidRPr="00D57857">
              <w:rPr>
                <w:rFonts w:ascii="Times New Roman" w:hAnsi="Times New Roman"/>
                <w:bCs/>
                <w:sz w:val="24"/>
                <w:szCs w:val="24"/>
              </w:rPr>
              <w:t xml:space="preserve">, which </w:t>
            </w:r>
            <w:r w:rsidR="00D135CB" w:rsidRPr="00D57857">
              <w:rPr>
                <w:rFonts w:ascii="Times New Roman" w:hAnsi="Times New Roman"/>
                <w:bCs/>
                <w:sz w:val="24"/>
                <w:szCs w:val="24"/>
              </w:rPr>
              <w:t>could improve their access to social protection.</w:t>
            </w:r>
          </w:p>
          <w:p w14:paraId="13D113CF" w14:textId="100DB114" w:rsidR="00556D5D" w:rsidRPr="00D57857" w:rsidRDefault="00F06D19" w:rsidP="007C59BF">
            <w:pPr>
              <w:keepNext/>
              <w:keepLines/>
              <w:widowControl w:val="0"/>
              <w:spacing w:before="120" w:after="120"/>
              <w:jc w:val="both"/>
              <w:rPr>
                <w:rFonts w:ascii="Times New Roman" w:hAnsi="Times New Roman"/>
                <w:bCs/>
                <w:sz w:val="24"/>
                <w:szCs w:val="24"/>
              </w:rPr>
            </w:pPr>
            <w:r w:rsidRPr="00D57857">
              <w:rPr>
                <w:rFonts w:ascii="Times New Roman" w:hAnsi="Times New Roman"/>
                <w:bCs/>
                <w:sz w:val="24"/>
                <w:szCs w:val="24"/>
                <w:u w:val="single"/>
              </w:rPr>
              <w:t>Points 4.4</w:t>
            </w:r>
            <w:r w:rsidR="00A16E2F">
              <w:rPr>
                <w:rFonts w:ascii="Times New Roman" w:hAnsi="Times New Roman"/>
                <w:bCs/>
                <w:sz w:val="24"/>
                <w:szCs w:val="24"/>
                <w:u w:val="single"/>
              </w:rPr>
              <w:t>.</w:t>
            </w:r>
            <w:r w:rsidRPr="00D57857">
              <w:rPr>
                <w:rFonts w:ascii="Times New Roman" w:hAnsi="Times New Roman"/>
                <w:bCs/>
                <w:sz w:val="24"/>
                <w:szCs w:val="24"/>
                <w:u w:val="single"/>
              </w:rPr>
              <w:t xml:space="preserve"> and 4.5</w:t>
            </w:r>
            <w:r w:rsidR="00A16E2F">
              <w:rPr>
                <w:rFonts w:ascii="Times New Roman" w:hAnsi="Times New Roman"/>
                <w:bCs/>
                <w:sz w:val="24"/>
                <w:szCs w:val="24"/>
                <w:u w:val="single"/>
              </w:rPr>
              <w:t>.</w:t>
            </w:r>
            <w:r w:rsidRPr="00D57857">
              <w:rPr>
                <w:rFonts w:ascii="Times New Roman" w:hAnsi="Times New Roman"/>
                <w:bCs/>
                <w:sz w:val="24"/>
                <w:szCs w:val="24"/>
                <w:u w:val="single"/>
              </w:rPr>
              <w:t xml:space="preserve"> of the opinion</w:t>
            </w:r>
            <w:r w:rsidR="005E55C4" w:rsidRPr="00D57857">
              <w:rPr>
                <w:rFonts w:ascii="Times New Roman" w:hAnsi="Times New Roman"/>
                <w:bCs/>
                <w:sz w:val="24"/>
                <w:szCs w:val="24"/>
                <w:u w:val="single"/>
              </w:rPr>
              <w:t>:</w:t>
            </w:r>
            <w:r w:rsidR="005E55C4" w:rsidRPr="00D57857">
              <w:rPr>
                <w:rFonts w:ascii="Times New Roman" w:hAnsi="Times New Roman"/>
                <w:bCs/>
                <w:sz w:val="24"/>
                <w:szCs w:val="24"/>
              </w:rPr>
              <w:t xml:space="preserve"> </w:t>
            </w:r>
            <w:r w:rsidR="00556D5D" w:rsidRPr="00D57857">
              <w:rPr>
                <w:rFonts w:ascii="Times New Roman" w:hAnsi="Times New Roman"/>
                <w:bCs/>
                <w:sz w:val="24"/>
                <w:szCs w:val="24"/>
              </w:rPr>
              <w:t xml:space="preserve">The Commission agrees that while the existing EU </w:t>
            </w:r>
            <w:r w:rsidR="00270F4A" w:rsidRPr="00D57857">
              <w:rPr>
                <w:rFonts w:ascii="Times New Roman" w:hAnsi="Times New Roman"/>
                <w:bCs/>
                <w:sz w:val="24"/>
                <w:szCs w:val="24"/>
              </w:rPr>
              <w:t xml:space="preserve">monitoring framework </w:t>
            </w:r>
            <w:r w:rsidR="00556D5D" w:rsidRPr="00D57857">
              <w:rPr>
                <w:rFonts w:ascii="Times New Roman" w:hAnsi="Times New Roman"/>
                <w:bCs/>
                <w:sz w:val="24"/>
                <w:szCs w:val="24"/>
              </w:rPr>
              <w:t>on access to social protection endorsed by the Social Protection committee in 2020 is a</w:t>
            </w:r>
            <w:r w:rsidR="00B140C7">
              <w:rPr>
                <w:rFonts w:ascii="Times New Roman" w:hAnsi="Times New Roman"/>
                <w:bCs/>
                <w:sz w:val="24"/>
                <w:szCs w:val="24"/>
              </w:rPr>
              <w:t> </w:t>
            </w:r>
            <w:r w:rsidR="00556D5D" w:rsidRPr="00D57857">
              <w:rPr>
                <w:rFonts w:ascii="Times New Roman" w:hAnsi="Times New Roman"/>
                <w:bCs/>
                <w:sz w:val="24"/>
                <w:szCs w:val="24"/>
              </w:rPr>
              <w:t xml:space="preserve">key tool to monitor the situation of social protection, progress made and remaining challenges, it still requires </w:t>
            </w:r>
            <w:r w:rsidR="00EC63CA" w:rsidRPr="00D57857">
              <w:rPr>
                <w:rFonts w:ascii="Times New Roman" w:hAnsi="Times New Roman"/>
                <w:bCs/>
                <w:sz w:val="24"/>
                <w:szCs w:val="24"/>
              </w:rPr>
              <w:t>further</w:t>
            </w:r>
            <w:r w:rsidR="00270F4A" w:rsidRPr="00D57857">
              <w:rPr>
                <w:rFonts w:ascii="Times New Roman" w:hAnsi="Times New Roman"/>
                <w:bCs/>
                <w:sz w:val="24"/>
                <w:szCs w:val="24"/>
              </w:rPr>
              <w:t xml:space="preserve"> improvements. The Commission is working with the Member States (Social Protection Committee and its Indicators Subgroup) to ensure gradual improvements of the monitoring framework and is also ensuring a yearly update of the monitoring framework</w:t>
            </w:r>
            <w:r w:rsidR="00270F4A" w:rsidRPr="00D57857">
              <w:rPr>
                <w:rStyle w:val="FootnoteReference"/>
                <w:rFonts w:ascii="Times New Roman" w:hAnsi="Times New Roman"/>
                <w:bCs/>
                <w:sz w:val="24"/>
                <w:szCs w:val="24"/>
              </w:rPr>
              <w:footnoteReference w:id="5"/>
            </w:r>
            <w:r w:rsidR="00270F4A" w:rsidRPr="00D57857">
              <w:rPr>
                <w:rFonts w:ascii="Times New Roman" w:hAnsi="Times New Roman"/>
                <w:bCs/>
                <w:sz w:val="24"/>
                <w:szCs w:val="24"/>
              </w:rPr>
              <w:t xml:space="preserve">. </w:t>
            </w:r>
          </w:p>
          <w:p w14:paraId="6656FECC" w14:textId="71122C08" w:rsidR="00270F4A" w:rsidRPr="00D57857" w:rsidRDefault="00270F4A" w:rsidP="007C59BF">
            <w:pPr>
              <w:keepNext/>
              <w:keepLines/>
              <w:widowControl w:val="0"/>
              <w:spacing w:before="120" w:after="120"/>
              <w:jc w:val="both"/>
              <w:rPr>
                <w:rFonts w:ascii="Times New Roman" w:eastAsia="Times New Roman" w:hAnsi="Times New Roman"/>
                <w:sz w:val="24"/>
                <w:szCs w:val="24"/>
              </w:rPr>
            </w:pPr>
            <w:r w:rsidRPr="00D57857">
              <w:rPr>
                <w:rFonts w:ascii="Times New Roman" w:hAnsi="Times New Roman"/>
                <w:sz w:val="24"/>
                <w:szCs w:val="24"/>
              </w:rPr>
              <w:t>As for supporting Member States in designing adequate social protection schemes for the self-employed</w:t>
            </w:r>
            <w:r w:rsidR="004F7865" w:rsidRPr="00D57857">
              <w:rPr>
                <w:rFonts w:ascii="Times New Roman" w:hAnsi="Times New Roman"/>
                <w:sz w:val="24"/>
                <w:szCs w:val="24"/>
              </w:rPr>
              <w:t>, the Commission is providing specific support to Member States notably via mutual learning, also in accordance with the recently adopted Council Conclusions</w:t>
            </w:r>
            <w:r w:rsidR="004F7865" w:rsidRPr="00D57857">
              <w:rPr>
                <w:rStyle w:val="FootnoteReference"/>
                <w:rFonts w:ascii="Times New Roman" w:hAnsi="Times New Roman"/>
                <w:sz w:val="24"/>
                <w:szCs w:val="24"/>
              </w:rPr>
              <w:footnoteReference w:id="6"/>
            </w:r>
            <w:r w:rsidR="004F7865" w:rsidRPr="00D57857">
              <w:rPr>
                <w:rFonts w:ascii="Times New Roman" w:hAnsi="Times New Roman"/>
                <w:sz w:val="24"/>
                <w:szCs w:val="24"/>
              </w:rPr>
              <w:t xml:space="preserve"> on the matter. </w:t>
            </w:r>
            <w:r w:rsidR="4842EB60" w:rsidRPr="00D57857">
              <w:rPr>
                <w:rFonts w:ascii="Times New Roman" w:eastAsia="Times New Roman" w:hAnsi="Times New Roman"/>
                <w:sz w:val="24"/>
                <w:szCs w:val="24"/>
              </w:rPr>
              <w:t xml:space="preserve">The </w:t>
            </w:r>
            <w:r w:rsidR="003A5B5E" w:rsidRPr="00D57857">
              <w:rPr>
                <w:rFonts w:ascii="Times New Roman" w:eastAsia="Times New Roman" w:hAnsi="Times New Roman"/>
                <w:sz w:val="24"/>
                <w:szCs w:val="24"/>
              </w:rPr>
              <w:t>R</w:t>
            </w:r>
            <w:r w:rsidR="4842EB60" w:rsidRPr="00D57857">
              <w:rPr>
                <w:rFonts w:ascii="Times New Roman" w:eastAsia="Times New Roman" w:hAnsi="Times New Roman"/>
                <w:sz w:val="24"/>
                <w:szCs w:val="24"/>
              </w:rPr>
              <w:t xml:space="preserve">ecovery and </w:t>
            </w:r>
            <w:r w:rsidR="003A5B5E" w:rsidRPr="00D57857">
              <w:rPr>
                <w:rFonts w:ascii="Times New Roman" w:eastAsia="Times New Roman" w:hAnsi="Times New Roman"/>
                <w:sz w:val="24"/>
                <w:szCs w:val="24"/>
              </w:rPr>
              <w:t>R</w:t>
            </w:r>
            <w:r w:rsidR="4842EB60" w:rsidRPr="00D57857">
              <w:rPr>
                <w:rFonts w:ascii="Times New Roman" w:eastAsia="Times New Roman" w:hAnsi="Times New Roman"/>
                <w:sz w:val="24"/>
                <w:szCs w:val="24"/>
              </w:rPr>
              <w:t xml:space="preserve">esilience </w:t>
            </w:r>
            <w:r w:rsidR="003A5B5E" w:rsidRPr="00D57857">
              <w:rPr>
                <w:rFonts w:ascii="Times New Roman" w:eastAsia="Times New Roman" w:hAnsi="Times New Roman"/>
                <w:sz w:val="24"/>
                <w:szCs w:val="24"/>
              </w:rPr>
              <w:t>P</w:t>
            </w:r>
            <w:r w:rsidR="4842EB60" w:rsidRPr="00D57857">
              <w:rPr>
                <w:rFonts w:ascii="Times New Roman" w:eastAsia="Times New Roman" w:hAnsi="Times New Roman"/>
                <w:sz w:val="24"/>
                <w:szCs w:val="24"/>
              </w:rPr>
              <w:t>lans of a considerable number of Member States include reforms and investments to enhance access to social protection, such as measures to ensure transparency, adequacy, effective access and formal access</w:t>
            </w:r>
            <w:r w:rsidR="4AFABD71" w:rsidRPr="00D57857">
              <w:rPr>
                <w:rFonts w:ascii="Times New Roman" w:eastAsia="Times New Roman" w:hAnsi="Times New Roman"/>
                <w:sz w:val="24"/>
                <w:szCs w:val="24"/>
              </w:rPr>
              <w:t>.</w:t>
            </w:r>
          </w:p>
          <w:p w14:paraId="02E6FE7C" w14:textId="3CE3A5BD" w:rsidR="00826E8A" w:rsidRPr="00D57857" w:rsidRDefault="00F06D19" w:rsidP="007C59BF">
            <w:pPr>
              <w:keepNext/>
              <w:keepLines/>
              <w:widowControl w:val="0"/>
              <w:spacing w:before="120" w:after="120"/>
              <w:jc w:val="both"/>
              <w:rPr>
                <w:rFonts w:ascii="Times New Roman" w:hAnsi="Times New Roman"/>
                <w:sz w:val="24"/>
                <w:szCs w:val="24"/>
              </w:rPr>
            </w:pPr>
            <w:r w:rsidRPr="00D57857">
              <w:rPr>
                <w:rFonts w:ascii="Times New Roman" w:hAnsi="Times New Roman"/>
                <w:sz w:val="24"/>
                <w:szCs w:val="24"/>
                <w:u w:val="single"/>
              </w:rPr>
              <w:lastRenderedPageBreak/>
              <w:t>Point 4.7</w:t>
            </w:r>
            <w:r w:rsidR="00A16E2F">
              <w:rPr>
                <w:rFonts w:ascii="Times New Roman" w:hAnsi="Times New Roman"/>
                <w:sz w:val="24"/>
                <w:szCs w:val="24"/>
                <w:u w:val="single"/>
              </w:rPr>
              <w:t>.</w:t>
            </w:r>
            <w:r w:rsidRPr="00D57857">
              <w:rPr>
                <w:rFonts w:ascii="Times New Roman" w:hAnsi="Times New Roman"/>
                <w:sz w:val="24"/>
                <w:szCs w:val="24"/>
                <w:u w:val="single"/>
              </w:rPr>
              <w:t xml:space="preserve"> of the opinion</w:t>
            </w:r>
            <w:r w:rsidR="004E27C3" w:rsidRPr="00D57857">
              <w:rPr>
                <w:rFonts w:ascii="Times New Roman" w:hAnsi="Times New Roman"/>
                <w:sz w:val="24"/>
                <w:szCs w:val="24"/>
                <w:u w:val="single"/>
              </w:rPr>
              <w:t xml:space="preserve"> (also reflected in point</w:t>
            </w:r>
            <w:r w:rsidR="00A4594C" w:rsidRPr="00D57857">
              <w:rPr>
                <w:rFonts w:ascii="Times New Roman" w:hAnsi="Times New Roman"/>
                <w:sz w:val="24"/>
                <w:szCs w:val="24"/>
                <w:u w:val="single"/>
              </w:rPr>
              <w:t>s 1.4</w:t>
            </w:r>
            <w:r w:rsidR="00A16E2F">
              <w:rPr>
                <w:rFonts w:ascii="Times New Roman" w:hAnsi="Times New Roman"/>
                <w:sz w:val="24"/>
                <w:szCs w:val="24"/>
                <w:u w:val="single"/>
              </w:rPr>
              <w:t>.</w:t>
            </w:r>
            <w:r w:rsidR="00BE6C5A" w:rsidRPr="00D57857">
              <w:rPr>
                <w:rFonts w:ascii="Times New Roman" w:hAnsi="Times New Roman"/>
                <w:sz w:val="24"/>
                <w:szCs w:val="24"/>
                <w:u w:val="single"/>
              </w:rPr>
              <w:t>, 1.8</w:t>
            </w:r>
            <w:r w:rsidR="00A16E2F">
              <w:rPr>
                <w:rFonts w:ascii="Times New Roman" w:hAnsi="Times New Roman"/>
                <w:sz w:val="24"/>
                <w:szCs w:val="24"/>
                <w:u w:val="single"/>
              </w:rPr>
              <w:t>.</w:t>
            </w:r>
            <w:r w:rsidR="00A4594C" w:rsidRPr="00D57857">
              <w:rPr>
                <w:rFonts w:ascii="Times New Roman" w:hAnsi="Times New Roman"/>
                <w:sz w:val="24"/>
                <w:szCs w:val="24"/>
                <w:u w:val="single"/>
              </w:rPr>
              <w:t xml:space="preserve"> and </w:t>
            </w:r>
            <w:r w:rsidR="004E27C3" w:rsidRPr="00D57857">
              <w:rPr>
                <w:rFonts w:ascii="Times New Roman" w:hAnsi="Times New Roman"/>
                <w:sz w:val="24"/>
                <w:szCs w:val="24"/>
                <w:u w:val="single"/>
              </w:rPr>
              <w:t>3.1</w:t>
            </w:r>
            <w:r w:rsidR="00A16E2F">
              <w:rPr>
                <w:rFonts w:ascii="Times New Roman" w:hAnsi="Times New Roman"/>
                <w:sz w:val="24"/>
                <w:szCs w:val="24"/>
                <w:u w:val="single"/>
              </w:rPr>
              <w:t>.</w:t>
            </w:r>
            <w:r w:rsidR="004E27C3" w:rsidRPr="00D57857">
              <w:rPr>
                <w:rFonts w:ascii="Times New Roman" w:hAnsi="Times New Roman"/>
                <w:sz w:val="24"/>
                <w:szCs w:val="24"/>
                <w:u w:val="single"/>
              </w:rPr>
              <w:t>)</w:t>
            </w:r>
            <w:r w:rsidR="00EF07DF" w:rsidRPr="00D57857">
              <w:rPr>
                <w:rFonts w:ascii="Times New Roman" w:hAnsi="Times New Roman"/>
                <w:sz w:val="24"/>
                <w:szCs w:val="24"/>
              </w:rPr>
              <w:t xml:space="preserve">: </w:t>
            </w:r>
            <w:r w:rsidR="00087C0F" w:rsidRPr="00D57857">
              <w:rPr>
                <w:rFonts w:ascii="Times New Roman" w:hAnsi="Times New Roman"/>
                <w:sz w:val="24"/>
                <w:szCs w:val="24"/>
              </w:rPr>
              <w:t xml:space="preserve">The Commission agrees with the EESC opinion about the need to </w:t>
            </w:r>
            <w:r w:rsidR="00F67C46" w:rsidRPr="00D57857">
              <w:rPr>
                <w:rFonts w:ascii="Times New Roman" w:hAnsi="Times New Roman"/>
                <w:sz w:val="24"/>
                <w:szCs w:val="24"/>
              </w:rPr>
              <w:t>further</w:t>
            </w:r>
            <w:r w:rsidR="00087C0F" w:rsidRPr="00D57857">
              <w:rPr>
                <w:rFonts w:ascii="Times New Roman" w:hAnsi="Times New Roman"/>
                <w:sz w:val="24"/>
                <w:szCs w:val="24"/>
              </w:rPr>
              <w:t xml:space="preserve"> support Member States for them to </w:t>
            </w:r>
            <w:r w:rsidR="00030068">
              <w:rPr>
                <w:rFonts w:ascii="Times New Roman" w:hAnsi="Times New Roman"/>
                <w:sz w:val="24"/>
                <w:szCs w:val="24"/>
              </w:rPr>
              <w:t>‘</w:t>
            </w:r>
            <w:r w:rsidR="00087C0F" w:rsidRPr="00D57857">
              <w:rPr>
                <w:rFonts w:ascii="Times New Roman" w:hAnsi="Times New Roman"/>
                <w:sz w:val="24"/>
                <w:szCs w:val="24"/>
              </w:rPr>
              <w:t>review and, where necessary, rectify their shortcomings in social protection for atypical work</w:t>
            </w:r>
            <w:r w:rsidR="00030068">
              <w:rPr>
                <w:rFonts w:ascii="Times New Roman" w:hAnsi="Times New Roman"/>
                <w:sz w:val="24"/>
                <w:szCs w:val="24"/>
              </w:rPr>
              <w:t>’</w:t>
            </w:r>
            <w:r w:rsidR="00087C0F" w:rsidRPr="00D57857">
              <w:rPr>
                <w:rFonts w:ascii="Times New Roman" w:hAnsi="Times New Roman"/>
                <w:sz w:val="24"/>
                <w:szCs w:val="24"/>
              </w:rPr>
              <w:t>. Building on the national plans submitted by the Member States as well as on its report to the Council on implementation of the Council Recommendation, the Commission is supporting Member States’ efforts, notably via funding</w:t>
            </w:r>
            <w:r w:rsidR="00184170" w:rsidRPr="00D57857">
              <w:rPr>
                <w:rFonts w:ascii="Times New Roman" w:hAnsi="Times New Roman"/>
                <w:sz w:val="24"/>
                <w:szCs w:val="24"/>
              </w:rPr>
              <w:t xml:space="preserve"> (such as the Technical Support Instrument and the Recovery and Resilience </w:t>
            </w:r>
            <w:r w:rsidR="1A00E055" w:rsidRPr="00D57857">
              <w:rPr>
                <w:rFonts w:ascii="Times New Roman" w:hAnsi="Times New Roman"/>
                <w:sz w:val="24"/>
                <w:szCs w:val="24"/>
              </w:rPr>
              <w:t>Facility</w:t>
            </w:r>
            <w:r w:rsidR="00184170" w:rsidRPr="00D57857">
              <w:rPr>
                <w:rFonts w:ascii="Times New Roman" w:hAnsi="Times New Roman"/>
                <w:sz w:val="24"/>
                <w:szCs w:val="24"/>
              </w:rPr>
              <w:t>)</w:t>
            </w:r>
            <w:r w:rsidR="00087C0F" w:rsidRPr="00D57857">
              <w:rPr>
                <w:rFonts w:ascii="Times New Roman" w:hAnsi="Times New Roman"/>
                <w:sz w:val="24"/>
                <w:szCs w:val="24"/>
              </w:rPr>
              <w:t xml:space="preserve">, monitoring (including the Semester process) and mutual learning and exchange of good practices. </w:t>
            </w:r>
            <w:r w:rsidR="00826E8A" w:rsidRPr="00D57857">
              <w:rPr>
                <w:rFonts w:ascii="Times New Roman" w:hAnsi="Times New Roman"/>
                <w:sz w:val="24"/>
                <w:szCs w:val="24"/>
              </w:rPr>
              <w:t xml:space="preserve">Recently, the Commission </w:t>
            </w:r>
            <w:r w:rsidR="00B20F89" w:rsidRPr="00D57857">
              <w:rPr>
                <w:rFonts w:ascii="Times New Roman" w:hAnsi="Times New Roman"/>
                <w:sz w:val="24"/>
                <w:szCs w:val="24"/>
              </w:rPr>
              <w:t>helped</w:t>
            </w:r>
            <w:r w:rsidR="00826E8A" w:rsidRPr="00D57857">
              <w:rPr>
                <w:rFonts w:ascii="Times New Roman" w:hAnsi="Times New Roman"/>
                <w:sz w:val="24"/>
                <w:szCs w:val="24"/>
              </w:rPr>
              <w:t xml:space="preserve"> identifying </w:t>
            </w:r>
            <w:r w:rsidR="00AD6E25" w:rsidRPr="00D57857">
              <w:rPr>
                <w:rFonts w:ascii="Times New Roman" w:hAnsi="Times New Roman"/>
                <w:sz w:val="24"/>
                <w:szCs w:val="24"/>
              </w:rPr>
              <w:t>(as part of the Social Protection Performance Monitor</w:t>
            </w:r>
            <w:r w:rsidR="00AD6E25" w:rsidRPr="00D57857">
              <w:rPr>
                <w:rStyle w:val="FootnoteReference"/>
                <w:rFonts w:ascii="Times New Roman" w:hAnsi="Times New Roman"/>
                <w:sz w:val="24"/>
                <w:szCs w:val="24"/>
              </w:rPr>
              <w:footnoteReference w:id="7"/>
            </w:r>
            <w:r w:rsidR="00AD6E25" w:rsidRPr="00D57857">
              <w:rPr>
                <w:rFonts w:ascii="Times New Roman" w:hAnsi="Times New Roman"/>
                <w:sz w:val="24"/>
                <w:szCs w:val="24"/>
              </w:rPr>
              <w:t xml:space="preserve">) </w:t>
            </w:r>
            <w:r w:rsidR="00B20F89" w:rsidRPr="00D57857">
              <w:rPr>
                <w:rFonts w:ascii="Times New Roman" w:hAnsi="Times New Roman"/>
                <w:sz w:val="24"/>
                <w:szCs w:val="24"/>
              </w:rPr>
              <w:t>ten</w:t>
            </w:r>
            <w:r w:rsidR="00826E8A" w:rsidRPr="00D57857">
              <w:rPr>
                <w:rFonts w:ascii="Times New Roman" w:hAnsi="Times New Roman"/>
                <w:sz w:val="24"/>
                <w:szCs w:val="24"/>
              </w:rPr>
              <w:t xml:space="preserve"> Member States where access to social protection </w:t>
            </w:r>
            <w:r w:rsidR="00AD6E25" w:rsidRPr="00D57857">
              <w:rPr>
                <w:rFonts w:ascii="Times New Roman" w:hAnsi="Times New Roman"/>
                <w:sz w:val="24"/>
                <w:szCs w:val="24"/>
              </w:rPr>
              <w:t>should be considered as</w:t>
            </w:r>
            <w:r w:rsidR="00826E8A" w:rsidRPr="00D57857">
              <w:rPr>
                <w:rFonts w:ascii="Times New Roman" w:hAnsi="Times New Roman"/>
                <w:sz w:val="24"/>
                <w:szCs w:val="24"/>
              </w:rPr>
              <w:t xml:space="preserve"> a ‘key social challenge’.</w:t>
            </w:r>
            <w:r w:rsidR="00AD6E25" w:rsidRPr="00D57857">
              <w:rPr>
                <w:rFonts w:ascii="Times New Roman" w:hAnsi="Times New Roman"/>
                <w:sz w:val="24"/>
                <w:szCs w:val="24"/>
              </w:rPr>
              <w:t xml:space="preserve"> </w:t>
            </w:r>
            <w:r w:rsidR="00826E8A" w:rsidRPr="00D57857">
              <w:rPr>
                <w:rFonts w:ascii="Times New Roman" w:hAnsi="Times New Roman"/>
                <w:sz w:val="24"/>
                <w:szCs w:val="24"/>
              </w:rPr>
              <w:t xml:space="preserve">Moreover, the Commission is </w:t>
            </w:r>
            <w:r w:rsidR="00B20F89" w:rsidRPr="00D57857">
              <w:rPr>
                <w:rFonts w:ascii="Times New Roman" w:hAnsi="Times New Roman"/>
                <w:sz w:val="24"/>
                <w:szCs w:val="24"/>
              </w:rPr>
              <w:t>ensuring</w:t>
            </w:r>
            <w:r w:rsidR="00826E8A" w:rsidRPr="00D57857">
              <w:rPr>
                <w:rFonts w:ascii="Times New Roman" w:hAnsi="Times New Roman"/>
                <w:sz w:val="24"/>
                <w:szCs w:val="24"/>
              </w:rPr>
              <w:t xml:space="preserve"> </w:t>
            </w:r>
            <w:r w:rsidR="00184170" w:rsidRPr="00D57857">
              <w:rPr>
                <w:rFonts w:ascii="Times New Roman" w:hAnsi="Times New Roman"/>
                <w:sz w:val="24"/>
                <w:szCs w:val="24"/>
              </w:rPr>
              <w:t xml:space="preserve">that the implementation of </w:t>
            </w:r>
            <w:r w:rsidR="00B20F89" w:rsidRPr="00D57857">
              <w:rPr>
                <w:rFonts w:ascii="Times New Roman" w:hAnsi="Times New Roman"/>
                <w:sz w:val="24"/>
                <w:szCs w:val="24"/>
              </w:rPr>
              <w:t xml:space="preserve">national </w:t>
            </w:r>
            <w:r w:rsidR="00184170" w:rsidRPr="00D57857">
              <w:rPr>
                <w:rFonts w:ascii="Times New Roman" w:hAnsi="Times New Roman"/>
                <w:sz w:val="24"/>
                <w:szCs w:val="24"/>
              </w:rPr>
              <w:t>plans is discussed regularly in the context of the multilateral surveillance tools in line with the European Semester and the Open Method of Coordination for Social Protection and Social Inclusion. Finally, the Commission is improv</w:t>
            </w:r>
            <w:r w:rsidR="00514DD7" w:rsidRPr="00D57857">
              <w:rPr>
                <w:rFonts w:ascii="Times New Roman" w:hAnsi="Times New Roman"/>
                <w:sz w:val="24"/>
                <w:szCs w:val="24"/>
              </w:rPr>
              <w:t>ing</w:t>
            </w:r>
            <w:r w:rsidR="00184170" w:rsidRPr="00D57857">
              <w:rPr>
                <w:rFonts w:ascii="Times New Roman" w:hAnsi="Times New Roman"/>
                <w:sz w:val="24"/>
                <w:szCs w:val="24"/>
              </w:rPr>
              <w:t xml:space="preserve"> </w:t>
            </w:r>
            <w:r w:rsidR="00514DD7" w:rsidRPr="00D57857">
              <w:rPr>
                <w:rFonts w:ascii="Times New Roman" w:hAnsi="Times New Roman"/>
                <w:sz w:val="24"/>
                <w:szCs w:val="24"/>
              </w:rPr>
              <w:t xml:space="preserve">the availability of data </w:t>
            </w:r>
            <w:r w:rsidR="00184170" w:rsidRPr="00D57857">
              <w:rPr>
                <w:rFonts w:ascii="Times New Roman" w:hAnsi="Times New Roman"/>
                <w:sz w:val="24"/>
                <w:szCs w:val="24"/>
              </w:rPr>
              <w:t>on access to social protection and on the prevalence on non-standard forms of work, notably as part of the EU</w:t>
            </w:r>
            <w:r w:rsidR="0002029B" w:rsidRPr="00D57857">
              <w:rPr>
                <w:rFonts w:ascii="Times New Roman" w:hAnsi="Times New Roman"/>
                <w:sz w:val="24"/>
                <w:szCs w:val="24"/>
              </w:rPr>
              <w:t xml:space="preserve"> </w:t>
            </w:r>
            <w:r w:rsidR="00184170" w:rsidRPr="00D57857">
              <w:rPr>
                <w:rFonts w:ascii="Times New Roman" w:hAnsi="Times New Roman"/>
                <w:sz w:val="24"/>
                <w:szCs w:val="24"/>
              </w:rPr>
              <w:t xml:space="preserve">Labour </w:t>
            </w:r>
            <w:r w:rsidR="0002029B" w:rsidRPr="00D57857">
              <w:rPr>
                <w:rFonts w:ascii="Times New Roman" w:hAnsi="Times New Roman"/>
                <w:sz w:val="24"/>
                <w:szCs w:val="24"/>
              </w:rPr>
              <w:t>F</w:t>
            </w:r>
            <w:r w:rsidR="00184170" w:rsidRPr="00D57857">
              <w:rPr>
                <w:rFonts w:ascii="Times New Roman" w:hAnsi="Times New Roman"/>
                <w:sz w:val="24"/>
                <w:szCs w:val="24"/>
              </w:rPr>
              <w:t>orce Survey and the EU</w:t>
            </w:r>
            <w:r w:rsidR="0002029B" w:rsidRPr="00D57857">
              <w:rPr>
                <w:rFonts w:ascii="Times New Roman" w:hAnsi="Times New Roman"/>
                <w:sz w:val="24"/>
                <w:szCs w:val="24"/>
              </w:rPr>
              <w:t xml:space="preserve"> </w:t>
            </w:r>
            <w:r w:rsidR="00184170" w:rsidRPr="00D57857">
              <w:rPr>
                <w:rFonts w:ascii="Times New Roman" w:hAnsi="Times New Roman"/>
                <w:sz w:val="24"/>
                <w:szCs w:val="24"/>
              </w:rPr>
              <w:t xml:space="preserve">Survey on Income and Living Conditions. </w:t>
            </w:r>
          </w:p>
          <w:p w14:paraId="4EC1F60F" w14:textId="4527456A" w:rsidR="00790E31" w:rsidRPr="00D57857" w:rsidRDefault="00790E31" w:rsidP="007C59BF">
            <w:pPr>
              <w:keepNext/>
              <w:keepLines/>
              <w:widowControl w:val="0"/>
              <w:spacing w:before="120" w:after="120"/>
              <w:jc w:val="both"/>
              <w:rPr>
                <w:rFonts w:ascii="Times New Roman" w:hAnsi="Times New Roman"/>
                <w:bCs/>
                <w:sz w:val="24"/>
                <w:szCs w:val="24"/>
                <w:lang w:val="en-IE"/>
              </w:rPr>
            </w:pPr>
            <w:r w:rsidRPr="00D57857">
              <w:rPr>
                <w:rFonts w:ascii="Times New Roman" w:hAnsi="Times New Roman"/>
                <w:bCs/>
                <w:sz w:val="24"/>
                <w:szCs w:val="24"/>
                <w:u w:val="single"/>
                <w:lang w:val="en-IE"/>
              </w:rPr>
              <w:t>Point 5.4</w:t>
            </w:r>
            <w:r w:rsidR="008446E7">
              <w:rPr>
                <w:rFonts w:ascii="Times New Roman" w:hAnsi="Times New Roman"/>
                <w:bCs/>
                <w:sz w:val="24"/>
                <w:szCs w:val="24"/>
                <w:u w:val="single"/>
                <w:lang w:val="en-IE"/>
              </w:rPr>
              <w:t>.</w:t>
            </w:r>
            <w:r w:rsidRPr="00D57857">
              <w:rPr>
                <w:rFonts w:ascii="Times New Roman" w:hAnsi="Times New Roman"/>
                <w:bCs/>
                <w:sz w:val="24"/>
                <w:szCs w:val="24"/>
                <w:u w:val="single"/>
                <w:lang w:val="en-IE"/>
              </w:rPr>
              <w:t xml:space="preserve"> </w:t>
            </w:r>
            <w:r w:rsidRPr="00D57857">
              <w:rPr>
                <w:rFonts w:ascii="Times New Roman" w:hAnsi="Times New Roman"/>
                <w:bCs/>
                <w:sz w:val="24"/>
                <w:szCs w:val="24"/>
                <w:u w:val="single"/>
              </w:rPr>
              <w:t>of the opinion:</w:t>
            </w:r>
            <w:r w:rsidRPr="00D57857">
              <w:rPr>
                <w:rFonts w:ascii="Times New Roman" w:hAnsi="Times New Roman"/>
                <w:bCs/>
                <w:sz w:val="24"/>
                <w:szCs w:val="24"/>
              </w:rPr>
              <w:t xml:space="preserve"> Th</w:t>
            </w:r>
            <w:r w:rsidRPr="00D57857">
              <w:rPr>
                <w:rFonts w:ascii="Times New Roman" w:hAnsi="Times New Roman"/>
                <w:bCs/>
                <w:sz w:val="24"/>
                <w:szCs w:val="24"/>
                <w:lang w:val="en-IE"/>
              </w:rPr>
              <w:t xml:space="preserve">e national plans by the Member States have all been submitted </w:t>
            </w:r>
            <w:r w:rsidR="00060DEB" w:rsidRPr="00D57857">
              <w:rPr>
                <w:rFonts w:ascii="Times New Roman" w:hAnsi="Times New Roman"/>
                <w:bCs/>
                <w:sz w:val="24"/>
                <w:szCs w:val="24"/>
                <w:lang w:val="en-IE"/>
              </w:rPr>
              <w:t xml:space="preserve">and their implementation </w:t>
            </w:r>
            <w:r w:rsidR="00A90520" w:rsidRPr="00D57857">
              <w:rPr>
                <w:rFonts w:ascii="Times New Roman" w:hAnsi="Times New Roman"/>
                <w:bCs/>
                <w:sz w:val="24"/>
                <w:szCs w:val="24"/>
                <w:lang w:val="en-IE"/>
              </w:rPr>
              <w:t>(</w:t>
            </w:r>
            <w:r w:rsidR="00060DEB" w:rsidRPr="00D57857">
              <w:rPr>
                <w:rFonts w:ascii="Times New Roman" w:hAnsi="Times New Roman"/>
                <w:bCs/>
                <w:sz w:val="24"/>
                <w:szCs w:val="24"/>
                <w:lang w:val="en-IE"/>
              </w:rPr>
              <w:t>and detailed information about the measures implemented</w:t>
            </w:r>
            <w:r w:rsidR="00A90520" w:rsidRPr="00D57857">
              <w:rPr>
                <w:rFonts w:ascii="Times New Roman" w:hAnsi="Times New Roman"/>
                <w:bCs/>
                <w:sz w:val="24"/>
                <w:szCs w:val="24"/>
                <w:lang w:val="en-IE"/>
              </w:rPr>
              <w:t>)</w:t>
            </w:r>
            <w:r w:rsidR="00060DEB" w:rsidRPr="00D57857">
              <w:rPr>
                <w:rFonts w:ascii="Times New Roman" w:hAnsi="Times New Roman"/>
                <w:bCs/>
                <w:sz w:val="24"/>
                <w:szCs w:val="24"/>
                <w:lang w:val="en-IE"/>
              </w:rPr>
              <w:t xml:space="preserve"> ha</w:t>
            </w:r>
            <w:r w:rsidR="00A90520" w:rsidRPr="00D57857">
              <w:rPr>
                <w:rFonts w:ascii="Times New Roman" w:hAnsi="Times New Roman"/>
                <w:bCs/>
                <w:sz w:val="24"/>
                <w:szCs w:val="24"/>
                <w:lang w:val="en-IE"/>
              </w:rPr>
              <w:t>ve</w:t>
            </w:r>
            <w:r w:rsidR="00060DEB" w:rsidRPr="00D57857">
              <w:rPr>
                <w:rFonts w:ascii="Times New Roman" w:hAnsi="Times New Roman"/>
                <w:bCs/>
                <w:sz w:val="24"/>
                <w:szCs w:val="24"/>
                <w:lang w:val="en-IE"/>
              </w:rPr>
              <w:t xml:space="preserve"> been discussed in the</w:t>
            </w:r>
            <w:r w:rsidR="00060DEB" w:rsidRPr="00D57857">
              <w:rPr>
                <w:rFonts w:ascii="Times New Roman" w:hAnsi="Times New Roman"/>
                <w:sz w:val="24"/>
                <w:szCs w:val="24"/>
              </w:rPr>
              <w:t xml:space="preserve"> context of the multilateral surveillance tools including during meetings of the Social Protection Committee. As for common indicators on transparency (also addressed in point 4.4</w:t>
            </w:r>
            <w:r w:rsidR="008446E7">
              <w:rPr>
                <w:rFonts w:ascii="Times New Roman" w:hAnsi="Times New Roman"/>
                <w:sz w:val="24"/>
                <w:szCs w:val="24"/>
              </w:rPr>
              <w:t>.</w:t>
            </w:r>
            <w:r w:rsidR="00060DEB" w:rsidRPr="00D57857">
              <w:rPr>
                <w:rFonts w:ascii="Times New Roman" w:hAnsi="Times New Roman"/>
                <w:sz w:val="24"/>
                <w:szCs w:val="24"/>
              </w:rPr>
              <w:t xml:space="preserve"> of the opinion) they have not yet been established but work is ongoing with Indicators Subgroup of the Social Protection Committee. </w:t>
            </w:r>
          </w:p>
          <w:p w14:paraId="2F9095C4" w14:textId="0F10A7FE" w:rsidR="00FA13E2" w:rsidRPr="00D57857" w:rsidRDefault="009D665B" w:rsidP="007C59BF">
            <w:pPr>
              <w:keepNext/>
              <w:keepLines/>
              <w:widowControl w:val="0"/>
              <w:spacing w:before="120" w:after="120"/>
              <w:jc w:val="both"/>
              <w:rPr>
                <w:rFonts w:ascii="Times New Roman" w:hAnsi="Times New Roman"/>
                <w:sz w:val="24"/>
                <w:szCs w:val="24"/>
                <w:shd w:val="clear" w:color="auto" w:fill="FFFFFF"/>
              </w:rPr>
            </w:pPr>
            <w:r w:rsidRPr="00D57857">
              <w:rPr>
                <w:rFonts w:ascii="Times New Roman" w:hAnsi="Times New Roman"/>
                <w:bCs/>
                <w:sz w:val="24"/>
                <w:szCs w:val="24"/>
                <w:u w:val="single"/>
                <w:lang w:val="en-IE"/>
              </w:rPr>
              <w:t>Point 5.5</w:t>
            </w:r>
            <w:r w:rsidR="008446E7">
              <w:rPr>
                <w:rFonts w:ascii="Times New Roman" w:hAnsi="Times New Roman"/>
                <w:bCs/>
                <w:sz w:val="24"/>
                <w:szCs w:val="24"/>
                <w:u w:val="single"/>
                <w:lang w:val="en-IE"/>
              </w:rPr>
              <w:t>.</w:t>
            </w:r>
            <w:r w:rsidRPr="00D57857">
              <w:rPr>
                <w:rFonts w:ascii="Times New Roman" w:hAnsi="Times New Roman"/>
                <w:bCs/>
                <w:sz w:val="24"/>
                <w:szCs w:val="24"/>
                <w:u w:val="single"/>
                <w:lang w:val="en-IE"/>
              </w:rPr>
              <w:t xml:space="preserve"> </w:t>
            </w:r>
            <w:r w:rsidRPr="00D57857">
              <w:rPr>
                <w:rFonts w:ascii="Times New Roman" w:hAnsi="Times New Roman"/>
                <w:bCs/>
                <w:sz w:val="24"/>
                <w:szCs w:val="24"/>
                <w:u w:val="single"/>
              </w:rPr>
              <w:t>of the opinion</w:t>
            </w:r>
            <w:r w:rsidR="0002029B" w:rsidRPr="00D57857">
              <w:rPr>
                <w:rFonts w:ascii="Times New Roman" w:hAnsi="Times New Roman"/>
                <w:bCs/>
                <w:sz w:val="24"/>
                <w:szCs w:val="24"/>
                <w:u w:val="single"/>
              </w:rPr>
              <w:t>:</w:t>
            </w:r>
            <w:r w:rsidR="0002029B" w:rsidRPr="00D57857">
              <w:rPr>
                <w:rFonts w:ascii="Times New Roman" w:hAnsi="Times New Roman"/>
                <w:bCs/>
                <w:sz w:val="24"/>
                <w:szCs w:val="24"/>
              </w:rPr>
              <w:t xml:space="preserve"> </w:t>
            </w:r>
            <w:r w:rsidR="00BC55A5" w:rsidRPr="00D57857">
              <w:rPr>
                <w:rFonts w:ascii="Times New Roman" w:hAnsi="Times New Roman"/>
                <w:bCs/>
                <w:sz w:val="24"/>
                <w:szCs w:val="24"/>
                <w:lang w:val="en-IE"/>
              </w:rPr>
              <w:t>T</w:t>
            </w:r>
            <w:r w:rsidR="004812C3" w:rsidRPr="00D57857">
              <w:rPr>
                <w:rFonts w:ascii="Times New Roman" w:hAnsi="Times New Roman"/>
                <w:bCs/>
                <w:sz w:val="24"/>
                <w:szCs w:val="24"/>
                <w:lang w:val="en-IE"/>
              </w:rPr>
              <w:t>he national plans by the Member States have all been submitted and made public, in accordance with provision n°</w:t>
            </w:r>
            <w:r w:rsidR="009C01F0" w:rsidRPr="00D57857">
              <w:rPr>
                <w:rFonts w:ascii="Times New Roman" w:hAnsi="Times New Roman"/>
                <w:bCs/>
                <w:sz w:val="24"/>
                <w:szCs w:val="24"/>
                <w:lang w:val="en-IE"/>
              </w:rPr>
              <w:t xml:space="preserve">19 </w:t>
            </w:r>
            <w:r w:rsidR="004812C3" w:rsidRPr="00D57857">
              <w:rPr>
                <w:rFonts w:ascii="Times New Roman" w:hAnsi="Times New Roman"/>
                <w:bCs/>
                <w:sz w:val="24"/>
                <w:szCs w:val="24"/>
                <w:lang w:val="en-IE"/>
              </w:rPr>
              <w:t xml:space="preserve">of the Council Recommendation. </w:t>
            </w:r>
            <w:r w:rsidR="00BC55A5" w:rsidRPr="00D57857">
              <w:rPr>
                <w:rFonts w:ascii="Times New Roman" w:hAnsi="Times New Roman"/>
                <w:bCs/>
                <w:sz w:val="24"/>
                <w:szCs w:val="24"/>
                <w:lang w:val="en-IE"/>
              </w:rPr>
              <w:t>The implementation of the measures planned are in the hands of the Member States and it is therefore their responsibility to involve social partners and civil society organisations. The</w:t>
            </w:r>
            <w:r w:rsidR="0068617A" w:rsidRPr="00D57857">
              <w:rPr>
                <w:rFonts w:ascii="Times New Roman" w:hAnsi="Times New Roman"/>
                <w:bCs/>
                <w:sz w:val="24"/>
                <w:szCs w:val="24"/>
                <w:lang w:val="en-IE"/>
              </w:rPr>
              <w:t xml:space="preserve"> 2023</w:t>
            </w:r>
            <w:r w:rsidR="00BC55A5" w:rsidRPr="00D57857">
              <w:rPr>
                <w:rFonts w:ascii="Times New Roman" w:hAnsi="Times New Roman"/>
                <w:bCs/>
                <w:sz w:val="24"/>
                <w:szCs w:val="24"/>
                <w:lang w:val="en-IE"/>
              </w:rPr>
              <w:t xml:space="preserve"> Commission</w:t>
            </w:r>
            <w:r w:rsidR="0068617A" w:rsidRPr="00D57857">
              <w:rPr>
                <w:rFonts w:ascii="Times New Roman" w:hAnsi="Times New Roman"/>
                <w:bCs/>
                <w:sz w:val="24"/>
                <w:szCs w:val="24"/>
                <w:lang w:val="en-IE"/>
              </w:rPr>
              <w:t xml:space="preserve"> report to the Council</w:t>
            </w:r>
            <w:r w:rsidR="00BC55A5" w:rsidRPr="00D57857">
              <w:rPr>
                <w:rFonts w:ascii="Times New Roman" w:hAnsi="Times New Roman"/>
                <w:bCs/>
                <w:sz w:val="24"/>
                <w:szCs w:val="24"/>
                <w:lang w:val="en-IE"/>
              </w:rPr>
              <w:t xml:space="preserve"> </w:t>
            </w:r>
            <w:r w:rsidR="00A161E0" w:rsidRPr="00D57857">
              <w:rPr>
                <w:rFonts w:ascii="Times New Roman" w:hAnsi="Times New Roman"/>
                <w:bCs/>
                <w:sz w:val="24"/>
                <w:szCs w:val="24"/>
                <w:lang w:val="en-IE"/>
              </w:rPr>
              <w:t>highlights that</w:t>
            </w:r>
            <w:r w:rsidRPr="00D57857">
              <w:rPr>
                <w:rFonts w:ascii="Times New Roman" w:hAnsi="Times New Roman"/>
                <w:bCs/>
                <w:sz w:val="24"/>
                <w:szCs w:val="24"/>
                <w:lang w:val="en-IE"/>
              </w:rPr>
              <w:t xml:space="preserve"> </w:t>
            </w:r>
            <w:r w:rsidR="00030068">
              <w:rPr>
                <w:rFonts w:ascii="Times New Roman" w:hAnsi="Times New Roman"/>
                <w:bCs/>
                <w:sz w:val="24"/>
                <w:szCs w:val="24"/>
                <w:lang w:val="en-IE"/>
              </w:rPr>
              <w:t>‘</w:t>
            </w:r>
            <w:r w:rsidRPr="00D57857">
              <w:rPr>
                <w:rFonts w:ascii="Times New Roman" w:hAnsi="Times New Roman"/>
                <w:sz w:val="24"/>
                <w:szCs w:val="24"/>
                <w:shd w:val="clear" w:color="auto" w:fill="FFFFFF"/>
              </w:rPr>
              <w:t>adequate and inclusive social protection requires strong public support and involvement of all actors</w:t>
            </w:r>
            <w:r w:rsidR="00030068">
              <w:rPr>
                <w:rFonts w:ascii="Times New Roman" w:hAnsi="Times New Roman"/>
                <w:sz w:val="24"/>
                <w:szCs w:val="24"/>
                <w:shd w:val="clear" w:color="auto" w:fill="FFFFFF"/>
              </w:rPr>
              <w:t>’</w:t>
            </w:r>
            <w:r w:rsidR="00A161E0" w:rsidRPr="00D57857">
              <w:rPr>
                <w:rFonts w:ascii="Times New Roman" w:hAnsi="Times New Roman"/>
                <w:sz w:val="24"/>
                <w:szCs w:val="24"/>
                <w:shd w:val="clear" w:color="auto" w:fill="FFFFFF"/>
              </w:rPr>
              <w:t xml:space="preserve"> </w:t>
            </w:r>
            <w:proofErr w:type="gramStart"/>
            <w:r w:rsidR="00A161E0" w:rsidRPr="00D57857">
              <w:rPr>
                <w:rFonts w:ascii="Times New Roman" w:hAnsi="Times New Roman"/>
                <w:sz w:val="24"/>
                <w:szCs w:val="24"/>
                <w:shd w:val="clear" w:color="auto" w:fill="FFFFFF"/>
              </w:rPr>
              <w:t>and also</w:t>
            </w:r>
            <w:proofErr w:type="gramEnd"/>
            <w:r w:rsidR="00A161E0" w:rsidRPr="00D57857">
              <w:rPr>
                <w:rFonts w:ascii="Times New Roman" w:hAnsi="Times New Roman"/>
                <w:sz w:val="24"/>
                <w:szCs w:val="24"/>
                <w:shd w:val="clear" w:color="auto" w:fill="FFFFFF"/>
              </w:rPr>
              <w:t xml:space="preserve"> took note </w:t>
            </w:r>
            <w:r w:rsidR="00CC5141" w:rsidRPr="00D57857">
              <w:rPr>
                <w:rFonts w:ascii="Times New Roman" w:hAnsi="Times New Roman"/>
                <w:sz w:val="24"/>
                <w:szCs w:val="24"/>
                <w:shd w:val="clear" w:color="auto" w:fill="FFFFFF"/>
              </w:rPr>
              <w:t>of the limited involvement of social partners in the development of the plans</w:t>
            </w:r>
            <w:r w:rsidRPr="00D57857">
              <w:rPr>
                <w:rFonts w:ascii="Times New Roman" w:hAnsi="Times New Roman"/>
                <w:sz w:val="24"/>
                <w:szCs w:val="24"/>
                <w:shd w:val="clear" w:color="auto" w:fill="FFFFFF"/>
              </w:rPr>
              <w:t xml:space="preserve">. </w:t>
            </w:r>
          </w:p>
          <w:p w14:paraId="080AD74B" w14:textId="12CF9E4F" w:rsidR="00BC55A5" w:rsidRPr="00D57857" w:rsidRDefault="00FA13E2" w:rsidP="007C59BF">
            <w:pPr>
              <w:keepNext/>
              <w:keepLines/>
              <w:widowControl w:val="0"/>
              <w:spacing w:before="120" w:after="120"/>
              <w:jc w:val="both"/>
              <w:rPr>
                <w:rFonts w:ascii="Times New Roman" w:hAnsi="Times New Roman"/>
                <w:sz w:val="24"/>
                <w:szCs w:val="24"/>
                <w:shd w:val="clear" w:color="auto" w:fill="FFFFFF"/>
              </w:rPr>
            </w:pPr>
            <w:r w:rsidRPr="00D57857">
              <w:rPr>
                <w:rFonts w:ascii="Times New Roman" w:hAnsi="Times New Roman"/>
                <w:sz w:val="24"/>
                <w:szCs w:val="24"/>
                <w:shd w:val="clear" w:color="auto" w:fill="FFFFFF"/>
              </w:rPr>
              <w:t xml:space="preserve">In her </w:t>
            </w:r>
            <w:r w:rsidR="00030068">
              <w:rPr>
                <w:rFonts w:ascii="Times New Roman" w:hAnsi="Times New Roman"/>
                <w:sz w:val="24"/>
                <w:szCs w:val="24"/>
                <w:shd w:val="clear" w:color="auto" w:fill="FFFFFF"/>
              </w:rPr>
              <w:t xml:space="preserve">2024-2029 </w:t>
            </w:r>
            <w:r w:rsidRPr="00D57857">
              <w:rPr>
                <w:rFonts w:ascii="Times New Roman" w:hAnsi="Times New Roman"/>
                <w:sz w:val="24"/>
                <w:szCs w:val="24"/>
                <w:shd w:val="clear" w:color="auto" w:fill="FFFFFF"/>
              </w:rPr>
              <w:t xml:space="preserve">political guidelines, President </w:t>
            </w:r>
            <w:r w:rsidR="0002029B" w:rsidRPr="00D57857">
              <w:rPr>
                <w:rFonts w:ascii="Times New Roman" w:hAnsi="Times New Roman"/>
                <w:sz w:val="24"/>
                <w:szCs w:val="24"/>
                <w:shd w:val="clear" w:color="auto" w:fill="FFFFFF"/>
              </w:rPr>
              <w:t>v</w:t>
            </w:r>
            <w:r w:rsidRPr="00D57857">
              <w:rPr>
                <w:rFonts w:ascii="Times New Roman" w:hAnsi="Times New Roman"/>
                <w:sz w:val="24"/>
                <w:szCs w:val="24"/>
                <w:shd w:val="clear" w:color="auto" w:fill="FFFFFF"/>
              </w:rPr>
              <w:t xml:space="preserve">on </w:t>
            </w:r>
            <w:r w:rsidR="0002029B" w:rsidRPr="00D57857">
              <w:rPr>
                <w:rFonts w:ascii="Times New Roman" w:hAnsi="Times New Roman"/>
                <w:sz w:val="24"/>
                <w:szCs w:val="24"/>
                <w:shd w:val="clear" w:color="auto" w:fill="FFFFFF"/>
              </w:rPr>
              <w:t>d</w:t>
            </w:r>
            <w:r w:rsidRPr="00D57857">
              <w:rPr>
                <w:rFonts w:ascii="Times New Roman" w:hAnsi="Times New Roman"/>
                <w:sz w:val="24"/>
                <w:szCs w:val="24"/>
                <w:shd w:val="clear" w:color="auto" w:fill="FFFFFF"/>
              </w:rPr>
              <w:t xml:space="preserve">er Leyen emphasised the Commission’s renewed commitment following the Val Duchesse Social Partners Summit to strengthening European social dialogue in a time of economic and social change. Together with European trade unions and employers, the Commission will deliver a new Pact for European Social Dialogue in early 2025. </w:t>
            </w:r>
          </w:p>
          <w:p w14:paraId="72F000EC" w14:textId="609C119B" w:rsidR="009D665B" w:rsidRPr="00D57857" w:rsidRDefault="009D665B" w:rsidP="007C59BF">
            <w:pPr>
              <w:keepNext/>
              <w:keepLines/>
              <w:widowControl w:val="0"/>
              <w:spacing w:before="120" w:after="120"/>
              <w:jc w:val="both"/>
              <w:rPr>
                <w:rFonts w:ascii="Times New Roman" w:hAnsi="Times New Roman"/>
                <w:sz w:val="24"/>
                <w:szCs w:val="24"/>
                <w:shd w:val="clear" w:color="auto" w:fill="FFFFFF"/>
              </w:rPr>
            </w:pPr>
            <w:r w:rsidRPr="00D57857">
              <w:rPr>
                <w:rFonts w:ascii="Times New Roman" w:hAnsi="Times New Roman"/>
                <w:sz w:val="24"/>
                <w:szCs w:val="24"/>
                <w:u w:val="single"/>
                <w:lang w:val="en-IE"/>
              </w:rPr>
              <w:t>Point 5.6</w:t>
            </w:r>
            <w:r w:rsidR="008446E7">
              <w:rPr>
                <w:rFonts w:ascii="Times New Roman" w:hAnsi="Times New Roman"/>
                <w:sz w:val="24"/>
                <w:szCs w:val="24"/>
                <w:u w:val="single"/>
                <w:lang w:val="en-IE"/>
              </w:rPr>
              <w:t>.</w:t>
            </w:r>
            <w:r w:rsidRPr="00D57857">
              <w:rPr>
                <w:rFonts w:ascii="Times New Roman" w:hAnsi="Times New Roman"/>
                <w:sz w:val="24"/>
                <w:szCs w:val="24"/>
                <w:u w:val="single"/>
                <w:lang w:val="en-IE"/>
              </w:rPr>
              <w:t xml:space="preserve"> </w:t>
            </w:r>
            <w:r w:rsidRPr="00D57857">
              <w:rPr>
                <w:rFonts w:ascii="Times New Roman" w:hAnsi="Times New Roman"/>
                <w:sz w:val="24"/>
                <w:szCs w:val="24"/>
                <w:u w:val="single"/>
              </w:rPr>
              <w:t>of the opinion</w:t>
            </w:r>
            <w:r w:rsidR="00302289" w:rsidRPr="00D57857">
              <w:rPr>
                <w:rFonts w:ascii="Times New Roman" w:hAnsi="Times New Roman"/>
                <w:sz w:val="24"/>
                <w:szCs w:val="24"/>
                <w:u w:val="single"/>
              </w:rPr>
              <w:t>:</w:t>
            </w:r>
            <w:r w:rsidR="00302289" w:rsidRPr="00D57857">
              <w:rPr>
                <w:rFonts w:ascii="Times New Roman" w:hAnsi="Times New Roman"/>
                <w:sz w:val="24"/>
                <w:szCs w:val="24"/>
              </w:rPr>
              <w:t xml:space="preserve"> </w:t>
            </w:r>
            <w:r w:rsidR="00681AD3" w:rsidRPr="00D57857">
              <w:rPr>
                <w:rFonts w:ascii="Times New Roman" w:hAnsi="Times New Roman"/>
                <w:sz w:val="24"/>
                <w:szCs w:val="24"/>
                <w:shd w:val="clear" w:color="auto" w:fill="FFFFFF"/>
              </w:rPr>
              <w:t xml:space="preserve">The coverage and adequacy of social protection for non-standard forms of work in the Member States is one of the social challenges monitored in the framework of the European Semester, </w:t>
            </w:r>
            <w:proofErr w:type="gramStart"/>
            <w:r w:rsidR="00681AD3" w:rsidRPr="00D57857">
              <w:rPr>
                <w:rFonts w:ascii="Times New Roman" w:hAnsi="Times New Roman"/>
                <w:sz w:val="24"/>
                <w:szCs w:val="24"/>
                <w:shd w:val="clear" w:color="auto" w:fill="FFFFFF"/>
              </w:rPr>
              <w:t>in particular in</w:t>
            </w:r>
            <w:proofErr w:type="gramEnd"/>
            <w:r w:rsidR="00681AD3" w:rsidRPr="00D57857">
              <w:rPr>
                <w:rFonts w:ascii="Times New Roman" w:hAnsi="Times New Roman"/>
                <w:sz w:val="24"/>
                <w:szCs w:val="24"/>
                <w:shd w:val="clear" w:color="auto" w:fill="FFFFFF"/>
              </w:rPr>
              <w:t xml:space="preserve"> the country reports. This monitoring can lead to country specific recommendations.</w:t>
            </w:r>
            <w:r w:rsidR="00B40774" w:rsidRPr="00D57857">
              <w:rPr>
                <w:rFonts w:ascii="Times New Roman" w:hAnsi="Times New Roman"/>
                <w:sz w:val="24"/>
                <w:szCs w:val="24"/>
                <w:shd w:val="clear" w:color="auto" w:fill="FFFFFF"/>
              </w:rPr>
              <w:t xml:space="preserve"> Moreover, the Commission aims to ensure synergies between the reforms and investments foreseen in the Recovery and Resilience Plans (and monitored via specific milestones and targets and the implementation of the recommendations under the </w:t>
            </w:r>
            <w:r w:rsidR="00B40774" w:rsidRPr="00D57857">
              <w:rPr>
                <w:rFonts w:ascii="Times New Roman" w:hAnsi="Times New Roman"/>
                <w:sz w:val="24"/>
                <w:szCs w:val="24"/>
                <w:shd w:val="clear" w:color="auto" w:fill="FFFFFF"/>
              </w:rPr>
              <w:lastRenderedPageBreak/>
              <w:t xml:space="preserve">European Semester). </w:t>
            </w:r>
          </w:p>
          <w:p w14:paraId="6545DAE5" w14:textId="7BAB2943" w:rsidR="00070433" w:rsidRPr="00D57857" w:rsidRDefault="0087301A" w:rsidP="007C59BF">
            <w:pPr>
              <w:keepNext/>
              <w:keepLines/>
              <w:widowControl w:val="0"/>
              <w:spacing w:before="120" w:after="120"/>
              <w:jc w:val="both"/>
              <w:rPr>
                <w:rFonts w:ascii="Times New Roman" w:hAnsi="Times New Roman"/>
                <w:sz w:val="24"/>
                <w:szCs w:val="24"/>
                <w:lang w:val="en-IE"/>
              </w:rPr>
            </w:pPr>
            <w:r w:rsidRPr="00D57857">
              <w:rPr>
                <w:rFonts w:ascii="Times New Roman" w:hAnsi="Times New Roman"/>
                <w:bCs/>
                <w:sz w:val="24"/>
                <w:szCs w:val="24"/>
                <w:u w:val="single"/>
                <w:lang w:val="en-IE"/>
              </w:rPr>
              <w:t>Point 5.8</w:t>
            </w:r>
            <w:r w:rsidR="008446E7">
              <w:rPr>
                <w:rFonts w:ascii="Times New Roman" w:hAnsi="Times New Roman"/>
                <w:bCs/>
                <w:sz w:val="24"/>
                <w:szCs w:val="24"/>
                <w:u w:val="single"/>
                <w:lang w:val="en-IE"/>
              </w:rPr>
              <w:t>.</w:t>
            </w:r>
            <w:r w:rsidR="009D665B" w:rsidRPr="00D57857">
              <w:rPr>
                <w:rFonts w:ascii="Times New Roman" w:hAnsi="Times New Roman"/>
                <w:bCs/>
                <w:sz w:val="24"/>
                <w:szCs w:val="24"/>
                <w:u w:val="single"/>
                <w:lang w:val="en-IE"/>
              </w:rPr>
              <w:t xml:space="preserve"> of the opinion</w:t>
            </w:r>
            <w:r w:rsidR="00302289" w:rsidRPr="00D57857">
              <w:rPr>
                <w:rFonts w:ascii="Times New Roman" w:hAnsi="Times New Roman"/>
                <w:bCs/>
                <w:sz w:val="24"/>
                <w:szCs w:val="24"/>
                <w:lang w:val="en-IE"/>
              </w:rPr>
              <w:t xml:space="preserve">: </w:t>
            </w:r>
            <w:r w:rsidR="001A1AFB" w:rsidRPr="00D57857">
              <w:rPr>
                <w:rFonts w:ascii="Times New Roman" w:hAnsi="Times New Roman"/>
                <w:sz w:val="24"/>
                <w:szCs w:val="24"/>
                <w:lang w:val="en-IE"/>
              </w:rPr>
              <w:t xml:space="preserve">Building on previous </w:t>
            </w:r>
            <w:r w:rsidR="009D665B" w:rsidRPr="00D57857">
              <w:rPr>
                <w:rFonts w:ascii="Times New Roman" w:hAnsi="Times New Roman"/>
                <w:sz w:val="24"/>
                <w:szCs w:val="24"/>
                <w:lang w:val="en-IE"/>
              </w:rPr>
              <w:t xml:space="preserve">actions at EU level to address the </w:t>
            </w:r>
            <w:r w:rsidR="00A03576" w:rsidRPr="00D57857">
              <w:rPr>
                <w:rFonts w:ascii="Times New Roman" w:hAnsi="Times New Roman"/>
                <w:sz w:val="24"/>
                <w:szCs w:val="24"/>
                <w:lang w:val="en-IE"/>
              </w:rPr>
              <w:t>unfavourable</w:t>
            </w:r>
            <w:r w:rsidR="009D665B" w:rsidRPr="00D57857">
              <w:rPr>
                <w:rFonts w:ascii="Times New Roman" w:hAnsi="Times New Roman"/>
                <w:sz w:val="24"/>
                <w:szCs w:val="24"/>
                <w:lang w:val="en-IE"/>
              </w:rPr>
              <w:t xml:space="preserve"> situation of seasonal workers</w:t>
            </w:r>
            <w:r w:rsidR="001A1AFB" w:rsidRPr="00D57857">
              <w:rPr>
                <w:rFonts w:ascii="Times New Roman" w:hAnsi="Times New Roman"/>
                <w:sz w:val="24"/>
                <w:szCs w:val="24"/>
                <w:lang w:val="en-IE"/>
              </w:rPr>
              <w:t>, including the Guidelines on Seasonal Work</w:t>
            </w:r>
            <w:r w:rsidR="001A1AFB" w:rsidRPr="00D57857">
              <w:rPr>
                <w:rStyle w:val="FootnoteReference"/>
                <w:rFonts w:ascii="Times New Roman" w:hAnsi="Times New Roman"/>
                <w:sz w:val="24"/>
                <w:szCs w:val="24"/>
              </w:rPr>
              <w:footnoteReference w:id="8"/>
            </w:r>
            <w:r w:rsidR="001A1AFB" w:rsidRPr="00D57857">
              <w:rPr>
                <w:rFonts w:ascii="Times New Roman" w:hAnsi="Times New Roman"/>
                <w:sz w:val="24"/>
                <w:szCs w:val="24"/>
                <w:lang w:val="en-IE"/>
              </w:rPr>
              <w:t>, the Commission will continue to collaborate with the European Labour Authority (ELA) and the Platform Tackling Undeclared Work to raise awareness of the challenges faced by seasonal workers and to facilitate mutual learning about fair solutions which address the specific needs of the sector.</w:t>
            </w:r>
          </w:p>
          <w:p w14:paraId="0A85066D" w14:textId="057C4C0E" w:rsidR="005A6EC1" w:rsidRPr="00D57857" w:rsidRDefault="004C0F86" w:rsidP="007C59BF">
            <w:pPr>
              <w:keepNext/>
              <w:keepLines/>
              <w:widowControl w:val="0"/>
              <w:spacing w:before="120" w:after="120"/>
              <w:jc w:val="both"/>
              <w:rPr>
                <w:rFonts w:ascii="Times New Roman" w:hAnsi="Times New Roman"/>
                <w:sz w:val="24"/>
                <w:szCs w:val="24"/>
                <w:lang w:val="en-IE"/>
              </w:rPr>
            </w:pPr>
            <w:r w:rsidRPr="00D57857">
              <w:rPr>
                <w:rFonts w:ascii="Times New Roman" w:hAnsi="Times New Roman"/>
                <w:sz w:val="24"/>
                <w:szCs w:val="24"/>
                <w:u w:val="single"/>
                <w:lang w:val="en-IE"/>
              </w:rPr>
              <w:t>Point 5.9</w:t>
            </w:r>
            <w:r w:rsidR="008446E7">
              <w:rPr>
                <w:rFonts w:ascii="Times New Roman" w:hAnsi="Times New Roman"/>
                <w:sz w:val="24"/>
                <w:szCs w:val="24"/>
                <w:u w:val="single"/>
                <w:lang w:val="en-IE"/>
              </w:rPr>
              <w:t>.</w:t>
            </w:r>
            <w:r w:rsidR="00402CD6" w:rsidRPr="00D57857">
              <w:rPr>
                <w:rFonts w:ascii="Times New Roman" w:hAnsi="Times New Roman"/>
                <w:sz w:val="24"/>
                <w:szCs w:val="24"/>
                <w:u w:val="single"/>
                <w:lang w:val="en-IE"/>
              </w:rPr>
              <w:t xml:space="preserve"> of the opinion</w:t>
            </w:r>
            <w:r w:rsidRPr="00D57857">
              <w:rPr>
                <w:rFonts w:ascii="Times New Roman" w:hAnsi="Times New Roman"/>
                <w:sz w:val="24"/>
                <w:szCs w:val="24"/>
                <w:u w:val="single"/>
                <w:lang w:val="en-IE"/>
              </w:rPr>
              <w:t xml:space="preserve"> (also reflected in point 1.9</w:t>
            </w:r>
            <w:r w:rsidR="008446E7">
              <w:rPr>
                <w:rFonts w:ascii="Times New Roman" w:hAnsi="Times New Roman"/>
                <w:sz w:val="24"/>
                <w:szCs w:val="24"/>
                <w:u w:val="single"/>
                <w:lang w:val="en-IE"/>
              </w:rPr>
              <w:t>.</w:t>
            </w:r>
            <w:r w:rsidRPr="00D57857">
              <w:rPr>
                <w:rFonts w:ascii="Times New Roman" w:hAnsi="Times New Roman"/>
                <w:sz w:val="24"/>
                <w:szCs w:val="24"/>
                <w:u w:val="single"/>
                <w:lang w:val="en-IE"/>
              </w:rPr>
              <w:t>)</w:t>
            </w:r>
            <w:r w:rsidR="004C37CB" w:rsidRPr="00D57857">
              <w:rPr>
                <w:rFonts w:ascii="Times New Roman" w:hAnsi="Times New Roman"/>
                <w:sz w:val="24"/>
                <w:szCs w:val="24"/>
                <w:u w:val="single"/>
                <w:lang w:val="en-IE"/>
              </w:rPr>
              <w:t>:</w:t>
            </w:r>
            <w:r w:rsidR="004C37CB" w:rsidRPr="00D57857">
              <w:rPr>
                <w:rFonts w:ascii="Times New Roman" w:hAnsi="Times New Roman"/>
                <w:sz w:val="24"/>
                <w:szCs w:val="24"/>
                <w:lang w:val="en-IE"/>
              </w:rPr>
              <w:t xml:space="preserve"> </w:t>
            </w:r>
            <w:r w:rsidR="005A6EC1" w:rsidRPr="00D57857">
              <w:rPr>
                <w:rFonts w:ascii="Times New Roman" w:hAnsi="Times New Roman"/>
                <w:sz w:val="24"/>
                <w:szCs w:val="24"/>
                <w:lang w:val="en-IE"/>
              </w:rPr>
              <w:t xml:space="preserve">The </w:t>
            </w:r>
            <w:r w:rsidR="004C37CB" w:rsidRPr="00D57857">
              <w:rPr>
                <w:rFonts w:ascii="Times New Roman" w:hAnsi="Times New Roman"/>
                <w:sz w:val="24"/>
                <w:szCs w:val="24"/>
                <w:lang w:val="en-IE"/>
              </w:rPr>
              <w:t>Commission</w:t>
            </w:r>
            <w:r w:rsidR="005A6EC1" w:rsidRPr="00D57857">
              <w:rPr>
                <w:rFonts w:ascii="Times New Roman" w:hAnsi="Times New Roman"/>
                <w:sz w:val="24"/>
                <w:szCs w:val="24"/>
                <w:lang w:val="en-IE"/>
              </w:rPr>
              <w:t xml:space="preserve"> appreciates the EESC’s suggestion to assess the need to revise </w:t>
            </w:r>
            <w:r w:rsidR="00030068">
              <w:rPr>
                <w:rFonts w:ascii="Times New Roman" w:hAnsi="Times New Roman"/>
                <w:sz w:val="24"/>
                <w:szCs w:val="24"/>
                <w:lang w:val="en-IE"/>
              </w:rPr>
              <w:t xml:space="preserve">the </w:t>
            </w:r>
            <w:r w:rsidR="005A6EC1" w:rsidRPr="00D57857">
              <w:rPr>
                <w:rFonts w:ascii="Times New Roman" w:hAnsi="Times New Roman"/>
                <w:sz w:val="24"/>
                <w:szCs w:val="24"/>
                <w:lang w:val="en-IE"/>
              </w:rPr>
              <w:t>Directive</w:t>
            </w:r>
            <w:r w:rsidR="00030068">
              <w:rPr>
                <w:rStyle w:val="FootnoteReference"/>
                <w:rFonts w:ascii="Times New Roman" w:hAnsi="Times New Roman"/>
                <w:sz w:val="24"/>
                <w:szCs w:val="24"/>
                <w:lang w:val="en-IE"/>
              </w:rPr>
              <w:footnoteReference w:id="9"/>
            </w:r>
            <w:r w:rsidR="005A6EC1" w:rsidRPr="00D57857">
              <w:rPr>
                <w:rFonts w:ascii="Times New Roman" w:hAnsi="Times New Roman"/>
                <w:sz w:val="24"/>
                <w:szCs w:val="24"/>
                <w:lang w:val="en-IE"/>
              </w:rPr>
              <w:t xml:space="preserve"> to address gender disparities in social protection and update it to reflect current socio-economic realities. The Commission acknowledges that such disparities often arise from multiple, interconnected factors, including lower female employment rates, </w:t>
            </w:r>
            <w:r w:rsidR="3BFF4E58" w:rsidRPr="00D57857">
              <w:rPr>
                <w:rFonts w:ascii="Times New Roman" w:hAnsi="Times New Roman"/>
                <w:sz w:val="24"/>
                <w:szCs w:val="24"/>
                <w:lang w:val="en-IE"/>
              </w:rPr>
              <w:t xml:space="preserve">the </w:t>
            </w:r>
            <w:r w:rsidR="005A6EC1" w:rsidRPr="00D57857">
              <w:rPr>
                <w:rFonts w:ascii="Times New Roman" w:hAnsi="Times New Roman"/>
                <w:sz w:val="24"/>
                <w:szCs w:val="24"/>
                <w:lang w:val="en-IE"/>
              </w:rPr>
              <w:t>gender pay gap, insufficient work-life balance measures, and an unequal distribution of caregiving responsibilities</w:t>
            </w:r>
            <w:r w:rsidR="7884D4EE" w:rsidRPr="00D57857">
              <w:rPr>
                <w:rFonts w:ascii="Times New Roman" w:hAnsi="Times New Roman"/>
                <w:sz w:val="24"/>
                <w:szCs w:val="24"/>
                <w:lang w:val="en-IE"/>
              </w:rPr>
              <w:t xml:space="preserve"> between women and men</w:t>
            </w:r>
            <w:r w:rsidR="005A6EC1" w:rsidRPr="00D57857">
              <w:rPr>
                <w:rFonts w:ascii="Times New Roman" w:hAnsi="Times New Roman"/>
                <w:sz w:val="24"/>
                <w:szCs w:val="24"/>
                <w:lang w:val="en-IE"/>
              </w:rPr>
              <w:t>. Tackling these issues comprehensively is vital for advancing genuine gender equality within social protection systems</w:t>
            </w:r>
            <w:r w:rsidR="00A90520" w:rsidRPr="00D57857">
              <w:rPr>
                <w:rFonts w:ascii="Times New Roman" w:hAnsi="Times New Roman"/>
                <w:bCs/>
                <w:sz w:val="24"/>
                <w:szCs w:val="24"/>
                <w:lang w:val="en-IE"/>
              </w:rPr>
              <w:t xml:space="preserve"> and the scale of the implemented measures under current Gender equality Strategy demonstrates its full commitment</w:t>
            </w:r>
            <w:r w:rsidR="005A6EC1" w:rsidRPr="00D57857">
              <w:rPr>
                <w:rFonts w:ascii="Times New Roman" w:hAnsi="Times New Roman"/>
                <w:sz w:val="24"/>
                <w:szCs w:val="24"/>
                <w:lang w:val="en-IE"/>
              </w:rPr>
              <w:t xml:space="preserve">. The Commission actively monitors the implementation of the Directive across Member States and is currently studying how to ensure it remains fit for purpose. As a first step, the Commission tasked the European Equality Law Network with a study on the Directive </w:t>
            </w:r>
            <w:r w:rsidR="005A6EC1" w:rsidRPr="00846D3E">
              <w:rPr>
                <w:rFonts w:ascii="Times New Roman" w:hAnsi="Times New Roman"/>
                <w:sz w:val="24"/>
                <w:szCs w:val="24"/>
                <w:lang w:val="en-IE"/>
              </w:rPr>
              <w:t xml:space="preserve">which is due to be published </w:t>
            </w:r>
            <w:r w:rsidR="00846D3E">
              <w:rPr>
                <w:rFonts w:ascii="Times New Roman" w:hAnsi="Times New Roman"/>
                <w:sz w:val="24"/>
                <w:szCs w:val="24"/>
                <w:lang w:val="en-IE"/>
              </w:rPr>
              <w:t>in early 2025</w:t>
            </w:r>
            <w:r w:rsidR="005A6EC1" w:rsidRPr="00D57857">
              <w:rPr>
                <w:rFonts w:ascii="Times New Roman" w:hAnsi="Times New Roman"/>
                <w:sz w:val="24"/>
                <w:szCs w:val="24"/>
                <w:lang w:val="en-IE"/>
              </w:rPr>
              <w:t xml:space="preserve">. </w:t>
            </w:r>
          </w:p>
          <w:p w14:paraId="057BFFC2" w14:textId="15742956" w:rsidR="00A90520" w:rsidRPr="00D57857" w:rsidRDefault="00A90520" w:rsidP="007C59BF">
            <w:pPr>
              <w:keepNext/>
              <w:keepLines/>
              <w:widowControl w:val="0"/>
              <w:spacing w:before="120" w:after="120"/>
              <w:jc w:val="both"/>
              <w:rPr>
                <w:rFonts w:ascii="Times New Roman" w:hAnsi="Times New Roman"/>
                <w:bCs/>
                <w:sz w:val="24"/>
                <w:szCs w:val="24"/>
                <w:lang w:val="en-IE"/>
              </w:rPr>
            </w:pPr>
            <w:r w:rsidRPr="00D57857">
              <w:rPr>
                <w:rFonts w:ascii="Times New Roman" w:hAnsi="Times New Roman"/>
                <w:bCs/>
                <w:sz w:val="24"/>
                <w:szCs w:val="24"/>
                <w:lang w:val="en-IE"/>
              </w:rPr>
              <w:t xml:space="preserve">It is also important to clarify that Article 157(4) </w:t>
            </w:r>
            <w:r w:rsidR="008446E7">
              <w:rPr>
                <w:rFonts w:ascii="Times New Roman" w:hAnsi="Times New Roman"/>
                <w:bCs/>
                <w:sz w:val="24"/>
                <w:szCs w:val="24"/>
                <w:lang w:val="en-IE"/>
              </w:rPr>
              <w:t xml:space="preserve">of the </w:t>
            </w:r>
            <w:r w:rsidRPr="00D57857">
              <w:rPr>
                <w:rFonts w:ascii="Times New Roman" w:hAnsi="Times New Roman"/>
                <w:bCs/>
                <w:sz w:val="24"/>
                <w:szCs w:val="24"/>
                <w:lang w:val="en-IE"/>
              </w:rPr>
              <w:t>T</w:t>
            </w:r>
            <w:r w:rsidR="008446E7">
              <w:rPr>
                <w:rFonts w:ascii="Times New Roman" w:hAnsi="Times New Roman"/>
                <w:bCs/>
                <w:sz w:val="24"/>
                <w:szCs w:val="24"/>
                <w:lang w:val="en-IE"/>
              </w:rPr>
              <w:t xml:space="preserve">reaty on the </w:t>
            </w:r>
            <w:r w:rsidRPr="00D57857">
              <w:rPr>
                <w:rFonts w:ascii="Times New Roman" w:hAnsi="Times New Roman"/>
                <w:bCs/>
                <w:sz w:val="24"/>
                <w:szCs w:val="24"/>
                <w:lang w:val="en-IE"/>
              </w:rPr>
              <w:t>F</w:t>
            </w:r>
            <w:r w:rsidR="008446E7">
              <w:rPr>
                <w:rFonts w:ascii="Times New Roman" w:hAnsi="Times New Roman"/>
                <w:bCs/>
                <w:sz w:val="24"/>
                <w:szCs w:val="24"/>
                <w:lang w:val="en-IE"/>
              </w:rPr>
              <w:t xml:space="preserve">unctioning of the </w:t>
            </w:r>
            <w:r w:rsidRPr="00D57857">
              <w:rPr>
                <w:rFonts w:ascii="Times New Roman" w:hAnsi="Times New Roman"/>
                <w:bCs/>
                <w:sz w:val="24"/>
                <w:szCs w:val="24"/>
                <w:lang w:val="en-IE"/>
              </w:rPr>
              <w:t xml:space="preserve">EU, referenced in the EESC opinion, is a provision that allows Member States to maintain or adopt measures providing for specific advantages </w:t>
            </w:r>
            <w:proofErr w:type="gramStart"/>
            <w:r w:rsidRPr="00D57857">
              <w:rPr>
                <w:rFonts w:ascii="Times New Roman" w:hAnsi="Times New Roman"/>
                <w:bCs/>
                <w:sz w:val="24"/>
                <w:szCs w:val="24"/>
                <w:lang w:val="en-IE"/>
              </w:rPr>
              <w:t>in order to</w:t>
            </w:r>
            <w:proofErr w:type="gramEnd"/>
            <w:r w:rsidRPr="00D57857">
              <w:rPr>
                <w:rFonts w:ascii="Times New Roman" w:hAnsi="Times New Roman"/>
                <w:bCs/>
                <w:sz w:val="24"/>
                <w:szCs w:val="24"/>
                <w:lang w:val="en-IE"/>
              </w:rPr>
              <w:t xml:space="preserve"> make it easier for the underrepresented sex to pursue a vocational activity or to prevent or compensate for disadvantages in professional careers. The Court of Justice of the European Union has found in standing case law (see Case C-450/18</w:t>
            </w:r>
            <w:r w:rsidRPr="00D57857">
              <w:rPr>
                <w:rStyle w:val="FootnoteReference"/>
                <w:rFonts w:ascii="Times New Roman" w:hAnsi="Times New Roman"/>
                <w:bCs/>
                <w:sz w:val="24"/>
                <w:szCs w:val="24"/>
                <w:lang w:val="en-IE"/>
              </w:rPr>
              <w:footnoteReference w:id="10"/>
            </w:r>
            <w:r w:rsidRPr="00D57857">
              <w:rPr>
                <w:rFonts w:ascii="Times New Roman" w:hAnsi="Times New Roman"/>
                <w:bCs/>
                <w:sz w:val="24"/>
                <w:szCs w:val="24"/>
                <w:lang w:val="en-IE"/>
              </w:rPr>
              <w:t>, WA, paragraphs 64 and 65 and case-law quoted therein), while not excluding that positive action pursuant to Art. 157(4) TFEU is possible within the scope of application of Directive 79/7/EEC, that this cannot justify measures that are limited to granting women a surplus at the time when a pension is awarded, without providing a remedy for the problems which they may encounter in the course of their professional career, and where such measures do not compensate for the disadvantages to which women are exposed by helping them in that career and, thus, to ensure full equality in practice between men and women in working life.</w:t>
            </w:r>
          </w:p>
          <w:p w14:paraId="4C82EB1D" w14:textId="557AE787" w:rsidR="007009ED" w:rsidRPr="00D57857" w:rsidRDefault="008A049C" w:rsidP="007C59BF">
            <w:pPr>
              <w:keepNext/>
              <w:keepLines/>
              <w:widowControl w:val="0"/>
              <w:spacing w:before="120" w:after="120"/>
              <w:jc w:val="both"/>
              <w:rPr>
                <w:rFonts w:ascii="Times New Roman" w:hAnsi="Times New Roman"/>
                <w:sz w:val="24"/>
                <w:szCs w:val="24"/>
              </w:rPr>
            </w:pPr>
            <w:r w:rsidRPr="00D57857">
              <w:rPr>
                <w:rFonts w:ascii="Times New Roman" w:hAnsi="Times New Roman"/>
                <w:bCs/>
                <w:sz w:val="24"/>
                <w:szCs w:val="24"/>
                <w:u w:val="single"/>
              </w:rPr>
              <w:t>Point 5.10</w:t>
            </w:r>
            <w:r w:rsidR="008446E7">
              <w:rPr>
                <w:rFonts w:ascii="Times New Roman" w:hAnsi="Times New Roman"/>
                <w:bCs/>
                <w:sz w:val="24"/>
                <w:szCs w:val="24"/>
                <w:u w:val="single"/>
              </w:rPr>
              <w:t>.</w:t>
            </w:r>
            <w:r w:rsidR="00402CD6" w:rsidRPr="00D57857">
              <w:rPr>
                <w:rFonts w:ascii="Times New Roman" w:hAnsi="Times New Roman"/>
                <w:bCs/>
                <w:sz w:val="24"/>
                <w:szCs w:val="24"/>
                <w:u w:val="single"/>
                <w:lang w:val="en-IE"/>
              </w:rPr>
              <w:t xml:space="preserve"> of the opinion</w:t>
            </w:r>
            <w:r w:rsidRPr="00D57857">
              <w:rPr>
                <w:rFonts w:ascii="Times New Roman" w:hAnsi="Times New Roman"/>
                <w:bCs/>
                <w:sz w:val="24"/>
                <w:szCs w:val="24"/>
                <w:u w:val="single"/>
              </w:rPr>
              <w:t xml:space="preserve"> (</w:t>
            </w:r>
            <w:r w:rsidRPr="00D57857">
              <w:rPr>
                <w:rFonts w:ascii="Times New Roman" w:hAnsi="Times New Roman"/>
                <w:bCs/>
                <w:sz w:val="24"/>
                <w:szCs w:val="24"/>
                <w:u w:val="single"/>
                <w:lang w:val="en-IE"/>
              </w:rPr>
              <w:t>also reflected in points 1.7</w:t>
            </w:r>
            <w:r w:rsidR="008446E7">
              <w:rPr>
                <w:rFonts w:ascii="Times New Roman" w:hAnsi="Times New Roman"/>
                <w:bCs/>
                <w:sz w:val="24"/>
                <w:szCs w:val="24"/>
                <w:u w:val="single"/>
                <w:lang w:val="en-IE"/>
              </w:rPr>
              <w:t>.</w:t>
            </w:r>
            <w:r w:rsidRPr="00D57857">
              <w:rPr>
                <w:rFonts w:ascii="Times New Roman" w:hAnsi="Times New Roman"/>
                <w:bCs/>
                <w:sz w:val="24"/>
                <w:szCs w:val="24"/>
                <w:u w:val="single"/>
                <w:lang w:val="en-IE"/>
              </w:rPr>
              <w:t xml:space="preserve"> and 1.10</w:t>
            </w:r>
            <w:r w:rsidR="008446E7">
              <w:rPr>
                <w:rFonts w:ascii="Times New Roman" w:hAnsi="Times New Roman"/>
                <w:bCs/>
                <w:sz w:val="24"/>
                <w:szCs w:val="24"/>
                <w:u w:val="single"/>
                <w:lang w:val="en-IE"/>
              </w:rPr>
              <w:t>.</w:t>
            </w:r>
            <w:r w:rsidRPr="00D57857">
              <w:rPr>
                <w:rFonts w:ascii="Times New Roman" w:hAnsi="Times New Roman"/>
                <w:bCs/>
                <w:sz w:val="24"/>
                <w:szCs w:val="24"/>
                <w:u w:val="single"/>
                <w:lang w:val="en-IE"/>
              </w:rPr>
              <w:t>)</w:t>
            </w:r>
            <w:r w:rsidR="008B4B92" w:rsidRPr="00D57857">
              <w:rPr>
                <w:rFonts w:ascii="Times New Roman" w:hAnsi="Times New Roman"/>
                <w:bCs/>
                <w:sz w:val="24"/>
                <w:szCs w:val="24"/>
                <w:lang w:val="en-IE"/>
              </w:rPr>
              <w:t xml:space="preserve">: </w:t>
            </w:r>
            <w:r w:rsidR="007009ED" w:rsidRPr="00D57857">
              <w:rPr>
                <w:rFonts w:ascii="Times New Roman" w:hAnsi="Times New Roman"/>
                <w:bCs/>
                <w:sz w:val="24"/>
                <w:szCs w:val="24"/>
              </w:rPr>
              <w:t xml:space="preserve">The Commission agrees with the EESC opinion about the need to </w:t>
            </w:r>
            <w:r w:rsidR="007009ED" w:rsidRPr="00D57857">
              <w:rPr>
                <w:rFonts w:ascii="Times New Roman" w:hAnsi="Times New Roman"/>
                <w:sz w:val="24"/>
                <w:szCs w:val="24"/>
              </w:rPr>
              <w:t>facilitating the exchange of experiences between Member States relating to the review/reform of national social protection systems. After the first four mutual learning events organised in this area in 2019-20</w:t>
            </w:r>
            <w:r w:rsidR="009A5566" w:rsidRPr="00D57857">
              <w:rPr>
                <w:rFonts w:ascii="Times New Roman" w:hAnsi="Times New Roman"/>
                <w:sz w:val="24"/>
                <w:szCs w:val="24"/>
              </w:rPr>
              <w:t xml:space="preserve"> and a targeted high-level event on the social protection for the self-employed in June 2022, </w:t>
            </w:r>
            <w:r w:rsidR="007009ED" w:rsidRPr="00D57857">
              <w:rPr>
                <w:rFonts w:ascii="Times New Roman" w:hAnsi="Times New Roman"/>
                <w:sz w:val="24"/>
                <w:szCs w:val="24"/>
              </w:rPr>
              <w:t xml:space="preserve">the Commission resumed in 2023 the organisation of mutual learning events </w:t>
            </w:r>
            <w:r w:rsidR="009A5566" w:rsidRPr="00D57857">
              <w:rPr>
                <w:rFonts w:ascii="Times New Roman" w:hAnsi="Times New Roman"/>
                <w:sz w:val="24"/>
                <w:szCs w:val="24"/>
              </w:rPr>
              <w:t xml:space="preserve">on the </w:t>
            </w:r>
            <w:r w:rsidR="000C7067" w:rsidRPr="00D57857">
              <w:rPr>
                <w:rFonts w:ascii="Times New Roman" w:hAnsi="Times New Roman"/>
                <w:sz w:val="24"/>
                <w:szCs w:val="24"/>
              </w:rPr>
              <w:t>topic</w:t>
            </w:r>
            <w:r w:rsidR="009A5566" w:rsidRPr="00D57857">
              <w:rPr>
                <w:rFonts w:ascii="Times New Roman" w:hAnsi="Times New Roman"/>
                <w:sz w:val="24"/>
                <w:szCs w:val="24"/>
              </w:rPr>
              <w:t xml:space="preserve">. </w:t>
            </w:r>
            <w:r w:rsidR="00030068">
              <w:rPr>
                <w:rFonts w:ascii="Times New Roman" w:hAnsi="Times New Roman"/>
                <w:sz w:val="24"/>
                <w:szCs w:val="24"/>
              </w:rPr>
              <w:t>The l</w:t>
            </w:r>
            <w:r w:rsidR="00BB1923" w:rsidRPr="00D57857">
              <w:rPr>
                <w:rFonts w:ascii="Times New Roman" w:hAnsi="Times New Roman"/>
                <w:sz w:val="24"/>
                <w:szCs w:val="24"/>
              </w:rPr>
              <w:t xml:space="preserve">atest mutual learning events in 2023-24 addressed the topics of </w:t>
            </w:r>
            <w:r w:rsidR="00030068">
              <w:rPr>
                <w:rFonts w:ascii="Times New Roman" w:hAnsi="Times New Roman"/>
                <w:sz w:val="24"/>
                <w:szCs w:val="24"/>
              </w:rPr>
              <w:t>‘</w:t>
            </w:r>
            <w:r w:rsidR="00BB1923" w:rsidRPr="00D57857">
              <w:rPr>
                <w:rFonts w:ascii="Times New Roman" w:hAnsi="Times New Roman"/>
                <w:sz w:val="24"/>
                <w:szCs w:val="24"/>
              </w:rPr>
              <w:t>transparency and simplification</w:t>
            </w:r>
            <w:r w:rsidR="00030068">
              <w:rPr>
                <w:rFonts w:ascii="Times New Roman" w:hAnsi="Times New Roman"/>
                <w:sz w:val="24"/>
                <w:szCs w:val="24"/>
              </w:rPr>
              <w:t>’</w:t>
            </w:r>
            <w:r w:rsidR="00BB1923" w:rsidRPr="00D57857">
              <w:rPr>
                <w:rFonts w:ascii="Times New Roman" w:hAnsi="Times New Roman"/>
                <w:sz w:val="24"/>
                <w:szCs w:val="24"/>
              </w:rPr>
              <w:t xml:space="preserve"> and of </w:t>
            </w:r>
            <w:r w:rsidR="00030068">
              <w:rPr>
                <w:rFonts w:ascii="Times New Roman" w:hAnsi="Times New Roman"/>
                <w:sz w:val="24"/>
                <w:szCs w:val="24"/>
              </w:rPr>
              <w:t>‘</w:t>
            </w:r>
            <w:r w:rsidR="00BB1923" w:rsidRPr="00D57857">
              <w:rPr>
                <w:rFonts w:ascii="Times New Roman" w:hAnsi="Times New Roman"/>
                <w:sz w:val="24"/>
                <w:szCs w:val="24"/>
              </w:rPr>
              <w:t xml:space="preserve">access to healthcare benefits, </w:t>
            </w:r>
            <w:r w:rsidR="00BB1923" w:rsidRPr="00D57857">
              <w:rPr>
                <w:rFonts w:ascii="Times New Roman" w:hAnsi="Times New Roman"/>
                <w:sz w:val="24"/>
                <w:szCs w:val="24"/>
              </w:rPr>
              <w:lastRenderedPageBreak/>
              <w:t xml:space="preserve">sickness benefits and benefits related to accidents at work and occupational </w:t>
            </w:r>
            <w:proofErr w:type="gramStart"/>
            <w:r w:rsidR="00BB1923" w:rsidRPr="00D57857">
              <w:rPr>
                <w:rFonts w:ascii="Times New Roman" w:hAnsi="Times New Roman"/>
                <w:sz w:val="24"/>
                <w:szCs w:val="24"/>
              </w:rPr>
              <w:t>diseases</w:t>
            </w:r>
            <w:r w:rsidR="00030068">
              <w:rPr>
                <w:rFonts w:ascii="Times New Roman" w:hAnsi="Times New Roman"/>
                <w:sz w:val="24"/>
                <w:szCs w:val="24"/>
              </w:rPr>
              <w:t>’</w:t>
            </w:r>
            <w:proofErr w:type="gramEnd"/>
            <w:r w:rsidR="00BB1923" w:rsidRPr="00D57857">
              <w:rPr>
                <w:rFonts w:ascii="Times New Roman" w:hAnsi="Times New Roman"/>
                <w:sz w:val="24"/>
                <w:szCs w:val="24"/>
              </w:rPr>
              <w:t xml:space="preserve">. </w:t>
            </w:r>
            <w:r w:rsidR="009A5566" w:rsidRPr="00D57857">
              <w:rPr>
                <w:rFonts w:ascii="Times New Roman" w:hAnsi="Times New Roman"/>
                <w:sz w:val="24"/>
                <w:szCs w:val="24"/>
              </w:rPr>
              <w:t xml:space="preserve">Forthcoming mutual learning events in 2024-25 should address the </w:t>
            </w:r>
            <w:r w:rsidR="00BB1923" w:rsidRPr="00D57857">
              <w:rPr>
                <w:rFonts w:ascii="Times New Roman" w:hAnsi="Times New Roman"/>
                <w:sz w:val="24"/>
                <w:szCs w:val="24"/>
              </w:rPr>
              <w:t>topics</w:t>
            </w:r>
            <w:r w:rsidR="009A5566" w:rsidRPr="00D57857">
              <w:rPr>
                <w:rFonts w:ascii="Times New Roman" w:hAnsi="Times New Roman"/>
                <w:sz w:val="24"/>
                <w:szCs w:val="24"/>
              </w:rPr>
              <w:t xml:space="preserve"> of </w:t>
            </w:r>
            <w:r w:rsidR="00030068">
              <w:rPr>
                <w:rFonts w:ascii="Times New Roman" w:hAnsi="Times New Roman"/>
                <w:sz w:val="24"/>
                <w:szCs w:val="24"/>
              </w:rPr>
              <w:t>‘</w:t>
            </w:r>
            <w:r w:rsidR="009A5566" w:rsidRPr="00D57857">
              <w:rPr>
                <w:rFonts w:ascii="Times New Roman" w:hAnsi="Times New Roman"/>
                <w:sz w:val="24"/>
                <w:szCs w:val="24"/>
              </w:rPr>
              <w:t>data, indicators and monitoring systems</w:t>
            </w:r>
            <w:r w:rsidR="00030068">
              <w:rPr>
                <w:rFonts w:ascii="Times New Roman" w:hAnsi="Times New Roman"/>
                <w:sz w:val="24"/>
                <w:szCs w:val="24"/>
              </w:rPr>
              <w:t>’</w:t>
            </w:r>
            <w:r w:rsidR="009A5566" w:rsidRPr="00D57857">
              <w:rPr>
                <w:rFonts w:ascii="Times New Roman" w:hAnsi="Times New Roman"/>
                <w:sz w:val="24"/>
                <w:szCs w:val="24"/>
              </w:rPr>
              <w:t xml:space="preserve">, </w:t>
            </w:r>
            <w:r w:rsidR="00030068">
              <w:rPr>
                <w:rFonts w:ascii="Times New Roman" w:hAnsi="Times New Roman"/>
                <w:sz w:val="24"/>
                <w:szCs w:val="24"/>
              </w:rPr>
              <w:t>‘</w:t>
            </w:r>
            <w:r w:rsidR="009A5566" w:rsidRPr="00D57857">
              <w:rPr>
                <w:rFonts w:ascii="Times New Roman" w:hAnsi="Times New Roman"/>
                <w:sz w:val="24"/>
                <w:szCs w:val="24"/>
              </w:rPr>
              <w:t>social protection coverage for temporary workers and solo self-employed</w:t>
            </w:r>
            <w:r w:rsidR="00030068">
              <w:rPr>
                <w:rFonts w:ascii="Times New Roman" w:hAnsi="Times New Roman"/>
                <w:sz w:val="24"/>
                <w:szCs w:val="24"/>
              </w:rPr>
              <w:t>’</w:t>
            </w:r>
            <w:r w:rsidR="009A5566" w:rsidRPr="00D57857">
              <w:rPr>
                <w:rFonts w:ascii="Times New Roman" w:hAnsi="Times New Roman"/>
                <w:sz w:val="24"/>
                <w:szCs w:val="24"/>
              </w:rPr>
              <w:t xml:space="preserve"> and </w:t>
            </w:r>
            <w:r w:rsidR="00030068">
              <w:rPr>
                <w:rFonts w:ascii="Times New Roman" w:hAnsi="Times New Roman"/>
                <w:sz w:val="24"/>
                <w:szCs w:val="24"/>
              </w:rPr>
              <w:t>‘</w:t>
            </w:r>
            <w:r w:rsidR="009A5566" w:rsidRPr="00D57857">
              <w:rPr>
                <w:rFonts w:ascii="Times New Roman" w:hAnsi="Times New Roman"/>
                <w:sz w:val="24"/>
                <w:szCs w:val="24"/>
              </w:rPr>
              <w:t xml:space="preserve">social protection for </w:t>
            </w:r>
            <w:proofErr w:type="gramStart"/>
            <w:r w:rsidR="00EC2DFE" w:rsidRPr="00D57857">
              <w:rPr>
                <w:rFonts w:ascii="Times New Roman" w:hAnsi="Times New Roman"/>
                <w:sz w:val="24"/>
                <w:szCs w:val="24"/>
              </w:rPr>
              <w:t>artists</w:t>
            </w:r>
            <w:r w:rsidR="00030068">
              <w:rPr>
                <w:rFonts w:ascii="Times New Roman" w:hAnsi="Times New Roman"/>
                <w:sz w:val="24"/>
                <w:szCs w:val="24"/>
              </w:rPr>
              <w:t>’</w:t>
            </w:r>
            <w:proofErr w:type="gramEnd"/>
            <w:r w:rsidR="009A5566" w:rsidRPr="00D57857">
              <w:rPr>
                <w:rFonts w:ascii="Times New Roman" w:hAnsi="Times New Roman"/>
                <w:sz w:val="24"/>
                <w:szCs w:val="24"/>
              </w:rPr>
              <w:t xml:space="preserve">. Such mutual learning events involve representatives of Ministries but also social partners and when relevant, </w:t>
            </w:r>
            <w:r w:rsidR="00BB1923" w:rsidRPr="00D57857">
              <w:rPr>
                <w:rFonts w:ascii="Times New Roman" w:hAnsi="Times New Roman"/>
                <w:sz w:val="24"/>
                <w:szCs w:val="24"/>
              </w:rPr>
              <w:t xml:space="preserve">civil society organisations as well as social protection organisations. In </w:t>
            </w:r>
            <w:r w:rsidR="009A5566" w:rsidRPr="00D57857">
              <w:rPr>
                <w:rFonts w:ascii="Times New Roman" w:hAnsi="Times New Roman"/>
                <w:sz w:val="24"/>
                <w:szCs w:val="24"/>
              </w:rPr>
              <w:t xml:space="preserve">the future, the Commission will also invite representative of the EESC. </w:t>
            </w:r>
          </w:p>
          <w:p w14:paraId="7D9899B9" w14:textId="70F8FDCC" w:rsidR="004D18E7" w:rsidRPr="00302289" w:rsidRDefault="00BB1923" w:rsidP="007C59BF">
            <w:pPr>
              <w:keepNext/>
              <w:keepLines/>
              <w:widowControl w:val="0"/>
              <w:spacing w:before="120" w:after="120"/>
              <w:jc w:val="both"/>
              <w:rPr>
                <w:rFonts w:ascii="Times New Roman" w:hAnsi="Times New Roman"/>
                <w:bCs/>
                <w:sz w:val="24"/>
                <w:szCs w:val="24"/>
              </w:rPr>
            </w:pPr>
            <w:r w:rsidRPr="00D57857">
              <w:rPr>
                <w:rFonts w:ascii="Times New Roman" w:hAnsi="Times New Roman"/>
                <w:sz w:val="24"/>
                <w:szCs w:val="24"/>
              </w:rPr>
              <w:t xml:space="preserve">The Commission also supports the Social </w:t>
            </w:r>
            <w:r w:rsidR="00070433" w:rsidRPr="00D57857">
              <w:rPr>
                <w:rFonts w:ascii="Times New Roman" w:hAnsi="Times New Roman"/>
                <w:sz w:val="24"/>
                <w:szCs w:val="24"/>
              </w:rPr>
              <w:t>P</w:t>
            </w:r>
            <w:r w:rsidRPr="00D57857">
              <w:rPr>
                <w:rFonts w:ascii="Times New Roman" w:hAnsi="Times New Roman"/>
                <w:sz w:val="24"/>
                <w:szCs w:val="24"/>
              </w:rPr>
              <w:t>rotection Committee</w:t>
            </w:r>
            <w:r w:rsidR="006361EF" w:rsidRPr="00D57857">
              <w:rPr>
                <w:rFonts w:ascii="Times New Roman" w:hAnsi="Times New Roman"/>
                <w:sz w:val="24"/>
                <w:szCs w:val="24"/>
              </w:rPr>
              <w:t xml:space="preserve"> in the organisation</w:t>
            </w:r>
            <w:r w:rsidRPr="00D57857">
              <w:rPr>
                <w:rFonts w:ascii="Times New Roman" w:hAnsi="Times New Roman"/>
                <w:sz w:val="24"/>
                <w:szCs w:val="24"/>
              </w:rPr>
              <w:t xml:space="preserve"> of peer reviews, to be proposed by one host Member State</w:t>
            </w:r>
            <w:r w:rsidR="00030068">
              <w:rPr>
                <w:rFonts w:ascii="Times New Roman" w:hAnsi="Times New Roman"/>
                <w:sz w:val="24"/>
                <w:szCs w:val="24"/>
              </w:rPr>
              <w:t>. F</w:t>
            </w:r>
            <w:r w:rsidRPr="00D57857">
              <w:rPr>
                <w:rFonts w:ascii="Times New Roman" w:hAnsi="Times New Roman"/>
                <w:sz w:val="24"/>
                <w:szCs w:val="24"/>
              </w:rPr>
              <w:t xml:space="preserve">or the 2025 round, </w:t>
            </w:r>
            <w:r w:rsidR="006361EF" w:rsidRPr="00D57857">
              <w:rPr>
                <w:rFonts w:ascii="Times New Roman" w:hAnsi="Times New Roman"/>
                <w:sz w:val="24"/>
                <w:szCs w:val="24"/>
              </w:rPr>
              <w:t xml:space="preserve">Member States were invited to consider </w:t>
            </w:r>
            <w:r w:rsidR="004D5767" w:rsidRPr="00D57857">
              <w:rPr>
                <w:rFonts w:ascii="Times New Roman" w:hAnsi="Times New Roman"/>
                <w:sz w:val="24"/>
                <w:szCs w:val="24"/>
              </w:rPr>
              <w:t xml:space="preserve">the topic of </w:t>
            </w:r>
            <w:r w:rsidR="00030068">
              <w:rPr>
                <w:rFonts w:ascii="Times New Roman" w:hAnsi="Times New Roman"/>
                <w:sz w:val="24"/>
                <w:szCs w:val="24"/>
              </w:rPr>
              <w:t>‘</w:t>
            </w:r>
            <w:r w:rsidR="007009ED" w:rsidRPr="00D57857">
              <w:rPr>
                <w:rFonts w:ascii="Times New Roman" w:hAnsi="Times New Roman"/>
                <w:sz w:val="24"/>
                <w:szCs w:val="24"/>
              </w:rPr>
              <w:t>Transparency and simplification of social protection schemes, in order to support access to al</w:t>
            </w:r>
            <w:r w:rsidR="00EC2DFE" w:rsidRPr="00D57857">
              <w:rPr>
                <w:rFonts w:ascii="Times New Roman" w:hAnsi="Times New Roman"/>
                <w:sz w:val="24"/>
                <w:szCs w:val="24"/>
              </w:rPr>
              <w:t>l</w:t>
            </w:r>
            <w:r w:rsidR="00030068">
              <w:rPr>
                <w:rFonts w:ascii="Times New Roman" w:hAnsi="Times New Roman"/>
                <w:sz w:val="24"/>
                <w:szCs w:val="24"/>
              </w:rPr>
              <w:t>’</w:t>
            </w:r>
            <w:r w:rsidR="007009ED" w:rsidRPr="00D57857">
              <w:rPr>
                <w:rFonts w:ascii="Times New Roman" w:hAnsi="Times New Roman"/>
                <w:sz w:val="24"/>
                <w:szCs w:val="24"/>
              </w:rPr>
              <w:t>.</w:t>
            </w:r>
            <w:r w:rsidR="007009ED" w:rsidRPr="00302289">
              <w:rPr>
                <w:rFonts w:ascii="Times New Roman" w:hAnsi="Times New Roman"/>
                <w:sz w:val="24"/>
                <w:szCs w:val="24"/>
              </w:rPr>
              <w:t xml:space="preserve"> </w:t>
            </w:r>
          </w:p>
        </w:tc>
      </w:tr>
    </w:tbl>
    <w:p w14:paraId="4B31F071" w14:textId="77777777" w:rsidR="00077C4F" w:rsidRPr="00B140C7" w:rsidRDefault="00077C4F" w:rsidP="003430A8">
      <w:pPr>
        <w:keepNext/>
        <w:keepLines/>
        <w:widowControl w:val="0"/>
        <w:spacing w:before="120" w:after="120"/>
        <w:jc w:val="both"/>
        <w:rPr>
          <w:rFonts w:ascii="Times New Roman" w:hAnsi="Times New Roman"/>
          <w:sz w:val="2"/>
          <w:szCs w:val="2"/>
        </w:rPr>
      </w:pPr>
    </w:p>
    <w:sectPr w:rsidR="00077C4F" w:rsidRPr="00B140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7934" w14:textId="77777777" w:rsidR="009F59CE" w:rsidRDefault="009F59CE" w:rsidP="00FF63EA">
      <w:pPr>
        <w:spacing w:after="0" w:line="240" w:lineRule="auto"/>
      </w:pPr>
      <w:r>
        <w:separator/>
      </w:r>
    </w:p>
  </w:endnote>
  <w:endnote w:type="continuationSeparator" w:id="0">
    <w:p w14:paraId="66D5B342" w14:textId="77777777" w:rsidR="009F59CE" w:rsidRDefault="009F59CE" w:rsidP="00FF63EA">
      <w:pPr>
        <w:spacing w:after="0" w:line="240" w:lineRule="auto"/>
      </w:pPr>
      <w:r>
        <w:continuationSeparator/>
      </w:r>
    </w:p>
  </w:endnote>
  <w:endnote w:type="continuationNotice" w:id="1">
    <w:p w14:paraId="6527D82B" w14:textId="77777777" w:rsidR="009F59CE" w:rsidRDefault="009F5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13AE" w14:textId="77777777" w:rsidR="009F59CE" w:rsidRDefault="009F59CE" w:rsidP="00FF63EA">
      <w:pPr>
        <w:spacing w:after="0" w:line="240" w:lineRule="auto"/>
      </w:pPr>
      <w:r>
        <w:separator/>
      </w:r>
    </w:p>
  </w:footnote>
  <w:footnote w:type="continuationSeparator" w:id="0">
    <w:p w14:paraId="7F080889" w14:textId="77777777" w:rsidR="009F59CE" w:rsidRDefault="009F59CE" w:rsidP="00FF63EA">
      <w:pPr>
        <w:spacing w:after="0" w:line="240" w:lineRule="auto"/>
      </w:pPr>
      <w:r>
        <w:continuationSeparator/>
      </w:r>
    </w:p>
  </w:footnote>
  <w:footnote w:type="continuationNotice" w:id="1">
    <w:p w14:paraId="152D235C" w14:textId="77777777" w:rsidR="009F59CE" w:rsidRDefault="009F59CE">
      <w:pPr>
        <w:spacing w:after="0" w:line="240" w:lineRule="auto"/>
      </w:pPr>
    </w:p>
  </w:footnote>
  <w:footnote w:id="2">
    <w:p w14:paraId="78E23CE9" w14:textId="386885E7" w:rsidR="00E123C8" w:rsidRPr="00CF239E" w:rsidRDefault="00E123C8" w:rsidP="00B140C7">
      <w:pPr>
        <w:pStyle w:val="FootnoteText"/>
        <w:widowControl w:val="0"/>
        <w:spacing w:after="0" w:line="240" w:lineRule="auto"/>
        <w:ind w:left="142" w:right="-284" w:hanging="284"/>
        <w:jc w:val="both"/>
        <w:rPr>
          <w:rFonts w:ascii="Times New Roman" w:hAnsi="Times New Roman"/>
          <w:lang w:val="en-IE"/>
        </w:rPr>
      </w:pPr>
      <w:r w:rsidRPr="00B140C7">
        <w:rPr>
          <w:rStyle w:val="FootnoteReference"/>
          <w:rFonts w:ascii="Times New Roman" w:hAnsi="Times New Roman"/>
        </w:rPr>
        <w:footnoteRef/>
      </w:r>
      <w:r w:rsidRPr="00B140C7">
        <w:rPr>
          <w:rFonts w:ascii="Times New Roman" w:hAnsi="Times New Roman"/>
        </w:rPr>
        <w:t xml:space="preserve"> </w:t>
      </w:r>
      <w:r w:rsidR="00A16E2F" w:rsidRPr="00B140C7">
        <w:rPr>
          <w:rFonts w:ascii="Times New Roman" w:hAnsi="Times New Roman"/>
        </w:rPr>
        <w:tab/>
      </w:r>
      <w:r w:rsidR="00CF239E" w:rsidRPr="00CF239E">
        <w:rPr>
          <w:rFonts w:ascii="Times New Roman" w:hAnsi="Times New Roman"/>
        </w:rPr>
        <w:t>Council Recommendation of 8 November 2019 on access to social protection for workers and the self-employed (</w:t>
      </w:r>
      <w:hyperlink r:id="rId1" w:history="1">
        <w:r w:rsidR="00CF239E" w:rsidRPr="00CF239E">
          <w:rPr>
            <w:rStyle w:val="Hyperlink"/>
            <w:rFonts w:ascii="Times New Roman" w:hAnsi="Times New Roman"/>
          </w:rPr>
          <w:t>EUR-Lex - 32019H1115(01) - EN - EUR-Lex</w:t>
        </w:r>
      </w:hyperlink>
      <w:r w:rsidR="00CF239E" w:rsidRPr="00CF239E">
        <w:rPr>
          <w:rFonts w:ascii="Times New Roman" w:hAnsi="Times New Roman"/>
        </w:rPr>
        <w:t>).</w:t>
      </w:r>
    </w:p>
  </w:footnote>
  <w:footnote w:id="3">
    <w:p w14:paraId="543DC6C0" w14:textId="45518242" w:rsidR="00B34FC7" w:rsidRPr="00CF239E" w:rsidRDefault="00B34FC7" w:rsidP="00B140C7">
      <w:pPr>
        <w:pStyle w:val="FootnoteText"/>
        <w:widowControl w:val="0"/>
        <w:spacing w:after="0" w:line="240" w:lineRule="auto"/>
        <w:ind w:left="142" w:right="-284" w:hanging="284"/>
        <w:jc w:val="both"/>
        <w:rPr>
          <w:rFonts w:ascii="Times New Roman" w:hAnsi="Times New Roman"/>
          <w:lang w:val="fr-BE"/>
        </w:rPr>
      </w:pPr>
      <w:r w:rsidRPr="00CF239E">
        <w:rPr>
          <w:rStyle w:val="FootnoteReference"/>
          <w:rFonts w:ascii="Times New Roman" w:hAnsi="Times New Roman"/>
        </w:rPr>
        <w:footnoteRef/>
      </w:r>
      <w:r w:rsidRPr="00CF239E">
        <w:rPr>
          <w:rFonts w:ascii="Times New Roman" w:hAnsi="Times New Roman"/>
          <w:lang w:val="fr-BE"/>
        </w:rPr>
        <w:t xml:space="preserve"> </w:t>
      </w:r>
      <w:r w:rsidR="00A16E2F" w:rsidRPr="00CF239E">
        <w:rPr>
          <w:rFonts w:ascii="Times New Roman" w:hAnsi="Times New Roman"/>
          <w:lang w:val="fr-BE"/>
        </w:rPr>
        <w:tab/>
      </w:r>
      <w:proofErr w:type="gramStart"/>
      <w:r w:rsidR="00CF239E" w:rsidRPr="00CF239E">
        <w:rPr>
          <w:rFonts w:ascii="Times New Roman" w:hAnsi="Times New Roman"/>
          <w:lang w:val="fr-BE"/>
        </w:rPr>
        <w:t>COM(</w:t>
      </w:r>
      <w:proofErr w:type="gramEnd"/>
      <w:r w:rsidR="00CF239E" w:rsidRPr="00CF239E">
        <w:rPr>
          <w:rFonts w:ascii="Times New Roman" w:hAnsi="Times New Roman"/>
          <w:lang w:val="fr-BE"/>
        </w:rPr>
        <w:t>2023) 43 final (</w:t>
      </w:r>
      <w:hyperlink r:id="rId2" w:history="1">
        <w:r w:rsidR="00CF239E" w:rsidRPr="00CF239E">
          <w:rPr>
            <w:rStyle w:val="Hyperlink"/>
            <w:rFonts w:ascii="Times New Roman" w:hAnsi="Times New Roman"/>
            <w:lang w:val="fr-BE"/>
          </w:rPr>
          <w:t>EUR-Lex - 52023DC0043 - EN - EUR-Lex</w:t>
        </w:r>
      </w:hyperlink>
      <w:r w:rsidR="00CF239E" w:rsidRPr="00CF239E">
        <w:rPr>
          <w:rFonts w:ascii="Times New Roman" w:hAnsi="Times New Roman"/>
          <w:lang w:val="fr-BE"/>
        </w:rPr>
        <w:t>).</w:t>
      </w:r>
    </w:p>
  </w:footnote>
  <w:footnote w:id="4">
    <w:p w14:paraId="11A75FFD" w14:textId="0DDCF21B" w:rsidR="00893591" w:rsidRPr="00B140C7" w:rsidRDefault="00893591" w:rsidP="00B140C7">
      <w:pPr>
        <w:pStyle w:val="FootnoteText"/>
        <w:widowControl w:val="0"/>
        <w:spacing w:after="0" w:line="240" w:lineRule="auto"/>
        <w:ind w:left="142" w:right="-284" w:hanging="284"/>
        <w:jc w:val="both"/>
        <w:rPr>
          <w:rFonts w:ascii="Times New Roman" w:hAnsi="Times New Roman"/>
        </w:rPr>
      </w:pPr>
      <w:r w:rsidRPr="00B140C7">
        <w:rPr>
          <w:rStyle w:val="FootnoteReference"/>
          <w:rFonts w:ascii="Times New Roman" w:hAnsi="Times New Roman"/>
        </w:rPr>
        <w:footnoteRef/>
      </w:r>
      <w:r w:rsidRPr="00B140C7">
        <w:rPr>
          <w:rFonts w:ascii="Times New Roman" w:hAnsi="Times New Roman"/>
        </w:rPr>
        <w:t xml:space="preserve"> </w:t>
      </w:r>
      <w:r w:rsidR="00A16E2F" w:rsidRPr="00B140C7">
        <w:rPr>
          <w:rFonts w:ascii="Times New Roman" w:hAnsi="Times New Roman"/>
        </w:rPr>
        <w:tab/>
      </w:r>
      <w:r w:rsidR="00CF239E" w:rsidRPr="00CF239E">
        <w:rPr>
          <w:rFonts w:ascii="Times New Roman" w:hAnsi="Times New Roman"/>
        </w:rPr>
        <w:t xml:space="preserve">Directive (EU) 2024/2831 of the European Parliament and of the Council of 23 October 2024 on improving working conditions in platform work </w:t>
      </w:r>
      <w:r w:rsidR="00CF239E">
        <w:rPr>
          <w:rFonts w:ascii="Times New Roman" w:hAnsi="Times New Roman"/>
        </w:rPr>
        <w:t>(</w:t>
      </w:r>
      <w:hyperlink r:id="rId3" w:history="1">
        <w:r w:rsidR="00CF239E" w:rsidRPr="00016403">
          <w:rPr>
            <w:rStyle w:val="Hyperlink"/>
            <w:rFonts w:ascii="Times New Roman" w:hAnsi="Times New Roman"/>
          </w:rPr>
          <w:t>http://data.europa.eu/eli/dir/2024/2831/oj</w:t>
        </w:r>
      </w:hyperlink>
      <w:r w:rsidR="00CF239E">
        <w:rPr>
          <w:rFonts w:ascii="Times New Roman" w:hAnsi="Times New Roman"/>
        </w:rPr>
        <w:t>)</w:t>
      </w:r>
    </w:p>
  </w:footnote>
  <w:footnote w:id="5">
    <w:p w14:paraId="35BAECBF" w14:textId="7925265E" w:rsidR="00270F4A" w:rsidRPr="00B140C7" w:rsidRDefault="00270F4A" w:rsidP="00B140C7">
      <w:pPr>
        <w:pStyle w:val="FootnoteText"/>
        <w:widowControl w:val="0"/>
        <w:spacing w:after="0" w:line="240" w:lineRule="auto"/>
        <w:ind w:left="142" w:right="-284" w:hanging="284"/>
        <w:jc w:val="both"/>
        <w:rPr>
          <w:rFonts w:ascii="Times New Roman" w:hAnsi="Times New Roman"/>
        </w:rPr>
      </w:pPr>
      <w:r w:rsidRPr="00B140C7">
        <w:rPr>
          <w:rStyle w:val="FootnoteReference"/>
          <w:rFonts w:ascii="Times New Roman" w:hAnsi="Times New Roman"/>
        </w:rPr>
        <w:footnoteRef/>
      </w:r>
      <w:r w:rsidRPr="00B140C7">
        <w:rPr>
          <w:rFonts w:ascii="Times New Roman" w:hAnsi="Times New Roman"/>
        </w:rPr>
        <w:t xml:space="preserve"> </w:t>
      </w:r>
      <w:r w:rsidR="00A16E2F" w:rsidRPr="00B140C7">
        <w:rPr>
          <w:rFonts w:ascii="Times New Roman" w:hAnsi="Times New Roman"/>
        </w:rPr>
        <w:tab/>
      </w:r>
      <w:r w:rsidRPr="00B140C7">
        <w:rPr>
          <w:rFonts w:ascii="Times New Roman" w:hAnsi="Times New Roman"/>
        </w:rPr>
        <w:t>A</w:t>
      </w:r>
      <w:r w:rsidR="00CF239E">
        <w:rPr>
          <w:rFonts w:ascii="Times New Roman" w:hAnsi="Times New Roman"/>
        </w:rPr>
        <w:t>ccess</w:t>
      </w:r>
      <w:r w:rsidRPr="00B140C7">
        <w:rPr>
          <w:rFonts w:ascii="Times New Roman" w:hAnsi="Times New Roman"/>
        </w:rPr>
        <w:t xml:space="preserve"> to social protection</w:t>
      </w:r>
      <w:r w:rsidR="00CF239E">
        <w:rPr>
          <w:rFonts w:ascii="Times New Roman" w:hAnsi="Times New Roman"/>
        </w:rPr>
        <w:t xml:space="preserve"> (</w:t>
      </w:r>
      <w:hyperlink r:id="rId4" w:history="1">
        <w:r w:rsidR="00CF239E" w:rsidRPr="00CF239E">
          <w:rPr>
            <w:rStyle w:val="Hyperlink"/>
            <w:rFonts w:ascii="Times New Roman" w:hAnsi="Times New Roman"/>
          </w:rPr>
          <w:t>Access to social protection - Employment, Social Affairs and Inclusion</w:t>
        </w:r>
      </w:hyperlink>
      <w:r w:rsidR="00CF239E">
        <w:rPr>
          <w:rFonts w:ascii="Times New Roman" w:hAnsi="Times New Roman"/>
        </w:rPr>
        <w:t>)</w:t>
      </w:r>
      <w:r w:rsidR="005E55C4" w:rsidRPr="00B140C7">
        <w:rPr>
          <w:rFonts w:ascii="Times New Roman" w:hAnsi="Times New Roman"/>
        </w:rPr>
        <w:t>.</w:t>
      </w:r>
    </w:p>
  </w:footnote>
  <w:footnote w:id="6">
    <w:p w14:paraId="76CA1719" w14:textId="3D73181F" w:rsidR="004F7865" w:rsidRPr="00FF45A9" w:rsidRDefault="004F7865" w:rsidP="00B140C7">
      <w:pPr>
        <w:pStyle w:val="FootnoteText"/>
        <w:widowControl w:val="0"/>
        <w:spacing w:after="0" w:line="240" w:lineRule="auto"/>
        <w:ind w:left="142" w:right="-284" w:hanging="284"/>
        <w:jc w:val="both"/>
        <w:rPr>
          <w:rFonts w:ascii="Times New Roman" w:hAnsi="Times New Roman"/>
        </w:rPr>
      </w:pPr>
      <w:r w:rsidRPr="00B140C7">
        <w:rPr>
          <w:rStyle w:val="FootnoteReference"/>
          <w:rFonts w:ascii="Times New Roman" w:hAnsi="Times New Roman"/>
        </w:rPr>
        <w:footnoteRef/>
      </w:r>
      <w:r w:rsidRPr="00B140C7">
        <w:rPr>
          <w:rFonts w:ascii="Times New Roman" w:hAnsi="Times New Roman"/>
        </w:rPr>
        <w:t xml:space="preserve"> </w:t>
      </w:r>
      <w:r w:rsidR="00A16E2F" w:rsidRPr="00B140C7">
        <w:rPr>
          <w:rFonts w:ascii="Times New Roman" w:hAnsi="Times New Roman"/>
        </w:rPr>
        <w:tab/>
      </w:r>
      <w:hyperlink r:id="rId5" w:history="1">
        <w:r w:rsidR="008446E7" w:rsidRPr="00B140C7">
          <w:rPr>
            <w:rStyle w:val="Hyperlink"/>
            <w:rFonts w:ascii="Times New Roman" w:hAnsi="Times New Roman"/>
          </w:rPr>
          <w:t>https://data.consilium.europa.eu/doc/document/ST-13934-2023-INIT/en/pdf</w:t>
        </w:r>
      </w:hyperlink>
      <w:r w:rsidR="00CF239E">
        <w:rPr>
          <w:rFonts w:ascii="Times New Roman" w:hAnsi="Times New Roman"/>
        </w:rPr>
        <w:t>.</w:t>
      </w:r>
    </w:p>
  </w:footnote>
  <w:footnote w:id="7">
    <w:p w14:paraId="42AF7F90" w14:textId="6402C5AC" w:rsidR="00AD6E25" w:rsidRPr="00B140C7" w:rsidRDefault="00AD6E25" w:rsidP="00B140C7">
      <w:pPr>
        <w:pStyle w:val="FootnoteText"/>
        <w:widowControl w:val="0"/>
        <w:spacing w:after="0" w:line="240" w:lineRule="auto"/>
        <w:ind w:left="142" w:right="-284" w:hanging="284"/>
        <w:jc w:val="both"/>
        <w:rPr>
          <w:rFonts w:ascii="Times New Roman" w:hAnsi="Times New Roman"/>
        </w:rPr>
      </w:pPr>
      <w:r w:rsidRPr="00B140C7">
        <w:rPr>
          <w:rStyle w:val="FootnoteReference"/>
          <w:rFonts w:ascii="Times New Roman" w:hAnsi="Times New Roman"/>
        </w:rPr>
        <w:footnoteRef/>
      </w:r>
      <w:r w:rsidRPr="00B140C7">
        <w:rPr>
          <w:rFonts w:ascii="Times New Roman" w:hAnsi="Times New Roman"/>
        </w:rPr>
        <w:t xml:space="preserve"> </w:t>
      </w:r>
      <w:r w:rsidR="008446E7" w:rsidRPr="00B140C7">
        <w:rPr>
          <w:rFonts w:ascii="Times New Roman" w:hAnsi="Times New Roman"/>
        </w:rPr>
        <w:tab/>
      </w:r>
      <w:hyperlink r:id="rId6" w:history="1">
        <w:r w:rsidR="008446E7" w:rsidRPr="00B140C7">
          <w:rPr>
            <w:rStyle w:val="Hyperlink"/>
            <w:rFonts w:ascii="Times New Roman" w:hAnsi="Times New Roman"/>
          </w:rPr>
          <w:t>https://ec.europa.eu/social/main.jsp?catId=738&amp;langId=en&amp;pubId=8647&amp;furtherPubs=yes</w:t>
        </w:r>
      </w:hyperlink>
      <w:r w:rsidR="00CF239E">
        <w:rPr>
          <w:rFonts w:ascii="Times New Roman" w:hAnsi="Times New Roman"/>
        </w:rPr>
        <w:t>.</w:t>
      </w:r>
    </w:p>
  </w:footnote>
  <w:footnote w:id="8">
    <w:p w14:paraId="2441E1BA" w14:textId="0F602964" w:rsidR="001A1AFB" w:rsidRPr="00CF239E" w:rsidRDefault="001A1AFB" w:rsidP="00CF239E">
      <w:pPr>
        <w:pStyle w:val="FootnoteText"/>
        <w:widowControl w:val="0"/>
        <w:spacing w:after="0" w:line="240" w:lineRule="auto"/>
        <w:ind w:left="142" w:right="-284" w:hanging="284"/>
        <w:jc w:val="both"/>
        <w:rPr>
          <w:rFonts w:ascii="Times New Roman" w:hAnsi="Times New Roman"/>
          <w:lang w:val="en-IE"/>
        </w:rPr>
      </w:pPr>
      <w:r w:rsidRPr="00CF239E">
        <w:rPr>
          <w:rStyle w:val="FootnoteReference"/>
          <w:rFonts w:ascii="Times New Roman" w:hAnsi="Times New Roman"/>
        </w:rPr>
        <w:footnoteRef/>
      </w:r>
      <w:r w:rsidRPr="00CF239E">
        <w:rPr>
          <w:rFonts w:ascii="Times New Roman" w:hAnsi="Times New Roman"/>
          <w:lang w:val="en-IE"/>
        </w:rPr>
        <w:t xml:space="preserve"> </w:t>
      </w:r>
      <w:r w:rsidR="008446E7" w:rsidRPr="00CF239E">
        <w:rPr>
          <w:rFonts w:ascii="Times New Roman" w:hAnsi="Times New Roman"/>
          <w:lang w:val="en-IE"/>
        </w:rPr>
        <w:tab/>
      </w:r>
      <w:r w:rsidR="00CE0A20" w:rsidRPr="00CE0A20">
        <w:rPr>
          <w:rFonts w:ascii="Times New Roman" w:hAnsi="Times New Roman"/>
        </w:rPr>
        <w:t>Communication from the Commission Guidelines on seasonal workers in the EU in the context of the COVID-19 outbreak  (</w:t>
      </w:r>
      <w:hyperlink r:id="rId7" w:history="1">
        <w:r w:rsidR="00CE0A20" w:rsidRPr="00CE0A20">
          <w:rPr>
            <w:rStyle w:val="Hyperlink"/>
            <w:rFonts w:ascii="Times New Roman" w:hAnsi="Times New Roman"/>
            <w:lang w:val="en-IE"/>
          </w:rPr>
          <w:t>https://eur-lex.europa.eu/legal-content/EN/TXT/?uri=CELEX%3A52020XC0717%2804%29</w:t>
        </w:r>
      </w:hyperlink>
      <w:r w:rsidR="00CE0A20" w:rsidRPr="00CE0A20">
        <w:rPr>
          <w:rFonts w:ascii="Times New Roman" w:hAnsi="Times New Roman"/>
          <w:lang w:val="en-IE"/>
        </w:rPr>
        <w:t>)</w:t>
      </w:r>
      <w:r w:rsidR="00CF239E" w:rsidRPr="00CE0A20">
        <w:rPr>
          <w:rFonts w:ascii="Times New Roman" w:hAnsi="Times New Roman"/>
        </w:rPr>
        <w:t>.</w:t>
      </w:r>
    </w:p>
  </w:footnote>
  <w:footnote w:id="9">
    <w:p w14:paraId="3F97E7F8" w14:textId="6B82389E" w:rsidR="00030068" w:rsidRPr="00CF239E" w:rsidRDefault="00030068" w:rsidP="00CF239E">
      <w:pPr>
        <w:pStyle w:val="FootnoteText"/>
        <w:widowControl w:val="0"/>
        <w:spacing w:after="0" w:line="240" w:lineRule="auto"/>
        <w:ind w:left="142" w:right="-284" w:hanging="284"/>
        <w:jc w:val="both"/>
        <w:rPr>
          <w:rFonts w:ascii="Times New Roman" w:hAnsi="Times New Roman"/>
        </w:rPr>
      </w:pPr>
      <w:r w:rsidRPr="00CF239E">
        <w:rPr>
          <w:rStyle w:val="FootnoteReference"/>
          <w:rFonts w:ascii="Times New Roman" w:hAnsi="Times New Roman"/>
        </w:rPr>
        <w:footnoteRef/>
      </w:r>
      <w:r w:rsidRPr="00CF239E">
        <w:rPr>
          <w:rFonts w:ascii="Times New Roman" w:hAnsi="Times New Roman"/>
        </w:rPr>
        <w:t xml:space="preserve"> </w:t>
      </w:r>
      <w:r w:rsidRPr="00CF239E">
        <w:rPr>
          <w:rFonts w:ascii="Times New Roman" w:hAnsi="Times New Roman"/>
        </w:rPr>
        <w:tab/>
        <w:t>Council Directive 79/7/EEC of 19 December 1978 on the progressive implementation of the principle of equal treatment for men and women in matters of social security</w:t>
      </w:r>
      <w:r w:rsidR="00CF239E">
        <w:rPr>
          <w:rFonts w:ascii="Times New Roman" w:hAnsi="Times New Roman"/>
        </w:rPr>
        <w:t xml:space="preserve"> (</w:t>
      </w:r>
      <w:hyperlink r:id="rId8" w:history="1">
        <w:r w:rsidR="00CF239E" w:rsidRPr="006C5C80">
          <w:rPr>
            <w:rStyle w:val="Hyperlink"/>
            <w:rFonts w:ascii="Times New Roman" w:hAnsi="Times New Roman"/>
          </w:rPr>
          <w:t>http://data.europa.eu/eli/dir/1979/7/oj</w:t>
        </w:r>
      </w:hyperlink>
      <w:r w:rsidR="00CF239E">
        <w:rPr>
          <w:rFonts w:ascii="Times New Roman" w:hAnsi="Times New Roman"/>
        </w:rPr>
        <w:t>).</w:t>
      </w:r>
    </w:p>
  </w:footnote>
  <w:footnote w:id="10">
    <w:p w14:paraId="010F5F84" w14:textId="7DC2F44A" w:rsidR="00A90520" w:rsidRPr="00B118F3" w:rsidRDefault="00A90520" w:rsidP="00CF239E">
      <w:pPr>
        <w:pStyle w:val="FootnoteText"/>
        <w:widowControl w:val="0"/>
        <w:spacing w:after="0" w:line="240" w:lineRule="auto"/>
        <w:ind w:left="142" w:right="-284" w:hanging="284"/>
        <w:jc w:val="both"/>
        <w:rPr>
          <w:rFonts w:ascii="Times New Roman" w:hAnsi="Times New Roman"/>
          <w:lang w:val="en-IE"/>
        </w:rPr>
      </w:pPr>
      <w:r w:rsidRPr="00CF239E">
        <w:rPr>
          <w:rStyle w:val="FootnoteReference"/>
          <w:rFonts w:ascii="Times New Roman" w:hAnsi="Times New Roman"/>
        </w:rPr>
        <w:footnoteRef/>
      </w:r>
      <w:r w:rsidRPr="00CF239E">
        <w:rPr>
          <w:rFonts w:ascii="Times New Roman" w:hAnsi="Times New Roman"/>
        </w:rPr>
        <w:t xml:space="preserve"> </w:t>
      </w:r>
      <w:r w:rsidR="008446E7" w:rsidRPr="00CF239E">
        <w:rPr>
          <w:rFonts w:ascii="Times New Roman" w:hAnsi="Times New Roman"/>
        </w:rPr>
        <w:tab/>
      </w:r>
      <w:hyperlink r:id="rId9" w:history="1">
        <w:r w:rsidR="003430A8" w:rsidRPr="00CF239E">
          <w:rPr>
            <w:rStyle w:val="Hyperlink"/>
            <w:rFonts w:ascii="Times New Roman" w:hAnsi="Times New Roman"/>
          </w:rPr>
          <w:t>https://curia.europa.eu/juris/liste.jsf?lgrec=fr&amp;td=%3BALL&amp;language=en&amp;num=C-450/18&amp;jur=C</w:t>
        </w:r>
      </w:hyperlink>
      <w:r w:rsidR="00CF239E">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120713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12A37"/>
    <w:rsid w:val="00014A0B"/>
    <w:rsid w:val="0002029B"/>
    <w:rsid w:val="00030068"/>
    <w:rsid w:val="00046B15"/>
    <w:rsid w:val="00050DC7"/>
    <w:rsid w:val="000538BF"/>
    <w:rsid w:val="00060DEB"/>
    <w:rsid w:val="00070433"/>
    <w:rsid w:val="00076109"/>
    <w:rsid w:val="00077C4F"/>
    <w:rsid w:val="00087464"/>
    <w:rsid w:val="00087C0F"/>
    <w:rsid w:val="000B14B2"/>
    <w:rsid w:val="000C7067"/>
    <w:rsid w:val="000F5FD8"/>
    <w:rsid w:val="001012C7"/>
    <w:rsid w:val="001019E6"/>
    <w:rsid w:val="001167C0"/>
    <w:rsid w:val="00135C2A"/>
    <w:rsid w:val="00184170"/>
    <w:rsid w:val="001A1AFB"/>
    <w:rsid w:val="001A2978"/>
    <w:rsid w:val="001B0E0B"/>
    <w:rsid w:val="001E2347"/>
    <w:rsid w:val="001F2EC6"/>
    <w:rsid w:val="001F384A"/>
    <w:rsid w:val="001F65D0"/>
    <w:rsid w:val="001F7049"/>
    <w:rsid w:val="00217E59"/>
    <w:rsid w:val="0023350A"/>
    <w:rsid w:val="00240F72"/>
    <w:rsid w:val="002652D3"/>
    <w:rsid w:val="002658F7"/>
    <w:rsid w:val="00266754"/>
    <w:rsid w:val="00270F4A"/>
    <w:rsid w:val="002C14F7"/>
    <w:rsid w:val="002D526E"/>
    <w:rsid w:val="002D53A7"/>
    <w:rsid w:val="002F03FA"/>
    <w:rsid w:val="003004D2"/>
    <w:rsid w:val="00302289"/>
    <w:rsid w:val="0032420B"/>
    <w:rsid w:val="0033436D"/>
    <w:rsid w:val="003349A3"/>
    <w:rsid w:val="003430A8"/>
    <w:rsid w:val="003571CF"/>
    <w:rsid w:val="003641EA"/>
    <w:rsid w:val="00365B8F"/>
    <w:rsid w:val="00377967"/>
    <w:rsid w:val="003830F8"/>
    <w:rsid w:val="00386143"/>
    <w:rsid w:val="00395192"/>
    <w:rsid w:val="003A5B5E"/>
    <w:rsid w:val="003A5E28"/>
    <w:rsid w:val="003B58DC"/>
    <w:rsid w:val="003D112A"/>
    <w:rsid w:val="003E5492"/>
    <w:rsid w:val="003F119E"/>
    <w:rsid w:val="003F686E"/>
    <w:rsid w:val="00402CD6"/>
    <w:rsid w:val="00416B5D"/>
    <w:rsid w:val="00442552"/>
    <w:rsid w:val="00443C84"/>
    <w:rsid w:val="00455A1C"/>
    <w:rsid w:val="004675B5"/>
    <w:rsid w:val="004770D6"/>
    <w:rsid w:val="004812C3"/>
    <w:rsid w:val="004812D5"/>
    <w:rsid w:val="0049246C"/>
    <w:rsid w:val="004932D0"/>
    <w:rsid w:val="004A083B"/>
    <w:rsid w:val="004C0F86"/>
    <w:rsid w:val="004C12EB"/>
    <w:rsid w:val="004C37CB"/>
    <w:rsid w:val="004D18E7"/>
    <w:rsid w:val="004D5767"/>
    <w:rsid w:val="004E27C3"/>
    <w:rsid w:val="004F6117"/>
    <w:rsid w:val="004F63F1"/>
    <w:rsid w:val="004F651E"/>
    <w:rsid w:val="004F7865"/>
    <w:rsid w:val="00514DD7"/>
    <w:rsid w:val="0051748A"/>
    <w:rsid w:val="0052596B"/>
    <w:rsid w:val="00554D8D"/>
    <w:rsid w:val="00556D5D"/>
    <w:rsid w:val="00570BC9"/>
    <w:rsid w:val="00573835"/>
    <w:rsid w:val="00573BB8"/>
    <w:rsid w:val="0057638D"/>
    <w:rsid w:val="00576C31"/>
    <w:rsid w:val="00581306"/>
    <w:rsid w:val="00597B3A"/>
    <w:rsid w:val="005A6EC1"/>
    <w:rsid w:val="005C3105"/>
    <w:rsid w:val="005E55C4"/>
    <w:rsid w:val="00612224"/>
    <w:rsid w:val="00625650"/>
    <w:rsid w:val="00626A2E"/>
    <w:rsid w:val="006361EF"/>
    <w:rsid w:val="00652400"/>
    <w:rsid w:val="00677125"/>
    <w:rsid w:val="00681AD3"/>
    <w:rsid w:val="00683065"/>
    <w:rsid w:val="0068617A"/>
    <w:rsid w:val="00692C2F"/>
    <w:rsid w:val="00693DBA"/>
    <w:rsid w:val="00695797"/>
    <w:rsid w:val="00696A5E"/>
    <w:rsid w:val="006B3B69"/>
    <w:rsid w:val="006B7422"/>
    <w:rsid w:val="006C752B"/>
    <w:rsid w:val="006D63C7"/>
    <w:rsid w:val="007009ED"/>
    <w:rsid w:val="0070180B"/>
    <w:rsid w:val="00734613"/>
    <w:rsid w:val="00747058"/>
    <w:rsid w:val="00751910"/>
    <w:rsid w:val="00751E60"/>
    <w:rsid w:val="007547B5"/>
    <w:rsid w:val="00757B8E"/>
    <w:rsid w:val="00760BF8"/>
    <w:rsid w:val="0076282C"/>
    <w:rsid w:val="00790E31"/>
    <w:rsid w:val="00795A9E"/>
    <w:rsid w:val="007A606D"/>
    <w:rsid w:val="007B2980"/>
    <w:rsid w:val="007C0953"/>
    <w:rsid w:val="007C2214"/>
    <w:rsid w:val="007C59BF"/>
    <w:rsid w:val="007F39C3"/>
    <w:rsid w:val="00807B48"/>
    <w:rsid w:val="008135CA"/>
    <w:rsid w:val="0081584F"/>
    <w:rsid w:val="0081597A"/>
    <w:rsid w:val="00826E8A"/>
    <w:rsid w:val="008446E7"/>
    <w:rsid w:val="00846D3E"/>
    <w:rsid w:val="008703BF"/>
    <w:rsid w:val="0087301A"/>
    <w:rsid w:val="00892513"/>
    <w:rsid w:val="008925CE"/>
    <w:rsid w:val="00893591"/>
    <w:rsid w:val="008A049C"/>
    <w:rsid w:val="008B4B92"/>
    <w:rsid w:val="008B587F"/>
    <w:rsid w:val="008C4D41"/>
    <w:rsid w:val="00960473"/>
    <w:rsid w:val="009737E7"/>
    <w:rsid w:val="00981F45"/>
    <w:rsid w:val="00994371"/>
    <w:rsid w:val="00994D12"/>
    <w:rsid w:val="009A5566"/>
    <w:rsid w:val="009B128B"/>
    <w:rsid w:val="009C01F0"/>
    <w:rsid w:val="009D665B"/>
    <w:rsid w:val="009F09FD"/>
    <w:rsid w:val="009F59CE"/>
    <w:rsid w:val="00A03576"/>
    <w:rsid w:val="00A069B0"/>
    <w:rsid w:val="00A104E1"/>
    <w:rsid w:val="00A11709"/>
    <w:rsid w:val="00A15359"/>
    <w:rsid w:val="00A161E0"/>
    <w:rsid w:val="00A16E2F"/>
    <w:rsid w:val="00A16F07"/>
    <w:rsid w:val="00A25C6D"/>
    <w:rsid w:val="00A4594C"/>
    <w:rsid w:val="00A47414"/>
    <w:rsid w:val="00A62C7B"/>
    <w:rsid w:val="00A7709A"/>
    <w:rsid w:val="00A90520"/>
    <w:rsid w:val="00A92FE5"/>
    <w:rsid w:val="00AA0AA2"/>
    <w:rsid w:val="00AC1712"/>
    <w:rsid w:val="00AC6192"/>
    <w:rsid w:val="00AD592A"/>
    <w:rsid w:val="00AD6E25"/>
    <w:rsid w:val="00AE1842"/>
    <w:rsid w:val="00AE3C7C"/>
    <w:rsid w:val="00AF2C65"/>
    <w:rsid w:val="00B073B8"/>
    <w:rsid w:val="00B118F3"/>
    <w:rsid w:val="00B140C7"/>
    <w:rsid w:val="00B20F89"/>
    <w:rsid w:val="00B23C9D"/>
    <w:rsid w:val="00B260DA"/>
    <w:rsid w:val="00B31306"/>
    <w:rsid w:val="00B3459C"/>
    <w:rsid w:val="00B34FC7"/>
    <w:rsid w:val="00B35B66"/>
    <w:rsid w:val="00B40774"/>
    <w:rsid w:val="00B4192C"/>
    <w:rsid w:val="00B42814"/>
    <w:rsid w:val="00B83936"/>
    <w:rsid w:val="00BA1FF2"/>
    <w:rsid w:val="00BB1923"/>
    <w:rsid w:val="00BB3D3D"/>
    <w:rsid w:val="00BC2CA7"/>
    <w:rsid w:val="00BC55A5"/>
    <w:rsid w:val="00BD6EB7"/>
    <w:rsid w:val="00BE6C5A"/>
    <w:rsid w:val="00BE7F12"/>
    <w:rsid w:val="00C1734B"/>
    <w:rsid w:val="00C31BB5"/>
    <w:rsid w:val="00C330E2"/>
    <w:rsid w:val="00C36E92"/>
    <w:rsid w:val="00C54D27"/>
    <w:rsid w:val="00C76EEB"/>
    <w:rsid w:val="00C95CEE"/>
    <w:rsid w:val="00CB0833"/>
    <w:rsid w:val="00CC5141"/>
    <w:rsid w:val="00CD5647"/>
    <w:rsid w:val="00CD7ADA"/>
    <w:rsid w:val="00CE0A20"/>
    <w:rsid w:val="00CE3197"/>
    <w:rsid w:val="00CF239E"/>
    <w:rsid w:val="00D01F5A"/>
    <w:rsid w:val="00D135CB"/>
    <w:rsid w:val="00D13944"/>
    <w:rsid w:val="00D1716E"/>
    <w:rsid w:val="00D33325"/>
    <w:rsid w:val="00D41B2B"/>
    <w:rsid w:val="00D51FC8"/>
    <w:rsid w:val="00D57857"/>
    <w:rsid w:val="00D64E05"/>
    <w:rsid w:val="00D92FD3"/>
    <w:rsid w:val="00DA3B6E"/>
    <w:rsid w:val="00DB624A"/>
    <w:rsid w:val="00DB7581"/>
    <w:rsid w:val="00DC70C1"/>
    <w:rsid w:val="00DD62E5"/>
    <w:rsid w:val="00DD7D72"/>
    <w:rsid w:val="00DE0B3A"/>
    <w:rsid w:val="00DE3584"/>
    <w:rsid w:val="00E05CAB"/>
    <w:rsid w:val="00E121F7"/>
    <w:rsid w:val="00E123C8"/>
    <w:rsid w:val="00E158A7"/>
    <w:rsid w:val="00E20BD4"/>
    <w:rsid w:val="00E24BCD"/>
    <w:rsid w:val="00E51F80"/>
    <w:rsid w:val="00E74541"/>
    <w:rsid w:val="00E74B5C"/>
    <w:rsid w:val="00E76FC7"/>
    <w:rsid w:val="00E83C12"/>
    <w:rsid w:val="00E904C8"/>
    <w:rsid w:val="00EA1BBF"/>
    <w:rsid w:val="00EA2559"/>
    <w:rsid w:val="00EA3538"/>
    <w:rsid w:val="00EA3E51"/>
    <w:rsid w:val="00EA53AC"/>
    <w:rsid w:val="00EB29A9"/>
    <w:rsid w:val="00EB77D2"/>
    <w:rsid w:val="00EC2DFE"/>
    <w:rsid w:val="00EC63CA"/>
    <w:rsid w:val="00ED2AD2"/>
    <w:rsid w:val="00EF07DF"/>
    <w:rsid w:val="00EF5D62"/>
    <w:rsid w:val="00F06D19"/>
    <w:rsid w:val="00F10411"/>
    <w:rsid w:val="00F1379E"/>
    <w:rsid w:val="00F149EE"/>
    <w:rsid w:val="00F14A57"/>
    <w:rsid w:val="00F21167"/>
    <w:rsid w:val="00F316C8"/>
    <w:rsid w:val="00F632DE"/>
    <w:rsid w:val="00F67C46"/>
    <w:rsid w:val="00F735E4"/>
    <w:rsid w:val="00F80CB0"/>
    <w:rsid w:val="00F827AC"/>
    <w:rsid w:val="00FA13E2"/>
    <w:rsid w:val="00FB7834"/>
    <w:rsid w:val="00FD4B6A"/>
    <w:rsid w:val="00FD6F7F"/>
    <w:rsid w:val="00FF03A8"/>
    <w:rsid w:val="00FF2383"/>
    <w:rsid w:val="00FF2F31"/>
    <w:rsid w:val="00FF45A9"/>
    <w:rsid w:val="00FF63EA"/>
    <w:rsid w:val="00FF6ABF"/>
    <w:rsid w:val="15F320D2"/>
    <w:rsid w:val="1A00E055"/>
    <w:rsid w:val="1D5060AE"/>
    <w:rsid w:val="3BFF4E58"/>
    <w:rsid w:val="3F9CBA22"/>
    <w:rsid w:val="452E7E6B"/>
    <w:rsid w:val="4806D02D"/>
    <w:rsid w:val="4842EB60"/>
    <w:rsid w:val="4AFABD71"/>
    <w:rsid w:val="5F46652E"/>
    <w:rsid w:val="63D119F7"/>
    <w:rsid w:val="65116425"/>
    <w:rsid w:val="6B75A6C2"/>
    <w:rsid w:val="6E6C4C61"/>
    <w:rsid w:val="7884D4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qFormat/>
    <w:rsid w:val="00D135CB"/>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D135CB"/>
    <w:pPr>
      <w:numPr>
        <w:ilvl w:val="1"/>
        <w:numId w:val="1"/>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D135CB"/>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D135CB"/>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D135CB"/>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D135CB"/>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D135CB"/>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D135CB"/>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D135CB"/>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30E2"/>
    <w:rPr>
      <w:sz w:val="20"/>
      <w:szCs w:val="20"/>
    </w:rPr>
  </w:style>
  <w:style w:type="character" w:customStyle="1" w:styleId="FootnoteTextChar">
    <w:name w:val="Footnote Text Char"/>
    <w:link w:val="FootnoteText"/>
    <w:uiPriority w:val="99"/>
    <w:semiHidden/>
    <w:rsid w:val="00C330E2"/>
    <w:rPr>
      <w:lang w:eastAsia="en-US"/>
    </w:rPr>
  </w:style>
  <w:style w:type="character" w:styleId="FootnoteReference">
    <w:name w:val="footnote reference"/>
    <w:uiPriority w:val="99"/>
    <w:semiHidden/>
    <w:unhideWhenUsed/>
    <w:rsid w:val="00C330E2"/>
    <w:rPr>
      <w:vertAlign w:val="superscript"/>
    </w:rPr>
  </w:style>
  <w:style w:type="character" w:styleId="Hyperlink">
    <w:name w:val="Hyperlink"/>
    <w:uiPriority w:val="99"/>
    <w:unhideWhenUsed/>
    <w:rsid w:val="00C330E2"/>
    <w:rPr>
      <w:color w:val="0563C1"/>
      <w:u w:val="single"/>
    </w:rPr>
  </w:style>
  <w:style w:type="paragraph" w:styleId="Revision">
    <w:name w:val="Revision"/>
    <w:hidden/>
    <w:uiPriority w:val="99"/>
    <w:semiHidden/>
    <w:rsid w:val="00EA2559"/>
    <w:rPr>
      <w:sz w:val="22"/>
      <w:szCs w:val="22"/>
      <w:lang w:val="en-GB"/>
    </w:rPr>
  </w:style>
  <w:style w:type="character" w:customStyle="1" w:styleId="Heading1Char">
    <w:name w:val="Heading 1 Char"/>
    <w:link w:val="Heading1"/>
    <w:rsid w:val="00D135CB"/>
    <w:rPr>
      <w:rFonts w:ascii="Times New Roman" w:eastAsia="Times New Roman" w:hAnsi="Times New Roman"/>
      <w:kern w:val="28"/>
      <w:sz w:val="22"/>
      <w:szCs w:val="22"/>
      <w:lang w:val="en-US" w:eastAsia="en-US"/>
    </w:rPr>
  </w:style>
  <w:style w:type="character" w:customStyle="1" w:styleId="Heading2Char">
    <w:name w:val="Heading 2 Char"/>
    <w:link w:val="Heading2"/>
    <w:rsid w:val="00D135CB"/>
    <w:rPr>
      <w:rFonts w:ascii="Times New Roman" w:eastAsia="Times New Roman" w:hAnsi="Times New Roman"/>
      <w:sz w:val="22"/>
      <w:szCs w:val="22"/>
      <w:lang w:val="en-US" w:eastAsia="en-US"/>
    </w:rPr>
  </w:style>
  <w:style w:type="character" w:customStyle="1" w:styleId="Heading3Char">
    <w:name w:val="Heading 3 Char"/>
    <w:link w:val="Heading3"/>
    <w:rsid w:val="00D135CB"/>
    <w:rPr>
      <w:rFonts w:ascii="Times New Roman" w:eastAsia="Times New Roman" w:hAnsi="Times New Roman"/>
      <w:sz w:val="22"/>
      <w:szCs w:val="22"/>
      <w:lang w:val="en-US" w:eastAsia="en-US"/>
    </w:rPr>
  </w:style>
  <w:style w:type="character" w:customStyle="1" w:styleId="Heading4Char">
    <w:name w:val="Heading 4 Char"/>
    <w:link w:val="Heading4"/>
    <w:rsid w:val="00D135CB"/>
    <w:rPr>
      <w:rFonts w:ascii="Times New Roman" w:eastAsia="Times New Roman" w:hAnsi="Times New Roman"/>
      <w:sz w:val="22"/>
      <w:szCs w:val="22"/>
      <w:lang w:val="en-US" w:eastAsia="en-US"/>
    </w:rPr>
  </w:style>
  <w:style w:type="character" w:customStyle="1" w:styleId="Heading5Char">
    <w:name w:val="Heading 5 Char"/>
    <w:link w:val="Heading5"/>
    <w:rsid w:val="00D135CB"/>
    <w:rPr>
      <w:rFonts w:ascii="Times New Roman" w:eastAsia="Times New Roman" w:hAnsi="Times New Roman"/>
      <w:sz w:val="22"/>
      <w:szCs w:val="22"/>
      <w:lang w:val="en-US" w:eastAsia="en-US"/>
    </w:rPr>
  </w:style>
  <w:style w:type="character" w:customStyle="1" w:styleId="Heading6Char">
    <w:name w:val="Heading 6 Char"/>
    <w:link w:val="Heading6"/>
    <w:rsid w:val="00D135CB"/>
    <w:rPr>
      <w:rFonts w:ascii="Times New Roman" w:eastAsia="Times New Roman" w:hAnsi="Times New Roman"/>
      <w:sz w:val="22"/>
      <w:szCs w:val="22"/>
      <w:lang w:val="en-US" w:eastAsia="en-US"/>
    </w:rPr>
  </w:style>
  <w:style w:type="character" w:customStyle="1" w:styleId="Heading7Char">
    <w:name w:val="Heading 7 Char"/>
    <w:link w:val="Heading7"/>
    <w:rsid w:val="00D135CB"/>
    <w:rPr>
      <w:rFonts w:ascii="Times New Roman" w:eastAsia="Times New Roman" w:hAnsi="Times New Roman"/>
      <w:sz w:val="22"/>
      <w:szCs w:val="22"/>
      <w:lang w:val="en-US" w:eastAsia="en-US"/>
    </w:rPr>
  </w:style>
  <w:style w:type="character" w:customStyle="1" w:styleId="Heading8Char">
    <w:name w:val="Heading 8 Char"/>
    <w:link w:val="Heading8"/>
    <w:rsid w:val="00D135CB"/>
    <w:rPr>
      <w:rFonts w:ascii="Times New Roman" w:eastAsia="Times New Roman" w:hAnsi="Times New Roman"/>
      <w:sz w:val="22"/>
      <w:szCs w:val="22"/>
      <w:lang w:val="en-US" w:eastAsia="en-US"/>
    </w:rPr>
  </w:style>
  <w:style w:type="character" w:customStyle="1" w:styleId="Heading9Char">
    <w:name w:val="Heading 9 Char"/>
    <w:link w:val="Heading9"/>
    <w:rsid w:val="00D135CB"/>
    <w:rPr>
      <w:rFonts w:ascii="Times New Roman" w:eastAsia="Times New Roman" w:hAnsi="Times New Roman"/>
      <w:sz w:val="22"/>
      <w:szCs w:val="22"/>
      <w:lang w:val="en-US" w:eastAsia="en-US"/>
    </w:rPr>
  </w:style>
  <w:style w:type="character" w:styleId="CommentReference">
    <w:name w:val="annotation reference"/>
    <w:uiPriority w:val="99"/>
    <w:semiHidden/>
    <w:unhideWhenUsed/>
    <w:rsid w:val="00D135CB"/>
    <w:rPr>
      <w:sz w:val="16"/>
      <w:szCs w:val="16"/>
    </w:rPr>
  </w:style>
  <w:style w:type="paragraph" w:styleId="CommentText">
    <w:name w:val="annotation text"/>
    <w:basedOn w:val="Normal"/>
    <w:link w:val="CommentTextChar"/>
    <w:uiPriority w:val="99"/>
    <w:unhideWhenUsed/>
    <w:rsid w:val="00D135CB"/>
    <w:pPr>
      <w:spacing w:after="0" w:line="240" w:lineRule="auto"/>
      <w:jc w:val="both"/>
    </w:pPr>
    <w:rPr>
      <w:rFonts w:ascii="Times New Roman" w:eastAsia="Times New Roman" w:hAnsi="Times New Roman"/>
      <w:sz w:val="20"/>
      <w:szCs w:val="20"/>
      <w:lang w:val="en-US"/>
    </w:rPr>
  </w:style>
  <w:style w:type="character" w:customStyle="1" w:styleId="CommentTextChar">
    <w:name w:val="Comment Text Char"/>
    <w:link w:val="CommentText"/>
    <w:uiPriority w:val="99"/>
    <w:rsid w:val="00D135C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D135CB"/>
    <w:pPr>
      <w:spacing w:after="200" w:line="276" w:lineRule="auto"/>
      <w:jc w:val="left"/>
    </w:pPr>
    <w:rPr>
      <w:rFonts w:ascii="Calibri" w:eastAsia="Calibri" w:hAnsi="Calibri"/>
      <w:b/>
      <w:bCs/>
      <w:lang w:val="en-GB"/>
    </w:rPr>
  </w:style>
  <w:style w:type="character" w:customStyle="1" w:styleId="CommentSubjectChar">
    <w:name w:val="Comment Subject Char"/>
    <w:link w:val="CommentSubject"/>
    <w:uiPriority w:val="99"/>
    <w:semiHidden/>
    <w:rsid w:val="00D135CB"/>
    <w:rPr>
      <w:rFonts w:ascii="Times New Roman" w:eastAsia="Times New Roman" w:hAnsi="Times New Roman"/>
      <w:b/>
      <w:bCs/>
      <w:lang w:val="en-US" w:eastAsia="en-US"/>
    </w:rPr>
  </w:style>
  <w:style w:type="character" w:styleId="UnresolvedMention">
    <w:name w:val="Unresolved Mention"/>
    <w:uiPriority w:val="99"/>
    <w:semiHidden/>
    <w:unhideWhenUsed/>
    <w:rsid w:val="007B2980"/>
    <w:rPr>
      <w:color w:val="605E5C"/>
      <w:shd w:val="clear" w:color="auto" w:fill="E1DFDD"/>
    </w:rPr>
  </w:style>
  <w:style w:type="paragraph" w:styleId="Header">
    <w:name w:val="header"/>
    <w:basedOn w:val="Normal"/>
    <w:link w:val="HeaderChar"/>
    <w:uiPriority w:val="99"/>
    <w:unhideWhenUsed/>
    <w:rsid w:val="00DE0B3A"/>
    <w:pPr>
      <w:tabs>
        <w:tab w:val="center" w:pos="4513"/>
        <w:tab w:val="right" w:pos="9026"/>
      </w:tabs>
    </w:pPr>
  </w:style>
  <w:style w:type="character" w:customStyle="1" w:styleId="HeaderChar">
    <w:name w:val="Header Char"/>
    <w:link w:val="Header"/>
    <w:uiPriority w:val="99"/>
    <w:rsid w:val="00DE0B3A"/>
    <w:rPr>
      <w:sz w:val="22"/>
      <w:szCs w:val="22"/>
      <w:lang w:eastAsia="en-US"/>
    </w:rPr>
  </w:style>
  <w:style w:type="paragraph" w:styleId="Footer">
    <w:name w:val="footer"/>
    <w:basedOn w:val="Normal"/>
    <w:link w:val="FooterChar"/>
    <w:uiPriority w:val="99"/>
    <w:unhideWhenUsed/>
    <w:rsid w:val="00DE0B3A"/>
    <w:pPr>
      <w:tabs>
        <w:tab w:val="center" w:pos="4513"/>
        <w:tab w:val="right" w:pos="9026"/>
      </w:tabs>
    </w:pPr>
  </w:style>
  <w:style w:type="character" w:customStyle="1" w:styleId="FooterChar">
    <w:name w:val="Footer Char"/>
    <w:link w:val="Footer"/>
    <w:uiPriority w:val="99"/>
    <w:rsid w:val="00DE0B3A"/>
    <w:rPr>
      <w:sz w:val="22"/>
      <w:szCs w:val="22"/>
      <w:lang w:eastAsia="en-US"/>
    </w:rPr>
  </w:style>
  <w:style w:type="character" w:styleId="FollowedHyperlink">
    <w:name w:val="FollowedHyperlink"/>
    <w:uiPriority w:val="99"/>
    <w:semiHidden/>
    <w:unhideWhenUsed/>
    <w:rsid w:val="00FF45A9"/>
    <w:rPr>
      <w:color w:val="954F72"/>
      <w:u w:val="single"/>
    </w:rPr>
  </w:style>
  <w:style w:type="character" w:styleId="Mention">
    <w:name w:val="Mention"/>
    <w:uiPriority w:val="99"/>
    <w:unhideWhenUsed/>
    <w:rsid w:val="00B260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1979/7/oj" TargetMode="External"/><Relationship Id="rId3" Type="http://schemas.openxmlformats.org/officeDocument/2006/relationships/hyperlink" Target="http://data.europa.eu/eli/dir/2024/2831/oj" TargetMode="External"/><Relationship Id="rId7" Type="http://schemas.openxmlformats.org/officeDocument/2006/relationships/hyperlink" Target="https://eur-lex.europa.eu/legal-content/EN/TXT/?uri=CELEX%3A52020XC0717%2804%29" TargetMode="External"/><Relationship Id="rId2" Type="http://schemas.openxmlformats.org/officeDocument/2006/relationships/hyperlink" Target="https://eur-lex.europa.eu/legal-content/EN/TXT/?uri=CELEX%3A52023DC0043&amp;qid=1676473347749" TargetMode="External"/><Relationship Id="rId1" Type="http://schemas.openxmlformats.org/officeDocument/2006/relationships/hyperlink" Target="https://eur-lex.europa.eu/legal-content/EN/TXT/?uri=oj:JOC_2019_387_R_0001" TargetMode="External"/><Relationship Id="rId6" Type="http://schemas.openxmlformats.org/officeDocument/2006/relationships/hyperlink" Target="https://ec.europa.eu/social/main.jsp?catId=738&amp;langId=en&amp;pubId=8647&amp;furtherPubs=yes" TargetMode="External"/><Relationship Id="rId5" Type="http://schemas.openxmlformats.org/officeDocument/2006/relationships/hyperlink" Target="https://data.consilium.europa.eu/doc/document/ST-13934-2023-INIT/en/pdf" TargetMode="External"/><Relationship Id="rId4" Type="http://schemas.openxmlformats.org/officeDocument/2006/relationships/hyperlink" Target="https://employment-social-affairs.ec.europa.eu/policies-and-activities/social-protection-social-inclusion/social-protection/access-social-protection_en" TargetMode="External"/><Relationship Id="rId9" Type="http://schemas.openxmlformats.org/officeDocument/2006/relationships/hyperlink" Target="https://curia.europa.eu/juris/liste.jsf?lgrec=fr&amp;td=%3BALL&amp;language=en&amp;num=C-450/18&amp;ju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835B-DF7C-442B-B299-3CC1B8E4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1573</Words>
  <Characters>8652</Characters>
  <Application>Microsoft Office Word</Application>
  <DocSecurity>0</DocSecurity>
  <Lines>131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2025-11-18T10:26:00Z</dcterms:created>
  <dcterms:modified xsi:type="dcterms:W3CDTF">2025-11-18T10:41:00Z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2024-11-26T12:46:09Z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89cda0ad-1f7a-45c0-9fc8-12e0fe25227a</vt:lpwstr>
  </property>
  <property fmtid="{D5CDD505-2E9C-101B-9397-08002B2CF9AE}" pid="8" name="MSIP_Label_6bd9ddd1-4d20-43f6-abfa-fc3c07406f94_ContentBits">
    <vt:lpwstr>0</vt:lpwstr>
  </property>
</Properties>
</file>