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47F2CA50" w:rsidR="004D7AC0" w:rsidRDefault="004D7AC0" w:rsidP="009F6656">
      <w:pPr>
        <w:jc w:val="center"/>
      </w:pPr>
      <w:r w:rsidRPr="0011681E">
        <w:rPr>
          <w:noProof/>
        </w:rPr>
        <w:drawing>
          <wp:inline distT="0" distB="0" distL="0" distR="0" wp14:anchorId="4982DE46" wp14:editId="4982DE47">
            <wp:extent cx="1792605" cy="1239520"/>
            <wp:effectExtent l="0" t="0" r="0" b="0"/>
            <wp:docPr id="2" name="Picture 2" title="EESCLogo_E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14:paraId="4982DD4E" w14:textId="3528990C" w:rsidR="004D7AC0" w:rsidRDefault="000C5F70" w:rsidP="009F6656">
      <w:r>
        <w:rPr>
          <w:noProof/>
          <w:sz w:val="20"/>
          <w:lang w:eastAsia="en-GB"/>
        </w:rPr>
        <mc:AlternateContent>
          <mc:Choice Requires="wps">
            <w:drawing>
              <wp:anchor distT="0" distB="0" distL="114300" distR="114300" simplePos="0" relativeHeight="251668992" behindDoc="1" locked="0" layoutInCell="0" allowOverlap="1" wp14:anchorId="7184398C" wp14:editId="78A0A80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5B689" w14:textId="77777777" w:rsidR="000C5F70" w:rsidRPr="00260E65" w:rsidRDefault="000C5F70">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4398C"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6BB5B689" w14:textId="77777777" w:rsidR="000C5F70" w:rsidRPr="00260E65" w:rsidRDefault="000C5F70">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982DD4F" w14:textId="697A776B" w:rsidR="004D7AC0" w:rsidRDefault="004D7AC0" w:rsidP="009F6656">
      <w:pPr>
        <w:jc w:val="right"/>
      </w:pPr>
      <w:r>
        <w:t xml:space="preserve">Brussels, </w:t>
      </w:r>
      <w:r w:rsidR="007C500A">
        <w:t>1</w:t>
      </w:r>
      <w:r w:rsidR="009F6656">
        <w:t>9</w:t>
      </w:r>
      <w:r w:rsidR="00C3038B">
        <w:t xml:space="preserve"> </w:t>
      </w:r>
      <w:r w:rsidR="00B74994">
        <w:t>November 2025</w:t>
      </w:r>
    </w:p>
    <w:p w14:paraId="4982DD50" w14:textId="77777777" w:rsidR="004D7AC0" w:rsidRDefault="004D7AC0" w:rsidP="009F6656"/>
    <w:p w14:paraId="4982DD51" w14:textId="77777777" w:rsidR="004D7AC0" w:rsidRDefault="004D7AC0" w:rsidP="009F6656"/>
    <w:p w14:paraId="4982DD52" w14:textId="77777777" w:rsidR="004D7AC0" w:rsidRDefault="004D7AC0" w:rsidP="009F6656"/>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1A44305F" w:rsidR="003066BE" w:rsidRDefault="00875E02" w:rsidP="009F6656">
            <w:pPr>
              <w:snapToGrid w:val="0"/>
              <w:jc w:val="center"/>
              <w:rPr>
                <w:b/>
                <w:sz w:val="32"/>
                <w:szCs w:val="32"/>
              </w:rPr>
            </w:pPr>
            <w:r>
              <w:rPr>
                <w:b/>
                <w:sz w:val="32"/>
                <w:szCs w:val="32"/>
              </w:rPr>
              <w:t>600</w:t>
            </w:r>
            <w:r w:rsidR="00A272B2">
              <w:rPr>
                <w:b/>
                <w:sz w:val="32"/>
                <w:szCs w:val="32"/>
              </w:rPr>
              <w:t>th</w:t>
            </w:r>
            <w:r w:rsidR="004D7AC0" w:rsidRPr="0081153B">
              <w:rPr>
                <w:b/>
                <w:sz w:val="32"/>
                <w:szCs w:val="32"/>
              </w:rPr>
              <w:t xml:space="preserve"> PLENARY SESSION</w:t>
            </w:r>
          </w:p>
          <w:p w14:paraId="4982DD54" w14:textId="77777777" w:rsidR="003066BE" w:rsidRDefault="003066BE" w:rsidP="009F6656">
            <w:pPr>
              <w:snapToGrid w:val="0"/>
              <w:jc w:val="center"/>
              <w:rPr>
                <w:b/>
                <w:sz w:val="32"/>
                <w:szCs w:val="32"/>
              </w:rPr>
            </w:pPr>
          </w:p>
          <w:p w14:paraId="4982DD55" w14:textId="45006096" w:rsidR="003066BE" w:rsidRDefault="000D6726" w:rsidP="009F6656">
            <w:pPr>
              <w:snapToGrid w:val="0"/>
              <w:jc w:val="center"/>
              <w:rPr>
                <w:b/>
                <w:sz w:val="32"/>
                <w:szCs w:val="32"/>
              </w:rPr>
            </w:pPr>
            <w:r>
              <w:rPr>
                <w:b/>
                <w:sz w:val="32"/>
                <w:szCs w:val="32"/>
              </w:rPr>
              <w:t>21 and 23 October 2025</w:t>
            </w:r>
          </w:p>
          <w:p w14:paraId="4982DD56" w14:textId="77777777" w:rsidR="003066BE" w:rsidRDefault="003066BE" w:rsidP="009F6656">
            <w:pPr>
              <w:snapToGrid w:val="0"/>
              <w:jc w:val="center"/>
              <w:rPr>
                <w:b/>
                <w:sz w:val="32"/>
                <w:szCs w:val="32"/>
              </w:rPr>
            </w:pPr>
          </w:p>
          <w:p w14:paraId="4982DD57" w14:textId="5A35E792" w:rsidR="004D7AC0" w:rsidRPr="0081153B" w:rsidRDefault="00754027" w:rsidP="009F6656">
            <w:pPr>
              <w:snapToGrid w:val="0"/>
              <w:jc w:val="center"/>
              <w:rPr>
                <w:rFonts w:eastAsia="MS Mincho"/>
                <w:b/>
                <w:sz w:val="32"/>
                <w:szCs w:val="32"/>
              </w:rPr>
            </w:pPr>
            <w:r w:rsidRPr="005463FF">
              <w:rPr>
                <w:b/>
                <w:sz w:val="32"/>
              </w:rPr>
              <w:t>SUMMARY OF ADOPTED OPINIONS, RESOLUTIONS AND INFORMATION / EVALUATION REPORTS</w:t>
            </w:r>
          </w:p>
          <w:p w14:paraId="4982DD58" w14:textId="77777777" w:rsidR="004D7AC0" w:rsidRDefault="004D7AC0" w:rsidP="009F6656">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9F6656">
            <w:pPr>
              <w:snapToGrid w:val="0"/>
              <w:jc w:val="center"/>
            </w:pPr>
            <w:r w:rsidRPr="0081153B">
              <w:t xml:space="preserve">This document is available in </w:t>
            </w:r>
            <w:r w:rsidR="00845F24">
              <w:t xml:space="preserve">all </w:t>
            </w:r>
            <w:r w:rsidRPr="0081153B">
              <w:t xml:space="preserve">the official languages </w:t>
            </w:r>
            <w:r w:rsidR="00845F24">
              <w:t>of the European Union</w:t>
            </w:r>
            <w:r w:rsidR="00845F24">
              <w:br/>
            </w:r>
            <w:r w:rsidRPr="0081153B">
              <w:t>on the EESC website at</w:t>
            </w:r>
            <w:r w:rsidR="00D92269">
              <w:t>:</w:t>
            </w:r>
            <w:r>
              <w:br/>
            </w:r>
            <w:r>
              <w:br/>
            </w:r>
            <w:hyperlink r:id="rId12" w:history="1">
              <w:r w:rsidRPr="006D2D64">
                <w:rPr>
                  <w:rStyle w:val="Hyperlink"/>
                </w:rPr>
                <w:t>https://www.eesc.europa.eu/en/our-work/opinions-information-reports/plenary-session-summaries</w:t>
              </w:r>
            </w:hyperlink>
          </w:p>
          <w:p w14:paraId="4982DD5B" w14:textId="77777777" w:rsidR="004D7AC0" w:rsidRPr="0081153B" w:rsidRDefault="004D7AC0" w:rsidP="009F6656">
            <w:pPr>
              <w:snapToGrid w:val="0"/>
              <w:jc w:val="center"/>
            </w:pPr>
          </w:p>
          <w:p w14:paraId="4982DD5C" w14:textId="77777777" w:rsidR="004D7AC0" w:rsidRPr="0081153B" w:rsidRDefault="004D7AC0" w:rsidP="009F6656">
            <w:pPr>
              <w:snapToGrid w:val="0"/>
              <w:jc w:val="center"/>
              <w:rPr>
                <w:rFonts w:eastAsia="SimSun"/>
              </w:rPr>
            </w:pPr>
          </w:p>
          <w:p w14:paraId="0CB4F904" w14:textId="77777777" w:rsidR="009F6656" w:rsidRDefault="004D7AC0" w:rsidP="009F6656">
            <w:pPr>
              <w:snapToGrid w:val="0"/>
              <w:jc w:val="center"/>
            </w:pPr>
            <w:r w:rsidRPr="0081153B">
              <w:t>The opinions listed can be consulted online using the EESC search engine:</w:t>
            </w:r>
          </w:p>
          <w:p w14:paraId="3EE24C07" w14:textId="3A863D8C" w:rsidR="009F6656" w:rsidRDefault="009F6656" w:rsidP="009F6656">
            <w:pPr>
              <w:snapToGrid w:val="0"/>
              <w:jc w:val="center"/>
            </w:pPr>
          </w:p>
          <w:p w14:paraId="4982DD5D" w14:textId="4AF402A5" w:rsidR="004D7AC0" w:rsidRPr="00044561" w:rsidRDefault="00956397" w:rsidP="009F6656">
            <w:pPr>
              <w:snapToGrid w:val="0"/>
              <w:jc w:val="center"/>
            </w:pPr>
            <w:hyperlink r:id="rId13" w:history="1">
              <w:r w:rsidR="004D7AC0" w:rsidRPr="0081153B">
                <w:rPr>
                  <w:rStyle w:val="Hyperlink"/>
                </w:rPr>
                <w:t>https://dmsearch.eesc.europa.eu/search/opinion</w:t>
              </w:r>
            </w:hyperlink>
          </w:p>
          <w:p w14:paraId="4982DD5E" w14:textId="77777777" w:rsidR="004D7AC0" w:rsidRPr="00044561" w:rsidRDefault="004D7AC0" w:rsidP="009F6656">
            <w:pPr>
              <w:snapToGrid w:val="0"/>
              <w:jc w:val="center"/>
            </w:pPr>
          </w:p>
        </w:tc>
      </w:tr>
    </w:tbl>
    <w:p w14:paraId="4982DD60" w14:textId="77777777" w:rsidR="004D7AC0" w:rsidRDefault="004D7AC0" w:rsidP="009F6656"/>
    <w:p w14:paraId="4982DD61" w14:textId="77777777" w:rsidR="004D7AC0" w:rsidRDefault="004D7AC0" w:rsidP="009F6656"/>
    <w:p w14:paraId="4982DD62" w14:textId="77777777" w:rsidR="004D7AC0" w:rsidRDefault="004D7AC0" w:rsidP="009F6656">
      <w:pPr>
        <w:sectPr w:rsidR="004D7AC0" w:rsidSect="00D40A83">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cols w:space="708"/>
          <w:docGrid w:linePitch="360"/>
        </w:sectPr>
      </w:pPr>
    </w:p>
    <w:p w14:paraId="4982DD63" w14:textId="77777777" w:rsidR="004D7AC0" w:rsidRPr="00A81AFE" w:rsidRDefault="004D7AC0" w:rsidP="009F6656">
      <w:pPr>
        <w:rPr>
          <w:b/>
        </w:rPr>
      </w:pPr>
      <w:r w:rsidRPr="00A81AFE">
        <w:rPr>
          <w:b/>
        </w:rPr>
        <w:lastRenderedPageBreak/>
        <w:t>Contents: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9F6656">
          <w:pPr>
            <w:pStyle w:val="TOCHeading"/>
            <w:spacing w:before="0" w:line="288" w:lineRule="auto"/>
            <w:rPr>
              <w:rFonts w:ascii="Times New Roman" w:hAnsi="Times New Roman" w:cs="Times New Roman"/>
              <w:color w:val="auto"/>
              <w:sz w:val="22"/>
              <w:szCs w:val="22"/>
            </w:rPr>
          </w:pPr>
        </w:p>
        <w:p w14:paraId="3BC7CCFA" w14:textId="77578F4E" w:rsidR="009F6656" w:rsidRDefault="004D7AC0" w:rsidP="009F6656">
          <w:pPr>
            <w:pStyle w:val="TOC1"/>
            <w:tabs>
              <w:tab w:val="left" w:pos="480"/>
              <w:tab w:val="right" w:leader="dot" w:pos="9063"/>
            </w:tabs>
            <w:spacing w:after="0"/>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4019600" w:history="1">
            <w:r w:rsidR="009F6656" w:rsidRPr="007A46F9">
              <w:rPr>
                <w:rStyle w:val="Hyperlink"/>
                <w:b/>
                <w:noProof/>
              </w:rPr>
              <w:t>1.</w:t>
            </w:r>
            <w:r w:rsidR="009F6656">
              <w:rPr>
                <w:rFonts w:asciiTheme="minorHAnsi" w:eastAsiaTheme="minorEastAsia" w:hAnsiTheme="minorHAnsi" w:cstheme="minorBidi"/>
                <w:noProof/>
                <w:kern w:val="2"/>
                <w:sz w:val="24"/>
                <w:szCs w:val="24"/>
                <w14:ligatures w14:val="standardContextual"/>
              </w:rPr>
              <w:tab/>
            </w:r>
            <w:r w:rsidR="009F6656" w:rsidRPr="007A46F9">
              <w:rPr>
                <w:rStyle w:val="Hyperlink"/>
                <w:b/>
                <w:noProof/>
              </w:rPr>
              <w:t>ECONOMIC AND MONETARY UNION, ECONOMIC AND SOCIAL COHESION</w:t>
            </w:r>
            <w:r w:rsidR="009F6656">
              <w:rPr>
                <w:noProof/>
                <w:webHidden/>
              </w:rPr>
              <w:tab/>
            </w:r>
            <w:r w:rsidR="009F6656">
              <w:rPr>
                <w:noProof/>
                <w:webHidden/>
              </w:rPr>
              <w:fldChar w:fldCharType="begin"/>
            </w:r>
            <w:r w:rsidR="009F6656">
              <w:rPr>
                <w:noProof/>
                <w:webHidden/>
              </w:rPr>
              <w:instrText xml:space="preserve"> PAGEREF _Toc214019600 \h </w:instrText>
            </w:r>
            <w:r w:rsidR="009F6656">
              <w:rPr>
                <w:noProof/>
                <w:webHidden/>
              </w:rPr>
            </w:r>
            <w:r w:rsidR="009F6656">
              <w:rPr>
                <w:noProof/>
                <w:webHidden/>
              </w:rPr>
              <w:fldChar w:fldCharType="separate"/>
            </w:r>
            <w:r w:rsidR="009F6656">
              <w:rPr>
                <w:noProof/>
                <w:webHidden/>
              </w:rPr>
              <w:t>3</w:t>
            </w:r>
            <w:r w:rsidR="009F6656">
              <w:rPr>
                <w:noProof/>
                <w:webHidden/>
              </w:rPr>
              <w:fldChar w:fldCharType="end"/>
            </w:r>
          </w:hyperlink>
        </w:p>
        <w:p w14:paraId="7B0F75F2" w14:textId="26243B8A" w:rsidR="009F6656" w:rsidRDefault="00956397" w:rsidP="009F6656">
          <w:pPr>
            <w:pStyle w:val="TOC1"/>
            <w:tabs>
              <w:tab w:val="left" w:pos="480"/>
              <w:tab w:val="right" w:leader="dot" w:pos="9063"/>
            </w:tabs>
            <w:spacing w:after="0"/>
            <w:rPr>
              <w:rFonts w:asciiTheme="minorHAnsi" w:eastAsiaTheme="minorEastAsia" w:hAnsiTheme="minorHAnsi" w:cstheme="minorBidi"/>
              <w:noProof/>
              <w:kern w:val="2"/>
              <w:sz w:val="24"/>
              <w:szCs w:val="24"/>
              <w14:ligatures w14:val="standardContextual"/>
            </w:rPr>
          </w:pPr>
          <w:hyperlink w:anchor="_Toc214019601" w:history="1">
            <w:r w:rsidR="009F6656" w:rsidRPr="007A46F9">
              <w:rPr>
                <w:rStyle w:val="Hyperlink"/>
                <w:b/>
                <w:noProof/>
              </w:rPr>
              <w:t>2.</w:t>
            </w:r>
            <w:r w:rsidR="009F6656">
              <w:rPr>
                <w:rFonts w:asciiTheme="minorHAnsi" w:eastAsiaTheme="minorEastAsia" w:hAnsiTheme="minorHAnsi" w:cstheme="minorBidi"/>
                <w:noProof/>
                <w:kern w:val="2"/>
                <w:sz w:val="24"/>
                <w:szCs w:val="24"/>
                <w14:ligatures w14:val="standardContextual"/>
              </w:rPr>
              <w:tab/>
            </w:r>
            <w:r w:rsidR="009F6656" w:rsidRPr="007A46F9">
              <w:rPr>
                <w:rStyle w:val="Hyperlink"/>
                <w:b/>
                <w:noProof/>
              </w:rPr>
              <w:t>EMPLOYMENT, SOCIAL AFFAIRS AND CITIZENSHIP</w:t>
            </w:r>
            <w:r w:rsidR="009F6656">
              <w:rPr>
                <w:noProof/>
                <w:webHidden/>
              </w:rPr>
              <w:tab/>
            </w:r>
            <w:r w:rsidR="009F6656">
              <w:rPr>
                <w:noProof/>
                <w:webHidden/>
              </w:rPr>
              <w:fldChar w:fldCharType="begin"/>
            </w:r>
            <w:r w:rsidR="009F6656">
              <w:rPr>
                <w:noProof/>
                <w:webHidden/>
              </w:rPr>
              <w:instrText xml:space="preserve"> PAGEREF _Toc214019601 \h </w:instrText>
            </w:r>
            <w:r w:rsidR="009F6656">
              <w:rPr>
                <w:noProof/>
                <w:webHidden/>
              </w:rPr>
            </w:r>
            <w:r w:rsidR="009F6656">
              <w:rPr>
                <w:noProof/>
                <w:webHidden/>
              </w:rPr>
              <w:fldChar w:fldCharType="separate"/>
            </w:r>
            <w:r w:rsidR="009F6656">
              <w:rPr>
                <w:noProof/>
                <w:webHidden/>
              </w:rPr>
              <w:t>4</w:t>
            </w:r>
            <w:r w:rsidR="009F6656">
              <w:rPr>
                <w:noProof/>
                <w:webHidden/>
              </w:rPr>
              <w:fldChar w:fldCharType="end"/>
            </w:r>
          </w:hyperlink>
        </w:p>
        <w:p w14:paraId="1B2CD108" w14:textId="21E53FC2" w:rsidR="009F6656" w:rsidRDefault="00956397" w:rsidP="009F6656">
          <w:pPr>
            <w:pStyle w:val="TOC1"/>
            <w:tabs>
              <w:tab w:val="left" w:pos="480"/>
              <w:tab w:val="right" w:leader="dot" w:pos="9063"/>
            </w:tabs>
            <w:spacing w:after="0"/>
            <w:rPr>
              <w:rFonts w:asciiTheme="minorHAnsi" w:eastAsiaTheme="minorEastAsia" w:hAnsiTheme="minorHAnsi" w:cstheme="minorBidi"/>
              <w:noProof/>
              <w:kern w:val="2"/>
              <w:sz w:val="24"/>
              <w:szCs w:val="24"/>
              <w14:ligatures w14:val="standardContextual"/>
            </w:rPr>
          </w:pPr>
          <w:hyperlink w:anchor="_Toc214019602" w:history="1">
            <w:r w:rsidR="009F6656" w:rsidRPr="007A46F9">
              <w:rPr>
                <w:rStyle w:val="Hyperlink"/>
                <w:b/>
                <w:noProof/>
              </w:rPr>
              <w:t>3.</w:t>
            </w:r>
            <w:r w:rsidR="009F6656">
              <w:rPr>
                <w:rFonts w:asciiTheme="minorHAnsi" w:eastAsiaTheme="minorEastAsia" w:hAnsiTheme="minorHAnsi" w:cstheme="minorBidi"/>
                <w:noProof/>
                <w:kern w:val="2"/>
                <w:sz w:val="24"/>
                <w:szCs w:val="24"/>
                <w14:ligatures w14:val="standardContextual"/>
              </w:rPr>
              <w:tab/>
            </w:r>
            <w:r w:rsidR="009F6656" w:rsidRPr="007A46F9">
              <w:rPr>
                <w:rStyle w:val="Hyperlink"/>
                <w:b/>
                <w:noProof/>
              </w:rPr>
              <w:t>SINGLE MARKET, PRODUCTION AND CONSUMPTION</w:t>
            </w:r>
            <w:r w:rsidR="009F6656">
              <w:rPr>
                <w:noProof/>
                <w:webHidden/>
              </w:rPr>
              <w:tab/>
            </w:r>
            <w:r w:rsidR="009F6656">
              <w:rPr>
                <w:noProof/>
                <w:webHidden/>
              </w:rPr>
              <w:fldChar w:fldCharType="begin"/>
            </w:r>
            <w:r w:rsidR="009F6656">
              <w:rPr>
                <w:noProof/>
                <w:webHidden/>
              </w:rPr>
              <w:instrText xml:space="preserve"> PAGEREF _Toc214019602 \h </w:instrText>
            </w:r>
            <w:r w:rsidR="009F6656">
              <w:rPr>
                <w:noProof/>
                <w:webHidden/>
              </w:rPr>
            </w:r>
            <w:r w:rsidR="009F6656">
              <w:rPr>
                <w:noProof/>
                <w:webHidden/>
              </w:rPr>
              <w:fldChar w:fldCharType="separate"/>
            </w:r>
            <w:r w:rsidR="009F6656">
              <w:rPr>
                <w:noProof/>
                <w:webHidden/>
              </w:rPr>
              <w:t>5</w:t>
            </w:r>
            <w:r w:rsidR="009F6656">
              <w:rPr>
                <w:noProof/>
                <w:webHidden/>
              </w:rPr>
              <w:fldChar w:fldCharType="end"/>
            </w:r>
          </w:hyperlink>
        </w:p>
        <w:p w14:paraId="215BED29" w14:textId="0EF172B5" w:rsidR="009F6656" w:rsidRDefault="00956397" w:rsidP="009F6656">
          <w:pPr>
            <w:pStyle w:val="TOC1"/>
            <w:tabs>
              <w:tab w:val="left" w:pos="480"/>
              <w:tab w:val="right" w:leader="dot" w:pos="9063"/>
            </w:tabs>
            <w:spacing w:after="0"/>
            <w:rPr>
              <w:rFonts w:asciiTheme="minorHAnsi" w:eastAsiaTheme="minorEastAsia" w:hAnsiTheme="minorHAnsi" w:cstheme="minorBidi"/>
              <w:noProof/>
              <w:kern w:val="2"/>
              <w:sz w:val="24"/>
              <w:szCs w:val="24"/>
              <w14:ligatures w14:val="standardContextual"/>
            </w:rPr>
          </w:pPr>
          <w:hyperlink w:anchor="_Toc214019603" w:history="1">
            <w:r w:rsidR="009F6656" w:rsidRPr="007A46F9">
              <w:rPr>
                <w:rStyle w:val="Hyperlink"/>
                <w:b/>
                <w:noProof/>
              </w:rPr>
              <w:t>4.</w:t>
            </w:r>
            <w:r w:rsidR="009F6656">
              <w:rPr>
                <w:rFonts w:asciiTheme="minorHAnsi" w:eastAsiaTheme="minorEastAsia" w:hAnsiTheme="minorHAnsi" w:cstheme="minorBidi"/>
                <w:noProof/>
                <w:kern w:val="2"/>
                <w:sz w:val="24"/>
                <w:szCs w:val="24"/>
                <w14:ligatures w14:val="standardContextual"/>
              </w:rPr>
              <w:tab/>
            </w:r>
            <w:r w:rsidR="009F6656" w:rsidRPr="007A46F9">
              <w:rPr>
                <w:rStyle w:val="Hyperlink"/>
                <w:b/>
                <w:noProof/>
              </w:rPr>
              <w:t>AGRICULTURE, RURAL DEVELOPMENT AND THE ENVIRONMENT</w:t>
            </w:r>
            <w:r w:rsidR="009F6656">
              <w:rPr>
                <w:noProof/>
                <w:webHidden/>
              </w:rPr>
              <w:tab/>
            </w:r>
            <w:r w:rsidR="009F6656">
              <w:rPr>
                <w:noProof/>
                <w:webHidden/>
              </w:rPr>
              <w:fldChar w:fldCharType="begin"/>
            </w:r>
            <w:r w:rsidR="009F6656">
              <w:rPr>
                <w:noProof/>
                <w:webHidden/>
              </w:rPr>
              <w:instrText xml:space="preserve"> PAGEREF _Toc214019603 \h </w:instrText>
            </w:r>
            <w:r w:rsidR="009F6656">
              <w:rPr>
                <w:noProof/>
                <w:webHidden/>
              </w:rPr>
            </w:r>
            <w:r w:rsidR="009F6656">
              <w:rPr>
                <w:noProof/>
                <w:webHidden/>
              </w:rPr>
              <w:fldChar w:fldCharType="separate"/>
            </w:r>
            <w:r w:rsidR="009F6656">
              <w:rPr>
                <w:noProof/>
                <w:webHidden/>
              </w:rPr>
              <w:t>6</w:t>
            </w:r>
            <w:r w:rsidR="009F6656">
              <w:rPr>
                <w:noProof/>
                <w:webHidden/>
              </w:rPr>
              <w:fldChar w:fldCharType="end"/>
            </w:r>
          </w:hyperlink>
        </w:p>
        <w:p w14:paraId="5EA5FBC9" w14:textId="6B70DF8E" w:rsidR="009F6656" w:rsidRDefault="00956397" w:rsidP="009F6656">
          <w:pPr>
            <w:pStyle w:val="TOC1"/>
            <w:tabs>
              <w:tab w:val="left" w:pos="480"/>
              <w:tab w:val="right" w:leader="dot" w:pos="9063"/>
            </w:tabs>
            <w:spacing w:after="0"/>
            <w:rPr>
              <w:rFonts w:asciiTheme="minorHAnsi" w:eastAsiaTheme="minorEastAsia" w:hAnsiTheme="minorHAnsi" w:cstheme="minorBidi"/>
              <w:noProof/>
              <w:kern w:val="2"/>
              <w:sz w:val="24"/>
              <w:szCs w:val="24"/>
              <w14:ligatures w14:val="standardContextual"/>
            </w:rPr>
          </w:pPr>
          <w:hyperlink w:anchor="_Toc214019604" w:history="1">
            <w:r w:rsidR="009F6656" w:rsidRPr="007A46F9">
              <w:rPr>
                <w:rStyle w:val="Hyperlink"/>
                <w:b/>
                <w:noProof/>
              </w:rPr>
              <w:t>5.</w:t>
            </w:r>
            <w:r w:rsidR="009F6656">
              <w:rPr>
                <w:rFonts w:asciiTheme="minorHAnsi" w:eastAsiaTheme="minorEastAsia" w:hAnsiTheme="minorHAnsi" w:cstheme="minorBidi"/>
                <w:noProof/>
                <w:kern w:val="2"/>
                <w:sz w:val="24"/>
                <w:szCs w:val="24"/>
                <w14:ligatures w14:val="standardContextual"/>
              </w:rPr>
              <w:tab/>
            </w:r>
            <w:r w:rsidR="009F6656" w:rsidRPr="007A46F9">
              <w:rPr>
                <w:rStyle w:val="Hyperlink"/>
                <w:b/>
                <w:noProof/>
              </w:rPr>
              <w:t>EXTERNAL RELATIONS</w:t>
            </w:r>
            <w:r w:rsidR="009F6656">
              <w:rPr>
                <w:noProof/>
                <w:webHidden/>
              </w:rPr>
              <w:tab/>
            </w:r>
            <w:r w:rsidR="009F6656">
              <w:rPr>
                <w:noProof/>
                <w:webHidden/>
              </w:rPr>
              <w:fldChar w:fldCharType="begin"/>
            </w:r>
            <w:r w:rsidR="009F6656">
              <w:rPr>
                <w:noProof/>
                <w:webHidden/>
              </w:rPr>
              <w:instrText xml:space="preserve"> PAGEREF _Toc214019604 \h </w:instrText>
            </w:r>
            <w:r w:rsidR="009F6656">
              <w:rPr>
                <w:noProof/>
                <w:webHidden/>
              </w:rPr>
            </w:r>
            <w:r w:rsidR="009F6656">
              <w:rPr>
                <w:noProof/>
                <w:webHidden/>
              </w:rPr>
              <w:fldChar w:fldCharType="separate"/>
            </w:r>
            <w:r w:rsidR="009F6656">
              <w:rPr>
                <w:noProof/>
                <w:webHidden/>
              </w:rPr>
              <w:t>9</w:t>
            </w:r>
            <w:r w:rsidR="009F6656">
              <w:rPr>
                <w:noProof/>
                <w:webHidden/>
              </w:rPr>
              <w:fldChar w:fldCharType="end"/>
            </w:r>
          </w:hyperlink>
        </w:p>
        <w:p w14:paraId="4982DD6A" w14:textId="20B92936" w:rsidR="004D7AC0" w:rsidRDefault="004D7AC0" w:rsidP="009F6656">
          <w:r>
            <w:rPr>
              <w:b/>
              <w:bCs/>
              <w:noProof/>
            </w:rPr>
            <w:fldChar w:fldCharType="end"/>
          </w:r>
        </w:p>
      </w:sdtContent>
    </w:sdt>
    <w:p w14:paraId="4982DD6B" w14:textId="77777777" w:rsidR="004D7AC0" w:rsidRDefault="004D7AC0" w:rsidP="009F6656"/>
    <w:p w14:paraId="4982DD6C" w14:textId="77777777" w:rsidR="004D7AC0" w:rsidRDefault="004D7AC0" w:rsidP="009F6656">
      <w:pPr>
        <w:jc w:val="left"/>
      </w:pPr>
      <w:r>
        <w:br w:type="page"/>
      </w:r>
    </w:p>
    <w:p w14:paraId="4982DD6D" w14:textId="77777777" w:rsidR="004D7AC0" w:rsidRDefault="004D7AC0" w:rsidP="009F6656">
      <w:pPr>
        <w:pStyle w:val="Heading1"/>
        <w:rPr>
          <w:b/>
        </w:rPr>
      </w:pPr>
      <w:bookmarkStart w:id="0" w:name="_Toc214019600"/>
      <w:r w:rsidRPr="00803CA6">
        <w:rPr>
          <w:b/>
        </w:rPr>
        <w:lastRenderedPageBreak/>
        <w:t>ECONOMIC AND MONETARY UNION, ECONOMIC AND SOCIAL COHESION</w:t>
      </w:r>
      <w:bookmarkEnd w:id="0"/>
    </w:p>
    <w:p w14:paraId="4982DD6E" w14:textId="77777777" w:rsidR="004D7AC0" w:rsidRDefault="004D7AC0" w:rsidP="009F6656"/>
    <w:p w14:paraId="6074513B" w14:textId="29C8CF17" w:rsidR="00C61F85" w:rsidRPr="00C61F85" w:rsidRDefault="00956397" w:rsidP="009F6656">
      <w:pPr>
        <w:widowControl w:val="0"/>
        <w:numPr>
          <w:ilvl w:val="0"/>
          <w:numId w:val="4"/>
        </w:numPr>
        <w:overflowPunct w:val="0"/>
        <w:autoSpaceDE w:val="0"/>
        <w:autoSpaceDN w:val="0"/>
        <w:adjustRightInd w:val="0"/>
        <w:ind w:hanging="567"/>
        <w:textAlignment w:val="baseline"/>
        <w:rPr>
          <w:sz w:val="20"/>
          <w:szCs w:val="20"/>
          <w:lang w:val="en-GB"/>
        </w:rPr>
      </w:pPr>
      <w:hyperlink r:id="rId20" w:history="1">
        <w:r w:rsidR="00C61F85" w:rsidRPr="00C61F85">
          <w:rPr>
            <w:b/>
            <w:bCs/>
            <w:i/>
            <w:iCs/>
            <w:color w:val="0000FF"/>
            <w:sz w:val="28"/>
            <w:szCs w:val="28"/>
            <w:u w:val="single"/>
            <w:lang w:val="en-GB"/>
          </w:rPr>
          <w:t>Amendment to the Brexit Adjustment Reserve</w:t>
        </w:r>
      </w:hyperlink>
    </w:p>
    <w:p w14:paraId="695D3772" w14:textId="77777777" w:rsidR="00C61F85" w:rsidRPr="00C61F85" w:rsidRDefault="00C61F85" w:rsidP="009F6656">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183"/>
        <w:gridCol w:w="6890"/>
      </w:tblGrid>
      <w:tr w:rsidR="00C61F85" w:rsidRPr="00C61F85" w14:paraId="3D697A85" w14:textId="77777777" w:rsidTr="00956201">
        <w:tc>
          <w:tcPr>
            <w:tcW w:w="1203" w:type="pct"/>
          </w:tcPr>
          <w:p w14:paraId="2A983460" w14:textId="77777777" w:rsidR="00C61F85" w:rsidRPr="00C61F85" w:rsidRDefault="00C61F85" w:rsidP="009F6656">
            <w:pPr>
              <w:tabs>
                <w:tab w:val="center" w:pos="284"/>
              </w:tabs>
              <w:overflowPunct w:val="0"/>
              <w:autoSpaceDE w:val="0"/>
              <w:autoSpaceDN w:val="0"/>
              <w:adjustRightInd w:val="0"/>
              <w:ind w:left="266" w:hanging="266"/>
              <w:textAlignment w:val="baseline"/>
              <w:rPr>
                <w:b/>
              </w:rPr>
            </w:pPr>
            <w:r w:rsidRPr="00C61F85">
              <w:rPr>
                <w:b/>
              </w:rPr>
              <w:t>References</w:t>
            </w:r>
          </w:p>
        </w:tc>
        <w:tc>
          <w:tcPr>
            <w:tcW w:w="3797" w:type="pct"/>
          </w:tcPr>
          <w:p w14:paraId="31E669B6" w14:textId="48E66A78" w:rsidR="00471176" w:rsidRDefault="00471176" w:rsidP="009F6656">
            <w:pPr>
              <w:tabs>
                <w:tab w:val="center" w:pos="284"/>
              </w:tabs>
              <w:overflowPunct w:val="0"/>
              <w:autoSpaceDE w:val="0"/>
              <w:autoSpaceDN w:val="0"/>
              <w:adjustRightInd w:val="0"/>
              <w:ind w:left="266" w:right="-3091" w:hanging="266"/>
              <w:textAlignment w:val="baseline"/>
              <w:rPr>
                <w:lang w:val="pt-PT"/>
              </w:rPr>
            </w:pPr>
            <w:proofErr w:type="spellStart"/>
            <w:r w:rsidRPr="00471176">
              <w:rPr>
                <w:lang w:val="pt-PT"/>
              </w:rPr>
              <w:t>Category</w:t>
            </w:r>
            <w:proofErr w:type="spellEnd"/>
            <w:r w:rsidRPr="00471176">
              <w:rPr>
                <w:lang w:val="pt-PT"/>
              </w:rPr>
              <w:t xml:space="preserve"> C </w:t>
            </w:r>
            <w:proofErr w:type="spellStart"/>
            <w:r w:rsidRPr="00471176">
              <w:rPr>
                <w:lang w:val="pt-PT"/>
              </w:rPr>
              <w:t>opinion</w:t>
            </w:r>
            <w:proofErr w:type="spellEnd"/>
          </w:p>
          <w:p w14:paraId="2C1E10FB" w14:textId="17BD7887" w:rsidR="00C61F85" w:rsidRPr="00C61F85" w:rsidRDefault="00C61F85" w:rsidP="009F6656">
            <w:pPr>
              <w:tabs>
                <w:tab w:val="center" w:pos="284"/>
              </w:tabs>
              <w:overflowPunct w:val="0"/>
              <w:autoSpaceDE w:val="0"/>
              <w:autoSpaceDN w:val="0"/>
              <w:adjustRightInd w:val="0"/>
              <w:ind w:left="266" w:right="-3091" w:hanging="266"/>
              <w:textAlignment w:val="baseline"/>
              <w:rPr>
                <w:lang w:val="pt-PT"/>
              </w:rPr>
            </w:pPr>
            <w:r w:rsidRPr="00C61F85">
              <w:rPr>
                <w:lang w:val="pt-PT"/>
              </w:rPr>
              <w:t>COM(2025) 513 final</w:t>
            </w:r>
          </w:p>
          <w:p w14:paraId="187E3950" w14:textId="73497785" w:rsidR="00C61F85" w:rsidRPr="00C61F85" w:rsidRDefault="00C61F85" w:rsidP="009F6656">
            <w:pPr>
              <w:tabs>
                <w:tab w:val="center" w:pos="284"/>
              </w:tabs>
              <w:overflowPunct w:val="0"/>
              <w:autoSpaceDE w:val="0"/>
              <w:autoSpaceDN w:val="0"/>
              <w:adjustRightInd w:val="0"/>
              <w:ind w:left="266" w:right="-3091" w:hanging="266"/>
              <w:textAlignment w:val="baseline"/>
              <w:rPr>
                <w:lang w:val="pt-PT"/>
              </w:rPr>
            </w:pPr>
            <w:r w:rsidRPr="00C61F85">
              <w:rPr>
                <w:lang w:val="pt-PT"/>
              </w:rPr>
              <w:t>EESC-2025-03278-00-00-AC</w:t>
            </w:r>
          </w:p>
        </w:tc>
      </w:tr>
    </w:tbl>
    <w:p w14:paraId="128E0C99" w14:textId="77777777" w:rsidR="00C61F85" w:rsidRPr="00C61F85" w:rsidRDefault="00C61F85" w:rsidP="009F6656">
      <w:pPr>
        <w:tabs>
          <w:tab w:val="center" w:pos="284"/>
        </w:tabs>
        <w:overflowPunct w:val="0"/>
        <w:autoSpaceDE w:val="0"/>
        <w:autoSpaceDN w:val="0"/>
        <w:adjustRightInd w:val="0"/>
        <w:ind w:left="266" w:hanging="266"/>
        <w:textAlignment w:val="baseline"/>
        <w:rPr>
          <w:b/>
          <w:lang w:val="pt-PT"/>
        </w:rPr>
      </w:pPr>
    </w:p>
    <w:p w14:paraId="6E85F99C" w14:textId="77777777" w:rsidR="00C61F85" w:rsidRPr="00C61F85" w:rsidRDefault="00C61F85" w:rsidP="009F6656">
      <w:pPr>
        <w:keepNext/>
        <w:keepLines/>
        <w:tabs>
          <w:tab w:val="center" w:pos="284"/>
        </w:tabs>
        <w:overflowPunct w:val="0"/>
        <w:autoSpaceDE w:val="0"/>
        <w:autoSpaceDN w:val="0"/>
        <w:adjustRightInd w:val="0"/>
        <w:ind w:left="266" w:hanging="266"/>
        <w:textAlignment w:val="baseline"/>
        <w:rPr>
          <w:b/>
          <w:lang w:val="en-GB"/>
        </w:rPr>
      </w:pPr>
      <w:r w:rsidRPr="00C61F85">
        <w:rPr>
          <w:b/>
          <w:lang w:val="en-GB"/>
        </w:rPr>
        <w:t>Key points</w:t>
      </w:r>
    </w:p>
    <w:p w14:paraId="24C5C012" w14:textId="77777777" w:rsidR="00C61F85" w:rsidRPr="00C61F85" w:rsidRDefault="00C61F85" w:rsidP="009F6656">
      <w:pPr>
        <w:keepNext/>
        <w:keepLines/>
        <w:tabs>
          <w:tab w:val="center" w:pos="284"/>
        </w:tabs>
        <w:overflowPunct w:val="0"/>
        <w:autoSpaceDE w:val="0"/>
        <w:autoSpaceDN w:val="0"/>
        <w:adjustRightInd w:val="0"/>
        <w:ind w:left="266" w:hanging="266"/>
        <w:textAlignment w:val="baseline"/>
        <w:rPr>
          <w:b/>
          <w:lang w:val="en-GB"/>
        </w:rPr>
      </w:pPr>
    </w:p>
    <w:p w14:paraId="516649AE" w14:textId="77777777" w:rsidR="00C61F85" w:rsidRPr="00C61F85" w:rsidRDefault="00C61F85" w:rsidP="009F6656">
      <w:pPr>
        <w:widowControl w:val="0"/>
        <w:overflowPunct w:val="0"/>
        <w:autoSpaceDE w:val="0"/>
        <w:autoSpaceDN w:val="0"/>
        <w:adjustRightInd w:val="0"/>
        <w:textAlignment w:val="baseline"/>
        <w:rPr>
          <w:bCs/>
          <w:iCs/>
          <w:lang w:val="en-GB"/>
        </w:rPr>
      </w:pPr>
      <w:r w:rsidRPr="00C61F85">
        <w:rPr>
          <w:bCs/>
          <w:iCs/>
          <w:lang w:val="en-GB"/>
        </w:rPr>
        <w:t xml:space="preserve">Since the Committee unreservedly endorses the contents of the proposal and has already set out its views on the subject in its earlier opinion on the </w:t>
      </w:r>
      <w:r w:rsidRPr="00C61F85">
        <w:rPr>
          <w:bCs/>
          <w:i/>
          <w:lang w:val="en-GB"/>
        </w:rPr>
        <w:t>Brexit Adjustment Reserve</w:t>
      </w:r>
      <w:r w:rsidRPr="00C61F85">
        <w:rPr>
          <w:bCs/>
          <w:iCs/>
          <w:sz w:val="24"/>
          <w:vertAlign w:val="superscript"/>
          <w:lang w:val="en-GB"/>
        </w:rPr>
        <w:footnoteReference w:id="1"/>
      </w:r>
      <w:r w:rsidRPr="00C61F85">
        <w:rPr>
          <w:bCs/>
          <w:iCs/>
          <w:lang w:val="en-GB"/>
        </w:rPr>
        <w:t>, adopted on 24 February 2021, it decided to issue an opinion endorsing the proposed text and to refer to the position it had taken in the above-mentioned document.</w:t>
      </w:r>
    </w:p>
    <w:p w14:paraId="5C257B91" w14:textId="77777777" w:rsidR="00C61F85" w:rsidRPr="00C61F85" w:rsidRDefault="00C61F85" w:rsidP="009F6656">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767"/>
        <w:gridCol w:w="7306"/>
      </w:tblGrid>
      <w:tr w:rsidR="00C61F85" w:rsidRPr="00C61F85" w14:paraId="2395679C" w14:textId="77777777" w:rsidTr="00956201">
        <w:tc>
          <w:tcPr>
            <w:tcW w:w="974" w:type="pct"/>
          </w:tcPr>
          <w:p w14:paraId="25023DF9" w14:textId="77777777" w:rsidR="00C61F85" w:rsidRPr="00C61F85" w:rsidRDefault="00C61F85" w:rsidP="009F6656">
            <w:pPr>
              <w:overflowPunct w:val="0"/>
              <w:autoSpaceDE w:val="0"/>
              <w:autoSpaceDN w:val="0"/>
              <w:adjustRightInd w:val="0"/>
              <w:textAlignment w:val="baseline"/>
              <w:rPr>
                <w:i/>
              </w:rPr>
            </w:pPr>
            <w:r w:rsidRPr="00C61F85">
              <w:rPr>
                <w:b/>
                <w:i/>
              </w:rPr>
              <w:t>Contact</w:t>
            </w:r>
          </w:p>
        </w:tc>
        <w:tc>
          <w:tcPr>
            <w:tcW w:w="4026" w:type="pct"/>
          </w:tcPr>
          <w:p w14:paraId="62103A31" w14:textId="77777777" w:rsidR="00C61F85" w:rsidRPr="00C61F85" w:rsidRDefault="00C61F85" w:rsidP="009F6656">
            <w:pPr>
              <w:overflowPunct w:val="0"/>
              <w:autoSpaceDE w:val="0"/>
              <w:autoSpaceDN w:val="0"/>
              <w:adjustRightInd w:val="0"/>
              <w:textAlignment w:val="baseline"/>
              <w:rPr>
                <w:i/>
              </w:rPr>
            </w:pPr>
            <w:r w:rsidRPr="00C61F85">
              <w:rPr>
                <w:i/>
              </w:rPr>
              <w:t>Georgios Meleas</w:t>
            </w:r>
          </w:p>
        </w:tc>
      </w:tr>
      <w:tr w:rsidR="00C61F85" w:rsidRPr="00C61F85" w14:paraId="44320F22" w14:textId="77777777" w:rsidTr="00956201">
        <w:tc>
          <w:tcPr>
            <w:tcW w:w="974" w:type="pct"/>
          </w:tcPr>
          <w:p w14:paraId="35B47E2D" w14:textId="77777777" w:rsidR="00C61F85" w:rsidRPr="00C61F85" w:rsidRDefault="00C61F85" w:rsidP="009F6656">
            <w:pPr>
              <w:overflowPunct w:val="0"/>
              <w:autoSpaceDE w:val="0"/>
              <w:autoSpaceDN w:val="0"/>
              <w:adjustRightInd w:val="0"/>
              <w:textAlignment w:val="baseline"/>
              <w:rPr>
                <w:i/>
              </w:rPr>
            </w:pPr>
            <w:r w:rsidRPr="00C61F85">
              <w:rPr>
                <w:i/>
              </w:rPr>
              <w:t>Tel.</w:t>
            </w:r>
          </w:p>
        </w:tc>
        <w:tc>
          <w:tcPr>
            <w:tcW w:w="4026" w:type="pct"/>
          </w:tcPr>
          <w:p w14:paraId="68594828" w14:textId="49DDBB77" w:rsidR="00C61F85" w:rsidRPr="00C61F85" w:rsidRDefault="00C61F85" w:rsidP="009F6656">
            <w:pPr>
              <w:overflowPunct w:val="0"/>
              <w:autoSpaceDE w:val="0"/>
              <w:autoSpaceDN w:val="0"/>
              <w:adjustRightInd w:val="0"/>
              <w:textAlignment w:val="baseline"/>
              <w:rPr>
                <w:i/>
              </w:rPr>
            </w:pPr>
            <w:r w:rsidRPr="00C61F85">
              <w:rPr>
                <w:i/>
              </w:rPr>
              <w:t>+32 2</w:t>
            </w:r>
            <w:r w:rsidR="00956201">
              <w:rPr>
                <w:i/>
              </w:rPr>
              <w:t xml:space="preserve"> </w:t>
            </w:r>
            <w:r w:rsidRPr="00C61F85">
              <w:rPr>
                <w:i/>
              </w:rPr>
              <w:t>546 9795</w:t>
            </w:r>
          </w:p>
        </w:tc>
      </w:tr>
      <w:tr w:rsidR="00C61F85" w:rsidRPr="00C61F85" w14:paraId="07782D68" w14:textId="77777777" w:rsidTr="00956201">
        <w:tc>
          <w:tcPr>
            <w:tcW w:w="974" w:type="pct"/>
          </w:tcPr>
          <w:p w14:paraId="4F7B54B5" w14:textId="77777777" w:rsidR="00C61F85" w:rsidRPr="00C61F85" w:rsidRDefault="00C61F85" w:rsidP="009F6656">
            <w:pPr>
              <w:overflowPunct w:val="0"/>
              <w:autoSpaceDE w:val="0"/>
              <w:autoSpaceDN w:val="0"/>
              <w:adjustRightInd w:val="0"/>
              <w:textAlignment w:val="baseline"/>
              <w:rPr>
                <w:i/>
              </w:rPr>
            </w:pPr>
            <w:r w:rsidRPr="00C61F85">
              <w:rPr>
                <w:i/>
              </w:rPr>
              <w:t>Email</w:t>
            </w:r>
          </w:p>
        </w:tc>
        <w:tc>
          <w:tcPr>
            <w:tcW w:w="4026" w:type="pct"/>
          </w:tcPr>
          <w:p w14:paraId="496D76ED" w14:textId="77777777" w:rsidR="00C61F85" w:rsidRPr="00C61F85" w:rsidRDefault="00956397" w:rsidP="009F6656">
            <w:pPr>
              <w:overflowPunct w:val="0"/>
              <w:autoSpaceDE w:val="0"/>
              <w:autoSpaceDN w:val="0"/>
              <w:adjustRightInd w:val="0"/>
              <w:textAlignment w:val="baseline"/>
              <w:rPr>
                <w:i/>
              </w:rPr>
            </w:pPr>
            <w:hyperlink r:id="rId21" w:history="1">
              <w:r w:rsidR="00C61F85" w:rsidRPr="00C61F85">
                <w:rPr>
                  <w:i/>
                  <w:color w:val="0000FF"/>
                  <w:u w:val="single"/>
                </w:rPr>
                <w:t>Georgios.Meleas@eesc.europa.eu</w:t>
              </w:r>
            </w:hyperlink>
          </w:p>
        </w:tc>
      </w:tr>
    </w:tbl>
    <w:p w14:paraId="4982DD96" w14:textId="77777777" w:rsidR="004D7AC0" w:rsidRDefault="004D7AC0" w:rsidP="009F6656">
      <w:pPr>
        <w:pStyle w:val="ListParagraph"/>
        <w:ind w:left="0"/>
      </w:pPr>
    </w:p>
    <w:p w14:paraId="4982DD97" w14:textId="77777777" w:rsidR="004D7AC0" w:rsidRDefault="004D7AC0" w:rsidP="009F6656">
      <w:pPr>
        <w:pStyle w:val="ListParagraph"/>
        <w:ind w:left="0"/>
      </w:pPr>
    </w:p>
    <w:p w14:paraId="4982DD98" w14:textId="77777777" w:rsidR="004D7AC0" w:rsidRDefault="004D7AC0" w:rsidP="009F6656">
      <w:pPr>
        <w:jc w:val="left"/>
      </w:pPr>
      <w:r>
        <w:br w:type="page"/>
      </w:r>
    </w:p>
    <w:p w14:paraId="4982DD99" w14:textId="77777777" w:rsidR="004D7AC0" w:rsidRDefault="004D7AC0" w:rsidP="009F6656">
      <w:pPr>
        <w:pStyle w:val="Heading1"/>
        <w:rPr>
          <w:b/>
        </w:rPr>
      </w:pPr>
      <w:bookmarkStart w:id="1" w:name="_Toc75527081"/>
      <w:bookmarkStart w:id="2" w:name="_Toc214019601"/>
      <w:r w:rsidRPr="001C70A5">
        <w:rPr>
          <w:rFonts w:eastAsiaTheme="minorEastAsia"/>
          <w:b/>
        </w:rPr>
        <w:t>EMPLOYMENT, SOCIAL AFFAIRS AND CITIZENSHIP</w:t>
      </w:r>
      <w:bookmarkEnd w:id="1"/>
      <w:bookmarkEnd w:id="2"/>
    </w:p>
    <w:p w14:paraId="4982DD9A" w14:textId="77777777" w:rsidR="004D7AC0" w:rsidRDefault="004D7AC0" w:rsidP="009F6656"/>
    <w:p w14:paraId="46DF70FC" w14:textId="3A3C0B60" w:rsidR="00156EF2" w:rsidRPr="00156EF2" w:rsidRDefault="00956397" w:rsidP="009F6656">
      <w:pPr>
        <w:numPr>
          <w:ilvl w:val="0"/>
          <w:numId w:val="5"/>
        </w:numPr>
        <w:overflowPunct w:val="0"/>
        <w:autoSpaceDE w:val="0"/>
        <w:autoSpaceDN w:val="0"/>
        <w:adjustRightInd w:val="0"/>
        <w:ind w:left="426" w:right="-283" w:hanging="426"/>
        <w:contextualSpacing/>
        <w:textAlignment w:val="baseline"/>
        <w:rPr>
          <w:b/>
          <w:bCs/>
          <w:i/>
          <w:iCs/>
          <w:sz w:val="28"/>
          <w:szCs w:val="28"/>
          <w:lang w:val="en-GB"/>
        </w:rPr>
      </w:pPr>
      <w:hyperlink r:id="rId22" w:history="1">
        <w:r w:rsidR="00156EF2" w:rsidRPr="00156EF2">
          <w:rPr>
            <w:b/>
            <w:bCs/>
            <w:i/>
            <w:iCs/>
            <w:color w:val="0000FF"/>
            <w:sz w:val="28"/>
            <w:szCs w:val="28"/>
            <w:u w:val="single"/>
            <w:lang w:val="en-GB"/>
          </w:rPr>
          <w:t>Revision of the Carcinogens, Mutagens and Reprotoxic substances Directive</w:t>
        </w:r>
      </w:hyperlink>
    </w:p>
    <w:p w14:paraId="04FE5CD3" w14:textId="77777777" w:rsidR="00156EF2" w:rsidRPr="00156EF2" w:rsidRDefault="00156EF2" w:rsidP="009F6656">
      <w:pPr>
        <w:overflowPunct w:val="0"/>
        <w:autoSpaceDE w:val="0"/>
        <w:autoSpaceDN w:val="0"/>
        <w:adjustRightInd w:val="0"/>
        <w:ind w:right="-283"/>
        <w:textAlignment w:val="baseline"/>
        <w:rPr>
          <w:lang w:val="en-GB"/>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263"/>
      </w:tblGrid>
      <w:tr w:rsidR="00156EF2" w:rsidRPr="009F6656" w14:paraId="6AAAA6BB" w14:textId="77777777" w:rsidTr="00956201">
        <w:tc>
          <w:tcPr>
            <w:tcW w:w="2093" w:type="dxa"/>
            <w:vMerge w:val="restart"/>
          </w:tcPr>
          <w:p w14:paraId="00619F8A" w14:textId="77777777" w:rsidR="00156EF2" w:rsidRPr="009F6656" w:rsidRDefault="00156EF2" w:rsidP="009F6656">
            <w:pPr>
              <w:tabs>
                <w:tab w:val="center" w:pos="284"/>
              </w:tabs>
              <w:ind w:left="266" w:hanging="266"/>
              <w:rPr>
                <w:b/>
              </w:rPr>
            </w:pPr>
            <w:r w:rsidRPr="009F6656">
              <w:rPr>
                <w:b/>
              </w:rPr>
              <w:t>References</w:t>
            </w:r>
          </w:p>
        </w:tc>
        <w:tc>
          <w:tcPr>
            <w:tcW w:w="7263" w:type="dxa"/>
          </w:tcPr>
          <w:p w14:paraId="3581703C" w14:textId="5CA9EE9D" w:rsidR="00BA654D" w:rsidRPr="009F6656" w:rsidRDefault="00BA654D" w:rsidP="009F6656">
            <w:pPr>
              <w:tabs>
                <w:tab w:val="center" w:pos="284"/>
              </w:tabs>
              <w:ind w:left="266" w:hanging="266"/>
              <w:rPr>
                <w:lang w:val="en-GB"/>
              </w:rPr>
            </w:pPr>
            <w:r w:rsidRPr="009F6656">
              <w:rPr>
                <w:lang w:val="en-GB"/>
              </w:rPr>
              <w:t>Category C opinion</w:t>
            </w:r>
          </w:p>
          <w:p w14:paraId="3C322462" w14:textId="2D23124A" w:rsidR="00156EF2" w:rsidRPr="009F6656" w:rsidRDefault="00156EF2" w:rsidP="009F6656">
            <w:pPr>
              <w:tabs>
                <w:tab w:val="center" w:pos="284"/>
              </w:tabs>
              <w:ind w:left="266" w:hanging="266"/>
            </w:pPr>
            <w:r w:rsidRPr="009F6656">
              <w:rPr>
                <w:lang w:val="en-GB"/>
              </w:rPr>
              <w:t>COM(2025) 418 final</w:t>
            </w:r>
          </w:p>
        </w:tc>
      </w:tr>
      <w:tr w:rsidR="00156EF2" w:rsidRPr="009F6656" w14:paraId="146BDAF6" w14:textId="77777777" w:rsidTr="00956201">
        <w:tc>
          <w:tcPr>
            <w:tcW w:w="2093" w:type="dxa"/>
            <w:vMerge/>
          </w:tcPr>
          <w:p w14:paraId="2FCB4813" w14:textId="77777777" w:rsidR="00156EF2" w:rsidRPr="009F6656" w:rsidRDefault="00156EF2" w:rsidP="009F6656">
            <w:pPr>
              <w:tabs>
                <w:tab w:val="center" w:pos="284"/>
              </w:tabs>
              <w:ind w:left="266" w:hanging="266"/>
              <w:rPr>
                <w:b/>
              </w:rPr>
            </w:pPr>
          </w:p>
        </w:tc>
        <w:tc>
          <w:tcPr>
            <w:tcW w:w="7263" w:type="dxa"/>
          </w:tcPr>
          <w:p w14:paraId="2498C936" w14:textId="77777777" w:rsidR="00156EF2" w:rsidRPr="009F6656" w:rsidRDefault="00156EF2" w:rsidP="009F6656">
            <w:pPr>
              <w:tabs>
                <w:tab w:val="center" w:pos="284"/>
              </w:tabs>
              <w:ind w:left="266" w:hanging="266"/>
            </w:pPr>
            <w:r w:rsidRPr="009F6656">
              <w:t>EESC-2025-03030-00-00-AC</w:t>
            </w:r>
          </w:p>
        </w:tc>
      </w:tr>
    </w:tbl>
    <w:p w14:paraId="08BBC7A4" w14:textId="77777777" w:rsidR="00156EF2" w:rsidRPr="00156EF2" w:rsidRDefault="00156EF2" w:rsidP="009F6656">
      <w:pPr>
        <w:tabs>
          <w:tab w:val="center" w:pos="284"/>
        </w:tabs>
        <w:ind w:left="266" w:hanging="266"/>
        <w:rPr>
          <w:lang w:val="en-GB"/>
        </w:rPr>
      </w:pPr>
    </w:p>
    <w:p w14:paraId="26E6A1DE" w14:textId="77777777" w:rsidR="00156EF2" w:rsidRPr="00156EF2" w:rsidRDefault="00156EF2" w:rsidP="009F6656">
      <w:pPr>
        <w:keepNext/>
        <w:keepLines/>
        <w:tabs>
          <w:tab w:val="center" w:pos="284"/>
        </w:tabs>
        <w:ind w:left="266" w:hanging="266"/>
        <w:rPr>
          <w:b/>
          <w:lang w:val="en-GB"/>
        </w:rPr>
      </w:pPr>
      <w:r w:rsidRPr="00156EF2">
        <w:rPr>
          <w:b/>
          <w:lang w:val="en-GB"/>
        </w:rPr>
        <w:t>Key points</w:t>
      </w:r>
    </w:p>
    <w:p w14:paraId="78DC7978" w14:textId="77777777" w:rsidR="00156EF2" w:rsidRPr="00156EF2" w:rsidRDefault="00156EF2" w:rsidP="009F6656">
      <w:pPr>
        <w:overflowPunct w:val="0"/>
        <w:autoSpaceDE w:val="0"/>
        <w:autoSpaceDN w:val="0"/>
        <w:adjustRightInd w:val="0"/>
        <w:ind w:right="-283"/>
        <w:textAlignment w:val="baseline"/>
        <w:rPr>
          <w:lang w:val="en-GB"/>
        </w:rPr>
      </w:pPr>
    </w:p>
    <w:p w14:paraId="3D2CD6CC" w14:textId="77777777" w:rsidR="00156EF2" w:rsidRPr="00156EF2" w:rsidRDefault="00156EF2" w:rsidP="009F6656">
      <w:pPr>
        <w:overflowPunct w:val="0"/>
        <w:autoSpaceDE w:val="0"/>
        <w:autoSpaceDN w:val="0"/>
        <w:adjustRightInd w:val="0"/>
        <w:ind w:right="-283"/>
        <w:textAlignment w:val="baseline"/>
        <w:rPr>
          <w:lang w:val="en-GB"/>
        </w:rPr>
      </w:pPr>
      <w:r w:rsidRPr="00156EF2">
        <w:rPr>
          <w:lang w:val="en-GB"/>
        </w:rPr>
        <w:t>Since the Committee endorses the content of the proposal and feels that it requires no comment on its part, it decided to issue an opinion endorsing the proposed text.</w:t>
      </w:r>
    </w:p>
    <w:p w14:paraId="7C3920A7" w14:textId="77777777" w:rsidR="00156EF2" w:rsidRPr="00156EF2" w:rsidRDefault="00156EF2" w:rsidP="009F6656">
      <w:pPr>
        <w:overflowPunct w:val="0"/>
        <w:autoSpaceDE w:val="0"/>
        <w:autoSpaceDN w:val="0"/>
        <w:adjustRightInd w:val="0"/>
        <w:ind w:right="-283"/>
        <w:textAlignment w:val="baseline"/>
        <w:rPr>
          <w:lang w:val="en-GB"/>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405"/>
      </w:tblGrid>
      <w:tr w:rsidR="00156EF2" w:rsidRPr="009F6656" w14:paraId="4A68CBF2" w14:textId="77777777" w:rsidTr="00956201">
        <w:tc>
          <w:tcPr>
            <w:tcW w:w="1951" w:type="dxa"/>
          </w:tcPr>
          <w:p w14:paraId="36A6B0FD" w14:textId="77777777" w:rsidR="00156EF2" w:rsidRPr="009F6656" w:rsidRDefault="00156EF2" w:rsidP="00956397">
            <w:pPr>
              <w:ind w:hanging="110"/>
              <w:rPr>
                <w:i/>
                <w:lang w:val="en-GB"/>
              </w:rPr>
            </w:pPr>
            <w:r w:rsidRPr="009F6656">
              <w:rPr>
                <w:b/>
                <w:i/>
                <w:lang w:val="en-GB"/>
              </w:rPr>
              <w:t>Contact</w:t>
            </w:r>
          </w:p>
        </w:tc>
        <w:tc>
          <w:tcPr>
            <w:tcW w:w="7405" w:type="dxa"/>
          </w:tcPr>
          <w:p w14:paraId="33E09960" w14:textId="77777777" w:rsidR="00156EF2" w:rsidRPr="009F6656" w:rsidRDefault="00156EF2" w:rsidP="00956397">
            <w:pPr>
              <w:ind w:hanging="110"/>
              <w:rPr>
                <w:i/>
                <w:lang w:val="en-GB"/>
              </w:rPr>
            </w:pPr>
            <w:r w:rsidRPr="009F6656">
              <w:rPr>
                <w:i/>
                <w:lang w:val="en-GB"/>
              </w:rPr>
              <w:t>Valeria Atzori</w:t>
            </w:r>
          </w:p>
        </w:tc>
      </w:tr>
      <w:tr w:rsidR="00156EF2" w:rsidRPr="009F6656" w14:paraId="1DF12C90" w14:textId="77777777" w:rsidTr="00956201">
        <w:tc>
          <w:tcPr>
            <w:tcW w:w="1951" w:type="dxa"/>
          </w:tcPr>
          <w:p w14:paraId="3164D51D" w14:textId="77777777" w:rsidR="00156EF2" w:rsidRPr="009F6656" w:rsidRDefault="00156EF2" w:rsidP="00956397">
            <w:pPr>
              <w:ind w:hanging="110"/>
              <w:rPr>
                <w:i/>
                <w:lang w:val="en-GB"/>
              </w:rPr>
            </w:pPr>
            <w:r w:rsidRPr="009F6656">
              <w:rPr>
                <w:i/>
                <w:lang w:val="en-GB"/>
              </w:rPr>
              <w:t>Tel.</w:t>
            </w:r>
          </w:p>
        </w:tc>
        <w:tc>
          <w:tcPr>
            <w:tcW w:w="7405" w:type="dxa"/>
          </w:tcPr>
          <w:p w14:paraId="045076FB" w14:textId="1D016F20" w:rsidR="00156EF2" w:rsidRPr="009F6656" w:rsidRDefault="00156EF2" w:rsidP="00956397">
            <w:pPr>
              <w:ind w:hanging="110"/>
              <w:rPr>
                <w:i/>
                <w:lang w:val="en-GB"/>
              </w:rPr>
            </w:pPr>
            <w:r w:rsidRPr="009F6656">
              <w:rPr>
                <w:i/>
                <w:lang w:val="en-GB"/>
              </w:rPr>
              <w:t>+32 2</w:t>
            </w:r>
            <w:r w:rsidR="00956201">
              <w:rPr>
                <w:i/>
                <w:lang w:val="en-GB"/>
              </w:rPr>
              <w:t xml:space="preserve"> </w:t>
            </w:r>
            <w:r w:rsidRPr="009F6656">
              <w:rPr>
                <w:i/>
                <w:lang w:val="en-GB"/>
              </w:rPr>
              <w:t>546</w:t>
            </w:r>
            <w:r w:rsidR="00956201">
              <w:rPr>
                <w:i/>
                <w:lang w:val="en-GB"/>
              </w:rPr>
              <w:t xml:space="preserve"> </w:t>
            </w:r>
            <w:r w:rsidRPr="009F6656">
              <w:rPr>
                <w:i/>
                <w:lang w:val="en-GB"/>
              </w:rPr>
              <w:t>8774</w:t>
            </w:r>
          </w:p>
        </w:tc>
      </w:tr>
      <w:tr w:rsidR="00156EF2" w:rsidRPr="009F6656" w14:paraId="5D496739" w14:textId="77777777" w:rsidTr="00956201">
        <w:tc>
          <w:tcPr>
            <w:tcW w:w="1951" w:type="dxa"/>
          </w:tcPr>
          <w:p w14:paraId="48475EB0" w14:textId="77777777" w:rsidR="00156EF2" w:rsidRPr="009F6656" w:rsidRDefault="00156EF2" w:rsidP="00956397">
            <w:pPr>
              <w:ind w:hanging="110"/>
              <w:rPr>
                <w:i/>
                <w:lang w:val="en-GB"/>
              </w:rPr>
            </w:pPr>
            <w:r w:rsidRPr="009F6656">
              <w:rPr>
                <w:i/>
                <w:lang w:val="en-GB"/>
              </w:rPr>
              <w:t>Email</w:t>
            </w:r>
          </w:p>
        </w:tc>
        <w:tc>
          <w:tcPr>
            <w:tcW w:w="7405" w:type="dxa"/>
          </w:tcPr>
          <w:p w14:paraId="75085FA0" w14:textId="77777777" w:rsidR="00156EF2" w:rsidRPr="009F6656" w:rsidRDefault="00156EF2" w:rsidP="00956397">
            <w:pPr>
              <w:ind w:hanging="110"/>
              <w:rPr>
                <w:i/>
                <w:lang w:val="en-GB"/>
              </w:rPr>
            </w:pPr>
            <w:hyperlink r:id="rId23" w:history="1">
              <w:r w:rsidRPr="009F6656">
                <w:rPr>
                  <w:i/>
                  <w:color w:val="0000FF"/>
                  <w:u w:val="single"/>
                  <w:lang w:val="en-GB"/>
                </w:rPr>
                <w:t>Valeria.Atzori@eesc.europa.eu</w:t>
              </w:r>
            </w:hyperlink>
          </w:p>
        </w:tc>
      </w:tr>
    </w:tbl>
    <w:p w14:paraId="4982DDC3" w14:textId="77777777" w:rsidR="004D7AC0" w:rsidRDefault="004D7AC0" w:rsidP="009F6656">
      <w:pPr>
        <w:pStyle w:val="ListParagraph"/>
        <w:ind w:left="0"/>
      </w:pPr>
    </w:p>
    <w:p w14:paraId="4982DDC4" w14:textId="77777777" w:rsidR="004D7AC0" w:rsidRPr="00803CA6" w:rsidRDefault="004D7AC0" w:rsidP="009F6656">
      <w:pPr>
        <w:pStyle w:val="ListParagraph"/>
        <w:ind w:left="0"/>
      </w:pPr>
    </w:p>
    <w:p w14:paraId="4982DDC5" w14:textId="77777777" w:rsidR="004D7AC0" w:rsidRDefault="004D7AC0" w:rsidP="009F6656">
      <w:pPr>
        <w:jc w:val="left"/>
      </w:pPr>
      <w:r>
        <w:br w:type="page"/>
      </w:r>
    </w:p>
    <w:p w14:paraId="4982DDF3" w14:textId="77777777" w:rsidR="004D7AC0" w:rsidRDefault="004D7AC0" w:rsidP="009F6656">
      <w:pPr>
        <w:pStyle w:val="Heading1"/>
        <w:rPr>
          <w:b/>
        </w:rPr>
      </w:pPr>
      <w:bookmarkStart w:id="3" w:name="_Toc75527083"/>
      <w:bookmarkStart w:id="4" w:name="_Toc214019602"/>
      <w:r>
        <w:rPr>
          <w:b/>
        </w:rPr>
        <w:t>SINGLE MARKET, PRODUCTION AND CONSUMPTION</w:t>
      </w:r>
      <w:bookmarkEnd w:id="3"/>
      <w:bookmarkEnd w:id="4"/>
    </w:p>
    <w:p w14:paraId="4982DE1C" w14:textId="77777777" w:rsidR="004D7AC0" w:rsidRDefault="004D7AC0" w:rsidP="009F6656">
      <w:pPr>
        <w:pStyle w:val="ListParagraph"/>
        <w:ind w:left="0"/>
      </w:pPr>
      <w:bookmarkStart w:id="5" w:name="_Hlk213426190"/>
    </w:p>
    <w:p w14:paraId="201071F4" w14:textId="0B902984" w:rsidR="00932850" w:rsidRPr="00932850" w:rsidRDefault="00932850" w:rsidP="009F6656">
      <w:pPr>
        <w:widowControl w:val="0"/>
        <w:numPr>
          <w:ilvl w:val="0"/>
          <w:numId w:val="6"/>
        </w:numPr>
        <w:overflowPunct w:val="0"/>
        <w:autoSpaceDE w:val="0"/>
        <w:autoSpaceDN w:val="0"/>
        <w:adjustRightInd w:val="0"/>
        <w:ind w:hanging="567"/>
        <w:textAlignment w:val="baseline"/>
        <w:rPr>
          <w:b/>
          <w:bCs/>
          <w:i/>
          <w:iCs/>
          <w:sz w:val="28"/>
          <w:szCs w:val="28"/>
          <w:lang w:val="en-GB"/>
        </w:rPr>
      </w:pPr>
      <w:hyperlink r:id="rId24" w:tgtFrame="_blank" w:history="1">
        <w:r w:rsidR="00821C1B">
          <w:rPr>
            <w:b/>
            <w:bCs/>
            <w:i/>
            <w:iCs/>
            <w:color w:val="0000FF"/>
            <w:sz w:val="28"/>
            <w:szCs w:val="28"/>
            <w:u w:val="single"/>
            <w:lang w:val="en-GB"/>
          </w:rPr>
          <w:t>Framework for S</w:t>
        </w:r>
        <w:r w:rsidRPr="00932850">
          <w:rPr>
            <w:b/>
            <w:bCs/>
            <w:i/>
            <w:iCs/>
            <w:color w:val="0000FF"/>
            <w:sz w:val="28"/>
            <w:szCs w:val="28"/>
            <w:u w:val="single"/>
            <w:lang w:val="en-GB"/>
          </w:rPr>
          <w:t>tate aid</w:t>
        </w:r>
        <w:r w:rsidR="00821C1B">
          <w:rPr>
            <w:b/>
            <w:bCs/>
            <w:i/>
            <w:iCs/>
            <w:color w:val="0000FF"/>
            <w:sz w:val="28"/>
            <w:szCs w:val="28"/>
            <w:u w:val="single"/>
            <w:lang w:val="en-GB"/>
          </w:rPr>
          <w:t xml:space="preserve"> measures to support the </w:t>
        </w:r>
        <w:r w:rsidRPr="00932850">
          <w:rPr>
            <w:b/>
            <w:bCs/>
            <w:i/>
            <w:iCs/>
            <w:color w:val="0000FF"/>
            <w:sz w:val="28"/>
            <w:szCs w:val="28"/>
            <w:u w:val="single"/>
            <w:lang w:val="en-GB"/>
          </w:rPr>
          <w:t>Clean Industrial Deal</w:t>
        </w:r>
      </w:hyperlink>
    </w:p>
    <w:p w14:paraId="31F0565D" w14:textId="77777777" w:rsidR="00932850" w:rsidRPr="00932850" w:rsidRDefault="00932850" w:rsidP="009F6656">
      <w:pPr>
        <w:widowControl w:val="0"/>
        <w:overflowPunct w:val="0"/>
        <w:autoSpaceDE w:val="0"/>
        <w:autoSpaceDN w:val="0"/>
        <w:adjustRightInd w:val="0"/>
        <w:ind w:left="567"/>
        <w:textAlignment w:val="baseline"/>
        <w:rPr>
          <w:b/>
          <w:lang w:val="en-GB"/>
        </w:rPr>
      </w:pPr>
    </w:p>
    <w:tbl>
      <w:tblPr>
        <w:tblW w:w="9748" w:type="dxa"/>
        <w:tblLook w:val="04A0" w:firstRow="1" w:lastRow="0" w:firstColumn="1" w:lastColumn="0" w:noHBand="0" w:noVBand="1"/>
      </w:tblPr>
      <w:tblGrid>
        <w:gridCol w:w="2235"/>
        <w:gridCol w:w="7513"/>
      </w:tblGrid>
      <w:tr w:rsidR="00932850" w:rsidRPr="00932850" w14:paraId="39D62F75" w14:textId="77777777" w:rsidTr="00956397">
        <w:tc>
          <w:tcPr>
            <w:tcW w:w="2235" w:type="dxa"/>
          </w:tcPr>
          <w:p w14:paraId="6C2DF484" w14:textId="420022B8" w:rsidR="00932850" w:rsidRPr="00932850" w:rsidRDefault="00932850" w:rsidP="009F6656">
            <w:pPr>
              <w:tabs>
                <w:tab w:val="center" w:pos="284"/>
              </w:tabs>
              <w:overflowPunct w:val="0"/>
              <w:autoSpaceDE w:val="0"/>
              <w:autoSpaceDN w:val="0"/>
              <w:adjustRightInd w:val="0"/>
              <w:ind w:left="266" w:hanging="266"/>
              <w:textAlignment w:val="baseline"/>
              <w:rPr>
                <w:b/>
              </w:rPr>
            </w:pPr>
            <w:r w:rsidRPr="00932850">
              <w:rPr>
                <w:b/>
              </w:rPr>
              <w:t>Rapporteur</w:t>
            </w:r>
            <w:r w:rsidR="00821C1B">
              <w:rPr>
                <w:b/>
              </w:rPr>
              <w:t>-general</w:t>
            </w:r>
          </w:p>
        </w:tc>
        <w:tc>
          <w:tcPr>
            <w:tcW w:w="7513" w:type="dxa"/>
          </w:tcPr>
          <w:p w14:paraId="3A0A57C7" w14:textId="3495569D" w:rsidR="00932850" w:rsidRPr="00932850" w:rsidRDefault="00932850" w:rsidP="009F6656">
            <w:pPr>
              <w:tabs>
                <w:tab w:val="center" w:pos="458"/>
              </w:tabs>
              <w:overflowPunct w:val="0"/>
              <w:autoSpaceDE w:val="0"/>
              <w:autoSpaceDN w:val="0"/>
              <w:adjustRightInd w:val="0"/>
              <w:ind w:left="266" w:hanging="266"/>
              <w:textAlignment w:val="baseline"/>
            </w:pPr>
            <w:r w:rsidRPr="00932850">
              <w:t xml:space="preserve">Isabel YGLESIAS (Employers' Group </w:t>
            </w:r>
            <w:r w:rsidR="00821C1B">
              <w:t>-</w:t>
            </w:r>
            <w:r w:rsidRPr="00932850">
              <w:t xml:space="preserve"> ES)</w:t>
            </w:r>
          </w:p>
        </w:tc>
      </w:tr>
      <w:tr w:rsidR="00932850" w:rsidRPr="00932850" w14:paraId="05C22F32" w14:textId="77777777" w:rsidTr="00956397">
        <w:tc>
          <w:tcPr>
            <w:tcW w:w="2235" w:type="dxa"/>
            <w:vMerge w:val="restart"/>
          </w:tcPr>
          <w:p w14:paraId="68E75DE3" w14:textId="77777777" w:rsidR="00932850" w:rsidRPr="00932850" w:rsidRDefault="00932850" w:rsidP="009F6656">
            <w:pPr>
              <w:tabs>
                <w:tab w:val="center" w:pos="284"/>
              </w:tabs>
              <w:overflowPunct w:val="0"/>
              <w:autoSpaceDE w:val="0"/>
              <w:autoSpaceDN w:val="0"/>
              <w:adjustRightInd w:val="0"/>
              <w:ind w:left="266" w:hanging="266"/>
              <w:textAlignment w:val="baseline"/>
              <w:rPr>
                <w:b/>
              </w:rPr>
            </w:pPr>
            <w:r w:rsidRPr="00932850">
              <w:rPr>
                <w:b/>
              </w:rPr>
              <w:t>References</w:t>
            </w:r>
          </w:p>
        </w:tc>
        <w:tc>
          <w:tcPr>
            <w:tcW w:w="7513" w:type="dxa"/>
          </w:tcPr>
          <w:p w14:paraId="0F09CB1F" w14:textId="7B7B1B55" w:rsidR="00932850" w:rsidRPr="00932850" w:rsidRDefault="00932850" w:rsidP="009F6656">
            <w:pPr>
              <w:tabs>
                <w:tab w:val="center" w:pos="284"/>
              </w:tabs>
              <w:overflowPunct w:val="0"/>
              <w:autoSpaceDE w:val="0"/>
              <w:autoSpaceDN w:val="0"/>
              <w:adjustRightInd w:val="0"/>
              <w:ind w:left="266" w:hanging="266"/>
              <w:textAlignment w:val="baseline"/>
            </w:pPr>
            <w:r w:rsidRPr="00932850">
              <w:t>C(2025) 7600 final</w:t>
            </w:r>
          </w:p>
        </w:tc>
      </w:tr>
      <w:tr w:rsidR="00932850" w:rsidRPr="00932850" w14:paraId="0A9869C3" w14:textId="77777777" w:rsidTr="00956397">
        <w:tc>
          <w:tcPr>
            <w:tcW w:w="2235" w:type="dxa"/>
            <w:vMerge/>
          </w:tcPr>
          <w:p w14:paraId="059936DB" w14:textId="77777777" w:rsidR="00932850" w:rsidRPr="00932850" w:rsidRDefault="00932850" w:rsidP="009F6656">
            <w:pPr>
              <w:tabs>
                <w:tab w:val="center" w:pos="284"/>
              </w:tabs>
              <w:overflowPunct w:val="0"/>
              <w:autoSpaceDE w:val="0"/>
              <w:autoSpaceDN w:val="0"/>
              <w:adjustRightInd w:val="0"/>
              <w:ind w:left="266" w:hanging="266"/>
              <w:textAlignment w:val="baseline"/>
              <w:rPr>
                <w:b/>
              </w:rPr>
            </w:pPr>
          </w:p>
        </w:tc>
        <w:tc>
          <w:tcPr>
            <w:tcW w:w="7513" w:type="dxa"/>
          </w:tcPr>
          <w:p w14:paraId="61DA310B" w14:textId="60289E93" w:rsidR="00932850" w:rsidRPr="00932850" w:rsidRDefault="00932850" w:rsidP="009F6656">
            <w:pPr>
              <w:tabs>
                <w:tab w:val="center" w:pos="284"/>
              </w:tabs>
              <w:overflowPunct w:val="0"/>
              <w:autoSpaceDE w:val="0"/>
              <w:autoSpaceDN w:val="0"/>
              <w:adjustRightInd w:val="0"/>
              <w:ind w:left="266" w:hanging="266"/>
              <w:textAlignment w:val="baseline"/>
            </w:pPr>
            <w:r w:rsidRPr="00932850">
              <w:t>EESC-2025-01657-00-00-AC</w:t>
            </w:r>
          </w:p>
        </w:tc>
      </w:tr>
    </w:tbl>
    <w:p w14:paraId="141E0D7F" w14:textId="77777777" w:rsidR="00932850" w:rsidRPr="00932850" w:rsidRDefault="00932850" w:rsidP="009F6656">
      <w:pPr>
        <w:tabs>
          <w:tab w:val="center" w:pos="284"/>
        </w:tabs>
        <w:overflowPunct w:val="0"/>
        <w:autoSpaceDE w:val="0"/>
        <w:autoSpaceDN w:val="0"/>
        <w:adjustRightInd w:val="0"/>
        <w:ind w:left="266" w:hanging="266"/>
        <w:textAlignment w:val="baseline"/>
        <w:rPr>
          <w:sz w:val="20"/>
          <w:szCs w:val="20"/>
          <w:lang w:val="en-GB"/>
        </w:rPr>
      </w:pPr>
    </w:p>
    <w:p w14:paraId="5FF888B1" w14:textId="77777777" w:rsidR="00932850" w:rsidRPr="00932850" w:rsidRDefault="00932850" w:rsidP="009F6656">
      <w:pPr>
        <w:keepNext/>
        <w:keepLines/>
        <w:tabs>
          <w:tab w:val="center" w:pos="284"/>
        </w:tabs>
        <w:overflowPunct w:val="0"/>
        <w:autoSpaceDE w:val="0"/>
        <w:autoSpaceDN w:val="0"/>
        <w:adjustRightInd w:val="0"/>
        <w:ind w:left="266" w:hanging="266"/>
        <w:textAlignment w:val="baseline"/>
        <w:rPr>
          <w:b/>
          <w:lang w:val="en-GB"/>
        </w:rPr>
      </w:pPr>
      <w:r w:rsidRPr="00932850">
        <w:rPr>
          <w:b/>
          <w:lang w:val="en-GB"/>
        </w:rPr>
        <w:t>Key points</w:t>
      </w:r>
    </w:p>
    <w:p w14:paraId="5CA0DA0C" w14:textId="77777777" w:rsidR="00932850" w:rsidRPr="00932850" w:rsidRDefault="00932850" w:rsidP="009F6656">
      <w:pPr>
        <w:keepNext/>
        <w:keepLines/>
        <w:tabs>
          <w:tab w:val="center" w:pos="284"/>
        </w:tabs>
        <w:overflowPunct w:val="0"/>
        <w:autoSpaceDE w:val="0"/>
        <w:autoSpaceDN w:val="0"/>
        <w:adjustRightInd w:val="0"/>
        <w:ind w:left="266" w:hanging="266"/>
        <w:textAlignment w:val="baseline"/>
        <w:rPr>
          <w:b/>
          <w:lang w:val="en-GB"/>
        </w:rPr>
      </w:pPr>
    </w:p>
    <w:p w14:paraId="016DDFC9" w14:textId="7EB8EFAD" w:rsidR="00821C1B" w:rsidRPr="00932850" w:rsidRDefault="00932850" w:rsidP="009F6656">
      <w:pPr>
        <w:overflowPunct w:val="0"/>
        <w:autoSpaceDE w:val="0"/>
        <w:autoSpaceDN w:val="0"/>
        <w:adjustRightInd w:val="0"/>
        <w:textAlignment w:val="baseline"/>
        <w:rPr>
          <w:bCs/>
          <w:iCs/>
          <w:lang w:val="en-GB"/>
        </w:rPr>
      </w:pPr>
      <w:r w:rsidRPr="00932850">
        <w:rPr>
          <w:bCs/>
          <w:iCs/>
          <w:lang w:val="en-GB"/>
        </w:rPr>
        <w:t>The EESC:</w:t>
      </w:r>
    </w:p>
    <w:p w14:paraId="3E6D2102" w14:textId="77777777" w:rsidR="00932850" w:rsidRPr="00932850" w:rsidRDefault="00932850" w:rsidP="00956397">
      <w:pPr>
        <w:numPr>
          <w:ilvl w:val="0"/>
          <w:numId w:val="16"/>
        </w:numPr>
        <w:tabs>
          <w:tab w:val="clear" w:pos="720"/>
        </w:tabs>
        <w:overflowPunct w:val="0"/>
        <w:autoSpaceDE w:val="0"/>
        <w:autoSpaceDN w:val="0"/>
        <w:adjustRightInd w:val="0"/>
        <w:ind w:left="567" w:hanging="567"/>
        <w:textAlignment w:val="baseline"/>
        <w:rPr>
          <w:szCs w:val="20"/>
          <w:lang w:val="en-GB"/>
        </w:rPr>
      </w:pPr>
      <w:r w:rsidRPr="00932850">
        <w:rPr>
          <w:szCs w:val="20"/>
          <w:lang w:val="en-GB"/>
        </w:rPr>
        <w:t>welcomes the Clean Industrial Deal State Aid Framework (CISAF) as a key instrument to support the decarbonisation of European industry and preserve strategic investments within the EU, stressing the need for smooth integration with existing tools to ensure coherence, avoid overlap, and provide clear guidance to stakeholders;</w:t>
      </w:r>
    </w:p>
    <w:p w14:paraId="7B9824C3" w14:textId="77777777" w:rsidR="00932850" w:rsidRPr="00932850" w:rsidRDefault="00932850" w:rsidP="00956397">
      <w:pPr>
        <w:numPr>
          <w:ilvl w:val="0"/>
          <w:numId w:val="16"/>
        </w:numPr>
        <w:tabs>
          <w:tab w:val="clear" w:pos="720"/>
        </w:tabs>
        <w:overflowPunct w:val="0"/>
        <w:autoSpaceDE w:val="0"/>
        <w:autoSpaceDN w:val="0"/>
        <w:adjustRightInd w:val="0"/>
        <w:ind w:left="567" w:hanging="567"/>
        <w:textAlignment w:val="baseline"/>
        <w:rPr>
          <w:szCs w:val="20"/>
          <w:lang w:val="en-GB"/>
        </w:rPr>
      </w:pPr>
      <w:r w:rsidRPr="00932850">
        <w:rPr>
          <w:szCs w:val="20"/>
          <w:lang w:val="en-GB"/>
        </w:rPr>
        <w:t>warns against fragmentation in the single market due to disparities in national State aid capacities, and encourages</w:t>
      </w:r>
      <w:r w:rsidRPr="00932850">
        <w:rPr>
          <w:szCs w:val="20"/>
          <w:lang w:eastAsia="fr-BE"/>
        </w:rPr>
        <w:t xml:space="preserve"> mechanisms that </w:t>
      </w:r>
      <w:r w:rsidRPr="00932850">
        <w:rPr>
          <w:b/>
          <w:bCs/>
          <w:szCs w:val="20"/>
          <w:lang w:eastAsia="fr-BE"/>
        </w:rPr>
        <w:t>reward cross-border coordination and projects with positive spill-over effects</w:t>
      </w:r>
      <w:r w:rsidRPr="00932850">
        <w:rPr>
          <w:szCs w:val="20"/>
          <w:lang w:eastAsia="fr-BE"/>
        </w:rPr>
        <w:t xml:space="preserve">, </w:t>
      </w:r>
      <w:r w:rsidRPr="00932850">
        <w:rPr>
          <w:szCs w:val="20"/>
          <w:lang w:val="en-GB"/>
        </w:rPr>
        <w:t>echoing recommendations from the Letta and Draghi reports;</w:t>
      </w:r>
    </w:p>
    <w:p w14:paraId="16C74148" w14:textId="77777777" w:rsidR="00932850" w:rsidRPr="00932850" w:rsidRDefault="00932850" w:rsidP="00956397">
      <w:pPr>
        <w:numPr>
          <w:ilvl w:val="0"/>
          <w:numId w:val="16"/>
        </w:numPr>
        <w:tabs>
          <w:tab w:val="clear" w:pos="720"/>
        </w:tabs>
        <w:overflowPunct w:val="0"/>
        <w:autoSpaceDE w:val="0"/>
        <w:autoSpaceDN w:val="0"/>
        <w:adjustRightInd w:val="0"/>
        <w:ind w:left="567" w:hanging="567"/>
        <w:textAlignment w:val="baseline"/>
        <w:rPr>
          <w:szCs w:val="20"/>
          <w:lang w:val="en-GB"/>
        </w:rPr>
      </w:pPr>
      <w:r w:rsidRPr="00932850">
        <w:rPr>
          <w:szCs w:val="20"/>
          <w:lang w:val="en-GB"/>
        </w:rPr>
        <w:t>calls for the rapid implementation of the Clean Industrial Deal’s financing instruments, including a robust Competitiveness Fund and reinforced multiannual financial framework (MFF), while underlining</w:t>
      </w:r>
      <w:r w:rsidRPr="00932850">
        <w:rPr>
          <w:szCs w:val="20"/>
          <w:lang w:eastAsia="fr-BE"/>
        </w:rPr>
        <w:t xml:space="preserve"> that </w:t>
      </w:r>
      <w:r w:rsidRPr="00932850">
        <w:rPr>
          <w:b/>
          <w:bCs/>
          <w:szCs w:val="20"/>
          <w:lang w:eastAsia="fr-BE"/>
        </w:rPr>
        <w:t>public support must not divert attention from long-term structural reforms of electricity markets and grid infrastructure</w:t>
      </w:r>
      <w:r w:rsidRPr="00932850">
        <w:rPr>
          <w:szCs w:val="20"/>
          <w:lang w:eastAsia="fr-BE"/>
        </w:rPr>
        <w:t>;</w:t>
      </w:r>
    </w:p>
    <w:p w14:paraId="7520251E" w14:textId="77777777" w:rsidR="00932850" w:rsidRPr="00932850" w:rsidRDefault="00932850" w:rsidP="00956397">
      <w:pPr>
        <w:numPr>
          <w:ilvl w:val="0"/>
          <w:numId w:val="16"/>
        </w:numPr>
        <w:tabs>
          <w:tab w:val="clear" w:pos="720"/>
        </w:tabs>
        <w:overflowPunct w:val="0"/>
        <w:autoSpaceDE w:val="0"/>
        <w:autoSpaceDN w:val="0"/>
        <w:adjustRightInd w:val="0"/>
        <w:ind w:left="567" w:hanging="567"/>
        <w:textAlignment w:val="baseline"/>
        <w:rPr>
          <w:szCs w:val="20"/>
          <w:lang w:val="en-GB"/>
        </w:rPr>
      </w:pPr>
      <w:r w:rsidRPr="00932850">
        <w:rPr>
          <w:szCs w:val="20"/>
          <w:lang w:val="en-GB"/>
        </w:rPr>
        <w:t>supports the CISAF’s aim to balance technological neutrality with decarbonisation goals, but urges the Commission</w:t>
      </w:r>
      <w:r w:rsidRPr="00932850">
        <w:rPr>
          <w:szCs w:val="20"/>
          <w:lang w:eastAsia="fr-BE"/>
        </w:rPr>
        <w:t xml:space="preserve"> to </w:t>
      </w:r>
      <w:r w:rsidRPr="00932850">
        <w:rPr>
          <w:b/>
          <w:bCs/>
          <w:szCs w:val="20"/>
          <w:lang w:eastAsia="fr-BE"/>
        </w:rPr>
        <w:t>maintain dialogue with stakeholders to ensure that aid thresholds and metrics are realistic</w:t>
      </w:r>
      <w:r w:rsidRPr="00932850">
        <w:rPr>
          <w:szCs w:val="20"/>
          <w:lang w:eastAsia="fr-BE"/>
        </w:rPr>
        <w:t xml:space="preserve"> and reflect sectoral and </w:t>
      </w:r>
      <w:r w:rsidRPr="00932850">
        <w:rPr>
          <w:szCs w:val="20"/>
          <w:lang w:val="en-GB"/>
        </w:rPr>
        <w:t>regional specificities;</w:t>
      </w:r>
    </w:p>
    <w:p w14:paraId="6D3CF86A" w14:textId="77777777" w:rsidR="00932850" w:rsidRPr="00932850" w:rsidRDefault="00932850" w:rsidP="00956397">
      <w:pPr>
        <w:numPr>
          <w:ilvl w:val="0"/>
          <w:numId w:val="16"/>
        </w:numPr>
        <w:tabs>
          <w:tab w:val="clear" w:pos="720"/>
        </w:tabs>
        <w:overflowPunct w:val="0"/>
        <w:autoSpaceDE w:val="0"/>
        <w:autoSpaceDN w:val="0"/>
        <w:adjustRightInd w:val="0"/>
        <w:ind w:left="567" w:hanging="567"/>
        <w:textAlignment w:val="baseline"/>
        <w:rPr>
          <w:szCs w:val="20"/>
          <w:lang w:eastAsia="fr-BE"/>
        </w:rPr>
      </w:pPr>
      <w:r w:rsidRPr="00932850">
        <w:rPr>
          <w:szCs w:val="20"/>
          <w:lang w:val="en-GB"/>
        </w:rPr>
        <w:t>welcomes the introduction</w:t>
      </w:r>
      <w:r w:rsidRPr="00932850">
        <w:rPr>
          <w:szCs w:val="20"/>
          <w:lang w:eastAsia="fr-BE"/>
        </w:rPr>
        <w:t xml:space="preserve"> of </w:t>
      </w:r>
      <w:r w:rsidRPr="00932850">
        <w:rPr>
          <w:b/>
          <w:bCs/>
          <w:szCs w:val="20"/>
          <w:lang w:eastAsia="fr-BE"/>
        </w:rPr>
        <w:t>social and European preference clauses</w:t>
      </w:r>
      <w:r w:rsidRPr="00932850">
        <w:rPr>
          <w:szCs w:val="20"/>
          <w:lang w:eastAsia="fr-BE"/>
        </w:rPr>
        <w:t xml:space="preserve"> under the CISAF, provided they are proportionate, aligned with just transition goals, and do not impose excessive administrative burdens that could discourage participation or deepen inequalities between Member States.</w:t>
      </w:r>
    </w:p>
    <w:p w14:paraId="5712F8E9" w14:textId="77777777" w:rsidR="00932850" w:rsidRPr="00932850" w:rsidRDefault="00932850" w:rsidP="009F6656">
      <w:pPr>
        <w:overflowPunct w:val="0"/>
        <w:autoSpaceDE w:val="0"/>
        <w:autoSpaceDN w:val="0"/>
        <w:adjustRightInd w:val="0"/>
        <w:textAlignment w:val="baseline"/>
        <w:rPr>
          <w:bCs/>
          <w:iCs/>
        </w:rPr>
      </w:pPr>
    </w:p>
    <w:tbl>
      <w:tblPr>
        <w:tblW w:w="0" w:type="auto"/>
        <w:tblLook w:val="04A0" w:firstRow="1" w:lastRow="0" w:firstColumn="1" w:lastColumn="0" w:noHBand="0" w:noVBand="1"/>
      </w:tblPr>
      <w:tblGrid>
        <w:gridCol w:w="1930"/>
        <w:gridCol w:w="7143"/>
      </w:tblGrid>
      <w:tr w:rsidR="00932850" w:rsidRPr="00932850" w14:paraId="288B362E" w14:textId="77777777" w:rsidTr="00956201">
        <w:tc>
          <w:tcPr>
            <w:tcW w:w="1951" w:type="dxa"/>
          </w:tcPr>
          <w:p w14:paraId="0DE3ECF9" w14:textId="77777777" w:rsidR="00932850" w:rsidRPr="00932850" w:rsidRDefault="00932850" w:rsidP="00956397">
            <w:pPr>
              <w:overflowPunct w:val="0"/>
              <w:autoSpaceDE w:val="0"/>
              <w:autoSpaceDN w:val="0"/>
              <w:adjustRightInd w:val="0"/>
              <w:ind w:hanging="110"/>
              <w:textAlignment w:val="baseline"/>
              <w:rPr>
                <w:i/>
              </w:rPr>
            </w:pPr>
            <w:r w:rsidRPr="00932850">
              <w:rPr>
                <w:b/>
                <w:i/>
              </w:rPr>
              <w:t>Contact</w:t>
            </w:r>
          </w:p>
        </w:tc>
        <w:tc>
          <w:tcPr>
            <w:tcW w:w="7229" w:type="dxa"/>
          </w:tcPr>
          <w:p w14:paraId="7C06B644" w14:textId="77777777" w:rsidR="00932850" w:rsidRPr="00932850" w:rsidRDefault="00932850" w:rsidP="00956397">
            <w:pPr>
              <w:overflowPunct w:val="0"/>
              <w:autoSpaceDE w:val="0"/>
              <w:autoSpaceDN w:val="0"/>
              <w:adjustRightInd w:val="0"/>
              <w:ind w:hanging="110"/>
              <w:textAlignment w:val="baseline"/>
              <w:rPr>
                <w:i/>
              </w:rPr>
            </w:pPr>
            <w:r w:rsidRPr="00932850">
              <w:rPr>
                <w:i/>
              </w:rPr>
              <w:t>Silvia Staffa</w:t>
            </w:r>
          </w:p>
        </w:tc>
      </w:tr>
      <w:tr w:rsidR="00932850" w:rsidRPr="00932850" w14:paraId="0DAA0D1D" w14:textId="77777777" w:rsidTr="00956201">
        <w:tc>
          <w:tcPr>
            <w:tcW w:w="1951" w:type="dxa"/>
          </w:tcPr>
          <w:p w14:paraId="7FAA56B4" w14:textId="77777777" w:rsidR="00932850" w:rsidRPr="00932850" w:rsidRDefault="00932850" w:rsidP="00956397">
            <w:pPr>
              <w:overflowPunct w:val="0"/>
              <w:autoSpaceDE w:val="0"/>
              <w:autoSpaceDN w:val="0"/>
              <w:adjustRightInd w:val="0"/>
              <w:ind w:hanging="110"/>
              <w:textAlignment w:val="baseline"/>
              <w:rPr>
                <w:i/>
              </w:rPr>
            </w:pPr>
            <w:r w:rsidRPr="00932850">
              <w:rPr>
                <w:i/>
              </w:rPr>
              <w:t>Tel.</w:t>
            </w:r>
          </w:p>
        </w:tc>
        <w:tc>
          <w:tcPr>
            <w:tcW w:w="7229" w:type="dxa"/>
          </w:tcPr>
          <w:p w14:paraId="44CD28FB" w14:textId="16CD95D9" w:rsidR="00932850" w:rsidRPr="00932850" w:rsidRDefault="00932850" w:rsidP="00956397">
            <w:pPr>
              <w:overflowPunct w:val="0"/>
              <w:autoSpaceDE w:val="0"/>
              <w:autoSpaceDN w:val="0"/>
              <w:adjustRightInd w:val="0"/>
              <w:ind w:hanging="110"/>
              <w:textAlignment w:val="baseline"/>
              <w:rPr>
                <w:i/>
              </w:rPr>
            </w:pPr>
            <w:r w:rsidRPr="00932850">
              <w:rPr>
                <w:i/>
              </w:rPr>
              <w:t>+32 2</w:t>
            </w:r>
            <w:r w:rsidR="00956201">
              <w:rPr>
                <w:i/>
              </w:rPr>
              <w:t xml:space="preserve"> </w:t>
            </w:r>
            <w:r w:rsidRPr="00932850">
              <w:rPr>
                <w:i/>
              </w:rPr>
              <w:t>546</w:t>
            </w:r>
            <w:r w:rsidR="00956201">
              <w:rPr>
                <w:i/>
              </w:rPr>
              <w:t xml:space="preserve"> </w:t>
            </w:r>
            <w:r w:rsidRPr="00932850">
              <w:rPr>
                <w:i/>
              </w:rPr>
              <w:t>8378</w:t>
            </w:r>
          </w:p>
        </w:tc>
      </w:tr>
      <w:tr w:rsidR="00932850" w:rsidRPr="00932850" w14:paraId="4FB8CCD6" w14:textId="77777777" w:rsidTr="00956201">
        <w:tc>
          <w:tcPr>
            <w:tcW w:w="1951" w:type="dxa"/>
          </w:tcPr>
          <w:p w14:paraId="4FC5C28A" w14:textId="77777777" w:rsidR="00932850" w:rsidRPr="00932850" w:rsidRDefault="00932850" w:rsidP="00956397">
            <w:pPr>
              <w:overflowPunct w:val="0"/>
              <w:autoSpaceDE w:val="0"/>
              <w:autoSpaceDN w:val="0"/>
              <w:adjustRightInd w:val="0"/>
              <w:ind w:hanging="110"/>
              <w:textAlignment w:val="baseline"/>
              <w:rPr>
                <w:i/>
              </w:rPr>
            </w:pPr>
            <w:r w:rsidRPr="00932850">
              <w:rPr>
                <w:i/>
              </w:rPr>
              <w:t>Email</w:t>
            </w:r>
          </w:p>
        </w:tc>
        <w:tc>
          <w:tcPr>
            <w:tcW w:w="7229" w:type="dxa"/>
          </w:tcPr>
          <w:p w14:paraId="70C4FA07" w14:textId="77777777" w:rsidR="00932850" w:rsidRPr="00932850" w:rsidRDefault="00932850" w:rsidP="00956397">
            <w:pPr>
              <w:overflowPunct w:val="0"/>
              <w:autoSpaceDE w:val="0"/>
              <w:autoSpaceDN w:val="0"/>
              <w:adjustRightInd w:val="0"/>
              <w:ind w:hanging="110"/>
              <w:textAlignment w:val="baseline"/>
              <w:rPr>
                <w:i/>
                <w:iCs/>
              </w:rPr>
            </w:pPr>
            <w:hyperlink r:id="rId25" w:history="1">
              <w:r w:rsidRPr="00932850">
                <w:rPr>
                  <w:i/>
                  <w:iCs/>
                  <w:color w:val="0000FF"/>
                  <w:u w:val="single"/>
                  <w:lang w:val="en-GB"/>
                </w:rPr>
                <w:t>Silvia.Staffa</w:t>
              </w:r>
              <w:r w:rsidRPr="00932850">
                <w:rPr>
                  <w:i/>
                  <w:iCs/>
                  <w:color w:val="0000FF"/>
                  <w:u w:val="single"/>
                </w:rPr>
                <w:t>@eesc.europa.eu</w:t>
              </w:r>
            </w:hyperlink>
          </w:p>
        </w:tc>
      </w:tr>
    </w:tbl>
    <w:p w14:paraId="74018D12" w14:textId="77777777" w:rsidR="0042474B" w:rsidRDefault="0042474B" w:rsidP="009F6656">
      <w:pPr>
        <w:pStyle w:val="ListParagraph"/>
        <w:ind w:left="0"/>
      </w:pPr>
    </w:p>
    <w:p w14:paraId="7A186CDE" w14:textId="77777777" w:rsidR="0042474B" w:rsidRDefault="0042474B" w:rsidP="009F6656">
      <w:pPr>
        <w:pStyle w:val="ListParagraph"/>
        <w:ind w:left="0"/>
      </w:pPr>
    </w:p>
    <w:p w14:paraId="4982DE1D" w14:textId="692696BC" w:rsidR="00B75DBC" w:rsidRDefault="00B75DBC" w:rsidP="009F6656">
      <w:pPr>
        <w:jc w:val="left"/>
      </w:pPr>
      <w:r>
        <w:br w:type="page"/>
      </w:r>
    </w:p>
    <w:p w14:paraId="4982DE1F" w14:textId="77777777" w:rsidR="004D7AC0" w:rsidRDefault="004D7AC0" w:rsidP="009F6656">
      <w:pPr>
        <w:pStyle w:val="Heading1"/>
        <w:rPr>
          <w:b/>
        </w:rPr>
      </w:pPr>
      <w:bookmarkStart w:id="6" w:name="_Toc70322234"/>
      <w:bookmarkStart w:id="7" w:name="_Toc75527084"/>
      <w:bookmarkStart w:id="8" w:name="_Toc214019603"/>
      <w:bookmarkEnd w:id="5"/>
      <w:r>
        <w:rPr>
          <w:b/>
        </w:rPr>
        <w:t>AGRICULTURE, RURAL DEVELOPMENT AND THE ENVIRONMENT</w:t>
      </w:r>
      <w:bookmarkEnd w:id="6"/>
      <w:bookmarkEnd w:id="7"/>
      <w:bookmarkEnd w:id="8"/>
    </w:p>
    <w:p w14:paraId="4982DE20" w14:textId="77777777" w:rsidR="004D7AC0" w:rsidRDefault="004D7AC0" w:rsidP="009F6656"/>
    <w:p w14:paraId="3B63FC6A" w14:textId="601E3C34" w:rsidR="0042474B" w:rsidRPr="00C15BC7" w:rsidRDefault="0042474B" w:rsidP="009F6656">
      <w:pPr>
        <w:widowControl w:val="0"/>
        <w:numPr>
          <w:ilvl w:val="0"/>
          <w:numId w:val="6"/>
        </w:numPr>
        <w:overflowPunct w:val="0"/>
        <w:autoSpaceDE w:val="0"/>
        <w:autoSpaceDN w:val="0"/>
        <w:adjustRightInd w:val="0"/>
        <w:ind w:hanging="567"/>
        <w:textAlignment w:val="baseline"/>
        <w:rPr>
          <w:sz w:val="20"/>
          <w:szCs w:val="20"/>
          <w:lang w:val="en-GB"/>
        </w:rPr>
      </w:pPr>
      <w:hyperlink r:id="rId26" w:history="1">
        <w:r w:rsidRPr="00C15BC7">
          <w:rPr>
            <w:b/>
            <w:bCs/>
            <w:i/>
            <w:iCs/>
            <w:color w:val="0000FF"/>
            <w:sz w:val="28"/>
            <w:szCs w:val="28"/>
            <w:u w:val="single"/>
            <w:lang w:val="en-GB"/>
          </w:rPr>
          <w:t>Omnibus on chemicals</w:t>
        </w:r>
      </w:hyperlink>
    </w:p>
    <w:p w14:paraId="05D748CD" w14:textId="77777777" w:rsidR="0042474B" w:rsidRPr="00C15BC7" w:rsidRDefault="0042474B" w:rsidP="009F6656">
      <w:pPr>
        <w:tabs>
          <w:tab w:val="center" w:pos="284"/>
        </w:tabs>
        <w:overflowPunct w:val="0"/>
        <w:autoSpaceDE w:val="0"/>
        <w:autoSpaceDN w:val="0"/>
        <w:adjustRightInd w:val="0"/>
        <w:ind w:left="266" w:hanging="266"/>
        <w:textAlignment w:val="baseline"/>
        <w:rPr>
          <w:b/>
          <w:lang w:val="en-GB"/>
        </w:rPr>
      </w:pPr>
    </w:p>
    <w:tbl>
      <w:tblPr>
        <w:tblW w:w="5173" w:type="pct"/>
        <w:tblLook w:val="04A0" w:firstRow="1" w:lastRow="0" w:firstColumn="1" w:lastColumn="0" w:noHBand="0" w:noVBand="1"/>
      </w:tblPr>
      <w:tblGrid>
        <w:gridCol w:w="2268"/>
        <w:gridCol w:w="7119"/>
      </w:tblGrid>
      <w:tr w:rsidR="0042474B" w:rsidRPr="00C15BC7" w14:paraId="050C0E8F" w14:textId="77777777" w:rsidTr="005206A0">
        <w:tc>
          <w:tcPr>
            <w:tcW w:w="1208" w:type="pct"/>
          </w:tcPr>
          <w:p w14:paraId="2F108F3B" w14:textId="179539B2" w:rsidR="0042474B" w:rsidRPr="00C15BC7" w:rsidRDefault="0042474B" w:rsidP="009F6656">
            <w:pPr>
              <w:tabs>
                <w:tab w:val="center" w:pos="284"/>
              </w:tabs>
              <w:overflowPunct w:val="0"/>
              <w:autoSpaceDE w:val="0"/>
              <w:autoSpaceDN w:val="0"/>
              <w:adjustRightInd w:val="0"/>
              <w:ind w:left="266" w:hanging="266"/>
              <w:textAlignment w:val="baseline"/>
              <w:rPr>
                <w:b/>
              </w:rPr>
            </w:pPr>
            <w:r w:rsidRPr="00C15BC7">
              <w:rPr>
                <w:b/>
              </w:rPr>
              <w:t>Rapporteur</w:t>
            </w:r>
            <w:r w:rsidR="00686F92">
              <w:rPr>
                <w:b/>
              </w:rPr>
              <w:t>-general</w:t>
            </w:r>
          </w:p>
        </w:tc>
        <w:tc>
          <w:tcPr>
            <w:tcW w:w="3792" w:type="pct"/>
          </w:tcPr>
          <w:p w14:paraId="29538B19" w14:textId="6E4EA27F" w:rsidR="00AB4FF4" w:rsidRPr="009F6656" w:rsidRDefault="0042474B" w:rsidP="009F6656">
            <w:pPr>
              <w:tabs>
                <w:tab w:val="center" w:pos="284"/>
              </w:tabs>
              <w:overflowPunct w:val="0"/>
              <w:autoSpaceDE w:val="0"/>
              <w:autoSpaceDN w:val="0"/>
              <w:adjustRightInd w:val="0"/>
              <w:ind w:left="266" w:right="-3091" w:hanging="266"/>
              <w:textAlignment w:val="baseline"/>
              <w:rPr>
                <w:lang w:val="en-GB"/>
              </w:rPr>
            </w:pPr>
            <w:r w:rsidRPr="00C15BC7">
              <w:t xml:space="preserve">John COMER </w:t>
            </w:r>
            <w:r w:rsidRPr="00C15BC7">
              <w:rPr>
                <w:lang w:val="en-GB"/>
              </w:rPr>
              <w:t>(Civil Society Organisations' Group - IE)</w:t>
            </w:r>
          </w:p>
        </w:tc>
      </w:tr>
      <w:tr w:rsidR="0042474B" w:rsidRPr="00956397" w14:paraId="0D5AE9DE" w14:textId="77777777" w:rsidTr="005206A0">
        <w:tc>
          <w:tcPr>
            <w:tcW w:w="1208" w:type="pct"/>
          </w:tcPr>
          <w:p w14:paraId="3A973A93" w14:textId="77777777" w:rsidR="0042474B" w:rsidRPr="00C15BC7" w:rsidRDefault="0042474B" w:rsidP="009F6656">
            <w:pPr>
              <w:tabs>
                <w:tab w:val="center" w:pos="284"/>
              </w:tabs>
              <w:overflowPunct w:val="0"/>
              <w:autoSpaceDE w:val="0"/>
              <w:autoSpaceDN w:val="0"/>
              <w:adjustRightInd w:val="0"/>
              <w:ind w:left="266" w:hanging="266"/>
              <w:textAlignment w:val="baseline"/>
              <w:rPr>
                <w:b/>
              </w:rPr>
            </w:pPr>
            <w:r w:rsidRPr="00C15BC7">
              <w:rPr>
                <w:b/>
              </w:rPr>
              <w:t>References</w:t>
            </w:r>
          </w:p>
        </w:tc>
        <w:tc>
          <w:tcPr>
            <w:tcW w:w="3792" w:type="pct"/>
          </w:tcPr>
          <w:p w14:paraId="70663B03" w14:textId="74E94C11" w:rsidR="00980D59" w:rsidRPr="00956397" w:rsidRDefault="00980D59" w:rsidP="009F6656">
            <w:pPr>
              <w:tabs>
                <w:tab w:val="center" w:pos="284"/>
              </w:tabs>
              <w:overflowPunct w:val="0"/>
              <w:autoSpaceDE w:val="0"/>
              <w:autoSpaceDN w:val="0"/>
              <w:adjustRightInd w:val="0"/>
              <w:ind w:left="266" w:right="-3091" w:hanging="266"/>
              <w:textAlignment w:val="baseline"/>
              <w:rPr>
                <w:lang w:val="pt-PT"/>
              </w:rPr>
            </w:pPr>
            <w:r w:rsidRPr="00956397">
              <w:rPr>
                <w:lang w:val="pt-PT"/>
              </w:rPr>
              <w:t>COM(2025) 526 final</w:t>
            </w:r>
          </w:p>
          <w:p w14:paraId="1C515A90" w14:textId="2F913335" w:rsidR="00AB4FF4" w:rsidRPr="00956397" w:rsidRDefault="00AB4FF4" w:rsidP="009F6656">
            <w:pPr>
              <w:tabs>
                <w:tab w:val="center" w:pos="284"/>
              </w:tabs>
              <w:overflowPunct w:val="0"/>
              <w:autoSpaceDE w:val="0"/>
              <w:autoSpaceDN w:val="0"/>
              <w:adjustRightInd w:val="0"/>
              <w:ind w:left="266" w:right="-3091" w:hanging="266"/>
              <w:textAlignment w:val="baseline"/>
              <w:rPr>
                <w:lang w:val="pt-PT"/>
              </w:rPr>
            </w:pPr>
            <w:r w:rsidRPr="00956397">
              <w:rPr>
                <w:lang w:val="pt-PT"/>
              </w:rPr>
              <w:t>COM(2025) 531 final</w:t>
            </w:r>
          </w:p>
          <w:p w14:paraId="56AEDCD6" w14:textId="02F88A0F" w:rsidR="0042474B" w:rsidRPr="00956397" w:rsidRDefault="0042474B" w:rsidP="009F6656">
            <w:pPr>
              <w:tabs>
                <w:tab w:val="center" w:pos="284"/>
              </w:tabs>
              <w:overflowPunct w:val="0"/>
              <w:autoSpaceDE w:val="0"/>
              <w:autoSpaceDN w:val="0"/>
              <w:adjustRightInd w:val="0"/>
              <w:ind w:left="266" w:right="-3091" w:hanging="266"/>
              <w:textAlignment w:val="baseline"/>
              <w:rPr>
                <w:lang w:val="pt-PT"/>
              </w:rPr>
            </w:pPr>
            <w:r w:rsidRPr="00956397">
              <w:rPr>
                <w:lang w:val="pt-PT"/>
              </w:rPr>
              <w:t>EESC-2025-02571-00-00</w:t>
            </w:r>
          </w:p>
        </w:tc>
      </w:tr>
    </w:tbl>
    <w:p w14:paraId="73CAA13E" w14:textId="77777777" w:rsidR="0042474B" w:rsidRPr="00956397" w:rsidRDefault="0042474B" w:rsidP="009F6656">
      <w:pPr>
        <w:tabs>
          <w:tab w:val="center" w:pos="284"/>
        </w:tabs>
        <w:overflowPunct w:val="0"/>
        <w:autoSpaceDE w:val="0"/>
        <w:autoSpaceDN w:val="0"/>
        <w:adjustRightInd w:val="0"/>
        <w:ind w:left="266" w:hanging="266"/>
        <w:textAlignment w:val="baseline"/>
        <w:rPr>
          <w:b/>
          <w:lang w:val="pt-PT"/>
        </w:rPr>
      </w:pPr>
    </w:p>
    <w:p w14:paraId="3F98BF2F" w14:textId="77777777" w:rsidR="0042474B" w:rsidRPr="00C15BC7" w:rsidRDefault="0042474B" w:rsidP="009F6656">
      <w:pPr>
        <w:keepNext/>
        <w:keepLines/>
        <w:tabs>
          <w:tab w:val="center" w:pos="284"/>
        </w:tabs>
        <w:overflowPunct w:val="0"/>
        <w:autoSpaceDE w:val="0"/>
        <w:autoSpaceDN w:val="0"/>
        <w:adjustRightInd w:val="0"/>
        <w:ind w:left="266" w:hanging="266"/>
        <w:textAlignment w:val="baseline"/>
        <w:rPr>
          <w:b/>
          <w:lang w:val="en-GB"/>
        </w:rPr>
      </w:pPr>
      <w:r w:rsidRPr="00C15BC7">
        <w:rPr>
          <w:b/>
          <w:lang w:val="en-GB"/>
        </w:rPr>
        <w:t>Key points</w:t>
      </w:r>
    </w:p>
    <w:p w14:paraId="2957AA46" w14:textId="77777777" w:rsidR="00CC23B3" w:rsidRPr="00C15BC7" w:rsidRDefault="00CC23B3" w:rsidP="009F6656">
      <w:pPr>
        <w:keepNext/>
        <w:keepLines/>
        <w:tabs>
          <w:tab w:val="center" w:pos="284"/>
        </w:tabs>
        <w:overflowPunct w:val="0"/>
        <w:autoSpaceDE w:val="0"/>
        <w:autoSpaceDN w:val="0"/>
        <w:adjustRightInd w:val="0"/>
        <w:ind w:left="266" w:hanging="266"/>
        <w:textAlignment w:val="baseline"/>
        <w:rPr>
          <w:b/>
          <w:lang w:val="en-GB"/>
        </w:rPr>
      </w:pPr>
    </w:p>
    <w:p w14:paraId="6D22830D" w14:textId="773A9812" w:rsidR="00AB4FF4" w:rsidRPr="00C15BC7" w:rsidRDefault="0042474B" w:rsidP="009F6656">
      <w:pPr>
        <w:overflowPunct w:val="0"/>
        <w:autoSpaceDE w:val="0"/>
        <w:autoSpaceDN w:val="0"/>
        <w:adjustRightInd w:val="0"/>
        <w:textAlignment w:val="baseline"/>
        <w:rPr>
          <w:bCs/>
          <w:iCs/>
          <w:lang w:val="en-GB"/>
        </w:rPr>
      </w:pPr>
      <w:r w:rsidRPr="00C15BC7">
        <w:rPr>
          <w:bCs/>
          <w:iCs/>
          <w:lang w:val="en-GB"/>
        </w:rPr>
        <w:t>The EESC:</w:t>
      </w:r>
    </w:p>
    <w:p w14:paraId="3CCB2502" w14:textId="77777777" w:rsidR="0042474B" w:rsidRPr="009F6656" w:rsidRDefault="0042474B" w:rsidP="00956397">
      <w:pPr>
        <w:pStyle w:val="ListParagraph"/>
        <w:numPr>
          <w:ilvl w:val="0"/>
          <w:numId w:val="30"/>
        </w:numPr>
        <w:ind w:left="567" w:hanging="567"/>
        <w:rPr>
          <w:lang w:val="en-GB"/>
        </w:rPr>
      </w:pPr>
      <w:bookmarkStart w:id="9" w:name="_Toc213427491"/>
      <w:r w:rsidRPr="009F6656">
        <w:rPr>
          <w:lang w:val="en-GB"/>
        </w:rPr>
        <w:t>welcomes the sixth Simplification Omnibus, which introduces targeted changes to EU chemical, cosmetic and fertilising product regulations to reduce compliance burdens, improve clarity and support innovation without compromising safety. The EESC accepts the general thrust of the Commission proposals and welcomes their aim of ensuring a high level of protection for human health and the environment, while urging that this be pursued in full consideration of the One Health approach;</w:t>
      </w:r>
      <w:bookmarkEnd w:id="9"/>
    </w:p>
    <w:p w14:paraId="58579BAF" w14:textId="77777777" w:rsidR="0042474B" w:rsidRPr="009F6656" w:rsidRDefault="0042474B" w:rsidP="00956397">
      <w:pPr>
        <w:pStyle w:val="ListParagraph"/>
        <w:numPr>
          <w:ilvl w:val="0"/>
          <w:numId w:val="30"/>
        </w:numPr>
        <w:ind w:left="567" w:hanging="567"/>
        <w:rPr>
          <w:lang w:val="en-GB"/>
        </w:rPr>
      </w:pPr>
      <w:bookmarkStart w:id="10" w:name="_Toc213427492"/>
      <w:r w:rsidRPr="00956397">
        <w:rPr>
          <w:color w:val="000000" w:themeColor="text1"/>
          <w:lang w:val="en-GB"/>
        </w:rPr>
        <w:t>underlines that it is important for a consumer to be able to quickly contact a supplier when immediate contact is necessary. Contact by telephone is the best means to achieve this, as facilitates the easy exchange of information when required. Digital contacts do not always provide information in a suitable manner;</w:t>
      </w:r>
      <w:bookmarkEnd w:id="10"/>
    </w:p>
    <w:p w14:paraId="33FC803C" w14:textId="77777777" w:rsidR="0042474B" w:rsidRPr="009F6656" w:rsidRDefault="0042474B" w:rsidP="00956397">
      <w:pPr>
        <w:pStyle w:val="ListParagraph"/>
        <w:numPr>
          <w:ilvl w:val="0"/>
          <w:numId w:val="30"/>
        </w:numPr>
        <w:ind w:left="567" w:hanging="567"/>
        <w:rPr>
          <w:lang w:val="en-GB"/>
        </w:rPr>
      </w:pPr>
      <w:bookmarkStart w:id="11" w:name="_Toc213427493"/>
      <w:r w:rsidRPr="009F6656">
        <w:rPr>
          <w:lang w:val="en-GB"/>
        </w:rPr>
        <w:t xml:space="preserve">notes that some </w:t>
      </w:r>
      <w:r w:rsidRPr="009F6656">
        <w:rPr>
          <w:color w:val="000000" w:themeColor="text1"/>
          <w:lang w:val="en-GB"/>
        </w:rPr>
        <w:t>websites</w:t>
      </w:r>
      <w:r w:rsidRPr="009F6656">
        <w:rPr>
          <w:lang w:val="en-GB"/>
        </w:rPr>
        <w:t xml:space="preserve"> can be quite complex and difficult to navigate. Suppliers must provide easy access and a user-friendly digital contact;</w:t>
      </w:r>
      <w:bookmarkEnd w:id="11"/>
    </w:p>
    <w:p w14:paraId="78D05AB4" w14:textId="77777777" w:rsidR="0042474B" w:rsidRPr="009F6656" w:rsidRDefault="0042474B" w:rsidP="00956397">
      <w:pPr>
        <w:pStyle w:val="ListParagraph"/>
        <w:numPr>
          <w:ilvl w:val="0"/>
          <w:numId w:val="30"/>
        </w:numPr>
        <w:ind w:left="567" w:hanging="567"/>
        <w:rPr>
          <w:lang w:val="en-GB"/>
        </w:rPr>
      </w:pPr>
      <w:bookmarkStart w:id="12" w:name="_Toc213427494"/>
      <w:r w:rsidRPr="009F6656">
        <w:rPr>
          <w:lang w:val="en-GB"/>
        </w:rPr>
        <w:t>stresses that updating labels without undue delay in the event of a change regarding the classification or labelling of a substance or mixture is unsatisfactory in terms of public health and the environment. A fixed period of 12 months to update the label is necessary. If an extension of the fixed period is required, then the Commission needs to be provided with adequate evidence to justify such an extension;</w:t>
      </w:r>
      <w:bookmarkEnd w:id="12"/>
    </w:p>
    <w:p w14:paraId="6C34B495" w14:textId="77777777" w:rsidR="0042474B" w:rsidRPr="009F6656" w:rsidRDefault="0042474B" w:rsidP="00956397">
      <w:pPr>
        <w:pStyle w:val="ListParagraph"/>
        <w:numPr>
          <w:ilvl w:val="0"/>
          <w:numId w:val="30"/>
        </w:numPr>
        <w:ind w:left="567" w:hanging="567"/>
        <w:rPr>
          <w:lang w:val="en-GB"/>
        </w:rPr>
      </w:pPr>
      <w:bookmarkStart w:id="13" w:name="_Toc213427495"/>
      <w:r w:rsidRPr="009F6656">
        <w:rPr>
          <w:lang w:val="en-GB"/>
        </w:rPr>
        <w:t>emphasises that good-quality labelling is an important part of protecting public health and the environment. Labels should be printed in red or black on a white background to ensure easy readability. In exceptional circumstances this may vary, but the underlying requirement must be easy readability and clear and legible words adequately spaced;</w:t>
      </w:r>
      <w:bookmarkEnd w:id="13"/>
    </w:p>
    <w:p w14:paraId="3D00A872" w14:textId="77777777" w:rsidR="0042474B" w:rsidRPr="009F6656" w:rsidRDefault="0042474B" w:rsidP="00956397">
      <w:pPr>
        <w:pStyle w:val="ListParagraph"/>
        <w:numPr>
          <w:ilvl w:val="0"/>
          <w:numId w:val="30"/>
        </w:numPr>
        <w:ind w:left="567" w:hanging="567"/>
        <w:rPr>
          <w:lang w:val="en-GB"/>
        </w:rPr>
      </w:pPr>
      <w:bookmarkStart w:id="14" w:name="_Toc213427496"/>
      <w:r w:rsidRPr="009F6656">
        <w:rPr>
          <w:lang w:val="en-GB"/>
        </w:rPr>
        <w:t>recommends that a derogation for carcinogenic, mutagenic and reprotoxic substances (CMR) whose hazard statements refer to oral or inhalation routes of exposure should be allowed except where it can be demonstrated that children and other vulnerable groups are at particular risk;</w:t>
      </w:r>
      <w:bookmarkEnd w:id="14"/>
    </w:p>
    <w:p w14:paraId="5D4B020B" w14:textId="77777777" w:rsidR="0042474B" w:rsidRPr="009F6656" w:rsidRDefault="0042474B" w:rsidP="00956397">
      <w:pPr>
        <w:pStyle w:val="ListParagraph"/>
        <w:numPr>
          <w:ilvl w:val="0"/>
          <w:numId w:val="30"/>
        </w:numPr>
        <w:ind w:left="567" w:hanging="567"/>
        <w:rPr>
          <w:lang w:val="en-GB"/>
        </w:rPr>
      </w:pPr>
      <w:bookmarkStart w:id="15" w:name="_Toc213427497"/>
      <w:r w:rsidRPr="009F6656">
        <w:rPr>
          <w:lang w:val="en-GB"/>
        </w:rPr>
        <w:t>underlines that economic aspects should only be taken into account where excessive economic costs apply or where the alternative product is totally economically unviable when deciding whether a substance is to be considered a suitable alternative to a CMR substance in a cosmetic product. In particular, small and medium sized enterprises (SMEs) should receive support to invest in alternative products. Public health is too important for economic considerations to be over emphasised as a determining factor when looking at suitable alternatives to CMR substances in such products;</w:t>
      </w:r>
      <w:bookmarkEnd w:id="15"/>
    </w:p>
    <w:p w14:paraId="219A37AA" w14:textId="77777777" w:rsidR="0042474B" w:rsidRPr="009F6656" w:rsidRDefault="0042474B" w:rsidP="00956397">
      <w:pPr>
        <w:pStyle w:val="ListParagraph"/>
        <w:numPr>
          <w:ilvl w:val="0"/>
          <w:numId w:val="30"/>
        </w:numPr>
        <w:ind w:left="567" w:hanging="567"/>
        <w:rPr>
          <w:lang w:val="en-GB"/>
        </w:rPr>
      </w:pPr>
      <w:bookmarkStart w:id="16" w:name="_Toc213427498"/>
      <w:r w:rsidRPr="009F6656">
        <w:rPr>
          <w:lang w:val="en-GB"/>
        </w:rPr>
        <w:t>stresses the need for the Scientific Committee on Consumer Safety (SCCS) to quickly assess endocrine disruptors as they can interfere with the body’s natural hormones. Children, in particular, are at risk because endocrine disruptors might cause disruptions during key developmental moments in their life.</w:t>
      </w:r>
      <w:bookmarkEnd w:id="16"/>
    </w:p>
    <w:p w14:paraId="34563C2A" w14:textId="77777777" w:rsidR="0042474B" w:rsidRPr="00C15BC7" w:rsidRDefault="0042474B" w:rsidP="00956397">
      <w:pPr>
        <w:rPr>
          <w:lang w:val="en-GB"/>
        </w:rPr>
      </w:pPr>
    </w:p>
    <w:tbl>
      <w:tblPr>
        <w:tblW w:w="5000" w:type="pct"/>
        <w:tblLook w:val="04A0" w:firstRow="1" w:lastRow="0" w:firstColumn="1" w:lastColumn="0" w:noHBand="0" w:noVBand="1"/>
      </w:tblPr>
      <w:tblGrid>
        <w:gridCol w:w="1954"/>
        <w:gridCol w:w="7119"/>
      </w:tblGrid>
      <w:tr w:rsidR="0042474B" w:rsidRPr="00C15BC7" w14:paraId="120A3AC9" w14:textId="77777777" w:rsidTr="005206A0">
        <w:tc>
          <w:tcPr>
            <w:tcW w:w="1077" w:type="pct"/>
          </w:tcPr>
          <w:p w14:paraId="6B4EF511" w14:textId="77777777" w:rsidR="0042474B" w:rsidRPr="00C15BC7" w:rsidRDefault="0042474B" w:rsidP="009F6656">
            <w:pPr>
              <w:overflowPunct w:val="0"/>
              <w:autoSpaceDE w:val="0"/>
              <w:autoSpaceDN w:val="0"/>
              <w:adjustRightInd w:val="0"/>
              <w:textAlignment w:val="baseline"/>
              <w:rPr>
                <w:i/>
              </w:rPr>
            </w:pPr>
            <w:r w:rsidRPr="00C15BC7">
              <w:rPr>
                <w:b/>
                <w:i/>
              </w:rPr>
              <w:t>Contact</w:t>
            </w:r>
          </w:p>
        </w:tc>
        <w:tc>
          <w:tcPr>
            <w:tcW w:w="3923" w:type="pct"/>
          </w:tcPr>
          <w:p w14:paraId="4F1C76E6" w14:textId="66C505D8" w:rsidR="0042474B" w:rsidRPr="00C15BC7" w:rsidRDefault="0042474B" w:rsidP="009F6656">
            <w:pPr>
              <w:overflowPunct w:val="0"/>
              <w:autoSpaceDE w:val="0"/>
              <w:autoSpaceDN w:val="0"/>
              <w:adjustRightInd w:val="0"/>
              <w:textAlignment w:val="baseline"/>
              <w:rPr>
                <w:i/>
              </w:rPr>
            </w:pPr>
            <w:r w:rsidRPr="00C15BC7">
              <w:rPr>
                <w:i/>
              </w:rPr>
              <w:t>Alejandra M</w:t>
            </w:r>
            <w:r w:rsidR="00AB4FF4" w:rsidRPr="00C15BC7">
              <w:rPr>
                <w:i/>
              </w:rPr>
              <w:t>olina</w:t>
            </w:r>
            <w:r w:rsidRPr="00C15BC7">
              <w:rPr>
                <w:i/>
              </w:rPr>
              <w:t xml:space="preserve"> S</w:t>
            </w:r>
            <w:r w:rsidR="00AB4FF4" w:rsidRPr="00C15BC7">
              <w:rPr>
                <w:i/>
              </w:rPr>
              <w:t>aavedra</w:t>
            </w:r>
          </w:p>
        </w:tc>
      </w:tr>
      <w:tr w:rsidR="0042474B" w:rsidRPr="00C15BC7" w14:paraId="66F5AF64" w14:textId="77777777" w:rsidTr="005206A0">
        <w:tc>
          <w:tcPr>
            <w:tcW w:w="1077" w:type="pct"/>
          </w:tcPr>
          <w:p w14:paraId="2D7DF3B5" w14:textId="77777777" w:rsidR="0042474B" w:rsidRPr="00C15BC7" w:rsidRDefault="0042474B" w:rsidP="009F6656">
            <w:pPr>
              <w:overflowPunct w:val="0"/>
              <w:autoSpaceDE w:val="0"/>
              <w:autoSpaceDN w:val="0"/>
              <w:adjustRightInd w:val="0"/>
              <w:textAlignment w:val="baseline"/>
              <w:rPr>
                <w:i/>
              </w:rPr>
            </w:pPr>
            <w:r w:rsidRPr="00C15BC7">
              <w:rPr>
                <w:i/>
              </w:rPr>
              <w:t>Tel.</w:t>
            </w:r>
          </w:p>
        </w:tc>
        <w:tc>
          <w:tcPr>
            <w:tcW w:w="3923" w:type="pct"/>
          </w:tcPr>
          <w:p w14:paraId="53FB338E" w14:textId="5AF51ADC" w:rsidR="0042474B" w:rsidRPr="00C15BC7" w:rsidRDefault="0042474B" w:rsidP="009F6656">
            <w:pPr>
              <w:overflowPunct w:val="0"/>
              <w:autoSpaceDE w:val="0"/>
              <w:autoSpaceDN w:val="0"/>
              <w:adjustRightInd w:val="0"/>
              <w:textAlignment w:val="baseline"/>
              <w:rPr>
                <w:i/>
              </w:rPr>
            </w:pPr>
            <w:r w:rsidRPr="00C15BC7">
              <w:rPr>
                <w:i/>
              </w:rPr>
              <w:t>+32</w:t>
            </w:r>
            <w:r w:rsidR="00AB4FF4">
              <w:rPr>
                <w:i/>
              </w:rPr>
              <w:t xml:space="preserve"> </w:t>
            </w:r>
            <w:r w:rsidRPr="00C15BC7">
              <w:rPr>
                <w:i/>
              </w:rPr>
              <w:t>2</w:t>
            </w:r>
            <w:r w:rsidR="00956201">
              <w:rPr>
                <w:i/>
              </w:rPr>
              <w:t xml:space="preserve"> </w:t>
            </w:r>
            <w:r w:rsidRPr="00C15BC7">
              <w:rPr>
                <w:i/>
              </w:rPr>
              <w:t>546</w:t>
            </w:r>
            <w:r w:rsidR="00956201">
              <w:rPr>
                <w:i/>
              </w:rPr>
              <w:t xml:space="preserve"> </w:t>
            </w:r>
            <w:r w:rsidRPr="00C15BC7">
              <w:rPr>
                <w:i/>
              </w:rPr>
              <w:t>8249</w:t>
            </w:r>
          </w:p>
        </w:tc>
      </w:tr>
      <w:tr w:rsidR="0042474B" w:rsidRPr="00C15BC7" w14:paraId="651ED0BC" w14:textId="77777777" w:rsidTr="005206A0">
        <w:tc>
          <w:tcPr>
            <w:tcW w:w="1077" w:type="pct"/>
          </w:tcPr>
          <w:p w14:paraId="7A56833D" w14:textId="77777777" w:rsidR="0042474B" w:rsidRPr="00C15BC7" w:rsidRDefault="0042474B" w:rsidP="009F6656">
            <w:pPr>
              <w:overflowPunct w:val="0"/>
              <w:autoSpaceDE w:val="0"/>
              <w:autoSpaceDN w:val="0"/>
              <w:adjustRightInd w:val="0"/>
              <w:textAlignment w:val="baseline"/>
              <w:rPr>
                <w:i/>
              </w:rPr>
            </w:pPr>
            <w:r w:rsidRPr="00C15BC7">
              <w:rPr>
                <w:i/>
              </w:rPr>
              <w:t>Email</w:t>
            </w:r>
          </w:p>
        </w:tc>
        <w:tc>
          <w:tcPr>
            <w:tcW w:w="3923" w:type="pct"/>
          </w:tcPr>
          <w:p w14:paraId="63F5BB49" w14:textId="4A6BB6E9" w:rsidR="0042474B" w:rsidRPr="00C15BC7" w:rsidRDefault="00956397" w:rsidP="009F6656">
            <w:pPr>
              <w:overflowPunct w:val="0"/>
              <w:autoSpaceDE w:val="0"/>
              <w:autoSpaceDN w:val="0"/>
              <w:adjustRightInd w:val="0"/>
              <w:textAlignment w:val="baseline"/>
              <w:rPr>
                <w:i/>
              </w:rPr>
            </w:pPr>
            <w:hyperlink r:id="rId27" w:history="1">
              <w:r w:rsidR="0042474B" w:rsidRPr="00C15BC7">
                <w:rPr>
                  <w:i/>
                  <w:color w:val="0000FF"/>
                  <w:u w:val="single"/>
                </w:rPr>
                <w:t>Alejandra.MolinaSaavedra@eesc.europa.eu</w:t>
              </w:r>
            </w:hyperlink>
          </w:p>
        </w:tc>
      </w:tr>
    </w:tbl>
    <w:p w14:paraId="6A3AA7BE" w14:textId="77777777" w:rsidR="0042474B" w:rsidRDefault="0042474B" w:rsidP="009F6656">
      <w:pPr>
        <w:pStyle w:val="ListParagraph"/>
        <w:ind w:left="0"/>
      </w:pPr>
    </w:p>
    <w:p w14:paraId="67420FFE" w14:textId="77777777" w:rsidR="0042474B" w:rsidRDefault="0042474B" w:rsidP="009F6656">
      <w:pPr>
        <w:jc w:val="left"/>
      </w:pPr>
      <w:r>
        <w:br w:type="page"/>
      </w:r>
    </w:p>
    <w:p w14:paraId="6C6C79A8" w14:textId="538F99A4" w:rsidR="0042474B" w:rsidRPr="00CC23B3" w:rsidRDefault="0042474B" w:rsidP="00956397">
      <w:pPr>
        <w:pStyle w:val="ListParagraph"/>
        <w:widowControl w:val="0"/>
        <w:numPr>
          <w:ilvl w:val="0"/>
          <w:numId w:val="18"/>
        </w:numPr>
        <w:overflowPunct w:val="0"/>
        <w:autoSpaceDE w:val="0"/>
        <w:autoSpaceDN w:val="0"/>
        <w:adjustRightInd w:val="0"/>
        <w:ind w:hanging="720"/>
        <w:jc w:val="left"/>
        <w:textAlignment w:val="baseline"/>
        <w:rPr>
          <w:sz w:val="20"/>
          <w:szCs w:val="20"/>
          <w:lang w:val="en-GB"/>
        </w:rPr>
      </w:pPr>
      <w:r w:rsidRPr="0042474B">
        <w:rPr>
          <w:bCs/>
          <w:iCs/>
          <w:noProof/>
          <w:sz w:val="20"/>
        </w:rPr>
        <mc:AlternateContent>
          <mc:Choice Requires="wps">
            <w:drawing>
              <wp:anchor distT="0" distB="0" distL="114300" distR="114300" simplePos="0" relativeHeight="251666944" behindDoc="1" locked="0" layoutInCell="0" allowOverlap="1" wp14:anchorId="135D9431" wp14:editId="080AE024">
                <wp:simplePos x="0" y="0"/>
                <wp:positionH relativeFrom="page">
                  <wp:posOffset>6769100</wp:posOffset>
                </wp:positionH>
                <wp:positionV relativeFrom="page">
                  <wp:posOffset>10081260</wp:posOffset>
                </wp:positionV>
                <wp:extent cx="647700" cy="396240"/>
                <wp:effectExtent l="0" t="3810" r="3175" b="0"/>
                <wp:wrapNone/>
                <wp:docPr id="152748627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EE796" w14:textId="77777777" w:rsidR="0042474B" w:rsidRPr="00260E65" w:rsidRDefault="0042474B" w:rsidP="0042474B">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D9431" id="_x0000_s1027" type="#_x0000_t202" style="position:absolute;left:0;text-align:left;margin-left:533pt;margin-top:793.8pt;width:51pt;height:31.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" o:allowincell="f" filled="f" stroked="f">
                <v:textbox>
                  <w:txbxContent>
                    <w:p w14:paraId="2C3EE796" w14:textId="77777777" w:rsidR="0042474B" w:rsidRPr="00260E65" w:rsidRDefault="0042474B" w:rsidP="0042474B">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hyperlink r:id="rId28" w:history="1">
        <w:r w:rsidRPr="00CC23B3">
          <w:rPr>
            <w:b/>
            <w:bCs/>
            <w:i/>
            <w:iCs/>
            <w:color w:val="0000FF"/>
            <w:sz w:val="28"/>
            <w:szCs w:val="28"/>
            <w:u w:val="single"/>
            <w:lang w:val="en-GB"/>
          </w:rPr>
          <w:t>Regulation on European Chemicals Agency</w:t>
        </w:r>
      </w:hyperlink>
    </w:p>
    <w:p w14:paraId="188421F0" w14:textId="77777777" w:rsidR="0042474B" w:rsidRPr="0042474B" w:rsidRDefault="0042474B" w:rsidP="009F6656">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45"/>
        <w:gridCol w:w="7028"/>
      </w:tblGrid>
      <w:tr w:rsidR="0042474B" w:rsidRPr="0042474B" w14:paraId="7409EFD9" w14:textId="77777777" w:rsidTr="00956201">
        <w:tc>
          <w:tcPr>
            <w:tcW w:w="1127" w:type="pct"/>
          </w:tcPr>
          <w:p w14:paraId="2016AA10" w14:textId="475C8657" w:rsidR="0042474B" w:rsidRPr="0042474B" w:rsidRDefault="0042474B" w:rsidP="00956201">
            <w:pPr>
              <w:overflowPunct w:val="0"/>
              <w:autoSpaceDE w:val="0"/>
              <w:autoSpaceDN w:val="0"/>
              <w:adjustRightInd w:val="0"/>
              <w:ind w:right="-105"/>
              <w:jc w:val="left"/>
              <w:textAlignment w:val="baseline"/>
              <w:rPr>
                <w:b/>
              </w:rPr>
            </w:pPr>
            <w:r w:rsidRPr="0042474B">
              <w:rPr>
                <w:b/>
              </w:rPr>
              <w:t>Rapporteur</w:t>
            </w:r>
            <w:r w:rsidR="00CC23B3">
              <w:rPr>
                <w:b/>
              </w:rPr>
              <w:t>-general</w:t>
            </w:r>
          </w:p>
        </w:tc>
        <w:tc>
          <w:tcPr>
            <w:tcW w:w="3873" w:type="pct"/>
          </w:tcPr>
          <w:p w14:paraId="2086F24B" w14:textId="4705FA53" w:rsidR="00CC23B3" w:rsidRPr="0042474B" w:rsidRDefault="0042474B" w:rsidP="009F6656">
            <w:pPr>
              <w:tabs>
                <w:tab w:val="center" w:pos="284"/>
              </w:tabs>
              <w:overflowPunct w:val="0"/>
              <w:autoSpaceDE w:val="0"/>
              <w:autoSpaceDN w:val="0"/>
              <w:adjustRightInd w:val="0"/>
              <w:ind w:left="266" w:right="-3091" w:hanging="266"/>
              <w:textAlignment w:val="baseline"/>
            </w:pPr>
            <w:r w:rsidRPr="0042474B">
              <w:t xml:space="preserve">Maciej Dawid KUNYSZ (Civil Society </w:t>
            </w:r>
            <w:proofErr w:type="spellStart"/>
            <w:r w:rsidRPr="0042474B">
              <w:t>Organisations’</w:t>
            </w:r>
            <w:proofErr w:type="spellEnd"/>
            <w:r w:rsidRPr="0042474B">
              <w:t xml:space="preserve"> Group </w:t>
            </w:r>
            <w:r w:rsidR="00CC23B3">
              <w:t>-</w:t>
            </w:r>
            <w:r w:rsidRPr="0042474B">
              <w:t xml:space="preserve"> PL)</w:t>
            </w:r>
          </w:p>
        </w:tc>
      </w:tr>
      <w:tr w:rsidR="0042474B" w:rsidRPr="0042474B" w14:paraId="61CA6264" w14:textId="77777777" w:rsidTr="00956201">
        <w:tc>
          <w:tcPr>
            <w:tcW w:w="1127" w:type="pct"/>
          </w:tcPr>
          <w:p w14:paraId="3C435869" w14:textId="77777777" w:rsidR="0042474B" w:rsidRPr="0042474B" w:rsidRDefault="0042474B" w:rsidP="009F6656">
            <w:pPr>
              <w:tabs>
                <w:tab w:val="center" w:pos="284"/>
              </w:tabs>
              <w:overflowPunct w:val="0"/>
              <w:autoSpaceDE w:val="0"/>
              <w:autoSpaceDN w:val="0"/>
              <w:adjustRightInd w:val="0"/>
              <w:ind w:left="266" w:hanging="266"/>
              <w:textAlignment w:val="baseline"/>
              <w:rPr>
                <w:b/>
              </w:rPr>
            </w:pPr>
            <w:r w:rsidRPr="0042474B">
              <w:rPr>
                <w:b/>
              </w:rPr>
              <w:t>References</w:t>
            </w:r>
          </w:p>
        </w:tc>
        <w:tc>
          <w:tcPr>
            <w:tcW w:w="3873" w:type="pct"/>
          </w:tcPr>
          <w:p w14:paraId="3ACF8672" w14:textId="5EC94176" w:rsidR="00CC23B3" w:rsidRDefault="00CC23B3" w:rsidP="009F6656">
            <w:pPr>
              <w:tabs>
                <w:tab w:val="center" w:pos="284"/>
              </w:tabs>
              <w:overflowPunct w:val="0"/>
              <w:autoSpaceDE w:val="0"/>
              <w:autoSpaceDN w:val="0"/>
              <w:adjustRightInd w:val="0"/>
              <w:ind w:left="266" w:right="-3091" w:hanging="266"/>
              <w:textAlignment w:val="baseline"/>
            </w:pPr>
            <w:r>
              <w:t xml:space="preserve">COM(2025) </w:t>
            </w:r>
            <w:r w:rsidR="000D6726">
              <w:t>386</w:t>
            </w:r>
            <w:r>
              <w:t xml:space="preserve"> final</w:t>
            </w:r>
          </w:p>
          <w:p w14:paraId="7EA3824B" w14:textId="4B612282" w:rsidR="0042474B" w:rsidRPr="0042474B" w:rsidRDefault="0042474B" w:rsidP="009F6656">
            <w:pPr>
              <w:tabs>
                <w:tab w:val="center" w:pos="284"/>
              </w:tabs>
              <w:overflowPunct w:val="0"/>
              <w:autoSpaceDE w:val="0"/>
              <w:autoSpaceDN w:val="0"/>
              <w:adjustRightInd w:val="0"/>
              <w:ind w:left="266" w:right="-3091" w:hanging="266"/>
              <w:textAlignment w:val="baseline"/>
            </w:pPr>
            <w:r w:rsidRPr="0042474B">
              <w:t>EESC-2025-2572-00-00-AC</w:t>
            </w:r>
          </w:p>
        </w:tc>
      </w:tr>
    </w:tbl>
    <w:p w14:paraId="08A41DF7" w14:textId="77777777" w:rsidR="00D1563B" w:rsidRPr="0042474B" w:rsidRDefault="00D1563B" w:rsidP="009F6656">
      <w:pPr>
        <w:tabs>
          <w:tab w:val="center" w:pos="284"/>
        </w:tabs>
        <w:overflowPunct w:val="0"/>
        <w:autoSpaceDE w:val="0"/>
        <w:autoSpaceDN w:val="0"/>
        <w:adjustRightInd w:val="0"/>
        <w:ind w:left="266" w:hanging="266"/>
        <w:textAlignment w:val="baseline"/>
        <w:rPr>
          <w:b/>
          <w:lang w:val="en-GB"/>
        </w:rPr>
      </w:pPr>
    </w:p>
    <w:p w14:paraId="6A84C1A1" w14:textId="77777777" w:rsidR="0042474B" w:rsidRPr="0042474B" w:rsidRDefault="0042474B" w:rsidP="009F6656">
      <w:pPr>
        <w:keepNext/>
        <w:keepLines/>
        <w:tabs>
          <w:tab w:val="center" w:pos="284"/>
        </w:tabs>
        <w:overflowPunct w:val="0"/>
        <w:autoSpaceDE w:val="0"/>
        <w:autoSpaceDN w:val="0"/>
        <w:adjustRightInd w:val="0"/>
        <w:ind w:left="266" w:hanging="266"/>
        <w:textAlignment w:val="baseline"/>
        <w:rPr>
          <w:b/>
          <w:lang w:val="en-GB"/>
        </w:rPr>
      </w:pPr>
      <w:r w:rsidRPr="0042474B">
        <w:rPr>
          <w:b/>
          <w:lang w:val="en-GB"/>
        </w:rPr>
        <w:t>Key points</w:t>
      </w:r>
    </w:p>
    <w:p w14:paraId="020533A8" w14:textId="77777777" w:rsidR="0042474B" w:rsidRPr="0042474B" w:rsidRDefault="0042474B" w:rsidP="009F6656">
      <w:pPr>
        <w:keepNext/>
        <w:keepLines/>
        <w:tabs>
          <w:tab w:val="center" w:pos="284"/>
        </w:tabs>
        <w:overflowPunct w:val="0"/>
        <w:autoSpaceDE w:val="0"/>
        <w:autoSpaceDN w:val="0"/>
        <w:adjustRightInd w:val="0"/>
        <w:ind w:left="266" w:hanging="266"/>
        <w:textAlignment w:val="baseline"/>
        <w:rPr>
          <w:b/>
          <w:lang w:val="en-GB"/>
        </w:rPr>
      </w:pPr>
    </w:p>
    <w:p w14:paraId="1C9B524E" w14:textId="77777777" w:rsidR="0042474B" w:rsidRDefault="0042474B" w:rsidP="009F6656">
      <w:pPr>
        <w:overflowPunct w:val="0"/>
        <w:autoSpaceDE w:val="0"/>
        <w:autoSpaceDN w:val="0"/>
        <w:adjustRightInd w:val="0"/>
        <w:textAlignment w:val="baseline"/>
        <w:rPr>
          <w:bCs/>
          <w:iCs/>
          <w:lang w:val="en-GB"/>
        </w:rPr>
      </w:pPr>
      <w:r w:rsidRPr="0042474B">
        <w:rPr>
          <w:bCs/>
          <w:iCs/>
          <w:lang w:val="en-GB"/>
        </w:rPr>
        <w:t>The EESC:</w:t>
      </w:r>
    </w:p>
    <w:p w14:paraId="0DB13C81" w14:textId="6875C5B1" w:rsidR="0042474B" w:rsidRPr="00CC23B3" w:rsidRDefault="0042474B" w:rsidP="00956397">
      <w:pPr>
        <w:pStyle w:val="ListParagraph"/>
        <w:widowControl w:val="0"/>
        <w:numPr>
          <w:ilvl w:val="0"/>
          <w:numId w:val="19"/>
        </w:numPr>
        <w:overflowPunct w:val="0"/>
        <w:autoSpaceDE w:val="0"/>
        <w:autoSpaceDN w:val="0"/>
        <w:adjustRightInd w:val="0"/>
        <w:ind w:left="567" w:hanging="567"/>
        <w:textAlignment w:val="baseline"/>
        <w:rPr>
          <w:szCs w:val="20"/>
          <w:lang w:val="en-GB"/>
        </w:rPr>
      </w:pPr>
      <w:r w:rsidRPr="00CC23B3">
        <w:rPr>
          <w:szCs w:val="20"/>
          <w:lang w:val="en-GB"/>
        </w:rPr>
        <w:t>welcomes the proposed European Chemicals Agency (ECHA) regulation which will create an independent legal framework to help ECHA manage its growing duties efficiently with a view to protecting human health and the environment</w:t>
      </w:r>
      <w:r w:rsidR="00CC23B3">
        <w:rPr>
          <w:szCs w:val="20"/>
          <w:lang w:val="en-GB"/>
        </w:rPr>
        <w:t>;</w:t>
      </w:r>
    </w:p>
    <w:p w14:paraId="636AD3E3" w14:textId="77777777" w:rsidR="0042474B" w:rsidRPr="00CC23B3" w:rsidRDefault="0042474B" w:rsidP="00956397">
      <w:pPr>
        <w:pStyle w:val="ListParagraph"/>
        <w:widowControl w:val="0"/>
        <w:numPr>
          <w:ilvl w:val="0"/>
          <w:numId w:val="19"/>
        </w:numPr>
        <w:overflowPunct w:val="0"/>
        <w:autoSpaceDE w:val="0"/>
        <w:autoSpaceDN w:val="0"/>
        <w:adjustRightInd w:val="0"/>
        <w:ind w:left="567" w:hanging="567"/>
        <w:textAlignment w:val="baseline"/>
        <w:rPr>
          <w:szCs w:val="20"/>
          <w:lang w:val="en-GB"/>
        </w:rPr>
      </w:pPr>
      <w:r w:rsidRPr="00CC23B3">
        <w:rPr>
          <w:szCs w:val="20"/>
          <w:lang w:val="en-GB"/>
        </w:rPr>
        <w:t>believes that scientific assessments of chemicals should consider the needs of vulnerable groups in the decision-making process as some substances may pose particular risk for them. The EESC urges to integrate the One Health perspective into its chemical assessments to both address risks that disproportionately affect vulnerable groups and strengthen inclusive, transparent and coordinated governance;</w:t>
      </w:r>
    </w:p>
    <w:p w14:paraId="144FA00E" w14:textId="77777777" w:rsidR="0042474B" w:rsidRPr="00CC23B3" w:rsidRDefault="0042474B" w:rsidP="00956397">
      <w:pPr>
        <w:pStyle w:val="ListParagraph"/>
        <w:widowControl w:val="0"/>
        <w:numPr>
          <w:ilvl w:val="0"/>
          <w:numId w:val="19"/>
        </w:numPr>
        <w:overflowPunct w:val="0"/>
        <w:autoSpaceDE w:val="0"/>
        <w:autoSpaceDN w:val="0"/>
        <w:adjustRightInd w:val="0"/>
        <w:ind w:left="567" w:hanging="567"/>
        <w:textAlignment w:val="baseline"/>
        <w:rPr>
          <w:szCs w:val="20"/>
          <w:lang w:val="en-GB"/>
        </w:rPr>
      </w:pPr>
      <w:r w:rsidRPr="00CC23B3">
        <w:rPr>
          <w:szCs w:val="20"/>
          <w:lang w:val="en-GB"/>
        </w:rPr>
        <w:t>notes that the key to the future success of the Agency lies in ensuring that it is independent and seen to be so in the exercise of its duties and responsibilities.  The issue of conflicts of interest must also be a central consideration to ensure widespread acceptance of scientific opinions;</w:t>
      </w:r>
    </w:p>
    <w:p w14:paraId="4DBC04D7" w14:textId="77777777" w:rsidR="0042474B" w:rsidRPr="00CC23B3" w:rsidRDefault="0042474B" w:rsidP="00956397">
      <w:pPr>
        <w:pStyle w:val="ListParagraph"/>
        <w:widowControl w:val="0"/>
        <w:numPr>
          <w:ilvl w:val="0"/>
          <w:numId w:val="19"/>
        </w:numPr>
        <w:overflowPunct w:val="0"/>
        <w:autoSpaceDE w:val="0"/>
        <w:autoSpaceDN w:val="0"/>
        <w:adjustRightInd w:val="0"/>
        <w:ind w:left="567" w:hanging="567"/>
        <w:textAlignment w:val="baseline"/>
        <w:rPr>
          <w:szCs w:val="20"/>
          <w:lang w:val="en-GB"/>
        </w:rPr>
      </w:pPr>
      <w:r w:rsidRPr="00CC23B3">
        <w:rPr>
          <w:szCs w:val="20"/>
          <w:lang w:val="en-GB"/>
        </w:rPr>
        <w:t xml:space="preserve">recommends that the new proposals ensure the widest possible access to all documents containing chemical data and all other sources of information on chemical data; </w:t>
      </w:r>
    </w:p>
    <w:p w14:paraId="41127815" w14:textId="77777777" w:rsidR="0042474B" w:rsidRPr="00CC23B3" w:rsidRDefault="0042474B" w:rsidP="00956397">
      <w:pPr>
        <w:pStyle w:val="ListParagraph"/>
        <w:widowControl w:val="0"/>
        <w:numPr>
          <w:ilvl w:val="0"/>
          <w:numId w:val="19"/>
        </w:numPr>
        <w:overflowPunct w:val="0"/>
        <w:autoSpaceDE w:val="0"/>
        <w:autoSpaceDN w:val="0"/>
        <w:adjustRightInd w:val="0"/>
        <w:ind w:left="567" w:hanging="567"/>
        <w:textAlignment w:val="baseline"/>
        <w:rPr>
          <w:szCs w:val="20"/>
          <w:lang w:val="en-GB"/>
        </w:rPr>
      </w:pPr>
      <w:r w:rsidRPr="00CC23B3">
        <w:rPr>
          <w:szCs w:val="20"/>
          <w:lang w:val="en-GB"/>
        </w:rPr>
        <w:t>considers that the Board of Appeal, consisting of a chairperson and two members, is far too narrow and restricted to deal adequately with the appeals. The EESC considers that the Board of Appeal must have a broader membership to ensure fairness and transparency;</w:t>
      </w:r>
    </w:p>
    <w:p w14:paraId="7C959E82" w14:textId="77777777" w:rsidR="0042474B" w:rsidRPr="00CC23B3" w:rsidRDefault="0042474B" w:rsidP="00956397">
      <w:pPr>
        <w:pStyle w:val="ListParagraph"/>
        <w:widowControl w:val="0"/>
        <w:numPr>
          <w:ilvl w:val="0"/>
          <w:numId w:val="19"/>
        </w:numPr>
        <w:overflowPunct w:val="0"/>
        <w:autoSpaceDE w:val="0"/>
        <w:autoSpaceDN w:val="0"/>
        <w:adjustRightInd w:val="0"/>
        <w:ind w:left="567" w:hanging="567"/>
        <w:textAlignment w:val="baseline"/>
        <w:rPr>
          <w:szCs w:val="20"/>
          <w:lang w:val="en-GB"/>
        </w:rPr>
      </w:pPr>
      <w:r w:rsidRPr="00CC23B3">
        <w:rPr>
          <w:szCs w:val="20"/>
          <w:lang w:val="en-GB"/>
        </w:rPr>
        <w:t xml:space="preserve">underlines that the precautionary principle must apply to protect public health and the environment in the event of failure to remedy diverging scientific opinions; </w:t>
      </w:r>
    </w:p>
    <w:p w14:paraId="12EEDC1D" w14:textId="77777777" w:rsidR="0042474B" w:rsidRPr="00CC23B3" w:rsidRDefault="0042474B" w:rsidP="00956397">
      <w:pPr>
        <w:pStyle w:val="ListParagraph"/>
        <w:widowControl w:val="0"/>
        <w:numPr>
          <w:ilvl w:val="0"/>
          <w:numId w:val="19"/>
        </w:numPr>
        <w:overflowPunct w:val="0"/>
        <w:autoSpaceDE w:val="0"/>
        <w:autoSpaceDN w:val="0"/>
        <w:adjustRightInd w:val="0"/>
        <w:ind w:left="567" w:hanging="567"/>
        <w:textAlignment w:val="baseline"/>
        <w:rPr>
          <w:szCs w:val="20"/>
          <w:lang w:val="en-GB"/>
        </w:rPr>
      </w:pPr>
      <w:r w:rsidRPr="00CC23B3">
        <w:rPr>
          <w:szCs w:val="20"/>
          <w:lang w:val="en-GB"/>
        </w:rPr>
        <w:t xml:space="preserve">calls for adequate resources to be provided for the ECHA committees and for timeliness indicators and service standards to be introduced; </w:t>
      </w:r>
    </w:p>
    <w:p w14:paraId="707EF3D0" w14:textId="77777777" w:rsidR="0042474B" w:rsidRPr="00CC23B3" w:rsidRDefault="0042474B" w:rsidP="00956397">
      <w:pPr>
        <w:pStyle w:val="ListParagraph"/>
        <w:widowControl w:val="0"/>
        <w:numPr>
          <w:ilvl w:val="0"/>
          <w:numId w:val="19"/>
        </w:numPr>
        <w:overflowPunct w:val="0"/>
        <w:autoSpaceDE w:val="0"/>
        <w:autoSpaceDN w:val="0"/>
        <w:adjustRightInd w:val="0"/>
        <w:ind w:left="567" w:hanging="567"/>
        <w:textAlignment w:val="baseline"/>
        <w:rPr>
          <w:szCs w:val="20"/>
          <w:lang w:val="en-GB"/>
        </w:rPr>
      </w:pPr>
      <w:r w:rsidRPr="00CC23B3">
        <w:rPr>
          <w:szCs w:val="20"/>
          <w:lang w:val="en-GB"/>
        </w:rPr>
        <w:t>recommends establishing a permanent Civil Society Advisory Panel (CSAP) to the ECHA Management Board, with its opinions and minutes published;</w:t>
      </w:r>
    </w:p>
    <w:p w14:paraId="515C6401" w14:textId="77777777" w:rsidR="0042474B" w:rsidRPr="00CC23B3" w:rsidRDefault="0042474B" w:rsidP="00956397">
      <w:pPr>
        <w:pStyle w:val="ListParagraph"/>
        <w:widowControl w:val="0"/>
        <w:numPr>
          <w:ilvl w:val="0"/>
          <w:numId w:val="19"/>
        </w:numPr>
        <w:overflowPunct w:val="0"/>
        <w:autoSpaceDE w:val="0"/>
        <w:autoSpaceDN w:val="0"/>
        <w:adjustRightInd w:val="0"/>
        <w:ind w:left="567" w:hanging="567"/>
        <w:textAlignment w:val="baseline"/>
        <w:rPr>
          <w:szCs w:val="20"/>
          <w:lang w:val="en-GB"/>
        </w:rPr>
      </w:pPr>
      <w:r w:rsidRPr="00CC23B3">
        <w:rPr>
          <w:szCs w:val="20"/>
          <w:lang w:val="en-GB"/>
        </w:rPr>
        <w:t>calls for the proactive publication of non-confidential inputs and plain-language summaries of opinions, decisions and reports, along with FAIR metadata and an API for data re-use. The EESC is also in favour of giving eligible non-profit organisations the right to address the Board of Appeal, and of granting fee waivers or reductions for such organisations.</w:t>
      </w:r>
    </w:p>
    <w:p w14:paraId="60755480" w14:textId="77777777" w:rsidR="0042474B" w:rsidRPr="00956201" w:rsidRDefault="0042474B" w:rsidP="009F6656">
      <w:pPr>
        <w:widowControl w:val="0"/>
        <w:overflowPunct w:val="0"/>
        <w:autoSpaceDE w:val="0"/>
        <w:autoSpaceDN w:val="0"/>
        <w:adjustRightInd w:val="0"/>
        <w:ind w:left="709"/>
        <w:textAlignment w:val="baseline"/>
      </w:pPr>
    </w:p>
    <w:tbl>
      <w:tblPr>
        <w:tblW w:w="5000" w:type="pct"/>
        <w:tblLook w:val="04A0" w:firstRow="1" w:lastRow="0" w:firstColumn="1" w:lastColumn="0" w:noHBand="0" w:noVBand="1"/>
      </w:tblPr>
      <w:tblGrid>
        <w:gridCol w:w="1954"/>
        <w:gridCol w:w="7119"/>
      </w:tblGrid>
      <w:tr w:rsidR="0042474B" w:rsidRPr="0042474B" w14:paraId="464DC16D" w14:textId="77777777" w:rsidTr="005206A0">
        <w:tc>
          <w:tcPr>
            <w:tcW w:w="1077" w:type="pct"/>
          </w:tcPr>
          <w:p w14:paraId="1037A00C" w14:textId="77777777" w:rsidR="0042474B" w:rsidRPr="0042474B" w:rsidRDefault="0042474B" w:rsidP="009F6656">
            <w:pPr>
              <w:overflowPunct w:val="0"/>
              <w:autoSpaceDE w:val="0"/>
              <w:autoSpaceDN w:val="0"/>
              <w:adjustRightInd w:val="0"/>
              <w:textAlignment w:val="baseline"/>
              <w:rPr>
                <w:i/>
              </w:rPr>
            </w:pPr>
            <w:r w:rsidRPr="0042474B">
              <w:rPr>
                <w:b/>
                <w:i/>
              </w:rPr>
              <w:t>Contact</w:t>
            </w:r>
          </w:p>
        </w:tc>
        <w:tc>
          <w:tcPr>
            <w:tcW w:w="3923" w:type="pct"/>
          </w:tcPr>
          <w:p w14:paraId="4103B544" w14:textId="6568D384" w:rsidR="0042474B" w:rsidRPr="0042474B" w:rsidRDefault="0042474B" w:rsidP="009F6656">
            <w:pPr>
              <w:overflowPunct w:val="0"/>
              <w:autoSpaceDE w:val="0"/>
              <w:autoSpaceDN w:val="0"/>
              <w:adjustRightInd w:val="0"/>
              <w:textAlignment w:val="baseline"/>
              <w:rPr>
                <w:i/>
                <w:iCs/>
              </w:rPr>
            </w:pPr>
            <w:r w:rsidRPr="0042474B">
              <w:rPr>
                <w:i/>
                <w:iCs/>
                <w:lang w:val="en-GB"/>
              </w:rPr>
              <w:t>Alejandra M</w:t>
            </w:r>
            <w:r w:rsidR="00CC23B3" w:rsidRPr="0042474B">
              <w:rPr>
                <w:i/>
                <w:iCs/>
                <w:lang w:val="en-GB"/>
              </w:rPr>
              <w:t>olina</w:t>
            </w:r>
            <w:r w:rsidRPr="0042474B">
              <w:rPr>
                <w:i/>
                <w:iCs/>
                <w:lang w:val="en-GB"/>
              </w:rPr>
              <w:t xml:space="preserve"> S</w:t>
            </w:r>
            <w:r w:rsidR="00CC23B3" w:rsidRPr="0042474B">
              <w:rPr>
                <w:i/>
                <w:iCs/>
                <w:lang w:val="en-GB"/>
              </w:rPr>
              <w:t>aavedra</w:t>
            </w:r>
          </w:p>
        </w:tc>
      </w:tr>
      <w:tr w:rsidR="0042474B" w:rsidRPr="0042474B" w14:paraId="070981F2" w14:textId="77777777" w:rsidTr="005206A0">
        <w:tc>
          <w:tcPr>
            <w:tcW w:w="1077" w:type="pct"/>
          </w:tcPr>
          <w:p w14:paraId="300256A1" w14:textId="77777777" w:rsidR="0042474B" w:rsidRPr="0042474B" w:rsidRDefault="0042474B" w:rsidP="009F6656">
            <w:pPr>
              <w:overflowPunct w:val="0"/>
              <w:autoSpaceDE w:val="0"/>
              <w:autoSpaceDN w:val="0"/>
              <w:adjustRightInd w:val="0"/>
              <w:textAlignment w:val="baseline"/>
              <w:rPr>
                <w:i/>
              </w:rPr>
            </w:pPr>
            <w:r w:rsidRPr="0042474B">
              <w:rPr>
                <w:i/>
              </w:rPr>
              <w:t>Tel.</w:t>
            </w:r>
          </w:p>
        </w:tc>
        <w:tc>
          <w:tcPr>
            <w:tcW w:w="3923" w:type="pct"/>
          </w:tcPr>
          <w:p w14:paraId="64C224C5" w14:textId="5398FEA9" w:rsidR="0042474B" w:rsidRPr="0042474B" w:rsidRDefault="0042474B" w:rsidP="009F6656">
            <w:pPr>
              <w:overflowPunct w:val="0"/>
              <w:autoSpaceDE w:val="0"/>
              <w:autoSpaceDN w:val="0"/>
              <w:adjustRightInd w:val="0"/>
              <w:textAlignment w:val="baseline"/>
              <w:rPr>
                <w:i/>
                <w:iCs/>
              </w:rPr>
            </w:pPr>
            <w:r w:rsidRPr="0042474B">
              <w:rPr>
                <w:i/>
                <w:iCs/>
                <w:lang w:val="en-GB"/>
              </w:rPr>
              <w:t>+32</w:t>
            </w:r>
            <w:r w:rsidR="00CC23B3">
              <w:rPr>
                <w:i/>
                <w:iCs/>
                <w:lang w:val="en-GB"/>
              </w:rPr>
              <w:t xml:space="preserve"> </w:t>
            </w:r>
            <w:r w:rsidRPr="0042474B">
              <w:rPr>
                <w:i/>
                <w:iCs/>
                <w:lang w:val="en-GB"/>
              </w:rPr>
              <w:t>2</w:t>
            </w:r>
            <w:r w:rsidR="00956201">
              <w:rPr>
                <w:i/>
                <w:iCs/>
                <w:lang w:val="en-GB"/>
              </w:rPr>
              <w:t xml:space="preserve"> </w:t>
            </w:r>
            <w:r w:rsidRPr="0042474B">
              <w:rPr>
                <w:i/>
                <w:iCs/>
                <w:lang w:val="en-GB"/>
              </w:rPr>
              <w:t>546</w:t>
            </w:r>
            <w:r w:rsidR="00956201">
              <w:rPr>
                <w:i/>
                <w:iCs/>
                <w:lang w:val="en-GB"/>
              </w:rPr>
              <w:t xml:space="preserve"> </w:t>
            </w:r>
            <w:r w:rsidRPr="0042474B">
              <w:rPr>
                <w:i/>
                <w:iCs/>
                <w:lang w:val="en-GB"/>
              </w:rPr>
              <w:t>8249</w:t>
            </w:r>
          </w:p>
        </w:tc>
      </w:tr>
      <w:tr w:rsidR="0042474B" w:rsidRPr="0042474B" w14:paraId="5A1283F8" w14:textId="77777777" w:rsidTr="005206A0">
        <w:tc>
          <w:tcPr>
            <w:tcW w:w="1077" w:type="pct"/>
          </w:tcPr>
          <w:p w14:paraId="12CAD55E" w14:textId="77777777" w:rsidR="0042474B" w:rsidRPr="0042474B" w:rsidRDefault="0042474B" w:rsidP="009F6656">
            <w:pPr>
              <w:overflowPunct w:val="0"/>
              <w:autoSpaceDE w:val="0"/>
              <w:autoSpaceDN w:val="0"/>
              <w:adjustRightInd w:val="0"/>
              <w:textAlignment w:val="baseline"/>
              <w:rPr>
                <w:i/>
              </w:rPr>
            </w:pPr>
            <w:r w:rsidRPr="0042474B">
              <w:rPr>
                <w:i/>
              </w:rPr>
              <w:t>Email</w:t>
            </w:r>
          </w:p>
        </w:tc>
        <w:tc>
          <w:tcPr>
            <w:tcW w:w="3923" w:type="pct"/>
          </w:tcPr>
          <w:p w14:paraId="0A683053" w14:textId="3868E050" w:rsidR="0042474B" w:rsidRPr="0042474B" w:rsidRDefault="00956397" w:rsidP="009F6656">
            <w:pPr>
              <w:overflowPunct w:val="0"/>
              <w:autoSpaceDE w:val="0"/>
              <w:autoSpaceDN w:val="0"/>
              <w:adjustRightInd w:val="0"/>
              <w:textAlignment w:val="baseline"/>
              <w:rPr>
                <w:i/>
                <w:iCs/>
              </w:rPr>
            </w:pPr>
            <w:hyperlink r:id="rId29" w:history="1">
              <w:r w:rsidR="0042474B" w:rsidRPr="0042474B">
                <w:rPr>
                  <w:i/>
                  <w:iCs/>
                  <w:color w:val="0000FF"/>
                  <w:u w:val="single"/>
                  <w:lang w:val="en-GB"/>
                </w:rPr>
                <w:t>Alejandra.MolinaSaavedra@eesc.europa.eu</w:t>
              </w:r>
            </w:hyperlink>
          </w:p>
        </w:tc>
      </w:tr>
    </w:tbl>
    <w:p w14:paraId="4982DE45" w14:textId="52A07963" w:rsidR="007F5784" w:rsidRDefault="007F5784" w:rsidP="009F6656">
      <w:pPr>
        <w:jc w:val="left"/>
      </w:pPr>
    </w:p>
    <w:p w14:paraId="715DB2BD" w14:textId="77777777" w:rsidR="007F5784" w:rsidRDefault="007F5784" w:rsidP="009F6656">
      <w:pPr>
        <w:jc w:val="left"/>
      </w:pPr>
      <w:r>
        <w:br w:type="page"/>
      </w:r>
    </w:p>
    <w:p w14:paraId="14026A78" w14:textId="4FAE1588" w:rsidR="007F5784" w:rsidRDefault="007F5784" w:rsidP="009F6656">
      <w:pPr>
        <w:pStyle w:val="Heading1"/>
        <w:rPr>
          <w:b/>
        </w:rPr>
      </w:pPr>
      <w:bookmarkStart w:id="17" w:name="_Toc214019604"/>
      <w:r>
        <w:rPr>
          <w:b/>
        </w:rPr>
        <w:t>EXTERNAL RELATIONS</w:t>
      </w:r>
      <w:bookmarkEnd w:id="17"/>
    </w:p>
    <w:p w14:paraId="3BBB3E68" w14:textId="77777777" w:rsidR="007F5784" w:rsidRDefault="007F5784" w:rsidP="009F6656"/>
    <w:p w14:paraId="187409F5" w14:textId="092E09CB" w:rsidR="001A1B72" w:rsidRPr="001A1B72" w:rsidRDefault="00956397" w:rsidP="009F6656">
      <w:pPr>
        <w:widowControl w:val="0"/>
        <w:numPr>
          <w:ilvl w:val="0"/>
          <w:numId w:val="11"/>
        </w:numPr>
        <w:overflowPunct w:val="0"/>
        <w:autoSpaceDE w:val="0"/>
        <w:autoSpaceDN w:val="0"/>
        <w:adjustRightInd w:val="0"/>
        <w:ind w:left="567" w:hanging="567"/>
        <w:contextualSpacing/>
        <w:textAlignment w:val="baseline"/>
        <w:rPr>
          <w:b/>
          <w:sz w:val="26"/>
          <w:szCs w:val="26"/>
          <w:lang w:val="en-GB" w:eastAsia="zh-CN"/>
        </w:rPr>
      </w:pPr>
      <w:hyperlink r:id="rId30" w:history="1">
        <w:r w:rsidR="001A1B72" w:rsidRPr="001A1B72">
          <w:rPr>
            <w:b/>
            <w:bCs/>
            <w:i/>
            <w:iCs/>
            <w:color w:val="0000FF"/>
            <w:sz w:val="26"/>
            <w:szCs w:val="26"/>
            <w:u w:val="single"/>
            <w:lang w:val="en-GB" w:eastAsia="zh-CN"/>
          </w:rPr>
          <w:t>Diplomacy and disability</w:t>
        </w:r>
      </w:hyperlink>
    </w:p>
    <w:p w14:paraId="36AEBADF" w14:textId="77777777" w:rsidR="001A1B72" w:rsidRPr="009F6656" w:rsidRDefault="001A1B72" w:rsidP="009F6656">
      <w:pPr>
        <w:widowControl w:val="0"/>
        <w:overflowPunct w:val="0"/>
        <w:autoSpaceDE w:val="0"/>
        <w:autoSpaceDN w:val="0"/>
        <w:adjustRightInd w:val="0"/>
        <w:ind w:left="720"/>
        <w:textAlignment w:val="baseline"/>
      </w:pPr>
    </w:p>
    <w:tbl>
      <w:tblPr>
        <w:tblW w:w="4922" w:type="pct"/>
        <w:tblLook w:val="04A0" w:firstRow="1" w:lastRow="0" w:firstColumn="1" w:lastColumn="0" w:noHBand="0" w:noVBand="1"/>
      </w:tblPr>
      <w:tblGrid>
        <w:gridCol w:w="2183"/>
        <w:gridCol w:w="6748"/>
      </w:tblGrid>
      <w:tr w:rsidR="001A1B72" w:rsidRPr="001A1B72" w14:paraId="3C5F5FD3" w14:textId="77777777" w:rsidTr="00956201">
        <w:trPr>
          <w:trHeight w:val="445"/>
        </w:trPr>
        <w:tc>
          <w:tcPr>
            <w:tcW w:w="1222" w:type="pct"/>
          </w:tcPr>
          <w:p w14:paraId="6843BFB2" w14:textId="2D1CC33E" w:rsidR="001A1B72" w:rsidRPr="001A1B72" w:rsidRDefault="001A1B72" w:rsidP="009F6656">
            <w:pPr>
              <w:overflowPunct w:val="0"/>
              <w:autoSpaceDE w:val="0"/>
              <w:autoSpaceDN w:val="0"/>
              <w:adjustRightInd w:val="0"/>
              <w:textAlignment w:val="baseline"/>
              <w:rPr>
                <w:b/>
              </w:rPr>
            </w:pPr>
            <w:r w:rsidRPr="001A1B72">
              <w:rPr>
                <w:b/>
              </w:rPr>
              <w:t>Rapporteur</w:t>
            </w:r>
            <w:r w:rsidR="00CA29D9">
              <w:rPr>
                <w:b/>
              </w:rPr>
              <w:t>-general</w:t>
            </w:r>
          </w:p>
        </w:tc>
        <w:tc>
          <w:tcPr>
            <w:tcW w:w="3778" w:type="pct"/>
          </w:tcPr>
          <w:p w14:paraId="0A1E02D5" w14:textId="463A7934" w:rsidR="001A1B72" w:rsidRPr="001A1B72" w:rsidRDefault="001A1B72" w:rsidP="009F6656">
            <w:pPr>
              <w:tabs>
                <w:tab w:val="center" w:pos="284"/>
              </w:tabs>
              <w:overflowPunct w:val="0"/>
              <w:autoSpaceDE w:val="0"/>
              <w:autoSpaceDN w:val="0"/>
              <w:adjustRightInd w:val="0"/>
              <w:ind w:left="266" w:hanging="266"/>
              <w:textAlignment w:val="baseline"/>
              <w:rPr>
                <w:lang w:val="it-IT"/>
              </w:rPr>
            </w:pPr>
            <w:r w:rsidRPr="001A1B72">
              <w:rPr>
                <w:lang w:val="it-IT"/>
              </w:rPr>
              <w:t>Pietro Vittorio BARBIERI (</w:t>
            </w:r>
            <w:proofErr w:type="spellStart"/>
            <w:r w:rsidRPr="001A1B72">
              <w:rPr>
                <w:lang w:val="it-IT"/>
              </w:rPr>
              <w:t>Civil</w:t>
            </w:r>
            <w:proofErr w:type="spellEnd"/>
            <w:r w:rsidRPr="001A1B72">
              <w:rPr>
                <w:lang w:val="it-IT"/>
              </w:rPr>
              <w:t xml:space="preserve"> Society </w:t>
            </w:r>
            <w:proofErr w:type="spellStart"/>
            <w:r w:rsidRPr="001A1B72">
              <w:rPr>
                <w:lang w:val="it-IT"/>
              </w:rPr>
              <w:t>Organisations'</w:t>
            </w:r>
            <w:proofErr w:type="spellEnd"/>
            <w:r w:rsidRPr="001A1B72">
              <w:rPr>
                <w:lang w:val="it-IT"/>
              </w:rPr>
              <w:t xml:space="preserve"> </w:t>
            </w:r>
            <w:proofErr w:type="spellStart"/>
            <w:r w:rsidRPr="001A1B72">
              <w:rPr>
                <w:lang w:val="it-IT"/>
              </w:rPr>
              <w:t>Group</w:t>
            </w:r>
            <w:proofErr w:type="spellEnd"/>
            <w:r w:rsidRPr="001A1B72">
              <w:rPr>
                <w:lang w:val="it-IT"/>
              </w:rPr>
              <w:t xml:space="preserve"> </w:t>
            </w:r>
            <w:r w:rsidR="00CA29D9">
              <w:rPr>
                <w:lang w:val="it-IT"/>
              </w:rPr>
              <w:t>-</w:t>
            </w:r>
            <w:r w:rsidRPr="001A1B72">
              <w:rPr>
                <w:lang w:val="it-IT"/>
              </w:rPr>
              <w:t xml:space="preserve"> IT)</w:t>
            </w:r>
          </w:p>
        </w:tc>
      </w:tr>
      <w:tr w:rsidR="001A1B72" w:rsidRPr="001A1B72" w14:paraId="34AF32BC" w14:textId="77777777" w:rsidTr="00956201">
        <w:tc>
          <w:tcPr>
            <w:tcW w:w="1222" w:type="pct"/>
          </w:tcPr>
          <w:p w14:paraId="31EBEF34" w14:textId="77777777" w:rsidR="001A1B72" w:rsidRPr="001A1B72" w:rsidRDefault="001A1B72" w:rsidP="009F6656">
            <w:pPr>
              <w:tabs>
                <w:tab w:val="center" w:pos="284"/>
              </w:tabs>
              <w:overflowPunct w:val="0"/>
              <w:autoSpaceDE w:val="0"/>
              <w:autoSpaceDN w:val="0"/>
              <w:adjustRightInd w:val="0"/>
              <w:ind w:left="266" w:hanging="266"/>
              <w:textAlignment w:val="baseline"/>
              <w:rPr>
                <w:b/>
              </w:rPr>
            </w:pPr>
            <w:r w:rsidRPr="001A1B72">
              <w:rPr>
                <w:b/>
              </w:rPr>
              <w:t>Reference</w:t>
            </w:r>
          </w:p>
        </w:tc>
        <w:tc>
          <w:tcPr>
            <w:tcW w:w="3778" w:type="pct"/>
          </w:tcPr>
          <w:p w14:paraId="5F8E2BF3" w14:textId="1E7D051E" w:rsidR="00CA29D9" w:rsidRDefault="00CA29D9" w:rsidP="009F6656">
            <w:pPr>
              <w:tabs>
                <w:tab w:val="center" w:pos="284"/>
              </w:tabs>
              <w:overflowPunct w:val="0"/>
              <w:autoSpaceDE w:val="0"/>
              <w:autoSpaceDN w:val="0"/>
              <w:adjustRightInd w:val="0"/>
              <w:ind w:left="266" w:hanging="266"/>
              <w:textAlignment w:val="baseline"/>
            </w:pPr>
            <w:r>
              <w:t>Information report</w:t>
            </w:r>
          </w:p>
          <w:p w14:paraId="434477A8" w14:textId="5F732638" w:rsidR="001A1B72" w:rsidRPr="001A1B72" w:rsidRDefault="001A1B72" w:rsidP="009F6656">
            <w:pPr>
              <w:tabs>
                <w:tab w:val="center" w:pos="284"/>
              </w:tabs>
              <w:overflowPunct w:val="0"/>
              <w:autoSpaceDE w:val="0"/>
              <w:autoSpaceDN w:val="0"/>
              <w:adjustRightInd w:val="0"/>
              <w:ind w:left="266" w:hanging="266"/>
              <w:textAlignment w:val="baseline"/>
            </w:pPr>
            <w:r w:rsidRPr="001A1B72">
              <w:t>EESC-2025-</w:t>
            </w:r>
            <w:r w:rsidRPr="001A1B72">
              <w:rPr>
                <w:lang w:val="en-GB"/>
              </w:rPr>
              <w:t>00642</w:t>
            </w:r>
            <w:r w:rsidRPr="001A1B72">
              <w:t>-00-00-RI</w:t>
            </w:r>
          </w:p>
        </w:tc>
      </w:tr>
    </w:tbl>
    <w:p w14:paraId="5DB385FA" w14:textId="77777777" w:rsidR="00CA29D9" w:rsidRDefault="00CA29D9" w:rsidP="009F6656">
      <w:pPr>
        <w:tabs>
          <w:tab w:val="center" w:pos="284"/>
        </w:tabs>
        <w:overflowPunct w:val="0"/>
        <w:autoSpaceDE w:val="0"/>
        <w:autoSpaceDN w:val="0"/>
        <w:adjustRightInd w:val="0"/>
        <w:ind w:left="266" w:hanging="266"/>
        <w:rPr>
          <w:b/>
          <w:iCs/>
          <w:lang w:val="en-GB"/>
        </w:rPr>
      </w:pPr>
    </w:p>
    <w:p w14:paraId="403A33CF" w14:textId="07D3A6D2" w:rsidR="001A1B72" w:rsidRPr="001A1B72" w:rsidRDefault="001A1B72" w:rsidP="009F6656">
      <w:pPr>
        <w:tabs>
          <w:tab w:val="center" w:pos="284"/>
        </w:tabs>
        <w:overflowPunct w:val="0"/>
        <w:autoSpaceDE w:val="0"/>
        <w:autoSpaceDN w:val="0"/>
        <w:adjustRightInd w:val="0"/>
        <w:ind w:left="266" w:hanging="266"/>
        <w:rPr>
          <w:b/>
          <w:iCs/>
          <w:lang w:val="en-GB"/>
        </w:rPr>
      </w:pPr>
      <w:r w:rsidRPr="001A1B72">
        <w:rPr>
          <w:b/>
          <w:iCs/>
          <w:lang w:val="en-GB"/>
        </w:rPr>
        <w:t>Key points</w:t>
      </w:r>
    </w:p>
    <w:p w14:paraId="13E25A0D" w14:textId="77777777" w:rsidR="001A1B72" w:rsidRPr="001A1B72" w:rsidRDefault="001A1B72" w:rsidP="009F6656">
      <w:pPr>
        <w:tabs>
          <w:tab w:val="center" w:pos="284"/>
        </w:tabs>
        <w:overflowPunct w:val="0"/>
        <w:autoSpaceDE w:val="0"/>
        <w:autoSpaceDN w:val="0"/>
        <w:adjustRightInd w:val="0"/>
        <w:ind w:left="266" w:hanging="266"/>
        <w:rPr>
          <w:bCs/>
          <w:iCs/>
          <w:sz w:val="16"/>
          <w:szCs w:val="16"/>
          <w:lang w:val="en-GB"/>
        </w:rPr>
      </w:pPr>
    </w:p>
    <w:p w14:paraId="6DA573FF" w14:textId="77777777" w:rsidR="001A1B72" w:rsidRDefault="001A1B72" w:rsidP="009F6656">
      <w:pPr>
        <w:tabs>
          <w:tab w:val="center" w:pos="284"/>
        </w:tabs>
        <w:overflowPunct w:val="0"/>
        <w:autoSpaceDE w:val="0"/>
        <w:autoSpaceDN w:val="0"/>
        <w:adjustRightInd w:val="0"/>
        <w:ind w:left="266" w:hanging="266"/>
        <w:rPr>
          <w:bCs/>
          <w:iCs/>
          <w:lang w:val="en-GB"/>
        </w:rPr>
      </w:pPr>
      <w:r w:rsidRPr="001A1B72">
        <w:rPr>
          <w:bCs/>
          <w:iCs/>
          <w:lang w:val="en-GB"/>
        </w:rPr>
        <w:t>The EESC:</w:t>
      </w:r>
    </w:p>
    <w:p w14:paraId="7F5FDE37" w14:textId="77777777" w:rsidR="001A1B72" w:rsidRPr="001A1B72" w:rsidRDefault="001A1B72" w:rsidP="00956397">
      <w:pPr>
        <w:numPr>
          <w:ilvl w:val="0"/>
          <w:numId w:val="21"/>
        </w:numPr>
        <w:overflowPunct w:val="0"/>
        <w:autoSpaceDE w:val="0"/>
        <w:autoSpaceDN w:val="0"/>
        <w:adjustRightInd w:val="0"/>
        <w:ind w:left="567" w:hanging="567"/>
        <w:contextualSpacing/>
        <w:textAlignment w:val="baseline"/>
        <w:rPr>
          <w:bCs/>
          <w:iCs/>
          <w:lang w:val="en-GB" w:eastAsia="zh-CN"/>
        </w:rPr>
      </w:pPr>
      <w:r w:rsidRPr="001A1B72">
        <w:rPr>
          <w:bCs/>
          <w:lang w:val="en-GB" w:eastAsia="zh-CN"/>
        </w:rPr>
        <w:t>underlines that the cornerstone</w:t>
      </w:r>
      <w:r w:rsidRPr="001A1B72">
        <w:rPr>
          <w:lang w:val="en-GB" w:eastAsia="zh-CN"/>
        </w:rPr>
        <w:t xml:space="preserve"> of diplomacy with regard to combating discrimination against persons with disabilities is the United Nations Convention on the Rights of Persons with Disabilities (CRPD), which was adopted in 2006 and entered into force in 2008. The CRPD is the main international legal instrument protecting the rights of persons with disabilities; it lays down fundamental principles such as non-discrimination, full and effective participation in society, accessibility and equality of opportunity;</w:t>
      </w:r>
    </w:p>
    <w:p w14:paraId="1BDCE96E" w14:textId="77777777" w:rsidR="001A1B72" w:rsidRPr="001A1B72" w:rsidRDefault="001A1B72" w:rsidP="00956397">
      <w:pPr>
        <w:numPr>
          <w:ilvl w:val="0"/>
          <w:numId w:val="21"/>
        </w:numPr>
        <w:overflowPunct w:val="0"/>
        <w:autoSpaceDE w:val="0"/>
        <w:autoSpaceDN w:val="0"/>
        <w:adjustRightInd w:val="0"/>
        <w:ind w:left="567" w:hanging="567"/>
        <w:contextualSpacing/>
        <w:textAlignment w:val="baseline"/>
        <w:rPr>
          <w:bCs/>
          <w:iCs/>
          <w:lang w:val="en-GB" w:eastAsia="zh-CN"/>
        </w:rPr>
      </w:pPr>
      <w:r w:rsidRPr="001A1B72">
        <w:rPr>
          <w:bCs/>
          <w:lang w:val="en-GB" w:eastAsia="zh-CN"/>
        </w:rPr>
        <w:t xml:space="preserve">welcomes the numerous measures adopted by the </w:t>
      </w:r>
      <w:r w:rsidRPr="001A1B72">
        <w:rPr>
          <w:lang w:val="en-GB" w:eastAsia="zh-CN"/>
        </w:rPr>
        <w:t>European Union since it signed the CRPD in 2011 to ensure that persons with disabilities have equal rights and opportunities;</w:t>
      </w:r>
    </w:p>
    <w:p w14:paraId="04F3E7C6" w14:textId="77777777" w:rsidR="001A1B72" w:rsidRPr="001A1B72" w:rsidRDefault="001A1B72" w:rsidP="00956397">
      <w:pPr>
        <w:numPr>
          <w:ilvl w:val="0"/>
          <w:numId w:val="21"/>
        </w:numPr>
        <w:overflowPunct w:val="0"/>
        <w:autoSpaceDE w:val="0"/>
        <w:autoSpaceDN w:val="0"/>
        <w:adjustRightInd w:val="0"/>
        <w:ind w:left="567" w:hanging="567"/>
        <w:contextualSpacing/>
        <w:textAlignment w:val="baseline"/>
        <w:rPr>
          <w:bCs/>
          <w:iCs/>
          <w:lang w:val="en-GB" w:eastAsia="zh-CN"/>
        </w:rPr>
      </w:pPr>
      <w:r w:rsidRPr="001A1B72">
        <w:rPr>
          <w:lang w:val="en-GB" w:eastAsia="zh-CN"/>
        </w:rPr>
        <w:t>points out that the EU has also provided funds at European level to foster the inclusion of persons with disabilities in a range of areas: the social sphere, employment, education, health and culture;</w:t>
      </w:r>
    </w:p>
    <w:p w14:paraId="1C0F3CFF" w14:textId="4C488C2B" w:rsidR="001A1B72" w:rsidRPr="001A1B72" w:rsidRDefault="001A1B72" w:rsidP="00956397">
      <w:pPr>
        <w:numPr>
          <w:ilvl w:val="0"/>
          <w:numId w:val="21"/>
        </w:numPr>
        <w:overflowPunct w:val="0"/>
        <w:autoSpaceDE w:val="0"/>
        <w:autoSpaceDN w:val="0"/>
        <w:adjustRightInd w:val="0"/>
        <w:ind w:left="567" w:hanging="567"/>
        <w:contextualSpacing/>
        <w:textAlignment w:val="baseline"/>
        <w:rPr>
          <w:bCs/>
          <w:iCs/>
          <w:lang w:val="en-GB" w:eastAsia="zh-CN"/>
        </w:rPr>
      </w:pPr>
      <w:r w:rsidRPr="001A1B72">
        <w:rPr>
          <w:bCs/>
          <w:iCs/>
          <w:lang w:val="en-GB" w:eastAsia="zh-CN"/>
        </w:rPr>
        <w:t xml:space="preserve">emphasises that the </w:t>
      </w:r>
      <w:r w:rsidRPr="001A1B72">
        <w:rPr>
          <w:lang w:val="en-GB" w:eastAsia="zh-CN"/>
        </w:rPr>
        <w:t>EU also worked with NGOs to develop and improve inclusive policies, collect accurate data and raise awareness about disability</w:t>
      </w:r>
      <w:r w:rsidR="00CA29D9">
        <w:rPr>
          <w:lang w:val="en-GB" w:eastAsia="zh-CN"/>
        </w:rPr>
        <w:t>;</w:t>
      </w:r>
    </w:p>
    <w:p w14:paraId="0FA3C09B" w14:textId="77777777" w:rsidR="001A1B72" w:rsidRPr="001A1B72" w:rsidRDefault="001A1B72" w:rsidP="00956397">
      <w:pPr>
        <w:numPr>
          <w:ilvl w:val="0"/>
          <w:numId w:val="21"/>
        </w:numPr>
        <w:overflowPunct w:val="0"/>
        <w:autoSpaceDE w:val="0"/>
        <w:autoSpaceDN w:val="0"/>
        <w:adjustRightInd w:val="0"/>
        <w:ind w:left="567" w:hanging="567"/>
        <w:contextualSpacing/>
        <w:textAlignment w:val="baseline"/>
        <w:rPr>
          <w:bCs/>
          <w:iCs/>
          <w:lang w:val="en-GB" w:eastAsia="zh-CN"/>
        </w:rPr>
      </w:pPr>
      <w:r w:rsidRPr="001A1B72">
        <w:rPr>
          <w:lang w:val="en-GB" w:eastAsia="zh-CN"/>
        </w:rPr>
        <w:t xml:space="preserve">points out that Sweden, Lithuania and Germany are among the European countries that seem to have done the most to transpose the CRPD and underlines that Poland is also making significant progress. </w:t>
      </w:r>
      <w:r w:rsidRPr="001A1B72">
        <w:rPr>
          <w:bCs/>
          <w:iCs/>
          <w:lang w:val="en-GB" w:eastAsia="zh-CN"/>
        </w:rPr>
        <w:t>O</w:t>
      </w:r>
      <w:r w:rsidRPr="001A1B72">
        <w:rPr>
          <w:lang w:val="en-GB" w:eastAsia="zh-CN"/>
        </w:rPr>
        <w:t>utside the EU, Canada, Australia and New Zealand are among the countries that have done most to uphold the rights of persons with disabilities;</w:t>
      </w:r>
    </w:p>
    <w:p w14:paraId="1820B61B" w14:textId="77777777" w:rsidR="001A1B72" w:rsidRPr="001A1B72" w:rsidRDefault="001A1B72" w:rsidP="00956397">
      <w:pPr>
        <w:numPr>
          <w:ilvl w:val="0"/>
          <w:numId w:val="21"/>
        </w:numPr>
        <w:overflowPunct w:val="0"/>
        <w:autoSpaceDE w:val="0"/>
        <w:autoSpaceDN w:val="0"/>
        <w:adjustRightInd w:val="0"/>
        <w:ind w:left="567" w:hanging="567"/>
        <w:contextualSpacing/>
        <w:textAlignment w:val="baseline"/>
        <w:rPr>
          <w:bCs/>
          <w:iCs/>
          <w:lang w:val="en-GB" w:eastAsia="zh-CN"/>
        </w:rPr>
      </w:pPr>
      <w:r w:rsidRPr="001A1B72">
        <w:rPr>
          <w:bCs/>
          <w:iCs/>
          <w:lang w:val="en-GB" w:eastAsia="zh-CN"/>
        </w:rPr>
        <w:t xml:space="preserve">recommends the adoption of action plans by the European Commission </w:t>
      </w:r>
      <w:r w:rsidRPr="001A1B72">
        <w:rPr>
          <w:lang w:val="en-GB" w:eastAsia="zh-CN"/>
        </w:rPr>
        <w:t>(both within and outside the EU) on all forms of disability, in line with those already in place for young people and gender equality;</w:t>
      </w:r>
    </w:p>
    <w:p w14:paraId="39F6DB56" w14:textId="77777777" w:rsidR="001A1B72" w:rsidRPr="001A1B72" w:rsidRDefault="001A1B72" w:rsidP="00956397">
      <w:pPr>
        <w:numPr>
          <w:ilvl w:val="0"/>
          <w:numId w:val="21"/>
        </w:numPr>
        <w:overflowPunct w:val="0"/>
        <w:autoSpaceDE w:val="0"/>
        <w:autoSpaceDN w:val="0"/>
        <w:adjustRightInd w:val="0"/>
        <w:ind w:left="567" w:hanging="567"/>
        <w:contextualSpacing/>
        <w:textAlignment w:val="baseline"/>
        <w:rPr>
          <w:bCs/>
          <w:iCs/>
          <w:lang w:val="en-GB" w:eastAsia="zh-CN"/>
        </w:rPr>
      </w:pPr>
      <w:r w:rsidRPr="001A1B72">
        <w:rPr>
          <w:lang w:val="en-GB" w:eastAsia="zh-CN"/>
        </w:rPr>
        <w:t>requests the Commission to work more closely with disabled people’s organisations, both in the context of international cooperation and as part of the EU’s humanitarian work: it will enhance its diplomacy and make it more effective;</w:t>
      </w:r>
    </w:p>
    <w:p w14:paraId="4E494E8E" w14:textId="77777777" w:rsidR="001A1B72" w:rsidRPr="001A1B72" w:rsidRDefault="001A1B72" w:rsidP="00956397">
      <w:pPr>
        <w:numPr>
          <w:ilvl w:val="0"/>
          <w:numId w:val="21"/>
        </w:numPr>
        <w:overflowPunct w:val="0"/>
        <w:autoSpaceDE w:val="0"/>
        <w:autoSpaceDN w:val="0"/>
        <w:adjustRightInd w:val="0"/>
        <w:ind w:left="567" w:hanging="567"/>
        <w:contextualSpacing/>
        <w:textAlignment w:val="baseline"/>
        <w:rPr>
          <w:bCs/>
          <w:iCs/>
          <w:lang w:val="en-GB" w:eastAsia="zh-CN"/>
        </w:rPr>
      </w:pPr>
      <w:r w:rsidRPr="001A1B72">
        <w:rPr>
          <w:lang w:val="en-GB" w:eastAsia="zh-CN"/>
        </w:rPr>
        <w:t xml:space="preserve">believes that every diplomatic delegation dealing with disability and agreements or treaties in which the rights of persons with disabilities may be affected should be obliged to bring at least one representative of a Disabled People's Organisation (DPO) to UN meetings, at the expense of their respective countries. </w:t>
      </w:r>
      <w:r w:rsidRPr="001A1B72">
        <w:rPr>
          <w:bCs/>
          <w:iCs/>
          <w:lang w:val="en-GB" w:eastAsia="zh-CN"/>
        </w:rPr>
        <w:t xml:space="preserve">It is suggested </w:t>
      </w:r>
      <w:r w:rsidRPr="001A1B72">
        <w:rPr>
          <w:lang w:val="en-GB" w:eastAsia="zh-CN"/>
        </w:rPr>
        <w:t>to start with the Conference of States Parties (COSP);</w:t>
      </w:r>
    </w:p>
    <w:p w14:paraId="6D576F08" w14:textId="77777777" w:rsidR="001A1B72" w:rsidRPr="00CA29D9" w:rsidRDefault="001A1B72" w:rsidP="009F6656">
      <w:pPr>
        <w:numPr>
          <w:ilvl w:val="0"/>
          <w:numId w:val="21"/>
        </w:numPr>
        <w:overflowPunct w:val="0"/>
        <w:autoSpaceDE w:val="0"/>
        <w:autoSpaceDN w:val="0"/>
        <w:adjustRightInd w:val="0"/>
        <w:ind w:left="567" w:hanging="567"/>
        <w:contextualSpacing/>
        <w:textAlignment w:val="baseline"/>
        <w:rPr>
          <w:bCs/>
          <w:iCs/>
          <w:lang w:val="en-GB" w:eastAsia="zh-CN"/>
        </w:rPr>
      </w:pPr>
      <w:r w:rsidRPr="001A1B72">
        <w:rPr>
          <w:lang w:val="en-GB" w:eastAsia="zh-CN"/>
        </w:rPr>
        <w:t>argues thar the EU could support this initiative via Team Europe, which at each COSP advocates a common position agreed by the 27 Member States. The aim is to formally designate disability focal points in each diplomatic delegation.</w:t>
      </w:r>
    </w:p>
    <w:p w14:paraId="11021A65" w14:textId="77777777" w:rsidR="00CA29D9" w:rsidRPr="001A1B72" w:rsidRDefault="00CA29D9" w:rsidP="00956397">
      <w:pPr>
        <w:tabs>
          <w:tab w:val="center" w:pos="284"/>
        </w:tabs>
        <w:overflowPunct w:val="0"/>
        <w:autoSpaceDE w:val="0"/>
        <w:autoSpaceDN w:val="0"/>
        <w:adjustRightInd w:val="0"/>
        <w:ind w:left="360"/>
        <w:contextualSpacing/>
        <w:textAlignment w:val="baseline"/>
        <w:rPr>
          <w:bCs/>
          <w:iCs/>
          <w:lang w:val="en-GB" w:eastAsia="zh-CN"/>
        </w:rPr>
      </w:pPr>
    </w:p>
    <w:tbl>
      <w:tblPr>
        <w:tblW w:w="5000" w:type="pct"/>
        <w:tblLook w:val="04A0" w:firstRow="1" w:lastRow="0" w:firstColumn="1" w:lastColumn="0" w:noHBand="0" w:noVBand="1"/>
      </w:tblPr>
      <w:tblGrid>
        <w:gridCol w:w="1630"/>
        <w:gridCol w:w="7443"/>
      </w:tblGrid>
      <w:tr w:rsidR="001A1B72" w:rsidRPr="001A1B72" w14:paraId="67A961C2" w14:textId="77777777" w:rsidTr="005206A0">
        <w:tc>
          <w:tcPr>
            <w:tcW w:w="898" w:type="pct"/>
          </w:tcPr>
          <w:p w14:paraId="4E4B70C1" w14:textId="77777777" w:rsidR="001A1B72" w:rsidRPr="001A1B72" w:rsidRDefault="001A1B72" w:rsidP="009F6656">
            <w:pPr>
              <w:overflowPunct w:val="0"/>
              <w:autoSpaceDE w:val="0"/>
              <w:autoSpaceDN w:val="0"/>
              <w:adjustRightInd w:val="0"/>
              <w:textAlignment w:val="baseline"/>
              <w:rPr>
                <w:i/>
              </w:rPr>
            </w:pPr>
            <w:r w:rsidRPr="001A1B72">
              <w:rPr>
                <w:b/>
                <w:i/>
              </w:rPr>
              <w:t>Contact</w:t>
            </w:r>
          </w:p>
        </w:tc>
        <w:tc>
          <w:tcPr>
            <w:tcW w:w="4102" w:type="pct"/>
          </w:tcPr>
          <w:p w14:paraId="3F3176DA" w14:textId="62FE1284" w:rsidR="001A1B72" w:rsidRPr="001A1B72" w:rsidRDefault="001A1B72" w:rsidP="009F6656">
            <w:pPr>
              <w:overflowPunct w:val="0"/>
              <w:autoSpaceDE w:val="0"/>
              <w:autoSpaceDN w:val="0"/>
              <w:adjustRightInd w:val="0"/>
              <w:textAlignment w:val="baseline"/>
              <w:rPr>
                <w:i/>
                <w:iCs/>
              </w:rPr>
            </w:pPr>
            <w:r w:rsidRPr="001A1B72">
              <w:rPr>
                <w:i/>
                <w:iCs/>
              </w:rPr>
              <w:t>Sabrina T</w:t>
            </w:r>
            <w:r w:rsidR="00CA29D9" w:rsidRPr="001A1B72">
              <w:rPr>
                <w:i/>
                <w:iCs/>
              </w:rPr>
              <w:t>esoka</w:t>
            </w:r>
          </w:p>
        </w:tc>
      </w:tr>
      <w:tr w:rsidR="001A1B72" w:rsidRPr="001A1B72" w14:paraId="0634DF55" w14:textId="77777777" w:rsidTr="005206A0">
        <w:tc>
          <w:tcPr>
            <w:tcW w:w="898" w:type="pct"/>
          </w:tcPr>
          <w:p w14:paraId="68184423" w14:textId="77777777" w:rsidR="001A1B72" w:rsidRPr="001A1B72" w:rsidRDefault="001A1B72" w:rsidP="009F6656">
            <w:pPr>
              <w:overflowPunct w:val="0"/>
              <w:autoSpaceDE w:val="0"/>
              <w:autoSpaceDN w:val="0"/>
              <w:adjustRightInd w:val="0"/>
              <w:textAlignment w:val="baseline"/>
              <w:rPr>
                <w:i/>
              </w:rPr>
            </w:pPr>
            <w:r w:rsidRPr="001A1B72">
              <w:rPr>
                <w:i/>
              </w:rPr>
              <w:t>Tel.</w:t>
            </w:r>
          </w:p>
        </w:tc>
        <w:tc>
          <w:tcPr>
            <w:tcW w:w="4102" w:type="pct"/>
          </w:tcPr>
          <w:p w14:paraId="05FAEBCE" w14:textId="770F8098" w:rsidR="001A1B72" w:rsidRPr="001A1B72" w:rsidRDefault="001A1B72" w:rsidP="009F6656">
            <w:pPr>
              <w:overflowPunct w:val="0"/>
              <w:autoSpaceDE w:val="0"/>
              <w:autoSpaceDN w:val="0"/>
              <w:adjustRightInd w:val="0"/>
              <w:textAlignment w:val="baseline"/>
              <w:rPr>
                <w:i/>
              </w:rPr>
            </w:pPr>
            <w:r w:rsidRPr="001A1B72">
              <w:rPr>
                <w:i/>
              </w:rPr>
              <w:t>+32 2</w:t>
            </w:r>
            <w:r w:rsidR="00956201">
              <w:rPr>
                <w:i/>
              </w:rPr>
              <w:t xml:space="preserve"> </w:t>
            </w:r>
            <w:r w:rsidRPr="001A1B72">
              <w:rPr>
                <w:i/>
              </w:rPr>
              <w:t>546</w:t>
            </w:r>
            <w:r w:rsidR="00956201">
              <w:rPr>
                <w:i/>
              </w:rPr>
              <w:t xml:space="preserve"> </w:t>
            </w:r>
            <w:r w:rsidRPr="001A1B72">
              <w:rPr>
                <w:i/>
              </w:rPr>
              <w:t>9552</w:t>
            </w:r>
          </w:p>
        </w:tc>
      </w:tr>
      <w:tr w:rsidR="001A1B72" w:rsidRPr="001A1B72" w14:paraId="5F21417F" w14:textId="77777777" w:rsidTr="005206A0">
        <w:tc>
          <w:tcPr>
            <w:tcW w:w="898" w:type="pct"/>
          </w:tcPr>
          <w:p w14:paraId="35687AC6" w14:textId="77777777" w:rsidR="001A1B72" w:rsidRPr="001A1B72" w:rsidRDefault="001A1B72" w:rsidP="009F6656">
            <w:pPr>
              <w:overflowPunct w:val="0"/>
              <w:autoSpaceDE w:val="0"/>
              <w:autoSpaceDN w:val="0"/>
              <w:adjustRightInd w:val="0"/>
              <w:textAlignment w:val="baseline"/>
              <w:rPr>
                <w:i/>
              </w:rPr>
            </w:pPr>
            <w:r w:rsidRPr="001A1B72">
              <w:rPr>
                <w:i/>
              </w:rPr>
              <w:t>Email</w:t>
            </w:r>
          </w:p>
        </w:tc>
        <w:tc>
          <w:tcPr>
            <w:tcW w:w="4102" w:type="pct"/>
          </w:tcPr>
          <w:p w14:paraId="043ACEEE" w14:textId="77777777" w:rsidR="001A1B72" w:rsidRPr="001A1B72" w:rsidRDefault="00956397" w:rsidP="009F6656">
            <w:pPr>
              <w:overflowPunct w:val="0"/>
              <w:autoSpaceDE w:val="0"/>
              <w:autoSpaceDN w:val="0"/>
              <w:adjustRightInd w:val="0"/>
              <w:textAlignment w:val="baseline"/>
              <w:rPr>
                <w:i/>
              </w:rPr>
            </w:pPr>
            <w:hyperlink r:id="rId31" w:history="1">
              <w:r w:rsidR="001A1B72" w:rsidRPr="001A1B72">
                <w:rPr>
                  <w:i/>
                  <w:color w:val="0000FF"/>
                  <w:u w:val="single"/>
                  <w:lang w:val="en-GB"/>
                </w:rPr>
                <w:t>Sabrina.Tesoka@eesc.europa.eu</w:t>
              </w:r>
            </w:hyperlink>
          </w:p>
        </w:tc>
      </w:tr>
    </w:tbl>
    <w:p w14:paraId="74D4B137" w14:textId="6884F76D" w:rsidR="001A1B72" w:rsidRDefault="001A1B72" w:rsidP="009F6656">
      <w:pPr>
        <w:jc w:val="left"/>
      </w:pPr>
    </w:p>
    <w:p w14:paraId="055C7333" w14:textId="2FDE9F8E" w:rsidR="008847E0" w:rsidRPr="00956397" w:rsidRDefault="00956397" w:rsidP="009F6656">
      <w:pPr>
        <w:widowControl w:val="0"/>
        <w:numPr>
          <w:ilvl w:val="0"/>
          <w:numId w:val="11"/>
        </w:numPr>
        <w:overflowPunct w:val="0"/>
        <w:autoSpaceDE w:val="0"/>
        <w:autoSpaceDN w:val="0"/>
        <w:adjustRightInd w:val="0"/>
        <w:ind w:left="567" w:hanging="567"/>
        <w:textAlignment w:val="baseline"/>
        <w:rPr>
          <w:b/>
          <w:lang w:val="en-GB" w:eastAsia="zh-CN"/>
        </w:rPr>
      </w:pPr>
      <w:hyperlink r:id="rId32" w:history="1">
        <w:r w:rsidR="008847E0" w:rsidRPr="008847E0">
          <w:rPr>
            <w:b/>
            <w:bCs/>
            <w:i/>
            <w:iCs/>
            <w:color w:val="0000FF"/>
            <w:sz w:val="28"/>
            <w:szCs w:val="28"/>
            <w:u w:val="single"/>
            <w:lang w:val="en-GB" w:eastAsia="zh-CN"/>
          </w:rPr>
          <w:t>Strengthening European values in candidate countries by supporting the public service sector and empowering social partners and civil society organisations</w:t>
        </w:r>
      </w:hyperlink>
    </w:p>
    <w:p w14:paraId="46BC0C45" w14:textId="77777777" w:rsidR="008847E0" w:rsidRPr="008847E0" w:rsidRDefault="008847E0" w:rsidP="009F6656">
      <w:pPr>
        <w:widowControl w:val="0"/>
        <w:overflowPunct w:val="0"/>
        <w:autoSpaceDE w:val="0"/>
        <w:autoSpaceDN w:val="0"/>
        <w:adjustRightInd w:val="0"/>
        <w:ind w:left="720"/>
        <w:textAlignment w:val="baseline"/>
        <w:rPr>
          <w:b/>
          <w:lang w:val="en-GB"/>
        </w:rPr>
      </w:pPr>
    </w:p>
    <w:tbl>
      <w:tblPr>
        <w:tblW w:w="4922" w:type="pct"/>
        <w:tblLook w:val="04A0" w:firstRow="1" w:lastRow="0" w:firstColumn="1" w:lastColumn="0" w:noHBand="0" w:noVBand="1"/>
      </w:tblPr>
      <w:tblGrid>
        <w:gridCol w:w="2183"/>
        <w:gridCol w:w="6748"/>
      </w:tblGrid>
      <w:tr w:rsidR="008847E0" w:rsidRPr="008847E0" w14:paraId="201A0E53" w14:textId="77777777" w:rsidTr="00956201">
        <w:trPr>
          <w:trHeight w:val="445"/>
        </w:trPr>
        <w:tc>
          <w:tcPr>
            <w:tcW w:w="1222" w:type="pct"/>
          </w:tcPr>
          <w:p w14:paraId="386838FE" w14:textId="4483D4A2" w:rsidR="008847E0" w:rsidRPr="008847E0" w:rsidRDefault="008847E0" w:rsidP="009F6656">
            <w:pPr>
              <w:overflowPunct w:val="0"/>
              <w:autoSpaceDE w:val="0"/>
              <w:autoSpaceDN w:val="0"/>
              <w:adjustRightInd w:val="0"/>
              <w:textAlignment w:val="baseline"/>
              <w:rPr>
                <w:b/>
              </w:rPr>
            </w:pPr>
            <w:r w:rsidRPr="008847E0">
              <w:rPr>
                <w:b/>
              </w:rPr>
              <w:t>Rapporteur</w:t>
            </w:r>
            <w:r w:rsidR="00532DC7">
              <w:rPr>
                <w:b/>
              </w:rPr>
              <w:t>-general</w:t>
            </w:r>
          </w:p>
        </w:tc>
        <w:tc>
          <w:tcPr>
            <w:tcW w:w="3778" w:type="pct"/>
          </w:tcPr>
          <w:p w14:paraId="0FF0B345" w14:textId="0A9BC795" w:rsidR="008847E0" w:rsidRPr="008847E0" w:rsidRDefault="008847E0" w:rsidP="009F6656">
            <w:pPr>
              <w:tabs>
                <w:tab w:val="center" w:pos="284"/>
              </w:tabs>
              <w:overflowPunct w:val="0"/>
              <w:autoSpaceDE w:val="0"/>
              <w:autoSpaceDN w:val="0"/>
              <w:adjustRightInd w:val="0"/>
              <w:ind w:left="266" w:hanging="266"/>
              <w:textAlignment w:val="baseline"/>
            </w:pPr>
            <w:r w:rsidRPr="008847E0">
              <w:t xml:space="preserve">Kristina AALTONEN (Workers' Group </w:t>
            </w:r>
            <w:r w:rsidR="00E34ABD">
              <w:t>-</w:t>
            </w:r>
            <w:r w:rsidRPr="008847E0">
              <w:t xml:space="preserve"> DK)</w:t>
            </w:r>
          </w:p>
        </w:tc>
      </w:tr>
      <w:tr w:rsidR="008847E0" w:rsidRPr="008847E0" w14:paraId="4023B299" w14:textId="77777777" w:rsidTr="00956201">
        <w:tc>
          <w:tcPr>
            <w:tcW w:w="1222" w:type="pct"/>
          </w:tcPr>
          <w:p w14:paraId="22A438BB" w14:textId="77777777" w:rsidR="008847E0" w:rsidRPr="008847E0" w:rsidRDefault="008847E0" w:rsidP="009F6656">
            <w:pPr>
              <w:tabs>
                <w:tab w:val="center" w:pos="284"/>
              </w:tabs>
              <w:overflowPunct w:val="0"/>
              <w:autoSpaceDE w:val="0"/>
              <w:autoSpaceDN w:val="0"/>
              <w:adjustRightInd w:val="0"/>
              <w:ind w:left="266" w:hanging="266"/>
              <w:textAlignment w:val="baseline"/>
              <w:rPr>
                <w:b/>
              </w:rPr>
            </w:pPr>
            <w:r w:rsidRPr="008847E0">
              <w:rPr>
                <w:b/>
              </w:rPr>
              <w:t>Reference</w:t>
            </w:r>
          </w:p>
        </w:tc>
        <w:tc>
          <w:tcPr>
            <w:tcW w:w="3778" w:type="pct"/>
          </w:tcPr>
          <w:p w14:paraId="27119EF2" w14:textId="0861F93E" w:rsidR="00E34ABD" w:rsidRDefault="00E34ABD" w:rsidP="009F6656">
            <w:pPr>
              <w:overflowPunct w:val="0"/>
              <w:autoSpaceDE w:val="0"/>
              <w:autoSpaceDN w:val="0"/>
              <w:adjustRightInd w:val="0"/>
              <w:textAlignment w:val="baseline"/>
            </w:pPr>
            <w:r>
              <w:t>Exploratory opinion requested by the Danish Presidency of the Council of the EU</w:t>
            </w:r>
          </w:p>
          <w:p w14:paraId="112128B7" w14:textId="41564E96" w:rsidR="008847E0" w:rsidRPr="008847E0" w:rsidRDefault="008847E0" w:rsidP="009F6656">
            <w:pPr>
              <w:tabs>
                <w:tab w:val="center" w:pos="284"/>
              </w:tabs>
              <w:overflowPunct w:val="0"/>
              <w:autoSpaceDE w:val="0"/>
              <w:autoSpaceDN w:val="0"/>
              <w:adjustRightInd w:val="0"/>
              <w:ind w:left="266" w:hanging="266"/>
              <w:textAlignment w:val="baseline"/>
            </w:pPr>
            <w:r w:rsidRPr="008847E0">
              <w:t>EESC-2025-</w:t>
            </w:r>
            <w:r w:rsidRPr="008847E0">
              <w:rPr>
                <w:lang w:val="en-GB"/>
              </w:rPr>
              <w:t>01528</w:t>
            </w:r>
            <w:r w:rsidRPr="008847E0">
              <w:t>-00-00-AC</w:t>
            </w:r>
          </w:p>
        </w:tc>
      </w:tr>
    </w:tbl>
    <w:p w14:paraId="34876150" w14:textId="77777777" w:rsidR="008847E0" w:rsidRPr="008847E0" w:rsidRDefault="008847E0" w:rsidP="009F6656">
      <w:pPr>
        <w:keepNext/>
        <w:keepLines/>
        <w:tabs>
          <w:tab w:val="center" w:pos="284"/>
        </w:tabs>
        <w:overflowPunct w:val="0"/>
        <w:autoSpaceDE w:val="0"/>
        <w:autoSpaceDN w:val="0"/>
        <w:adjustRightInd w:val="0"/>
        <w:ind w:left="266" w:hanging="266"/>
        <w:textAlignment w:val="baseline"/>
        <w:rPr>
          <w:b/>
          <w:lang w:val="en-GB"/>
        </w:rPr>
      </w:pPr>
    </w:p>
    <w:p w14:paraId="48AD09B6" w14:textId="77777777" w:rsidR="008847E0" w:rsidRPr="008847E0" w:rsidRDefault="008847E0" w:rsidP="009F6656">
      <w:pPr>
        <w:keepNext/>
        <w:keepLines/>
        <w:tabs>
          <w:tab w:val="center" w:pos="284"/>
        </w:tabs>
        <w:overflowPunct w:val="0"/>
        <w:autoSpaceDE w:val="0"/>
        <w:autoSpaceDN w:val="0"/>
        <w:adjustRightInd w:val="0"/>
        <w:ind w:left="266" w:hanging="266"/>
        <w:textAlignment w:val="baseline"/>
        <w:rPr>
          <w:b/>
          <w:lang w:val="en-GB"/>
        </w:rPr>
      </w:pPr>
      <w:r w:rsidRPr="008847E0">
        <w:rPr>
          <w:b/>
          <w:lang w:val="en-GB"/>
        </w:rPr>
        <w:t>Key points</w:t>
      </w:r>
    </w:p>
    <w:p w14:paraId="315A682E" w14:textId="77777777" w:rsidR="008847E0" w:rsidRPr="008847E0" w:rsidRDefault="008847E0" w:rsidP="009F6656">
      <w:pPr>
        <w:keepNext/>
        <w:keepLines/>
        <w:tabs>
          <w:tab w:val="center" w:pos="284"/>
        </w:tabs>
        <w:overflowPunct w:val="0"/>
        <w:autoSpaceDE w:val="0"/>
        <w:autoSpaceDN w:val="0"/>
        <w:adjustRightInd w:val="0"/>
        <w:ind w:left="266" w:hanging="266"/>
        <w:textAlignment w:val="baseline"/>
        <w:rPr>
          <w:b/>
          <w:lang w:val="en-GB"/>
        </w:rPr>
      </w:pPr>
    </w:p>
    <w:p w14:paraId="745B771D" w14:textId="77777777" w:rsidR="008847E0" w:rsidRPr="008847E0" w:rsidRDefault="008847E0" w:rsidP="009F6656">
      <w:pPr>
        <w:overflowPunct w:val="0"/>
        <w:autoSpaceDE w:val="0"/>
        <w:autoSpaceDN w:val="0"/>
        <w:adjustRightInd w:val="0"/>
        <w:textAlignment w:val="baseline"/>
        <w:rPr>
          <w:bCs/>
          <w:iCs/>
          <w:lang w:val="en-GB"/>
        </w:rPr>
      </w:pPr>
      <w:r w:rsidRPr="008847E0">
        <w:rPr>
          <w:bCs/>
          <w:iCs/>
          <w:lang w:val="en-GB"/>
        </w:rPr>
        <w:t>The EESC:</w:t>
      </w:r>
    </w:p>
    <w:p w14:paraId="73F57B88" w14:textId="77777777" w:rsidR="008847E0" w:rsidRPr="008847E0" w:rsidRDefault="008847E0" w:rsidP="00956397">
      <w:pPr>
        <w:numPr>
          <w:ilvl w:val="0"/>
          <w:numId w:val="22"/>
        </w:numPr>
        <w:overflowPunct w:val="0"/>
        <w:autoSpaceDE w:val="0"/>
        <w:autoSpaceDN w:val="0"/>
        <w:adjustRightInd w:val="0"/>
        <w:ind w:left="567" w:hanging="567"/>
        <w:textAlignment w:val="baseline"/>
        <w:rPr>
          <w:szCs w:val="20"/>
          <w:lang w:eastAsia="fr-BE"/>
        </w:rPr>
      </w:pPr>
      <w:r w:rsidRPr="008847E0">
        <w:rPr>
          <w:szCs w:val="20"/>
          <w:lang w:eastAsia="fr-BE"/>
        </w:rPr>
        <w:t xml:space="preserve">recalls that EU enlargement is not merely a political and institutional process; it is fundamentally a </w:t>
      </w:r>
      <w:r w:rsidRPr="008847E0">
        <w:rPr>
          <w:b/>
          <w:bCs/>
          <w:szCs w:val="20"/>
          <w:lang w:eastAsia="fr-BE"/>
        </w:rPr>
        <w:t>value-based</w:t>
      </w:r>
      <w:r w:rsidRPr="008847E0">
        <w:rPr>
          <w:szCs w:val="20"/>
          <w:lang w:eastAsia="fr-BE"/>
        </w:rPr>
        <w:t xml:space="preserve"> one;</w:t>
      </w:r>
    </w:p>
    <w:p w14:paraId="2B91151B" w14:textId="77777777" w:rsidR="008847E0" w:rsidRPr="008847E0" w:rsidRDefault="008847E0" w:rsidP="00956397">
      <w:pPr>
        <w:numPr>
          <w:ilvl w:val="0"/>
          <w:numId w:val="22"/>
        </w:numPr>
        <w:overflowPunct w:val="0"/>
        <w:autoSpaceDE w:val="0"/>
        <w:autoSpaceDN w:val="0"/>
        <w:adjustRightInd w:val="0"/>
        <w:ind w:left="567" w:hanging="567"/>
        <w:textAlignment w:val="baseline"/>
        <w:rPr>
          <w:szCs w:val="20"/>
          <w:lang w:eastAsia="fr-BE"/>
        </w:rPr>
      </w:pPr>
      <w:r w:rsidRPr="008847E0">
        <w:rPr>
          <w:szCs w:val="20"/>
          <w:lang w:eastAsia="fr-BE"/>
        </w:rPr>
        <w:t xml:space="preserve">stresses that </w:t>
      </w:r>
      <w:r w:rsidRPr="008847E0">
        <w:rPr>
          <w:b/>
          <w:bCs/>
          <w:szCs w:val="20"/>
          <w:lang w:eastAsia="fr-BE"/>
        </w:rPr>
        <w:t xml:space="preserve">social partners and civil society </w:t>
      </w:r>
      <w:proofErr w:type="spellStart"/>
      <w:r w:rsidRPr="008847E0">
        <w:rPr>
          <w:b/>
          <w:bCs/>
          <w:szCs w:val="20"/>
          <w:lang w:eastAsia="fr-BE"/>
        </w:rPr>
        <w:t>organisations</w:t>
      </w:r>
      <w:proofErr w:type="spellEnd"/>
      <w:r w:rsidRPr="008847E0">
        <w:rPr>
          <w:b/>
          <w:bCs/>
          <w:szCs w:val="20"/>
          <w:lang w:eastAsia="fr-BE"/>
        </w:rPr>
        <w:t xml:space="preserve"> </w:t>
      </w:r>
      <w:r w:rsidRPr="008847E0">
        <w:rPr>
          <w:szCs w:val="20"/>
          <w:lang w:eastAsia="fr-BE"/>
        </w:rPr>
        <w:t xml:space="preserve">(CSOs) play a vital role in supporting candidate countries’ transition to EU core values: democracy, human rights, </w:t>
      </w:r>
      <w:proofErr w:type="spellStart"/>
      <w:r w:rsidRPr="008847E0">
        <w:rPr>
          <w:szCs w:val="20"/>
          <w:lang w:eastAsia="fr-BE"/>
        </w:rPr>
        <w:t>labour</w:t>
      </w:r>
      <w:proofErr w:type="spellEnd"/>
      <w:r w:rsidRPr="008847E0">
        <w:rPr>
          <w:szCs w:val="20"/>
          <w:lang w:eastAsia="fr-BE"/>
        </w:rPr>
        <w:t xml:space="preserve"> rights and the rule of law;</w:t>
      </w:r>
    </w:p>
    <w:p w14:paraId="77E37AA8" w14:textId="77777777" w:rsidR="008847E0" w:rsidRPr="008847E0" w:rsidRDefault="008847E0" w:rsidP="00956397">
      <w:pPr>
        <w:numPr>
          <w:ilvl w:val="0"/>
          <w:numId w:val="22"/>
        </w:numPr>
        <w:overflowPunct w:val="0"/>
        <w:autoSpaceDE w:val="0"/>
        <w:autoSpaceDN w:val="0"/>
        <w:adjustRightInd w:val="0"/>
        <w:ind w:left="567" w:hanging="567"/>
        <w:textAlignment w:val="baseline"/>
        <w:rPr>
          <w:szCs w:val="20"/>
          <w:lang w:eastAsia="fr-BE"/>
        </w:rPr>
      </w:pPr>
      <w:r w:rsidRPr="008847E0">
        <w:rPr>
          <w:szCs w:val="20"/>
          <w:lang w:eastAsia="fr-BE"/>
        </w:rPr>
        <w:t>calls on the European Commission to:</w:t>
      </w:r>
    </w:p>
    <w:p w14:paraId="6CE574AB" w14:textId="77777777" w:rsidR="008847E0" w:rsidRPr="008847E0" w:rsidRDefault="008847E0" w:rsidP="00956397">
      <w:pPr>
        <w:numPr>
          <w:ilvl w:val="0"/>
          <w:numId w:val="23"/>
        </w:numPr>
        <w:tabs>
          <w:tab w:val="clear" w:pos="1068"/>
        </w:tabs>
        <w:overflowPunct w:val="0"/>
        <w:autoSpaceDE w:val="0"/>
        <w:autoSpaceDN w:val="0"/>
        <w:adjustRightInd w:val="0"/>
        <w:ind w:left="851" w:hanging="284"/>
        <w:textAlignment w:val="baseline"/>
        <w:rPr>
          <w:szCs w:val="20"/>
          <w:lang w:eastAsia="fr-BE"/>
        </w:rPr>
      </w:pPr>
      <w:r w:rsidRPr="008847E0">
        <w:rPr>
          <w:szCs w:val="20"/>
          <w:lang w:eastAsia="fr-BE"/>
        </w:rPr>
        <w:t>involve social partners from candidate countries as observers to both cross-sectoral and sectoral EU-level social dialogue structures;</w:t>
      </w:r>
    </w:p>
    <w:p w14:paraId="39B9A4DB" w14:textId="77777777" w:rsidR="008847E0" w:rsidRPr="008847E0" w:rsidRDefault="008847E0" w:rsidP="00956397">
      <w:pPr>
        <w:numPr>
          <w:ilvl w:val="0"/>
          <w:numId w:val="23"/>
        </w:numPr>
        <w:tabs>
          <w:tab w:val="clear" w:pos="1068"/>
        </w:tabs>
        <w:overflowPunct w:val="0"/>
        <w:autoSpaceDE w:val="0"/>
        <w:autoSpaceDN w:val="0"/>
        <w:adjustRightInd w:val="0"/>
        <w:ind w:left="851" w:hanging="284"/>
        <w:textAlignment w:val="baseline"/>
        <w:rPr>
          <w:szCs w:val="20"/>
          <w:lang w:eastAsia="fr-BE"/>
        </w:rPr>
      </w:pPr>
      <w:r w:rsidRPr="008847E0">
        <w:rPr>
          <w:szCs w:val="20"/>
          <w:lang w:eastAsia="fr-BE"/>
        </w:rPr>
        <w:t xml:space="preserve">strategically target EU </w:t>
      </w:r>
      <w:proofErr w:type="spellStart"/>
      <w:r w:rsidRPr="008847E0">
        <w:rPr>
          <w:szCs w:val="20"/>
          <w:lang w:eastAsia="fr-BE"/>
        </w:rPr>
        <w:t>programmes</w:t>
      </w:r>
      <w:proofErr w:type="spellEnd"/>
      <w:r w:rsidRPr="008847E0">
        <w:rPr>
          <w:szCs w:val="20"/>
          <w:lang w:eastAsia="fr-BE"/>
        </w:rPr>
        <w:t xml:space="preserve"> and funding to strengthen CSOs and social partners;</w:t>
      </w:r>
    </w:p>
    <w:p w14:paraId="21F62C38" w14:textId="77777777" w:rsidR="008847E0" w:rsidRPr="008847E0" w:rsidRDefault="008847E0" w:rsidP="00956397">
      <w:pPr>
        <w:numPr>
          <w:ilvl w:val="0"/>
          <w:numId w:val="23"/>
        </w:numPr>
        <w:tabs>
          <w:tab w:val="clear" w:pos="1068"/>
        </w:tabs>
        <w:overflowPunct w:val="0"/>
        <w:autoSpaceDE w:val="0"/>
        <w:autoSpaceDN w:val="0"/>
        <w:adjustRightInd w:val="0"/>
        <w:ind w:left="851" w:hanging="284"/>
        <w:textAlignment w:val="baseline"/>
        <w:rPr>
          <w:szCs w:val="20"/>
          <w:lang w:eastAsia="fr-BE"/>
        </w:rPr>
      </w:pPr>
      <w:r w:rsidRPr="008847E0">
        <w:rPr>
          <w:szCs w:val="20"/>
          <w:lang w:eastAsia="fr-BE"/>
        </w:rPr>
        <w:t>promote partnerships and peer learning between social partners and CSOs from candidate countries and Member States;</w:t>
      </w:r>
    </w:p>
    <w:p w14:paraId="7C0B1ED5" w14:textId="77777777" w:rsidR="008847E0" w:rsidRPr="008847E0" w:rsidRDefault="008847E0" w:rsidP="00956397">
      <w:pPr>
        <w:numPr>
          <w:ilvl w:val="0"/>
          <w:numId w:val="23"/>
        </w:numPr>
        <w:tabs>
          <w:tab w:val="clear" w:pos="1068"/>
        </w:tabs>
        <w:overflowPunct w:val="0"/>
        <w:autoSpaceDE w:val="0"/>
        <w:autoSpaceDN w:val="0"/>
        <w:adjustRightInd w:val="0"/>
        <w:ind w:left="851" w:hanging="284"/>
        <w:textAlignment w:val="baseline"/>
        <w:rPr>
          <w:szCs w:val="20"/>
          <w:lang w:eastAsia="fr-BE"/>
        </w:rPr>
      </w:pPr>
      <w:r w:rsidRPr="008847E0">
        <w:rPr>
          <w:szCs w:val="20"/>
          <w:lang w:eastAsia="fr-BE"/>
        </w:rPr>
        <w:t>use instruments such as the Youth Guarantee, Growth Plans and the Reform Agenda to reinforce social dialogue;</w:t>
      </w:r>
    </w:p>
    <w:p w14:paraId="51AABDF3" w14:textId="77777777" w:rsidR="008847E0" w:rsidRPr="008847E0" w:rsidRDefault="008847E0" w:rsidP="00956397">
      <w:pPr>
        <w:numPr>
          <w:ilvl w:val="0"/>
          <w:numId w:val="23"/>
        </w:numPr>
        <w:tabs>
          <w:tab w:val="clear" w:pos="1068"/>
        </w:tabs>
        <w:overflowPunct w:val="0"/>
        <w:autoSpaceDE w:val="0"/>
        <w:autoSpaceDN w:val="0"/>
        <w:adjustRightInd w:val="0"/>
        <w:ind w:left="851" w:hanging="284"/>
        <w:textAlignment w:val="baseline"/>
        <w:rPr>
          <w:szCs w:val="20"/>
          <w:lang w:eastAsia="fr-BE"/>
        </w:rPr>
      </w:pPr>
      <w:r w:rsidRPr="008847E0">
        <w:rPr>
          <w:szCs w:val="20"/>
          <w:lang w:eastAsia="fr-BE"/>
        </w:rPr>
        <w:t>seek synergies with other actors, notably the ILO, to increase coherence and impact;</w:t>
      </w:r>
    </w:p>
    <w:p w14:paraId="1E45F4C3" w14:textId="77777777" w:rsidR="008847E0" w:rsidRPr="008847E0" w:rsidRDefault="008847E0" w:rsidP="00956397">
      <w:pPr>
        <w:numPr>
          <w:ilvl w:val="0"/>
          <w:numId w:val="23"/>
        </w:numPr>
        <w:tabs>
          <w:tab w:val="clear" w:pos="1068"/>
        </w:tabs>
        <w:overflowPunct w:val="0"/>
        <w:autoSpaceDE w:val="0"/>
        <w:autoSpaceDN w:val="0"/>
        <w:adjustRightInd w:val="0"/>
        <w:ind w:left="851" w:hanging="284"/>
        <w:textAlignment w:val="baseline"/>
        <w:rPr>
          <w:szCs w:val="20"/>
          <w:lang w:eastAsia="fr-BE"/>
        </w:rPr>
      </w:pPr>
      <w:r w:rsidRPr="008847E0">
        <w:rPr>
          <w:szCs w:val="20"/>
          <w:lang w:eastAsia="fr-BE"/>
        </w:rPr>
        <w:t>address evident attempts to suppress the civic space and independent media and reflect these issues more prominently in the enlargement strategy and in country reports;</w:t>
      </w:r>
    </w:p>
    <w:p w14:paraId="7CCB9C60" w14:textId="77777777" w:rsidR="008847E0" w:rsidRPr="008847E0" w:rsidRDefault="008847E0" w:rsidP="00956397">
      <w:pPr>
        <w:numPr>
          <w:ilvl w:val="0"/>
          <w:numId w:val="23"/>
        </w:numPr>
        <w:tabs>
          <w:tab w:val="clear" w:pos="1068"/>
        </w:tabs>
        <w:overflowPunct w:val="0"/>
        <w:autoSpaceDE w:val="0"/>
        <w:autoSpaceDN w:val="0"/>
        <w:adjustRightInd w:val="0"/>
        <w:ind w:left="851" w:hanging="284"/>
        <w:textAlignment w:val="baseline"/>
        <w:rPr>
          <w:szCs w:val="20"/>
          <w:lang w:eastAsia="fr-BE"/>
        </w:rPr>
      </w:pPr>
      <w:r w:rsidRPr="008847E0">
        <w:rPr>
          <w:szCs w:val="20"/>
          <w:lang w:eastAsia="fr-BE"/>
        </w:rPr>
        <w:t xml:space="preserve">highlights that </w:t>
      </w:r>
      <w:r w:rsidRPr="008847E0">
        <w:rPr>
          <w:b/>
          <w:bCs/>
          <w:szCs w:val="20"/>
          <w:lang w:eastAsia="fr-BE"/>
        </w:rPr>
        <w:t>public service</w:t>
      </w:r>
      <w:r w:rsidRPr="008847E0">
        <w:rPr>
          <w:szCs w:val="20"/>
          <w:lang w:eastAsia="fr-BE"/>
        </w:rPr>
        <w:t xml:space="preserve"> employers and workers are key drivers of trust and democratic governance. Transparent, professional, and accountable public services are crucial for citizens’ confidence in institutions. </w:t>
      </w:r>
    </w:p>
    <w:p w14:paraId="60E5A34E" w14:textId="15444D10" w:rsidR="00532DC7" w:rsidRDefault="008847E0" w:rsidP="00956397">
      <w:pPr>
        <w:numPr>
          <w:ilvl w:val="0"/>
          <w:numId w:val="27"/>
        </w:numPr>
        <w:overflowPunct w:val="0"/>
        <w:autoSpaceDE w:val="0"/>
        <w:autoSpaceDN w:val="0"/>
        <w:adjustRightInd w:val="0"/>
        <w:ind w:left="567" w:hanging="567"/>
        <w:textAlignment w:val="baseline"/>
        <w:rPr>
          <w:szCs w:val="20"/>
          <w:lang w:eastAsia="fr-BE"/>
        </w:rPr>
      </w:pPr>
      <w:r w:rsidRPr="00532DC7">
        <w:rPr>
          <w:szCs w:val="20"/>
          <w:lang w:eastAsia="fr-BE"/>
        </w:rPr>
        <w:t>recommends:</w:t>
      </w:r>
    </w:p>
    <w:p w14:paraId="36EC41F2" w14:textId="17C7A3DA" w:rsidR="008847E0" w:rsidRPr="00532DC7" w:rsidRDefault="008847E0" w:rsidP="00956397">
      <w:pPr>
        <w:numPr>
          <w:ilvl w:val="0"/>
          <w:numId w:val="27"/>
        </w:numPr>
        <w:overflowPunct w:val="0"/>
        <w:autoSpaceDE w:val="0"/>
        <w:autoSpaceDN w:val="0"/>
        <w:adjustRightInd w:val="0"/>
        <w:ind w:left="851" w:hanging="284"/>
        <w:textAlignment w:val="baseline"/>
        <w:rPr>
          <w:szCs w:val="20"/>
          <w:lang w:eastAsia="fr-BE"/>
        </w:rPr>
      </w:pPr>
      <w:r w:rsidRPr="00532DC7">
        <w:rPr>
          <w:szCs w:val="20"/>
          <w:lang w:eastAsia="fr-BE"/>
        </w:rPr>
        <w:t xml:space="preserve">stronger cooperation between public authorities and civil society, </w:t>
      </w:r>
      <w:proofErr w:type="spellStart"/>
      <w:r w:rsidRPr="00532DC7">
        <w:rPr>
          <w:szCs w:val="20"/>
          <w:lang w:eastAsia="fr-BE"/>
        </w:rPr>
        <w:t>institutionalised</w:t>
      </w:r>
      <w:proofErr w:type="spellEnd"/>
      <w:r w:rsidRPr="00532DC7">
        <w:rPr>
          <w:szCs w:val="20"/>
          <w:lang w:eastAsia="fr-BE"/>
        </w:rPr>
        <w:t xml:space="preserve"> within accession preparations;</w:t>
      </w:r>
    </w:p>
    <w:p w14:paraId="20AAA5B3" w14:textId="77777777" w:rsidR="008847E0" w:rsidRPr="008847E0" w:rsidRDefault="008847E0" w:rsidP="00956397">
      <w:pPr>
        <w:numPr>
          <w:ilvl w:val="0"/>
          <w:numId w:val="27"/>
        </w:numPr>
        <w:overflowPunct w:val="0"/>
        <w:autoSpaceDE w:val="0"/>
        <w:autoSpaceDN w:val="0"/>
        <w:adjustRightInd w:val="0"/>
        <w:ind w:left="851" w:hanging="284"/>
        <w:textAlignment w:val="baseline"/>
        <w:rPr>
          <w:szCs w:val="20"/>
          <w:lang w:eastAsia="fr-BE"/>
        </w:rPr>
      </w:pPr>
      <w:r w:rsidRPr="008847E0">
        <w:rPr>
          <w:szCs w:val="20"/>
          <w:lang w:eastAsia="fr-BE"/>
        </w:rPr>
        <w:t>that EU bodies and institutions involve candidate countries in their work, following the good practice initiated by the EESC;</w:t>
      </w:r>
    </w:p>
    <w:p w14:paraId="78831B57" w14:textId="784D1F8C" w:rsidR="00E34ABD" w:rsidRDefault="008847E0" w:rsidP="00956397">
      <w:pPr>
        <w:numPr>
          <w:ilvl w:val="0"/>
          <w:numId w:val="27"/>
        </w:numPr>
        <w:overflowPunct w:val="0"/>
        <w:autoSpaceDE w:val="0"/>
        <w:autoSpaceDN w:val="0"/>
        <w:adjustRightInd w:val="0"/>
        <w:ind w:left="851" w:hanging="284"/>
        <w:textAlignment w:val="baseline"/>
        <w:rPr>
          <w:szCs w:val="20"/>
          <w:lang w:eastAsia="fr-BE"/>
        </w:rPr>
      </w:pPr>
      <w:r w:rsidRPr="00E34ABD">
        <w:rPr>
          <w:szCs w:val="20"/>
          <w:lang w:eastAsia="fr-BE"/>
        </w:rPr>
        <w:t>a more effective use of EU funding to support democratic actors and reach vulnerable groups and remote areas (e.g. through regranting);</w:t>
      </w:r>
    </w:p>
    <w:p w14:paraId="17767023" w14:textId="32E4399D" w:rsidR="008847E0" w:rsidRPr="00E34ABD" w:rsidRDefault="008847E0" w:rsidP="00956397">
      <w:pPr>
        <w:numPr>
          <w:ilvl w:val="0"/>
          <w:numId w:val="27"/>
        </w:numPr>
        <w:overflowPunct w:val="0"/>
        <w:autoSpaceDE w:val="0"/>
        <w:autoSpaceDN w:val="0"/>
        <w:adjustRightInd w:val="0"/>
        <w:ind w:left="851" w:hanging="284"/>
        <w:textAlignment w:val="baseline"/>
        <w:rPr>
          <w:szCs w:val="20"/>
          <w:lang w:eastAsia="fr-BE"/>
        </w:rPr>
      </w:pPr>
      <w:r w:rsidRPr="00E34ABD">
        <w:rPr>
          <w:szCs w:val="20"/>
          <w:lang w:eastAsia="fr-BE"/>
        </w:rPr>
        <w:t xml:space="preserve">supporting the setting-up of transparent </w:t>
      </w:r>
      <w:proofErr w:type="spellStart"/>
      <w:r w:rsidRPr="00E34ABD">
        <w:rPr>
          <w:szCs w:val="20"/>
          <w:lang w:eastAsia="fr-BE"/>
        </w:rPr>
        <w:t>institutionalised</w:t>
      </w:r>
      <w:proofErr w:type="spellEnd"/>
      <w:r w:rsidRPr="00E34ABD">
        <w:rPr>
          <w:szCs w:val="20"/>
          <w:lang w:eastAsia="fr-BE"/>
        </w:rPr>
        <w:t xml:space="preserve"> structures for participation and consultation, ensuring civil and social dialogue is embedded in candidate countries’ legislation;</w:t>
      </w:r>
    </w:p>
    <w:p w14:paraId="35B8A065" w14:textId="77777777" w:rsidR="008847E0" w:rsidRPr="008847E0" w:rsidRDefault="008847E0" w:rsidP="00956397">
      <w:pPr>
        <w:numPr>
          <w:ilvl w:val="0"/>
          <w:numId w:val="27"/>
        </w:numPr>
        <w:overflowPunct w:val="0"/>
        <w:autoSpaceDE w:val="0"/>
        <w:autoSpaceDN w:val="0"/>
        <w:adjustRightInd w:val="0"/>
        <w:ind w:left="851" w:hanging="284"/>
        <w:textAlignment w:val="baseline"/>
        <w:rPr>
          <w:szCs w:val="20"/>
          <w:lang w:eastAsia="fr-BE"/>
        </w:rPr>
      </w:pPr>
      <w:proofErr w:type="spellStart"/>
      <w:r w:rsidRPr="008847E0">
        <w:rPr>
          <w:szCs w:val="20"/>
          <w:lang w:eastAsia="fr-BE"/>
        </w:rPr>
        <w:t>prioritising</w:t>
      </w:r>
      <w:proofErr w:type="spellEnd"/>
      <w:r w:rsidRPr="008847E0">
        <w:rPr>
          <w:szCs w:val="20"/>
          <w:lang w:eastAsia="fr-BE"/>
        </w:rPr>
        <w:t xml:space="preserve"> EU support to education systems, particularly teacher training, to </w:t>
      </w:r>
      <w:r w:rsidRPr="008847E0">
        <w:rPr>
          <w:szCs w:val="20"/>
        </w:rPr>
        <w:t>foster democratic values, critical thinking and civic participation</w:t>
      </w:r>
      <w:r w:rsidRPr="008847E0">
        <w:rPr>
          <w:szCs w:val="20"/>
          <w:lang w:eastAsia="fr-BE"/>
        </w:rPr>
        <w:t>. Teacher autonomy and academic freedom must be safeguarded.</w:t>
      </w:r>
    </w:p>
    <w:p w14:paraId="06EE0695" w14:textId="77777777" w:rsidR="008847E0" w:rsidRPr="008847E0" w:rsidRDefault="008847E0" w:rsidP="009F6656">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767"/>
        <w:gridCol w:w="7306"/>
      </w:tblGrid>
      <w:tr w:rsidR="008847E0" w:rsidRPr="008847E0" w14:paraId="1CDE3ED9" w14:textId="77777777" w:rsidTr="00956201">
        <w:tc>
          <w:tcPr>
            <w:tcW w:w="974" w:type="pct"/>
          </w:tcPr>
          <w:p w14:paraId="747F24F8" w14:textId="77777777" w:rsidR="008847E0" w:rsidRPr="008847E0" w:rsidRDefault="008847E0" w:rsidP="009F6656">
            <w:pPr>
              <w:overflowPunct w:val="0"/>
              <w:autoSpaceDE w:val="0"/>
              <w:autoSpaceDN w:val="0"/>
              <w:adjustRightInd w:val="0"/>
              <w:textAlignment w:val="baseline"/>
              <w:rPr>
                <w:i/>
              </w:rPr>
            </w:pPr>
            <w:r w:rsidRPr="008847E0">
              <w:rPr>
                <w:b/>
                <w:i/>
              </w:rPr>
              <w:t>Contact</w:t>
            </w:r>
          </w:p>
        </w:tc>
        <w:tc>
          <w:tcPr>
            <w:tcW w:w="4026" w:type="pct"/>
          </w:tcPr>
          <w:p w14:paraId="4CBA29B1" w14:textId="67930BBA" w:rsidR="008847E0" w:rsidRPr="008847E0" w:rsidRDefault="008847E0" w:rsidP="009F6656">
            <w:pPr>
              <w:overflowPunct w:val="0"/>
              <w:autoSpaceDE w:val="0"/>
              <w:autoSpaceDN w:val="0"/>
              <w:adjustRightInd w:val="0"/>
              <w:textAlignment w:val="baseline"/>
              <w:rPr>
                <w:i/>
                <w:iCs/>
              </w:rPr>
            </w:pPr>
            <w:r w:rsidRPr="008847E0">
              <w:rPr>
                <w:i/>
                <w:iCs/>
              </w:rPr>
              <w:t>Charlotte R</w:t>
            </w:r>
            <w:r w:rsidR="00532DC7" w:rsidRPr="008847E0">
              <w:rPr>
                <w:i/>
                <w:iCs/>
              </w:rPr>
              <w:t>ive</w:t>
            </w:r>
          </w:p>
        </w:tc>
      </w:tr>
      <w:tr w:rsidR="008847E0" w:rsidRPr="008847E0" w14:paraId="242A6446" w14:textId="77777777" w:rsidTr="00956201">
        <w:tc>
          <w:tcPr>
            <w:tcW w:w="974" w:type="pct"/>
          </w:tcPr>
          <w:p w14:paraId="151DD29E" w14:textId="77777777" w:rsidR="008847E0" w:rsidRPr="008847E0" w:rsidRDefault="008847E0" w:rsidP="009F6656">
            <w:pPr>
              <w:overflowPunct w:val="0"/>
              <w:autoSpaceDE w:val="0"/>
              <w:autoSpaceDN w:val="0"/>
              <w:adjustRightInd w:val="0"/>
              <w:textAlignment w:val="baseline"/>
              <w:rPr>
                <w:i/>
              </w:rPr>
            </w:pPr>
            <w:r w:rsidRPr="008847E0">
              <w:rPr>
                <w:i/>
              </w:rPr>
              <w:t>Tel.</w:t>
            </w:r>
          </w:p>
        </w:tc>
        <w:tc>
          <w:tcPr>
            <w:tcW w:w="4026" w:type="pct"/>
          </w:tcPr>
          <w:p w14:paraId="3425AB53" w14:textId="7E800C02" w:rsidR="008847E0" w:rsidRPr="008847E0" w:rsidRDefault="008847E0" w:rsidP="009F6656">
            <w:pPr>
              <w:overflowPunct w:val="0"/>
              <w:autoSpaceDE w:val="0"/>
              <w:autoSpaceDN w:val="0"/>
              <w:adjustRightInd w:val="0"/>
              <w:textAlignment w:val="baseline"/>
              <w:rPr>
                <w:i/>
              </w:rPr>
            </w:pPr>
            <w:r w:rsidRPr="008847E0">
              <w:rPr>
                <w:i/>
              </w:rPr>
              <w:t>+32 2</w:t>
            </w:r>
            <w:r w:rsidR="00956201">
              <w:rPr>
                <w:i/>
              </w:rPr>
              <w:t xml:space="preserve"> </w:t>
            </w:r>
            <w:r w:rsidRPr="008847E0">
              <w:rPr>
                <w:i/>
              </w:rPr>
              <w:t>546</w:t>
            </w:r>
            <w:r w:rsidR="00956201">
              <w:rPr>
                <w:i/>
              </w:rPr>
              <w:t xml:space="preserve"> </w:t>
            </w:r>
            <w:r w:rsidRPr="008847E0">
              <w:rPr>
                <w:i/>
              </w:rPr>
              <w:t>9388</w:t>
            </w:r>
          </w:p>
        </w:tc>
      </w:tr>
      <w:tr w:rsidR="008847E0" w:rsidRPr="008847E0" w14:paraId="4E99FBC9" w14:textId="77777777" w:rsidTr="00956201">
        <w:tc>
          <w:tcPr>
            <w:tcW w:w="974" w:type="pct"/>
          </w:tcPr>
          <w:p w14:paraId="09559219" w14:textId="77777777" w:rsidR="008847E0" w:rsidRPr="008847E0" w:rsidRDefault="008847E0" w:rsidP="009F6656">
            <w:pPr>
              <w:overflowPunct w:val="0"/>
              <w:autoSpaceDE w:val="0"/>
              <w:autoSpaceDN w:val="0"/>
              <w:adjustRightInd w:val="0"/>
              <w:textAlignment w:val="baseline"/>
              <w:rPr>
                <w:i/>
              </w:rPr>
            </w:pPr>
            <w:r w:rsidRPr="008847E0">
              <w:rPr>
                <w:i/>
              </w:rPr>
              <w:t>Email</w:t>
            </w:r>
          </w:p>
        </w:tc>
        <w:tc>
          <w:tcPr>
            <w:tcW w:w="4026" w:type="pct"/>
          </w:tcPr>
          <w:p w14:paraId="32D27331" w14:textId="77777777" w:rsidR="008847E0" w:rsidRPr="008847E0" w:rsidRDefault="00956397" w:rsidP="009F6656">
            <w:pPr>
              <w:overflowPunct w:val="0"/>
              <w:autoSpaceDE w:val="0"/>
              <w:autoSpaceDN w:val="0"/>
              <w:adjustRightInd w:val="0"/>
              <w:textAlignment w:val="baseline"/>
              <w:rPr>
                <w:i/>
              </w:rPr>
            </w:pPr>
            <w:hyperlink r:id="rId33" w:history="1">
              <w:r w:rsidR="008847E0" w:rsidRPr="008847E0">
                <w:rPr>
                  <w:i/>
                  <w:color w:val="0000FF"/>
                  <w:u w:val="single"/>
                  <w:lang w:val="en-GB"/>
                </w:rPr>
                <w:t>Charlotte.Rive@eesc.europa.eu</w:t>
              </w:r>
            </w:hyperlink>
          </w:p>
        </w:tc>
      </w:tr>
    </w:tbl>
    <w:p w14:paraId="480F1572" w14:textId="110FFA1A" w:rsidR="008847E0" w:rsidRDefault="008847E0" w:rsidP="009F6656">
      <w:pPr>
        <w:jc w:val="left"/>
      </w:pPr>
    </w:p>
    <w:p w14:paraId="2CFA7E7B" w14:textId="77777777" w:rsidR="008847E0" w:rsidRDefault="008847E0" w:rsidP="009F6656">
      <w:pPr>
        <w:jc w:val="left"/>
      </w:pPr>
      <w:r>
        <w:br w:type="page"/>
      </w:r>
    </w:p>
    <w:p w14:paraId="24D2A1E3" w14:textId="06BDC1B4" w:rsidR="000144CE" w:rsidRPr="000144CE" w:rsidRDefault="00956397" w:rsidP="009F6656">
      <w:pPr>
        <w:widowControl w:val="0"/>
        <w:numPr>
          <w:ilvl w:val="0"/>
          <w:numId w:val="11"/>
        </w:numPr>
        <w:overflowPunct w:val="0"/>
        <w:autoSpaceDE w:val="0"/>
        <w:autoSpaceDN w:val="0"/>
        <w:adjustRightInd w:val="0"/>
        <w:ind w:left="567" w:hanging="567"/>
        <w:contextualSpacing/>
        <w:textAlignment w:val="baseline"/>
        <w:rPr>
          <w:b/>
          <w:lang w:val="en-GB" w:eastAsia="zh-CN"/>
        </w:rPr>
      </w:pPr>
      <w:hyperlink r:id="rId34" w:history="1">
        <w:r w:rsidR="000144CE" w:rsidRPr="000144CE">
          <w:rPr>
            <w:b/>
            <w:bCs/>
            <w:i/>
            <w:iCs/>
            <w:color w:val="0000FF"/>
            <w:sz w:val="28"/>
            <w:szCs w:val="28"/>
            <w:u w:val="single"/>
            <w:lang w:val="en-GB" w:eastAsia="zh-CN"/>
          </w:rPr>
          <w:t>Safe countries package</w:t>
        </w:r>
      </w:hyperlink>
    </w:p>
    <w:p w14:paraId="3F9935D7" w14:textId="77777777" w:rsidR="000144CE" w:rsidRPr="000144CE" w:rsidRDefault="000144CE" w:rsidP="009F6656">
      <w:pPr>
        <w:widowControl w:val="0"/>
        <w:overflowPunct w:val="0"/>
        <w:autoSpaceDE w:val="0"/>
        <w:autoSpaceDN w:val="0"/>
        <w:adjustRightInd w:val="0"/>
        <w:ind w:left="720"/>
        <w:textAlignment w:val="baseline"/>
        <w:rPr>
          <w:b/>
          <w:lang w:val="en-GB"/>
        </w:rPr>
      </w:pPr>
    </w:p>
    <w:tbl>
      <w:tblPr>
        <w:tblW w:w="4922" w:type="pct"/>
        <w:tblLook w:val="04A0" w:firstRow="1" w:lastRow="0" w:firstColumn="1" w:lastColumn="0" w:noHBand="0" w:noVBand="1"/>
      </w:tblPr>
      <w:tblGrid>
        <w:gridCol w:w="2183"/>
        <w:gridCol w:w="6748"/>
      </w:tblGrid>
      <w:tr w:rsidR="000144CE" w:rsidRPr="000144CE" w14:paraId="5BBE4ED0" w14:textId="77777777" w:rsidTr="00956201">
        <w:trPr>
          <w:trHeight w:val="445"/>
        </w:trPr>
        <w:tc>
          <w:tcPr>
            <w:tcW w:w="1222" w:type="pct"/>
          </w:tcPr>
          <w:p w14:paraId="73B351AB" w14:textId="2BF69BCA" w:rsidR="000144CE" w:rsidRPr="000144CE" w:rsidRDefault="000144CE" w:rsidP="009F6656">
            <w:pPr>
              <w:overflowPunct w:val="0"/>
              <w:autoSpaceDE w:val="0"/>
              <w:autoSpaceDN w:val="0"/>
              <w:adjustRightInd w:val="0"/>
              <w:ind w:left="32" w:hanging="32"/>
              <w:textAlignment w:val="baseline"/>
              <w:rPr>
                <w:b/>
              </w:rPr>
            </w:pPr>
            <w:r w:rsidRPr="000144CE">
              <w:rPr>
                <w:b/>
              </w:rPr>
              <w:t>Rapporteur</w:t>
            </w:r>
            <w:r w:rsidR="00233E62">
              <w:rPr>
                <w:b/>
              </w:rPr>
              <w:t>-general</w:t>
            </w:r>
          </w:p>
        </w:tc>
        <w:tc>
          <w:tcPr>
            <w:tcW w:w="3778" w:type="pct"/>
          </w:tcPr>
          <w:p w14:paraId="415101C9" w14:textId="38BCBACE" w:rsidR="000144CE" w:rsidRPr="000144CE" w:rsidRDefault="000144CE" w:rsidP="009F6656">
            <w:pPr>
              <w:tabs>
                <w:tab w:val="center" w:pos="284"/>
              </w:tabs>
              <w:overflowPunct w:val="0"/>
              <w:autoSpaceDE w:val="0"/>
              <w:autoSpaceDN w:val="0"/>
              <w:adjustRightInd w:val="0"/>
              <w:ind w:left="266" w:hanging="266"/>
              <w:textAlignment w:val="baseline"/>
              <w:rPr>
                <w:lang w:val="it-IT"/>
              </w:rPr>
            </w:pPr>
            <w:r w:rsidRPr="000144CE">
              <w:rPr>
                <w:lang w:val="it-IT"/>
              </w:rPr>
              <w:t>Pietro Vittorio BARBIERI (</w:t>
            </w:r>
            <w:proofErr w:type="spellStart"/>
            <w:r w:rsidRPr="000144CE">
              <w:rPr>
                <w:lang w:val="it-IT"/>
              </w:rPr>
              <w:t>Civil</w:t>
            </w:r>
            <w:proofErr w:type="spellEnd"/>
            <w:r w:rsidRPr="000144CE">
              <w:rPr>
                <w:lang w:val="it-IT"/>
              </w:rPr>
              <w:t xml:space="preserve"> Society </w:t>
            </w:r>
            <w:proofErr w:type="spellStart"/>
            <w:r w:rsidRPr="000144CE">
              <w:rPr>
                <w:lang w:val="it-IT"/>
              </w:rPr>
              <w:t>Organisations'</w:t>
            </w:r>
            <w:proofErr w:type="spellEnd"/>
            <w:r w:rsidRPr="000144CE">
              <w:rPr>
                <w:lang w:val="it-IT"/>
              </w:rPr>
              <w:t xml:space="preserve"> </w:t>
            </w:r>
            <w:proofErr w:type="spellStart"/>
            <w:r w:rsidRPr="000144CE">
              <w:rPr>
                <w:lang w:val="it-IT"/>
              </w:rPr>
              <w:t>Group</w:t>
            </w:r>
            <w:proofErr w:type="spellEnd"/>
            <w:r w:rsidRPr="000144CE">
              <w:rPr>
                <w:lang w:val="it-IT"/>
              </w:rPr>
              <w:t xml:space="preserve"> </w:t>
            </w:r>
            <w:r w:rsidR="00233E62">
              <w:rPr>
                <w:lang w:val="it-IT"/>
              </w:rPr>
              <w:t>-</w:t>
            </w:r>
            <w:r w:rsidRPr="000144CE">
              <w:rPr>
                <w:lang w:val="it-IT"/>
              </w:rPr>
              <w:t xml:space="preserve"> IT)</w:t>
            </w:r>
          </w:p>
        </w:tc>
      </w:tr>
      <w:tr w:rsidR="000144CE" w:rsidRPr="000144CE" w14:paraId="324755D7" w14:textId="77777777" w:rsidTr="00956201">
        <w:tc>
          <w:tcPr>
            <w:tcW w:w="1222" w:type="pct"/>
          </w:tcPr>
          <w:p w14:paraId="2EE276C0" w14:textId="469ACCB3" w:rsidR="000144CE" w:rsidRPr="000144CE" w:rsidRDefault="000144CE" w:rsidP="009F6656">
            <w:pPr>
              <w:tabs>
                <w:tab w:val="center" w:pos="284"/>
              </w:tabs>
              <w:overflowPunct w:val="0"/>
              <w:autoSpaceDE w:val="0"/>
              <w:autoSpaceDN w:val="0"/>
              <w:adjustRightInd w:val="0"/>
              <w:ind w:left="266" w:hanging="266"/>
              <w:textAlignment w:val="baseline"/>
              <w:rPr>
                <w:b/>
              </w:rPr>
            </w:pPr>
            <w:r w:rsidRPr="000144CE">
              <w:rPr>
                <w:b/>
              </w:rPr>
              <w:t>Reference</w:t>
            </w:r>
            <w:r w:rsidR="009F6656">
              <w:rPr>
                <w:b/>
              </w:rPr>
              <w:t>s</w:t>
            </w:r>
          </w:p>
        </w:tc>
        <w:tc>
          <w:tcPr>
            <w:tcW w:w="3778" w:type="pct"/>
          </w:tcPr>
          <w:p w14:paraId="1E9E1758" w14:textId="04E5001C" w:rsidR="00233E62" w:rsidRDefault="00233E62" w:rsidP="009F6656">
            <w:pPr>
              <w:tabs>
                <w:tab w:val="center" w:pos="284"/>
              </w:tabs>
              <w:overflowPunct w:val="0"/>
              <w:autoSpaceDE w:val="0"/>
              <w:autoSpaceDN w:val="0"/>
              <w:adjustRightInd w:val="0"/>
              <w:ind w:left="266" w:hanging="266"/>
              <w:textAlignment w:val="baseline"/>
            </w:pPr>
            <w:r>
              <w:t>COM(2025) 186 final</w:t>
            </w:r>
          </w:p>
          <w:p w14:paraId="323AC205" w14:textId="4B85079D" w:rsidR="00233E62" w:rsidRDefault="00233E62" w:rsidP="009F6656">
            <w:pPr>
              <w:tabs>
                <w:tab w:val="center" w:pos="284"/>
              </w:tabs>
              <w:overflowPunct w:val="0"/>
              <w:autoSpaceDE w:val="0"/>
              <w:autoSpaceDN w:val="0"/>
              <w:adjustRightInd w:val="0"/>
              <w:ind w:left="266" w:hanging="266"/>
              <w:textAlignment w:val="baseline"/>
            </w:pPr>
            <w:r>
              <w:t>COM(2025) 259 final</w:t>
            </w:r>
          </w:p>
          <w:p w14:paraId="40F280E3" w14:textId="6782C3CA" w:rsidR="000144CE" w:rsidRPr="000144CE" w:rsidRDefault="000144CE" w:rsidP="009F6656">
            <w:pPr>
              <w:tabs>
                <w:tab w:val="center" w:pos="284"/>
              </w:tabs>
              <w:overflowPunct w:val="0"/>
              <w:autoSpaceDE w:val="0"/>
              <w:autoSpaceDN w:val="0"/>
              <w:adjustRightInd w:val="0"/>
              <w:ind w:left="266" w:hanging="266"/>
              <w:textAlignment w:val="baseline"/>
            </w:pPr>
            <w:r w:rsidRPr="000144CE">
              <w:t>EESC-2025-02314-00-00-AC</w:t>
            </w:r>
          </w:p>
        </w:tc>
      </w:tr>
    </w:tbl>
    <w:p w14:paraId="75B4D69E" w14:textId="77777777" w:rsidR="000144CE" w:rsidRPr="000144CE" w:rsidRDefault="000144CE" w:rsidP="009F6656">
      <w:pPr>
        <w:keepNext/>
        <w:keepLines/>
        <w:tabs>
          <w:tab w:val="center" w:pos="284"/>
        </w:tabs>
        <w:overflowPunct w:val="0"/>
        <w:autoSpaceDE w:val="0"/>
        <w:autoSpaceDN w:val="0"/>
        <w:adjustRightInd w:val="0"/>
        <w:ind w:left="266" w:hanging="266"/>
        <w:textAlignment w:val="baseline"/>
        <w:rPr>
          <w:b/>
          <w:lang w:val="en-GB"/>
        </w:rPr>
      </w:pPr>
    </w:p>
    <w:p w14:paraId="359A7079" w14:textId="77777777" w:rsidR="000144CE" w:rsidRPr="000144CE" w:rsidRDefault="000144CE" w:rsidP="009F6656">
      <w:pPr>
        <w:keepNext/>
        <w:keepLines/>
        <w:tabs>
          <w:tab w:val="center" w:pos="284"/>
        </w:tabs>
        <w:overflowPunct w:val="0"/>
        <w:autoSpaceDE w:val="0"/>
        <w:autoSpaceDN w:val="0"/>
        <w:adjustRightInd w:val="0"/>
        <w:ind w:left="266" w:hanging="266"/>
        <w:textAlignment w:val="baseline"/>
        <w:rPr>
          <w:b/>
          <w:lang w:val="en-GB"/>
        </w:rPr>
      </w:pPr>
      <w:r w:rsidRPr="000144CE">
        <w:rPr>
          <w:b/>
          <w:lang w:val="en-GB"/>
        </w:rPr>
        <w:t>Key points</w:t>
      </w:r>
    </w:p>
    <w:p w14:paraId="00D99C37" w14:textId="77777777" w:rsidR="000144CE" w:rsidRPr="000144CE" w:rsidRDefault="000144CE" w:rsidP="009F6656">
      <w:pPr>
        <w:keepNext/>
        <w:keepLines/>
        <w:tabs>
          <w:tab w:val="center" w:pos="284"/>
        </w:tabs>
        <w:overflowPunct w:val="0"/>
        <w:autoSpaceDE w:val="0"/>
        <w:autoSpaceDN w:val="0"/>
        <w:adjustRightInd w:val="0"/>
        <w:ind w:left="266" w:hanging="266"/>
        <w:textAlignment w:val="baseline"/>
        <w:rPr>
          <w:b/>
          <w:lang w:val="en-GB"/>
        </w:rPr>
      </w:pPr>
    </w:p>
    <w:p w14:paraId="374A9DAF" w14:textId="77777777" w:rsidR="000144CE" w:rsidRDefault="000144CE" w:rsidP="009F6656">
      <w:pPr>
        <w:overflowPunct w:val="0"/>
        <w:autoSpaceDE w:val="0"/>
        <w:autoSpaceDN w:val="0"/>
        <w:adjustRightInd w:val="0"/>
        <w:textAlignment w:val="baseline"/>
        <w:rPr>
          <w:bCs/>
          <w:iCs/>
          <w:lang w:val="en-GB"/>
        </w:rPr>
      </w:pPr>
      <w:r w:rsidRPr="000144CE">
        <w:rPr>
          <w:bCs/>
          <w:iCs/>
          <w:lang w:val="en-GB"/>
        </w:rPr>
        <w:t>The EESC:</w:t>
      </w:r>
    </w:p>
    <w:p w14:paraId="449002CA" w14:textId="77777777" w:rsidR="000144CE" w:rsidRPr="000144CE" w:rsidRDefault="000144CE" w:rsidP="00956397">
      <w:pPr>
        <w:widowControl w:val="0"/>
        <w:numPr>
          <w:ilvl w:val="0"/>
          <w:numId w:val="28"/>
        </w:numPr>
        <w:overflowPunct w:val="0"/>
        <w:autoSpaceDE w:val="0"/>
        <w:autoSpaceDN w:val="0"/>
        <w:adjustRightInd w:val="0"/>
        <w:ind w:left="567" w:hanging="567"/>
        <w:textAlignment w:val="baseline"/>
        <w:rPr>
          <w:szCs w:val="20"/>
          <w:lang w:val="en-GB"/>
        </w:rPr>
      </w:pPr>
      <w:r w:rsidRPr="000144CE">
        <w:rPr>
          <w:szCs w:val="20"/>
          <w:lang w:val="en-GB"/>
        </w:rPr>
        <w:t>welcomes the Commission’s efforts to standardise the procedures for designating safe countries, which are currently decided at the discretion of the individual Member States, with an absence of transparency and a lack of effective supranational oversight;</w:t>
      </w:r>
    </w:p>
    <w:p w14:paraId="63C7D7DF" w14:textId="77777777" w:rsidR="000144CE" w:rsidRPr="000144CE" w:rsidRDefault="000144CE" w:rsidP="00956397">
      <w:pPr>
        <w:widowControl w:val="0"/>
        <w:numPr>
          <w:ilvl w:val="0"/>
          <w:numId w:val="28"/>
        </w:numPr>
        <w:overflowPunct w:val="0"/>
        <w:autoSpaceDE w:val="0"/>
        <w:autoSpaceDN w:val="0"/>
        <w:adjustRightInd w:val="0"/>
        <w:ind w:left="567" w:hanging="567"/>
        <w:textAlignment w:val="baseline"/>
        <w:rPr>
          <w:szCs w:val="20"/>
          <w:lang w:val="en-GB"/>
        </w:rPr>
      </w:pPr>
      <w:r w:rsidRPr="000144CE">
        <w:rPr>
          <w:szCs w:val="20"/>
          <w:lang w:val="en-GB"/>
        </w:rPr>
        <w:t>emphasises that the designation of a country as ‘safe’ plays a pivotal role in the procedures for examining asylum applications, given that applications from citizens coming from countries considered to be safe are examined under an accelerated procedure;</w:t>
      </w:r>
    </w:p>
    <w:p w14:paraId="04B173B6" w14:textId="77777777" w:rsidR="000144CE" w:rsidRPr="000144CE" w:rsidRDefault="000144CE" w:rsidP="00956397">
      <w:pPr>
        <w:widowControl w:val="0"/>
        <w:numPr>
          <w:ilvl w:val="0"/>
          <w:numId w:val="28"/>
        </w:numPr>
        <w:overflowPunct w:val="0"/>
        <w:autoSpaceDE w:val="0"/>
        <w:autoSpaceDN w:val="0"/>
        <w:adjustRightInd w:val="0"/>
        <w:ind w:left="567" w:hanging="567"/>
        <w:textAlignment w:val="baseline"/>
        <w:rPr>
          <w:szCs w:val="20"/>
          <w:lang w:val="en-GB"/>
        </w:rPr>
      </w:pPr>
      <w:r w:rsidRPr="000144CE">
        <w:rPr>
          <w:szCs w:val="20"/>
          <w:lang w:val="en-GB"/>
        </w:rPr>
        <w:t>points out that the use of the accelerated procedure for the examination of an asylum application means that the procedural safeguards are diminished and that, if the application is rejected, the applicant may be removed from the territory of the Member State pending a court appeal, a situation which is blatantly at odds with the principle of non-refoulement under Article 33 of the Geneva Convention;</w:t>
      </w:r>
    </w:p>
    <w:p w14:paraId="26B0BD99" w14:textId="77777777" w:rsidR="000144CE" w:rsidRPr="000144CE" w:rsidRDefault="000144CE" w:rsidP="00956397">
      <w:pPr>
        <w:widowControl w:val="0"/>
        <w:numPr>
          <w:ilvl w:val="0"/>
          <w:numId w:val="28"/>
        </w:numPr>
        <w:overflowPunct w:val="0"/>
        <w:autoSpaceDE w:val="0"/>
        <w:autoSpaceDN w:val="0"/>
        <w:adjustRightInd w:val="0"/>
        <w:ind w:left="567" w:hanging="567"/>
        <w:textAlignment w:val="baseline"/>
        <w:rPr>
          <w:szCs w:val="20"/>
          <w:lang w:val="en-GB"/>
        </w:rPr>
      </w:pPr>
      <w:r w:rsidRPr="000144CE">
        <w:rPr>
          <w:szCs w:val="20"/>
          <w:lang w:val="en-GB"/>
        </w:rPr>
        <w:t>considers that the designation of safe countries also constitutes a restriction of the right to asylum, both because procedural safeguards are diminished due to the use of the accelerated procedure and because the presumption that the country is safe results in a reversal of the burden of proof onto the asylum seeker, who must prove the contrary in order to be granted international protection;</w:t>
      </w:r>
    </w:p>
    <w:p w14:paraId="65665E10" w14:textId="77777777" w:rsidR="000144CE" w:rsidRPr="000144CE" w:rsidRDefault="000144CE" w:rsidP="00956397">
      <w:pPr>
        <w:widowControl w:val="0"/>
        <w:numPr>
          <w:ilvl w:val="0"/>
          <w:numId w:val="28"/>
        </w:numPr>
        <w:overflowPunct w:val="0"/>
        <w:autoSpaceDE w:val="0"/>
        <w:autoSpaceDN w:val="0"/>
        <w:adjustRightInd w:val="0"/>
        <w:ind w:left="567" w:hanging="567"/>
        <w:textAlignment w:val="baseline"/>
        <w:rPr>
          <w:szCs w:val="20"/>
          <w:lang w:val="en-GB"/>
        </w:rPr>
      </w:pPr>
      <w:r w:rsidRPr="000144CE">
        <w:rPr>
          <w:szCs w:val="20"/>
          <w:lang w:val="en-GB"/>
        </w:rPr>
        <w:t>believes that the recognition rate of 20% at EU level established as a criterion for the application of the accelerated procedure and the border procedure is arbitrary and inadequate;</w:t>
      </w:r>
    </w:p>
    <w:p w14:paraId="23337098" w14:textId="77777777" w:rsidR="000144CE" w:rsidRPr="000144CE" w:rsidRDefault="000144CE" w:rsidP="00956397">
      <w:pPr>
        <w:widowControl w:val="0"/>
        <w:numPr>
          <w:ilvl w:val="0"/>
          <w:numId w:val="28"/>
        </w:numPr>
        <w:overflowPunct w:val="0"/>
        <w:autoSpaceDE w:val="0"/>
        <w:autoSpaceDN w:val="0"/>
        <w:adjustRightInd w:val="0"/>
        <w:ind w:left="567" w:hanging="567"/>
        <w:textAlignment w:val="baseline"/>
        <w:rPr>
          <w:szCs w:val="20"/>
          <w:lang w:val="en-GB"/>
        </w:rPr>
      </w:pPr>
      <w:r w:rsidRPr="000144CE">
        <w:rPr>
          <w:szCs w:val="20"/>
          <w:lang w:val="en-GB"/>
        </w:rPr>
        <w:t>argues that, on the basis of the data currently available from both institutional and civil society sources and in accordance with the Charter of Fundamental Rights of the EU, the main consequence of designating the countries listed in Annex II to COM(2025) 186 as safe (Bangladesh, Colombia, Egypt, India, Kosovo, Morocco, Tunisia) could be to deny the right to asylum to applicants from those countries.</w:t>
      </w:r>
    </w:p>
    <w:p w14:paraId="07733676" w14:textId="77777777" w:rsidR="000144CE" w:rsidRPr="000144CE" w:rsidRDefault="000144CE" w:rsidP="009F6656">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767"/>
        <w:gridCol w:w="7306"/>
      </w:tblGrid>
      <w:tr w:rsidR="000144CE" w:rsidRPr="000144CE" w14:paraId="034B50EA" w14:textId="77777777" w:rsidTr="00956201">
        <w:tc>
          <w:tcPr>
            <w:tcW w:w="974" w:type="pct"/>
          </w:tcPr>
          <w:p w14:paraId="69FD0C08" w14:textId="77777777" w:rsidR="000144CE" w:rsidRPr="000144CE" w:rsidRDefault="000144CE" w:rsidP="009F6656">
            <w:pPr>
              <w:overflowPunct w:val="0"/>
              <w:autoSpaceDE w:val="0"/>
              <w:autoSpaceDN w:val="0"/>
              <w:adjustRightInd w:val="0"/>
              <w:textAlignment w:val="baseline"/>
              <w:rPr>
                <w:i/>
              </w:rPr>
            </w:pPr>
            <w:r w:rsidRPr="000144CE">
              <w:rPr>
                <w:b/>
                <w:i/>
              </w:rPr>
              <w:t>Contact</w:t>
            </w:r>
          </w:p>
        </w:tc>
        <w:tc>
          <w:tcPr>
            <w:tcW w:w="4026" w:type="pct"/>
          </w:tcPr>
          <w:p w14:paraId="2BC36D78" w14:textId="45E76A9D" w:rsidR="000144CE" w:rsidRPr="000144CE" w:rsidRDefault="000144CE" w:rsidP="009F6656">
            <w:pPr>
              <w:overflowPunct w:val="0"/>
              <w:autoSpaceDE w:val="0"/>
              <w:autoSpaceDN w:val="0"/>
              <w:adjustRightInd w:val="0"/>
              <w:textAlignment w:val="baseline"/>
              <w:rPr>
                <w:i/>
                <w:iCs/>
              </w:rPr>
            </w:pPr>
            <w:r w:rsidRPr="000144CE">
              <w:rPr>
                <w:i/>
                <w:iCs/>
              </w:rPr>
              <w:t>Daniele V</w:t>
            </w:r>
            <w:r w:rsidR="00233E62" w:rsidRPr="000144CE">
              <w:rPr>
                <w:i/>
                <w:iCs/>
              </w:rPr>
              <w:t>itali</w:t>
            </w:r>
          </w:p>
        </w:tc>
      </w:tr>
      <w:tr w:rsidR="000144CE" w:rsidRPr="000144CE" w14:paraId="7AF6C2E1" w14:textId="77777777" w:rsidTr="00956201">
        <w:tc>
          <w:tcPr>
            <w:tcW w:w="974" w:type="pct"/>
          </w:tcPr>
          <w:p w14:paraId="7B6BDCF2" w14:textId="77777777" w:rsidR="000144CE" w:rsidRPr="000144CE" w:rsidRDefault="000144CE" w:rsidP="009F6656">
            <w:pPr>
              <w:overflowPunct w:val="0"/>
              <w:autoSpaceDE w:val="0"/>
              <w:autoSpaceDN w:val="0"/>
              <w:adjustRightInd w:val="0"/>
              <w:textAlignment w:val="baseline"/>
              <w:rPr>
                <w:i/>
              </w:rPr>
            </w:pPr>
            <w:r w:rsidRPr="000144CE">
              <w:rPr>
                <w:i/>
              </w:rPr>
              <w:t>Tel.</w:t>
            </w:r>
          </w:p>
        </w:tc>
        <w:tc>
          <w:tcPr>
            <w:tcW w:w="4026" w:type="pct"/>
          </w:tcPr>
          <w:p w14:paraId="74083C1B" w14:textId="0C07EE41" w:rsidR="000144CE" w:rsidRPr="000144CE" w:rsidRDefault="000144CE" w:rsidP="009F6656">
            <w:pPr>
              <w:overflowPunct w:val="0"/>
              <w:autoSpaceDE w:val="0"/>
              <w:autoSpaceDN w:val="0"/>
              <w:adjustRightInd w:val="0"/>
              <w:textAlignment w:val="baseline"/>
              <w:rPr>
                <w:i/>
              </w:rPr>
            </w:pPr>
            <w:r w:rsidRPr="000144CE">
              <w:rPr>
                <w:i/>
              </w:rPr>
              <w:t>+32 2</w:t>
            </w:r>
            <w:r w:rsidR="00956201">
              <w:rPr>
                <w:i/>
              </w:rPr>
              <w:t xml:space="preserve"> </w:t>
            </w:r>
            <w:r w:rsidRPr="000144CE">
              <w:rPr>
                <w:i/>
              </w:rPr>
              <w:t>546</w:t>
            </w:r>
            <w:r w:rsidR="00956201">
              <w:rPr>
                <w:i/>
              </w:rPr>
              <w:t xml:space="preserve"> </w:t>
            </w:r>
            <w:r w:rsidRPr="000144CE">
              <w:rPr>
                <w:i/>
              </w:rPr>
              <w:t>8817</w:t>
            </w:r>
          </w:p>
        </w:tc>
      </w:tr>
      <w:tr w:rsidR="000144CE" w:rsidRPr="000144CE" w14:paraId="1073BC3E" w14:textId="77777777" w:rsidTr="00956201">
        <w:tc>
          <w:tcPr>
            <w:tcW w:w="974" w:type="pct"/>
          </w:tcPr>
          <w:p w14:paraId="679F214E" w14:textId="77777777" w:rsidR="000144CE" w:rsidRPr="000144CE" w:rsidRDefault="000144CE" w:rsidP="009F6656">
            <w:pPr>
              <w:overflowPunct w:val="0"/>
              <w:autoSpaceDE w:val="0"/>
              <w:autoSpaceDN w:val="0"/>
              <w:adjustRightInd w:val="0"/>
              <w:textAlignment w:val="baseline"/>
              <w:rPr>
                <w:i/>
              </w:rPr>
            </w:pPr>
            <w:r w:rsidRPr="000144CE">
              <w:rPr>
                <w:i/>
              </w:rPr>
              <w:t>Email</w:t>
            </w:r>
          </w:p>
        </w:tc>
        <w:tc>
          <w:tcPr>
            <w:tcW w:w="4026" w:type="pct"/>
          </w:tcPr>
          <w:p w14:paraId="5ECD9902" w14:textId="77777777" w:rsidR="000144CE" w:rsidRPr="000144CE" w:rsidRDefault="00956397" w:rsidP="009F6656">
            <w:pPr>
              <w:overflowPunct w:val="0"/>
              <w:autoSpaceDE w:val="0"/>
              <w:autoSpaceDN w:val="0"/>
              <w:adjustRightInd w:val="0"/>
              <w:textAlignment w:val="baseline"/>
              <w:rPr>
                <w:i/>
              </w:rPr>
            </w:pPr>
            <w:hyperlink r:id="rId35" w:history="1">
              <w:r w:rsidR="000144CE" w:rsidRPr="000144CE">
                <w:rPr>
                  <w:i/>
                  <w:color w:val="0000FF"/>
                  <w:u w:val="single"/>
                  <w:lang w:val="en-GB"/>
                </w:rPr>
                <w:t>Daniele.Vitali@eesc.europa.eu</w:t>
              </w:r>
            </w:hyperlink>
          </w:p>
        </w:tc>
      </w:tr>
    </w:tbl>
    <w:p w14:paraId="4464305F" w14:textId="154C2B61" w:rsidR="006D2C8A" w:rsidRPr="009F6656" w:rsidRDefault="009F6656" w:rsidP="00956397">
      <w:pPr>
        <w:overflowPunct w:val="0"/>
        <w:autoSpaceDE w:val="0"/>
        <w:autoSpaceDN w:val="0"/>
        <w:adjustRightInd w:val="0"/>
        <w:jc w:val="center"/>
        <w:textAlignment w:val="baseline"/>
        <w:rPr>
          <w:lang w:val="nl-BE"/>
        </w:rPr>
      </w:pPr>
      <w:r>
        <w:rPr>
          <w:lang w:val="nl-BE"/>
        </w:rPr>
        <w:t>_____________</w:t>
      </w:r>
    </w:p>
    <w:sectPr w:rsidR="006D2C8A" w:rsidRPr="009F6656" w:rsidSect="00D40A83">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592B" w14:textId="77777777" w:rsidR="009F6656" w:rsidRDefault="009F6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6B93AFA3" w:rsidR="00B518C9" w:rsidRPr="00B518C9" w:rsidRDefault="00B518C9" w:rsidP="00B518C9">
    <w:pPr>
      <w:pStyle w:val="Footer"/>
    </w:pPr>
    <w:r>
      <w:t>EESC-</w:t>
    </w:r>
    <w:r w:rsidR="008332E0">
      <w:t>2025-01836-00</w:t>
    </w:r>
    <w:r w:rsidR="003F79EF">
      <w:t>-</w:t>
    </w:r>
    <w:r w:rsidR="008332E0">
      <w:t>00</w:t>
    </w:r>
    <w:r w:rsidR="003F79EF">
      <w:t>-</w:t>
    </w:r>
    <w:r w:rsidR="008332E0">
      <w:t>T</w:t>
    </w:r>
    <w:r w:rsidR="003F79EF">
      <w:t>RA</w:t>
    </w:r>
    <w:r>
      <w:t xml:space="preserve"> (</w:t>
    </w:r>
    <w:r w:rsidR="008332E0">
      <w:t>EN</w:t>
    </w:r>
    <w:r>
      <w:t xml:space="preserve">) </w:t>
    </w:r>
    <w:r>
      <w:fldChar w:fldCharType="begin"/>
    </w:r>
    <w:r>
      <w:instrText xml:space="preserve"> PAGE  \* Arabic  \* MERGEFORMAT </w:instrText>
    </w:r>
    <w:r>
      <w:fldChar w:fldCharType="separate"/>
    </w:r>
    <w:r w:rsidR="00DE176A">
      <w:rPr>
        <w:noProof/>
      </w:rPr>
      <w:t>1</w:t>
    </w:r>
    <w:r>
      <w:fldChar w:fldCharType="end"/>
    </w:r>
    <w:r>
      <w:t>/</w:t>
    </w:r>
    <w:r>
      <w:fldChar w:fldCharType="begin"/>
    </w:r>
    <w:r>
      <w:instrText xml:space="preserve"> = </w:instrText>
    </w:r>
    <w:r w:rsidR="00956397">
      <w:fldChar w:fldCharType="begin"/>
    </w:r>
    <w:r w:rsidR="00956397">
      <w:instrText xml:space="preserve"> NUMPAGES </w:instrText>
    </w:r>
    <w:r w:rsidR="00956397">
      <w:fldChar w:fldCharType="separate"/>
    </w:r>
    <w:r w:rsidR="00956397">
      <w:rPr>
        <w:noProof/>
      </w:rPr>
      <w:instrText>12</w:instrText>
    </w:r>
    <w:r w:rsidR="00956397">
      <w:rPr>
        <w:noProof/>
      </w:rPr>
      <w:fldChar w:fldCharType="end"/>
    </w:r>
    <w:r>
      <w:instrText xml:space="preserve"> -0 </w:instrText>
    </w:r>
    <w:r>
      <w:fldChar w:fldCharType="separate"/>
    </w:r>
    <w:r w:rsidR="00956397">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C354" w14:textId="77777777" w:rsidR="009F6656" w:rsidRDefault="009F6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287290F3" w14:textId="77777777" w:rsidR="00C61F85" w:rsidRPr="00AE3490" w:rsidRDefault="00C61F85" w:rsidP="00C61F85">
      <w:pPr>
        <w:pStyle w:val="FootnoteText"/>
        <w:rPr>
          <w:lang w:val="fr-BE"/>
        </w:rPr>
      </w:pPr>
      <w:r>
        <w:rPr>
          <w:rStyle w:val="FootnoteReference"/>
        </w:rPr>
        <w:footnoteRef/>
      </w:r>
      <w:r>
        <w:t xml:space="preserve"> </w:t>
      </w:r>
      <w:r>
        <w:rPr>
          <w:lang w:val="fr-BE"/>
        </w:rPr>
        <w:tab/>
      </w:r>
      <w:hyperlink r:id="rId1" w:history="1">
        <w:r w:rsidRPr="00AE3490">
          <w:rPr>
            <w:rStyle w:val="Hyperlink"/>
            <w:lang w:val="fr-BE"/>
          </w:rPr>
          <w:t>OJ C 155, 30.4.2021, p. 52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4F82" w14:textId="77777777" w:rsidR="009F6656" w:rsidRDefault="009F6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4F0C" w14:textId="77777777" w:rsidR="009F6656" w:rsidRDefault="009F6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FBB3" w14:textId="77777777" w:rsidR="009F6656" w:rsidRDefault="009F6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F08D402"/>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8DCC653A"/>
    <w:lvl w:ilvl="0">
      <w:numFmt w:val="decimal"/>
      <w:lvlText w:val="*"/>
      <w:lvlJc w:val="left"/>
    </w:lvl>
  </w:abstractNum>
  <w:abstractNum w:abstractNumId="2" w15:restartNumberingAfterBreak="0">
    <w:nsid w:val="075E51CD"/>
    <w:multiLevelType w:val="hybridMultilevel"/>
    <w:tmpl w:val="A378A1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9E4572"/>
    <w:multiLevelType w:val="hybridMultilevel"/>
    <w:tmpl w:val="F19A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65750"/>
    <w:multiLevelType w:val="multilevel"/>
    <w:tmpl w:val="D72C648E"/>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15F22"/>
    <w:multiLevelType w:val="multilevel"/>
    <w:tmpl w:val="27CE76D6"/>
    <w:lvl w:ilvl="0">
      <w:start w:val="1"/>
      <w:numFmt w:val="bullet"/>
      <w:lvlText w:val=""/>
      <w:lvlJc w:val="left"/>
      <w:pPr>
        <w:tabs>
          <w:tab w:val="num" w:pos="720"/>
        </w:tabs>
        <w:ind w:left="720" w:hanging="360"/>
      </w:pPr>
      <w:rPr>
        <w:rFonts w:ascii="Symbol" w:hAnsi="Symbol" w:hint="default"/>
        <w:color w:val="auto"/>
        <w:sz w:val="20"/>
        <w:lang w:val="en-GB"/>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76EBA"/>
    <w:multiLevelType w:val="hybridMultilevel"/>
    <w:tmpl w:val="993C3D5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4B338E"/>
    <w:multiLevelType w:val="singleLevel"/>
    <w:tmpl w:val="DDE088C8"/>
    <w:lvl w:ilvl="0">
      <w:numFmt w:val="decimal"/>
      <w:lvlText w:val="*"/>
      <w:lvlJc w:val="left"/>
    </w:lvl>
  </w:abstractNum>
  <w:abstractNum w:abstractNumId="8" w15:restartNumberingAfterBreak="0">
    <w:nsid w:val="1CD372E1"/>
    <w:multiLevelType w:val="hybridMultilevel"/>
    <w:tmpl w:val="8984EE4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A74B8"/>
    <w:multiLevelType w:val="hybridMultilevel"/>
    <w:tmpl w:val="3F1EF0EE"/>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F275672"/>
    <w:multiLevelType w:val="hybridMultilevel"/>
    <w:tmpl w:val="21F4F1AC"/>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9BE1C40"/>
    <w:multiLevelType w:val="multilevel"/>
    <w:tmpl w:val="EF88FAA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2EFE08E9"/>
    <w:multiLevelType w:val="hybridMultilevel"/>
    <w:tmpl w:val="3B3249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B62B1E"/>
    <w:multiLevelType w:val="hybridMultilevel"/>
    <w:tmpl w:val="1F041D5C"/>
    <w:lvl w:ilvl="0" w:tplc="94F64CF4">
      <w:start w:val="1"/>
      <w:numFmt w:val="bullet"/>
      <w:lvlText w:val=""/>
      <w:lvlJc w:val="left"/>
      <w:pPr>
        <w:ind w:left="720" w:hanging="360"/>
      </w:pPr>
      <w:rPr>
        <w:rFonts w:ascii="Symbol" w:hAnsi="Symbol" w:hint="default"/>
        <w:sz w:val="24"/>
        <w:szCs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14C4A0A"/>
    <w:multiLevelType w:val="multilevel"/>
    <w:tmpl w:val="3A0EB86A"/>
    <w:lvl w:ilvl="0">
      <w:start w:val="1"/>
      <w:numFmt w:val="bullet"/>
      <w:lvlText w:val=""/>
      <w:lvlJc w:val="left"/>
      <w:pPr>
        <w:tabs>
          <w:tab w:val="num" w:pos="1068"/>
        </w:tabs>
        <w:ind w:left="1068" w:hanging="360"/>
      </w:pPr>
      <w:rPr>
        <w:rFonts w:ascii="Symbol" w:hAnsi="Symbol" w:hint="default"/>
        <w:color w:val="auto"/>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48DE1F53"/>
    <w:multiLevelType w:val="hybridMultilevel"/>
    <w:tmpl w:val="C71ADF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B71692B"/>
    <w:multiLevelType w:val="hybridMultilevel"/>
    <w:tmpl w:val="79123C40"/>
    <w:lvl w:ilvl="0" w:tplc="F802FEF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265884"/>
    <w:multiLevelType w:val="hybridMultilevel"/>
    <w:tmpl w:val="CA6050B2"/>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F6646C9"/>
    <w:multiLevelType w:val="hybridMultilevel"/>
    <w:tmpl w:val="BB36BC4C"/>
    <w:lvl w:ilvl="0" w:tplc="E1BA2AC8">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4FE70F34"/>
    <w:multiLevelType w:val="hybridMultilevel"/>
    <w:tmpl w:val="24449D0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CF61F4"/>
    <w:multiLevelType w:val="hybridMultilevel"/>
    <w:tmpl w:val="29341B8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61D6AC1"/>
    <w:multiLevelType w:val="hybridMultilevel"/>
    <w:tmpl w:val="74846BE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3" w15:restartNumberingAfterBreak="0">
    <w:nsid w:val="5F36617C"/>
    <w:multiLevelType w:val="multilevel"/>
    <w:tmpl w:val="9C74BDFE"/>
    <w:lvl w:ilvl="0">
      <w:start w:val="1"/>
      <w:numFmt w:val="bullet"/>
      <w:lvlText w:val=""/>
      <w:lvlJc w:val="left"/>
      <w:pPr>
        <w:tabs>
          <w:tab w:val="num" w:pos="1068"/>
        </w:tabs>
        <w:ind w:left="1068" w:hanging="360"/>
      </w:pPr>
      <w:rPr>
        <w:rFonts w:ascii="Symbol" w:hAnsi="Symbol" w:hint="default"/>
        <w:color w:val="auto"/>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625D6750"/>
    <w:multiLevelType w:val="hybridMultilevel"/>
    <w:tmpl w:val="24506ADE"/>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6" w15:restartNumberingAfterBreak="0">
    <w:nsid w:val="6CC4756C"/>
    <w:multiLevelType w:val="hybridMultilevel"/>
    <w:tmpl w:val="248092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1760BE8"/>
    <w:multiLevelType w:val="multilevel"/>
    <w:tmpl w:val="CF489876"/>
    <w:lvl w:ilvl="0">
      <w:start w:val="1"/>
      <w:numFmt w:val="bullet"/>
      <w:lvlText w:val=""/>
      <w:lvlJc w:val="left"/>
      <w:pPr>
        <w:tabs>
          <w:tab w:val="num" w:pos="1068"/>
        </w:tabs>
        <w:ind w:left="1068" w:hanging="360"/>
      </w:pPr>
      <w:rPr>
        <w:rFonts w:ascii="Symbol" w:hAnsi="Symbol" w:hint="default"/>
        <w:color w:val="auto"/>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28"/>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3"/>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4"/>
          <w:szCs w:val="24"/>
        </w:rPr>
      </w:lvl>
    </w:lvlOverride>
  </w:num>
  <w:num w:numId="7">
    <w:abstractNumId w:val="12"/>
  </w:num>
  <w:num w:numId="8">
    <w:abstractNumId w:val="2"/>
  </w:num>
  <w:num w:numId="9">
    <w:abstractNumId w:val="7"/>
  </w:num>
  <w:num w:numId="10">
    <w:abstractNumId w:val="4"/>
  </w:num>
  <w:num w:numId="11">
    <w:abstractNumId w:val="16"/>
  </w:num>
  <w:num w:numId="12">
    <w:abstractNumId w:val="26"/>
  </w:num>
  <w:num w:numId="13">
    <w:abstractNumId w:val="18"/>
  </w:num>
  <w:num w:numId="14">
    <w:abstractNumId w:val="11"/>
  </w:num>
  <w:num w:numId="15">
    <w:abstractNumId w:val="22"/>
  </w:num>
  <w:num w:numId="16">
    <w:abstractNumId w:val="5"/>
  </w:num>
  <w:num w:numId="17">
    <w:abstractNumId w:val="10"/>
  </w:num>
  <w:num w:numId="18">
    <w:abstractNumId w:val="13"/>
  </w:num>
  <w:num w:numId="19">
    <w:abstractNumId w:val="20"/>
  </w:num>
  <w:num w:numId="20">
    <w:abstractNumId w:val="19"/>
  </w:num>
  <w:num w:numId="21">
    <w:abstractNumId w:val="6"/>
  </w:num>
  <w:num w:numId="22">
    <w:abstractNumId w:val="17"/>
  </w:num>
  <w:num w:numId="23">
    <w:abstractNumId w:val="27"/>
  </w:num>
  <w:num w:numId="24">
    <w:abstractNumId w:val="9"/>
  </w:num>
  <w:num w:numId="25">
    <w:abstractNumId w:val="14"/>
  </w:num>
  <w:num w:numId="26">
    <w:abstractNumId w:val="23"/>
  </w:num>
  <w:num w:numId="27">
    <w:abstractNumId w:val="21"/>
  </w:num>
  <w:num w:numId="28">
    <w:abstractNumId w:val="24"/>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10A4D"/>
    <w:rsid w:val="000144CE"/>
    <w:rsid w:val="00045E5A"/>
    <w:rsid w:val="00046604"/>
    <w:rsid w:val="00063DFF"/>
    <w:rsid w:val="000C5F70"/>
    <w:rsid w:val="000D394D"/>
    <w:rsid w:val="000D6726"/>
    <w:rsid w:val="000F1075"/>
    <w:rsid w:val="00125C94"/>
    <w:rsid w:val="00156EF2"/>
    <w:rsid w:val="00191656"/>
    <w:rsid w:val="001A1B72"/>
    <w:rsid w:val="001A665E"/>
    <w:rsid w:val="001C4622"/>
    <w:rsid w:val="001E391D"/>
    <w:rsid w:val="00233E62"/>
    <w:rsid w:val="002344DB"/>
    <w:rsid w:val="00236FB8"/>
    <w:rsid w:val="002A5636"/>
    <w:rsid w:val="002B24A4"/>
    <w:rsid w:val="002B7981"/>
    <w:rsid w:val="002C22A4"/>
    <w:rsid w:val="003066BE"/>
    <w:rsid w:val="00320B13"/>
    <w:rsid w:val="003227CC"/>
    <w:rsid w:val="003F326D"/>
    <w:rsid w:val="003F54C1"/>
    <w:rsid w:val="003F79EF"/>
    <w:rsid w:val="00417D58"/>
    <w:rsid w:val="0042474B"/>
    <w:rsid w:val="0043191A"/>
    <w:rsid w:val="004703DA"/>
    <w:rsid w:val="00471176"/>
    <w:rsid w:val="004962DD"/>
    <w:rsid w:val="004A5CD7"/>
    <w:rsid w:val="004D7AC0"/>
    <w:rsid w:val="00532089"/>
    <w:rsid w:val="00532DC7"/>
    <w:rsid w:val="0056515B"/>
    <w:rsid w:val="00586B4B"/>
    <w:rsid w:val="005A0BDA"/>
    <w:rsid w:val="005A3E38"/>
    <w:rsid w:val="005E7651"/>
    <w:rsid w:val="005F1370"/>
    <w:rsid w:val="00625CA3"/>
    <w:rsid w:val="00641262"/>
    <w:rsid w:val="00656BFF"/>
    <w:rsid w:val="00686F92"/>
    <w:rsid w:val="006D2C8A"/>
    <w:rsid w:val="006D2D64"/>
    <w:rsid w:val="006F3394"/>
    <w:rsid w:val="00754027"/>
    <w:rsid w:val="0075589E"/>
    <w:rsid w:val="00766B1A"/>
    <w:rsid w:val="0077558D"/>
    <w:rsid w:val="007C500A"/>
    <w:rsid w:val="007F5784"/>
    <w:rsid w:val="0080502D"/>
    <w:rsid w:val="00821C1B"/>
    <w:rsid w:val="008332E0"/>
    <w:rsid w:val="00845F24"/>
    <w:rsid w:val="00875E02"/>
    <w:rsid w:val="0088219D"/>
    <w:rsid w:val="008847E0"/>
    <w:rsid w:val="008A2DCF"/>
    <w:rsid w:val="008F7724"/>
    <w:rsid w:val="00901A9B"/>
    <w:rsid w:val="00932850"/>
    <w:rsid w:val="00956201"/>
    <w:rsid w:val="00956397"/>
    <w:rsid w:val="00980D59"/>
    <w:rsid w:val="00984D82"/>
    <w:rsid w:val="009B5412"/>
    <w:rsid w:val="009E3F7C"/>
    <w:rsid w:val="009F6656"/>
    <w:rsid w:val="00A20E9D"/>
    <w:rsid w:val="00A272B2"/>
    <w:rsid w:val="00A50553"/>
    <w:rsid w:val="00A52248"/>
    <w:rsid w:val="00A9214E"/>
    <w:rsid w:val="00AA1DB5"/>
    <w:rsid w:val="00AB4FF4"/>
    <w:rsid w:val="00B203DA"/>
    <w:rsid w:val="00B518C9"/>
    <w:rsid w:val="00B74994"/>
    <w:rsid w:val="00B75DBC"/>
    <w:rsid w:val="00BA654D"/>
    <w:rsid w:val="00BE54B3"/>
    <w:rsid w:val="00C008B4"/>
    <w:rsid w:val="00C15BC7"/>
    <w:rsid w:val="00C17ABD"/>
    <w:rsid w:val="00C26C67"/>
    <w:rsid w:val="00C3038B"/>
    <w:rsid w:val="00C61F85"/>
    <w:rsid w:val="00C821A5"/>
    <w:rsid w:val="00CA29D9"/>
    <w:rsid w:val="00CC23B3"/>
    <w:rsid w:val="00D1563B"/>
    <w:rsid w:val="00D43613"/>
    <w:rsid w:val="00D7076A"/>
    <w:rsid w:val="00D81F5E"/>
    <w:rsid w:val="00D92269"/>
    <w:rsid w:val="00DD6C59"/>
    <w:rsid w:val="00DE176A"/>
    <w:rsid w:val="00E00A6B"/>
    <w:rsid w:val="00E34ABD"/>
    <w:rsid w:val="00E764A0"/>
    <w:rsid w:val="00E77899"/>
    <w:rsid w:val="00E80258"/>
    <w:rsid w:val="00F01D9B"/>
    <w:rsid w:val="00F303AE"/>
    <w:rsid w:val="00F83C17"/>
    <w:rsid w:val="00F96219"/>
    <w:rsid w:val="00F96D7F"/>
    <w:rsid w:val="00FB5C12"/>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875E02"/>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5A3E3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en/our-work/opinions-information-reports/opinions/omnibus-chemicals-simplification-chemical-classification-fertilising-products-and-cosmetics" TargetMode="External"/><Relationship Id="rId3" Type="http://schemas.openxmlformats.org/officeDocument/2006/relationships/customXml" Target="../customXml/item3.xml"/><Relationship Id="rId21" Type="http://schemas.openxmlformats.org/officeDocument/2006/relationships/hyperlink" Target="mailto:Georgios.Meleas@eesc.europa.eu" TargetMode="External"/><Relationship Id="rId34" Type="http://schemas.openxmlformats.org/officeDocument/2006/relationships/hyperlink" Target="https://www.eesc.europa.eu/en/our-work/opinions-information-reports/opinions/safe-countries-package" TargetMode="External"/><Relationship Id="rId7" Type="http://schemas.openxmlformats.org/officeDocument/2006/relationships/settings" Target="settings.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ilvia.Staffa@eesc.europa.eu" TargetMode="External"/><Relationship Id="rId33" Type="http://schemas.openxmlformats.org/officeDocument/2006/relationships/hyperlink" Target="mailto:Charlotte.Rive@eesc.europa.e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en/our-work/opinions-information-reports/opinions/amendment-brexit-adjustment-reserve" TargetMode="External"/><Relationship Id="rId29" Type="http://schemas.openxmlformats.org/officeDocument/2006/relationships/hyperlink" Target="mailto:Alejandra.MolinaSaavedra@eesc.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en/our-work/opinions-information-reports/opinions/framework-state-aid-measures-support-clean-industrial-deal" TargetMode="External"/><Relationship Id="rId32" Type="http://schemas.openxmlformats.org/officeDocument/2006/relationships/hyperlink" Target="https://www.eesc.europa.eu/en/our-work/opinions-information-reports/opinions/strengthening-european-values-candidate-countries-supporting-public-service-sector-and-empowering-social-partners-and"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Valeria.Atzori@eesc.europa.eu" TargetMode="External"/><Relationship Id="rId28" Type="http://schemas.openxmlformats.org/officeDocument/2006/relationships/hyperlink" Target="https://www.eesc.europa.eu/en/our-work/opinions-information-reports/opinions/regulation-european-chemicals-agenc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Sabrina.Tesoka@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n/our-work/opinions-information-reports/opinions/sixth-revision-carcinogens-mutagens-and-reprotoxic-substances-directive-200437ec-extending-protection-workers-risks" TargetMode="External"/><Relationship Id="rId27" Type="http://schemas.openxmlformats.org/officeDocument/2006/relationships/hyperlink" Target="mailto:Alejandra.MolinaSaavedra@eesc.europa.eu" TargetMode="External"/><Relationship Id="rId30" Type="http://schemas.openxmlformats.org/officeDocument/2006/relationships/hyperlink" Target="https://www.eesc.europa.eu/en/our-work/opinions-information-reports/information-reports/diplomacy-and-disability" TargetMode="External"/><Relationship Id="rId35" Type="http://schemas.openxmlformats.org/officeDocument/2006/relationships/hyperlink" Target="mailto:Daniele.Vitali@eesc.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OJ:C:2021:155: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A6WAAD5KZT2Q-293470456-15149</_dlc_DocId>
    <_dlc_DocIdUrl xmlns="1a33af13-4045-4f88-9d7b-618e30f79918">
      <Url>http://dm/eesc/2025/_layouts/15/DocIdRedir.aspx?ID=A6WAAD5KZT2Q-293470456-15149</Url>
      <Description>A6WAAD5KZT2Q-293470456-15149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2025-11-18T12:00:00+00:00</ProductionDate>
    <DocumentNumber xmlns="aa382cf6-584e-4bd2-bd73-0bac1a20efcb">1836</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MeetingDate xmlns="1a33af13-4045-4f88-9d7b-618e30f79918">2025-12-03T12:00:00+00:00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296268</FicheNumber>
    <OriginalSender xmlns="1a33af13-4045-4f88-9d7b-618e30f79918">
      <UserInfo>
        <DisplayName>Tudor Anca</DisplayName>
        <AccountId>52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601</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2.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3.xml><?xml version="1.0" encoding="utf-8"?>
<ds:datastoreItem xmlns:ds="http://schemas.openxmlformats.org/officeDocument/2006/customXml" ds:itemID="{366266BD-96A8-48F4-A9F9-A492C773956E}"/>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- 600th plenary session - October 2025 </dc:title>
  <dc:subject>ADMIN</dc:subject>
  <dc:creator/>
  <cp:keywords>COR-EESC-2022-02583-00-00-ADMIN-TRA-EN</cp:keywords>
  <dc:description>Rapporteur:  - Original language: EN - Date of document: 20/05/2022 - Date of meeting:  - External documents:  - Administrator:  SUCIU Serban</dc:description>
  <cp:lastModifiedBy/>
  <cp:revision>2</cp:revision>
  <dcterms:created xsi:type="dcterms:W3CDTF">2025-11-18T14:51:00Z</dcterms:created>
  <dcterms:modified xsi:type="dcterms:W3CDTF">2025-11-18T14:53:00Z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14/11/2025, 02/05/2022, 02/05/2022, 28/06/2021</vt:lpwstr>
  </property>
  <property fmtid="{D5CDD505-2E9C-101B-9397-08002B2CF9AE}" pid="4" name="Pref_Time">
    <vt:lpwstr>13:38:55, 12:28:29, 12:25:37, 08:41:48</vt:lpwstr>
  </property>
  <property fmtid="{D5CDD505-2E9C-101B-9397-08002B2CF9AE}" pid="5" name="Pref_User">
    <vt:lpwstr>amett, enied, enied, enied</vt:lpwstr>
  </property>
  <property fmtid="{D5CDD505-2E9C-101B-9397-08002B2CF9AE}" pid="6" name="Pref_FileName">
    <vt:lpwstr>EESC-2025-01836-00-00-TCD-ORI.docx, Summary of opinions.docx, COR-EESC-2022-02370-00-00-ADMIN-ORI.docx, Synthese des avis Template.docx</vt:lpwstr>
  </property>
  <property fmtid="{D5CDD505-2E9C-101B-9397-08002B2CF9AE}" pid="7" name="ContentTypeId">
    <vt:lpwstr>0x010100EA97B91038054C99906057A708A1480A00FD26272E6D350E4BA98D090F484731A0</vt:lpwstr>
  </property>
  <property fmtid="{D5CDD505-2E9C-101B-9397-08002B2CF9AE}" pid="8" name="_dlc_DocIdItemGuid">
    <vt:lpwstr>cbd2467e-ba28-472f-8d2b-ea57e5732e0c</vt:lpwstr>
  </property>
  <property fmtid="{D5CDD505-2E9C-101B-9397-08002B2CF9AE}" pid="9" name="AvailableTranslations">
    <vt:lpwstr>28;#SV|c2ed69e7-a339-43d7-8f22-d93680a92aa0;#29;#CS|72f9705b-0217-4fd3-bea2-cbc7ed80e26e;#50;#HR|2f555653-ed1a-4fe6-8362-9082d95989e5;#16;#ES|e7a6b05b-ae16-40c8-add9-68b64b03aeba;#30;#LT|a7ff5ce7-6123-4f68-865a-a57c31810414;#47;#BG|1a1b3951-7821-4e6a-85f5-5673fc08bd2c;#34;#IT|0774613c-01ed-4e5d-a25d-11d2388de825;#27;#NL|55c6556c-b4f4-441d-9acf-c498d4f838bd;#23;#DE|f6b31e5a-26fa-4935-b661-318e46daf27e;#31;#SL|98a412ae-eb01-49e9-ae3d-585a81724cfc;#12;#FR|d2afafd3-4c81-4f60-8f52-ee33f2f54ff3;#35;#FI|87606a43-d45f-42d6-b8c9-e1a3457db5b7;#40;#DA|5d49c027-8956-412b-aa16-e85a0f96ad0e;#37;#HU|6b229040-c589-4408-b4c1-4285663d20a8;#36;#RO|feb747a2-64cd-4299-af12-4833ddc30497;#46;#SK|46d9fce0-ef79-4f71-b89b-cd6aa82426b8;#41;#ET|ff6c3f4c-b02c-4c3c-ab07-2c37995a7a0a;#24;#PL|1e03da61-4678-4e07-b136-b5024ca9197b;#42;#EL|6d4f4d51-af9b-4650-94b4-4276bee85c91;#33;#PT|50ccc04a-eadd-42ae-a0cb-acaf45f812ba;#39;#LV|46f7e311-5d9f-4663-b433-18aeccb7ace7;#5;#EN|f2175f21-25d7-44a3-96da-d6a61b075e1b</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1836</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67;#SPL-CES|32d8cb1f-c9ec-4365-95c7-8385a18618ac;#15;#Unrestricted|826e22d7-d029-4ec0-a450-0c28ff673572;#13;#TRA|150d2a88-1431-44e6-a8ca-0bb753ab8672;#8;#Final|ea5e6674-7b27-4bac-b091-73adbb394efe;#5;#EN|f2175f21-25d7-44a3-96da-d6a61b075e1b;#19;#TCD|cd9d6eb6-3f4f-424a-b2d1-57c9d450eaaf;#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296268</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5;#EN|f2175f21-25d7-44a3-96da-d6a61b075e1b</vt:lpwstr>
  </property>
  <property fmtid="{D5CDD505-2E9C-101B-9397-08002B2CF9AE}" pid="33" name="AvailableTranslations_0">
    <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601</vt:i4>
  </property>
  <property fmtid="{D5CDD505-2E9C-101B-9397-08002B2CF9AE}" pid="40" name="MeetingDate">
    <vt:filetime>2025-12-03T12:00:00Z</vt:filetime>
  </property>
</Properties>
</file>