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11"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9711"/>
      </w:tblGrid>
      <w:tr w:rsidR="001C4138" w:rsidRPr="00BA59E6" w14:paraId="7E6372DC" w14:textId="77777777" w:rsidTr="00217E59">
        <w:trPr>
          <w:jc w:val="center"/>
        </w:trPr>
        <w:tc>
          <w:tcPr>
            <w:tcW w:w="9711" w:type="dxa"/>
          </w:tcPr>
          <w:p w14:paraId="3A4EDC3A" w14:textId="3205A1E5" w:rsidR="001C4138" w:rsidRPr="00BA59E6" w:rsidRDefault="00BF20FD" w:rsidP="002466F3">
            <w:pPr>
              <w:spacing w:before="120" w:after="120"/>
              <w:rPr>
                <w:rFonts w:ascii="Times New Roman" w:hAnsi="Times New Roman"/>
                <w:b/>
                <w:sz w:val="24"/>
                <w:szCs w:val="24"/>
              </w:rPr>
            </w:pPr>
            <w:r w:rsidRPr="00BA59E6">
              <w:rPr>
                <w:rFonts w:ascii="Times New Roman" w:hAnsi="Times New Roman"/>
                <w:b/>
                <w:bCs/>
                <w:sz w:val="24"/>
                <w:szCs w:val="24"/>
              </w:rPr>
              <w:t>The road to the next Multiannual Financial Framework</w:t>
            </w:r>
            <w:r w:rsidR="00BD5D4F">
              <w:rPr>
                <w:rFonts w:ascii="Times New Roman" w:hAnsi="Times New Roman"/>
                <w:b/>
                <w:bCs/>
                <w:sz w:val="24"/>
                <w:szCs w:val="24"/>
              </w:rPr>
              <w:br/>
              <w:t>(optional opinion)</w:t>
            </w:r>
            <w:r w:rsidRPr="00BA59E6">
              <w:br/>
            </w:r>
            <w:r w:rsidRPr="00BA59E6">
              <w:rPr>
                <w:rFonts w:ascii="Times New Roman" w:hAnsi="Times New Roman"/>
                <w:b/>
                <w:bCs/>
                <w:sz w:val="24"/>
                <w:szCs w:val="24"/>
              </w:rPr>
              <w:t>COM(2025) 46 final</w:t>
            </w:r>
            <w:r w:rsidRPr="00BA59E6">
              <w:br/>
            </w:r>
            <w:r w:rsidRPr="002F3A4D">
              <w:rPr>
                <w:rFonts w:ascii="Times New Roman" w:hAnsi="Times New Roman"/>
                <w:b/>
                <w:bCs/>
                <w:sz w:val="24"/>
                <w:szCs w:val="24"/>
              </w:rPr>
              <w:t>EESC-2025</w:t>
            </w:r>
            <w:r w:rsidR="00BD5D4F">
              <w:rPr>
                <w:rFonts w:ascii="Times New Roman" w:hAnsi="Times New Roman"/>
                <w:b/>
                <w:bCs/>
                <w:sz w:val="24"/>
                <w:szCs w:val="24"/>
              </w:rPr>
              <w:t>-</w:t>
            </w:r>
            <w:r w:rsidRPr="00BA59E6">
              <w:rPr>
                <w:rFonts w:ascii="Times New Roman" w:hAnsi="Times New Roman"/>
                <w:b/>
                <w:bCs/>
                <w:sz w:val="24"/>
                <w:szCs w:val="24"/>
              </w:rPr>
              <w:t xml:space="preserve">00505 </w:t>
            </w:r>
            <w:r w:rsidR="00BD5D4F" w:rsidRPr="002F3A4D">
              <w:rPr>
                <w:rFonts w:ascii="Times New Roman" w:hAnsi="Times New Roman"/>
                <w:b/>
                <w:bCs/>
                <w:sz w:val="24"/>
                <w:szCs w:val="24"/>
              </w:rPr>
              <w:t xml:space="preserve">– </w:t>
            </w:r>
            <w:r w:rsidRPr="002F3A4D">
              <w:rPr>
                <w:rFonts w:ascii="Times New Roman" w:hAnsi="Times New Roman"/>
                <w:b/>
                <w:bCs/>
                <w:sz w:val="24"/>
                <w:szCs w:val="24"/>
              </w:rPr>
              <w:t xml:space="preserve">ECO/662 </w:t>
            </w:r>
            <w:r w:rsidRPr="00BA59E6">
              <w:br/>
            </w:r>
            <w:r w:rsidRPr="00BA59E6">
              <w:rPr>
                <w:rFonts w:ascii="Times New Roman" w:hAnsi="Times New Roman"/>
                <w:b/>
                <w:bCs/>
                <w:sz w:val="24"/>
                <w:szCs w:val="24"/>
              </w:rPr>
              <w:t>596t</w:t>
            </w:r>
            <w:r w:rsidRPr="00BD5D4F">
              <w:rPr>
                <w:rFonts w:ascii="Times New Roman" w:hAnsi="Times New Roman"/>
                <w:b/>
                <w:bCs/>
                <w:sz w:val="24"/>
                <w:szCs w:val="24"/>
                <w:vertAlign w:val="superscript"/>
              </w:rPr>
              <w:t>h</w:t>
            </w:r>
            <w:r w:rsidRPr="00BA59E6">
              <w:rPr>
                <w:rFonts w:ascii="Times New Roman" w:hAnsi="Times New Roman"/>
                <w:b/>
                <w:bCs/>
                <w:sz w:val="24"/>
                <w:szCs w:val="24"/>
              </w:rPr>
              <w:t xml:space="preserve"> Plenary Session – April 2025</w:t>
            </w:r>
            <w:r w:rsidRPr="00BA59E6">
              <w:br/>
            </w:r>
            <w:r w:rsidRPr="00BA59E6">
              <w:rPr>
                <w:rFonts w:ascii="Times New Roman" w:eastAsia="Times New Roman" w:hAnsi="Times New Roman"/>
                <w:b/>
                <w:bCs/>
                <w:sz w:val="24"/>
                <w:szCs w:val="24"/>
              </w:rPr>
              <w:t xml:space="preserve">Rapporteur: </w:t>
            </w:r>
            <w:r w:rsidRPr="00BA59E6">
              <w:rPr>
                <w:rFonts w:ascii="Times New Roman" w:hAnsi="Times New Roman"/>
                <w:b/>
                <w:bCs/>
                <w:sz w:val="24"/>
                <w:szCs w:val="24"/>
              </w:rPr>
              <w:t>Konstantinos DIAMANTOUROS (GR - I)</w:t>
            </w:r>
            <w:r w:rsidRPr="00BA59E6">
              <w:br/>
            </w:r>
            <w:r w:rsidRPr="00BA59E6">
              <w:rPr>
                <w:rFonts w:ascii="Times New Roman" w:eastAsia="Times New Roman" w:hAnsi="Times New Roman"/>
                <w:b/>
                <w:bCs/>
                <w:sz w:val="24"/>
                <w:szCs w:val="24"/>
              </w:rPr>
              <w:t>Co-rapporteur:</w:t>
            </w:r>
            <w:r w:rsidRPr="00BA59E6">
              <w:rPr>
                <w:rFonts w:ascii="Times New Roman" w:hAnsi="Times New Roman"/>
                <w:b/>
                <w:bCs/>
                <w:sz w:val="24"/>
                <w:szCs w:val="24"/>
              </w:rPr>
              <w:t xml:space="preserve"> Elena-Alexandra CALISTRU (RO - III)</w:t>
            </w:r>
            <w:r w:rsidR="002466F3">
              <w:rPr>
                <w:rFonts w:ascii="Times New Roman" w:hAnsi="Times New Roman"/>
                <w:b/>
                <w:bCs/>
                <w:sz w:val="24"/>
                <w:szCs w:val="24"/>
              </w:rPr>
              <w:br/>
            </w:r>
            <w:r w:rsidRPr="002F3A4D">
              <w:rPr>
                <w:rFonts w:ascii="Times New Roman" w:hAnsi="Times New Roman"/>
                <w:b/>
                <w:bCs/>
                <w:sz w:val="24"/>
                <w:szCs w:val="24"/>
              </w:rPr>
              <w:t>DG BUDG – Commissioner SERAFIN</w:t>
            </w:r>
          </w:p>
        </w:tc>
      </w:tr>
      <w:tr w:rsidR="00734613" w:rsidRPr="00BA59E6" w14:paraId="1937071F" w14:textId="77777777" w:rsidTr="00217E59">
        <w:trPr>
          <w:jc w:val="center"/>
        </w:trPr>
        <w:tc>
          <w:tcPr>
            <w:tcW w:w="9711" w:type="dxa"/>
          </w:tcPr>
          <w:p w14:paraId="1E50B4DB" w14:textId="1E3B94EE" w:rsidR="00734613" w:rsidRPr="00BA59E6" w:rsidRDefault="004F6117" w:rsidP="004F6117">
            <w:pPr>
              <w:spacing w:before="120" w:after="120"/>
              <w:jc w:val="center"/>
              <w:rPr>
                <w:rFonts w:ascii="Times New Roman" w:hAnsi="Times New Roman"/>
                <w:b/>
                <w:sz w:val="24"/>
                <w:szCs w:val="24"/>
              </w:rPr>
            </w:pPr>
            <w:r w:rsidRPr="00BA59E6">
              <w:rPr>
                <w:rFonts w:ascii="Times New Roman" w:hAnsi="Times New Roman"/>
                <w:b/>
                <w:sz w:val="24"/>
                <w:szCs w:val="24"/>
              </w:rPr>
              <w:t xml:space="preserve">European Commission position on points </w:t>
            </w:r>
            <w:r w:rsidRPr="00BA59E6">
              <w:rPr>
                <w:rFonts w:ascii="Times New Roman" w:hAnsi="Times New Roman"/>
                <w:b/>
                <w:sz w:val="24"/>
                <w:szCs w:val="24"/>
              </w:rPr>
              <w:br/>
              <w:t xml:space="preserve">of the European Economic and Social Committee </w:t>
            </w:r>
            <w:r w:rsidR="00DA01AC">
              <w:rPr>
                <w:rFonts w:ascii="Times New Roman" w:hAnsi="Times New Roman"/>
                <w:b/>
                <w:sz w:val="24"/>
                <w:szCs w:val="24"/>
              </w:rPr>
              <w:t xml:space="preserve">(EESC) </w:t>
            </w:r>
            <w:r w:rsidRPr="00BA59E6">
              <w:rPr>
                <w:rFonts w:ascii="Times New Roman" w:hAnsi="Times New Roman"/>
                <w:b/>
                <w:sz w:val="24"/>
                <w:szCs w:val="24"/>
              </w:rPr>
              <w:t>opinion</w:t>
            </w:r>
            <w:r w:rsidR="00E83C12" w:rsidRPr="00BA59E6">
              <w:rPr>
                <w:rFonts w:ascii="Times New Roman" w:hAnsi="Times New Roman"/>
                <w:b/>
                <w:sz w:val="24"/>
                <w:szCs w:val="24"/>
              </w:rPr>
              <w:t xml:space="preserve"> considered as essential</w:t>
            </w:r>
          </w:p>
        </w:tc>
      </w:tr>
      <w:tr w:rsidR="00734613" w:rsidRPr="00BA59E6" w14:paraId="673DDC1B" w14:textId="77777777" w:rsidTr="00217E59">
        <w:trPr>
          <w:jc w:val="center"/>
        </w:trPr>
        <w:tc>
          <w:tcPr>
            <w:tcW w:w="9711" w:type="dxa"/>
          </w:tcPr>
          <w:p w14:paraId="358019D8" w14:textId="2D35D142" w:rsidR="00BF20FD" w:rsidRPr="00BA59E6" w:rsidRDefault="00BF20FD" w:rsidP="002F3A4D">
            <w:pPr>
              <w:spacing w:before="120" w:after="120"/>
              <w:jc w:val="both"/>
              <w:rPr>
                <w:rFonts w:ascii="Times New Roman" w:hAnsi="Times New Roman"/>
                <w:b/>
                <w:bCs/>
                <w:i/>
                <w:iCs/>
                <w:sz w:val="24"/>
                <w:szCs w:val="24"/>
              </w:rPr>
            </w:pPr>
            <w:r w:rsidRPr="00BA59E6">
              <w:rPr>
                <w:rFonts w:ascii="Times New Roman" w:hAnsi="Times New Roman"/>
                <w:b/>
                <w:bCs/>
                <w:i/>
                <w:iCs/>
                <w:sz w:val="24"/>
                <w:szCs w:val="24"/>
              </w:rPr>
              <w:t>Water Resilience (section 1.14)</w:t>
            </w:r>
          </w:p>
          <w:p w14:paraId="7C58D3D1" w14:textId="77777777" w:rsidR="00BF20FD" w:rsidRPr="00BA59E6" w:rsidRDefault="00BF20FD" w:rsidP="002F3A4D">
            <w:pPr>
              <w:spacing w:before="120" w:after="120"/>
              <w:jc w:val="both"/>
              <w:rPr>
                <w:rFonts w:ascii="Times New Roman" w:hAnsi="Times New Roman"/>
                <w:sz w:val="24"/>
                <w:szCs w:val="24"/>
              </w:rPr>
            </w:pPr>
            <w:r w:rsidRPr="00BA59E6">
              <w:rPr>
                <w:rFonts w:ascii="Times New Roman" w:hAnsi="Times New Roman"/>
                <w:sz w:val="24"/>
                <w:szCs w:val="24"/>
              </w:rPr>
              <w:t xml:space="preserve">The Commission acknowledges that more frequent and dramatic climate-related disasters will require </w:t>
            </w:r>
            <w:r w:rsidRPr="00BA59E6">
              <w:rPr>
                <w:rFonts w:ascii="Times New Roman" w:eastAsia="Times New Roman" w:hAnsi="Times New Roman"/>
                <w:sz w:val="24"/>
                <w:szCs w:val="24"/>
              </w:rPr>
              <w:t>stepping up work on climate and water resilience and preparedness: while pursuing our Green Deal objectives as part of our economic growth strategy, preparing for growing climate risks will need to be an overarching objective for EU action, both internally and externally.</w:t>
            </w:r>
          </w:p>
          <w:p w14:paraId="65A2A2A8" w14:textId="7C1944F3" w:rsidR="00BF20FD" w:rsidRPr="002F3A4D" w:rsidRDefault="00BF20FD" w:rsidP="002F3A4D">
            <w:pPr>
              <w:spacing w:before="120" w:after="120"/>
              <w:jc w:val="both"/>
              <w:rPr>
                <w:rFonts w:ascii="Times New Roman" w:hAnsi="Times New Roman"/>
                <w:i/>
                <w:iCs/>
                <w:sz w:val="24"/>
                <w:szCs w:val="24"/>
              </w:rPr>
            </w:pPr>
            <w:r w:rsidRPr="00BA59E6">
              <w:rPr>
                <w:rFonts w:ascii="Times New Roman" w:eastAsia="Times New Roman" w:hAnsi="Times New Roman"/>
                <w:sz w:val="24"/>
                <w:szCs w:val="24"/>
              </w:rPr>
              <w:t xml:space="preserve">Financing the green transition will require maximising public investment and leveraging private capital. </w:t>
            </w:r>
            <w:r w:rsidRPr="002F3A4D">
              <w:rPr>
                <w:rFonts w:ascii="Times New Roman" w:eastAsia="Times New Roman" w:hAnsi="Times New Roman"/>
                <w:sz w:val="24"/>
                <w:szCs w:val="24"/>
              </w:rPr>
              <w:t xml:space="preserve">The next </w:t>
            </w:r>
            <w:r w:rsidR="00DA01AC" w:rsidRPr="002F3A4D">
              <w:rPr>
                <w:rFonts w:ascii="Times New Roman" w:eastAsia="Times New Roman" w:hAnsi="Times New Roman"/>
                <w:sz w:val="24"/>
                <w:szCs w:val="24"/>
              </w:rPr>
              <w:t>multiannual financial framework (MFF)</w:t>
            </w:r>
            <w:r w:rsidRPr="002F3A4D">
              <w:rPr>
                <w:rFonts w:ascii="Times New Roman" w:eastAsia="Times New Roman" w:hAnsi="Times New Roman"/>
                <w:sz w:val="24"/>
                <w:szCs w:val="24"/>
              </w:rPr>
              <w:t xml:space="preserve"> will be an opportunity to continue supporting investments in water resilience in the context of the national and regional </w:t>
            </w:r>
            <w:r w:rsidR="00D762A7" w:rsidRPr="002F3A4D">
              <w:rPr>
                <w:rFonts w:ascii="Times New Roman" w:eastAsia="Times New Roman" w:hAnsi="Times New Roman"/>
                <w:sz w:val="24"/>
                <w:szCs w:val="24"/>
              </w:rPr>
              <w:t>plans</w:t>
            </w:r>
            <w:r w:rsidRPr="002F3A4D">
              <w:rPr>
                <w:rFonts w:ascii="Times New Roman" w:eastAsia="Times New Roman" w:hAnsi="Times New Roman"/>
                <w:sz w:val="24"/>
                <w:szCs w:val="24"/>
              </w:rPr>
              <w:t xml:space="preserve"> with key reforms and investments, and the European Competitiveness Fund establishing an investment capacity to support strategic sectors critical to the EU competitiveness, accompanying European projects along the entire investment journey, from research to manufacturing.</w:t>
            </w:r>
          </w:p>
          <w:p w14:paraId="30EB6158" w14:textId="22E1794F" w:rsidR="00BF20FD" w:rsidRPr="002F3A4D" w:rsidRDefault="00BF20FD" w:rsidP="002F3A4D">
            <w:pPr>
              <w:pStyle w:val="Heading2"/>
              <w:spacing w:before="120" w:after="120"/>
              <w:jc w:val="both"/>
              <w:rPr>
                <w:rFonts w:ascii="Times New Roman" w:eastAsia="Calibri" w:hAnsi="Times New Roman"/>
                <w:b/>
                <w:bCs/>
                <w:i/>
                <w:iCs/>
                <w:color w:val="auto"/>
                <w:sz w:val="24"/>
                <w:szCs w:val="24"/>
              </w:rPr>
            </w:pPr>
            <w:r w:rsidRPr="002F3A4D">
              <w:rPr>
                <w:rFonts w:ascii="Times New Roman" w:eastAsia="Calibri" w:hAnsi="Times New Roman"/>
                <w:b/>
                <w:bCs/>
                <w:i/>
                <w:iCs/>
                <w:color w:val="auto"/>
                <w:sz w:val="24"/>
                <w:szCs w:val="24"/>
              </w:rPr>
              <w:t>Cohesion policy still at the heart of the EU and its MFF (section 4.2)</w:t>
            </w:r>
          </w:p>
          <w:p w14:paraId="5D9C67FB" w14:textId="2E5CCEFD" w:rsidR="00BF20FD" w:rsidRPr="002F3A4D" w:rsidRDefault="00BF20FD" w:rsidP="002F3A4D">
            <w:pPr>
              <w:spacing w:before="120" w:after="120"/>
              <w:jc w:val="both"/>
              <w:rPr>
                <w:rFonts w:ascii="Times New Roman" w:hAnsi="Times New Roman"/>
                <w:sz w:val="24"/>
                <w:szCs w:val="24"/>
              </w:rPr>
            </w:pPr>
            <w:r w:rsidRPr="002F3A4D">
              <w:rPr>
                <w:rFonts w:ascii="Times New Roman" w:hAnsi="Times New Roman"/>
                <w:sz w:val="24"/>
                <w:szCs w:val="24"/>
              </w:rPr>
              <w:t xml:space="preserve">In line with its political guidelines </w:t>
            </w:r>
            <w:r w:rsidR="002F4202" w:rsidRPr="002F3A4D">
              <w:rPr>
                <w:rFonts w:ascii="Times New Roman" w:hAnsi="Times New Roman"/>
                <w:sz w:val="24"/>
                <w:szCs w:val="24"/>
              </w:rPr>
              <w:t xml:space="preserve">2024-2029 </w:t>
            </w:r>
            <w:r w:rsidRPr="002F3A4D">
              <w:rPr>
                <w:rFonts w:ascii="Times New Roman" w:hAnsi="Times New Roman"/>
                <w:sz w:val="24"/>
                <w:szCs w:val="24"/>
              </w:rPr>
              <w:t>and recent communication on ‘the road to the next multi-annual financial framework’, the Commission acknowledges that cohesion and competitiveness are two sides of the same coin and agrees on the objective of a strengthened cohesion and growth policy with regions at the centre in the next MFF. Regions</w:t>
            </w:r>
            <w:r w:rsidR="00D762A7" w:rsidRPr="002F3A4D">
              <w:rPr>
                <w:rFonts w:ascii="Times New Roman" w:hAnsi="Times New Roman"/>
                <w:sz w:val="24"/>
                <w:szCs w:val="24"/>
              </w:rPr>
              <w:t xml:space="preserve"> and their diversity</w:t>
            </w:r>
            <w:r w:rsidRPr="002F3A4D">
              <w:rPr>
                <w:rFonts w:ascii="Times New Roman" w:hAnsi="Times New Roman"/>
                <w:sz w:val="24"/>
                <w:szCs w:val="24"/>
              </w:rPr>
              <w:t xml:space="preserve"> are a key driver of our competitiveness, and the Commission </w:t>
            </w:r>
            <w:r w:rsidR="00D762A7" w:rsidRPr="002F3A4D">
              <w:rPr>
                <w:rFonts w:ascii="Times New Roman" w:hAnsi="Times New Roman"/>
                <w:sz w:val="24"/>
                <w:szCs w:val="24"/>
              </w:rPr>
              <w:t>will continue to rely on the strong involvement of regions</w:t>
            </w:r>
            <w:r w:rsidRPr="002F3A4D">
              <w:rPr>
                <w:rFonts w:ascii="Times New Roman" w:hAnsi="Times New Roman"/>
                <w:sz w:val="24"/>
                <w:szCs w:val="24"/>
              </w:rPr>
              <w:t>.</w:t>
            </w:r>
          </w:p>
          <w:p w14:paraId="544DE505" w14:textId="397D96AE" w:rsidR="00BF20FD" w:rsidRPr="00BA59E6" w:rsidRDefault="00BF20FD" w:rsidP="002F3A4D">
            <w:pPr>
              <w:spacing w:before="120" w:after="120"/>
              <w:jc w:val="both"/>
              <w:rPr>
                <w:rFonts w:ascii="Times New Roman" w:hAnsi="Times New Roman"/>
                <w:sz w:val="24"/>
                <w:szCs w:val="24"/>
              </w:rPr>
            </w:pPr>
            <w:r w:rsidRPr="002F3A4D">
              <w:rPr>
                <w:rFonts w:ascii="Times New Roman" w:hAnsi="Times New Roman"/>
                <w:sz w:val="24"/>
                <w:szCs w:val="24"/>
              </w:rPr>
              <w:t xml:space="preserve">This regional dimension will be clearly embedded in the delivery system of the future national and regional partnership plans, which will focus on EU joint priorities, including promoting economic, social and territorial cohesion. This will be done in a way that allows sufficient flexibility, ensures close alignment </w:t>
            </w:r>
            <w:r w:rsidR="00D762A7" w:rsidRPr="002F3A4D">
              <w:rPr>
                <w:rFonts w:ascii="Times New Roman" w:hAnsi="Times New Roman"/>
                <w:sz w:val="24"/>
                <w:szCs w:val="24"/>
              </w:rPr>
              <w:t>with each Member State’s nation</w:t>
            </w:r>
            <w:r w:rsidR="00B45CAA" w:rsidRPr="002F3A4D">
              <w:rPr>
                <w:rFonts w:ascii="Times New Roman" w:hAnsi="Times New Roman"/>
                <w:sz w:val="24"/>
                <w:szCs w:val="24"/>
              </w:rPr>
              <w:t>al</w:t>
            </w:r>
            <w:r w:rsidR="00D762A7" w:rsidRPr="002F3A4D">
              <w:rPr>
                <w:rFonts w:ascii="Times New Roman" w:hAnsi="Times New Roman"/>
                <w:sz w:val="24"/>
                <w:szCs w:val="24"/>
              </w:rPr>
              <w:t xml:space="preserve"> and regional needs and </w:t>
            </w:r>
            <w:r w:rsidRPr="002F3A4D">
              <w:rPr>
                <w:rFonts w:ascii="Times New Roman" w:hAnsi="Times New Roman"/>
                <w:sz w:val="24"/>
                <w:szCs w:val="24"/>
              </w:rPr>
              <w:t>EU priorities and creates ownership at all levels.</w:t>
            </w:r>
          </w:p>
          <w:p w14:paraId="5A7334F8" w14:textId="7753F519" w:rsidR="00D15898" w:rsidRPr="00BA59E6" w:rsidRDefault="00D15898" w:rsidP="002F3A4D">
            <w:pPr>
              <w:spacing w:before="120" w:after="120"/>
              <w:jc w:val="both"/>
              <w:rPr>
                <w:rFonts w:ascii="Times New Roman" w:hAnsi="Times New Roman"/>
                <w:sz w:val="24"/>
                <w:szCs w:val="24"/>
              </w:rPr>
            </w:pPr>
            <w:r w:rsidRPr="00BA59E6">
              <w:rPr>
                <w:rFonts w:ascii="Times New Roman" w:hAnsi="Times New Roman"/>
                <w:sz w:val="24"/>
                <w:szCs w:val="24"/>
              </w:rPr>
              <w:t xml:space="preserve">Already now, as cohesion policy </w:t>
            </w:r>
            <w:r w:rsidR="007D7284" w:rsidRPr="00BA59E6">
              <w:rPr>
                <w:rFonts w:ascii="Times New Roman" w:hAnsi="Times New Roman"/>
                <w:sz w:val="24"/>
                <w:szCs w:val="24"/>
              </w:rPr>
              <w:t xml:space="preserve">is the main </w:t>
            </w:r>
            <w:r w:rsidR="005900AB" w:rsidRPr="00BA59E6">
              <w:rPr>
                <w:rFonts w:ascii="Times New Roman" w:hAnsi="Times New Roman"/>
                <w:sz w:val="24"/>
                <w:szCs w:val="24"/>
              </w:rPr>
              <w:t>long-term</w:t>
            </w:r>
            <w:r w:rsidRPr="00BA59E6">
              <w:rPr>
                <w:rFonts w:ascii="Times New Roman" w:hAnsi="Times New Roman"/>
                <w:sz w:val="24"/>
                <w:szCs w:val="24"/>
              </w:rPr>
              <w:t xml:space="preserve"> investment arm of the Union</w:t>
            </w:r>
            <w:r w:rsidR="007D7284" w:rsidRPr="00BA59E6">
              <w:rPr>
                <w:rFonts w:ascii="Times New Roman" w:hAnsi="Times New Roman"/>
                <w:sz w:val="24"/>
                <w:szCs w:val="24"/>
              </w:rPr>
              <w:t>,</w:t>
            </w:r>
            <w:r w:rsidRPr="00BA59E6">
              <w:rPr>
                <w:rFonts w:ascii="Times New Roman" w:hAnsi="Times New Roman"/>
                <w:sz w:val="24"/>
                <w:szCs w:val="24"/>
              </w:rPr>
              <w:t xml:space="preserve"> it is crucial to make the most of policy’s mid-term review to modernise the policy and to address existing and new joint priorities focusing on competitiveness, defence and security, affordable housing, water </w:t>
            </w:r>
            <w:r w:rsidRPr="00BA59E6">
              <w:rPr>
                <w:rFonts w:ascii="Times New Roman" w:hAnsi="Times New Roman"/>
                <w:sz w:val="24"/>
                <w:szCs w:val="24"/>
              </w:rPr>
              <w:lastRenderedPageBreak/>
              <w:t xml:space="preserve">resilience and energy interconnectivity. The Commission has proposed targeted legislative changes to the </w:t>
            </w:r>
            <w:r w:rsidR="0063167B" w:rsidRPr="0063167B">
              <w:rPr>
                <w:rFonts w:ascii="Times New Roman" w:hAnsi="Times New Roman"/>
                <w:sz w:val="24"/>
                <w:szCs w:val="24"/>
              </w:rPr>
              <w:t>European Regional Development Fund / Cohesion Fund</w:t>
            </w:r>
            <w:r w:rsidR="00BD5D4F">
              <w:rPr>
                <w:rStyle w:val="FootnoteReference"/>
                <w:rFonts w:ascii="Times New Roman" w:hAnsi="Times New Roman"/>
                <w:sz w:val="24"/>
                <w:szCs w:val="24"/>
              </w:rPr>
              <w:footnoteReference w:id="1"/>
            </w:r>
            <w:r w:rsidR="0063167B" w:rsidRPr="002F3A4D" w:rsidDel="0063167B">
              <w:rPr>
                <w:rFonts w:ascii="Times New Roman" w:hAnsi="Times New Roman"/>
                <w:sz w:val="24"/>
                <w:szCs w:val="24"/>
              </w:rPr>
              <w:t xml:space="preserve"> </w:t>
            </w:r>
            <w:r w:rsidRPr="0063167B">
              <w:rPr>
                <w:rFonts w:ascii="Times New Roman" w:hAnsi="Times New Roman"/>
                <w:sz w:val="24"/>
                <w:szCs w:val="24"/>
              </w:rPr>
              <w:t xml:space="preserve">and </w:t>
            </w:r>
            <w:r w:rsidR="0063167B" w:rsidRPr="0063167B">
              <w:rPr>
                <w:rFonts w:ascii="Times New Roman" w:hAnsi="Times New Roman"/>
                <w:sz w:val="24"/>
                <w:szCs w:val="24"/>
              </w:rPr>
              <w:t>Just Transition Fund</w:t>
            </w:r>
            <w:r w:rsidR="00BD5D4F">
              <w:rPr>
                <w:rStyle w:val="FootnoteReference"/>
                <w:rFonts w:ascii="Times New Roman" w:hAnsi="Times New Roman"/>
                <w:sz w:val="24"/>
                <w:szCs w:val="24"/>
              </w:rPr>
              <w:footnoteReference w:id="2"/>
            </w:r>
            <w:r w:rsidR="0063167B" w:rsidRPr="002F3A4D">
              <w:rPr>
                <w:rFonts w:ascii="Times New Roman" w:hAnsi="Times New Roman"/>
                <w:sz w:val="24"/>
                <w:szCs w:val="24"/>
              </w:rPr>
              <w:t xml:space="preserve"> </w:t>
            </w:r>
            <w:r w:rsidRPr="0063167B">
              <w:rPr>
                <w:rFonts w:ascii="Times New Roman" w:hAnsi="Times New Roman"/>
                <w:sz w:val="24"/>
                <w:szCs w:val="24"/>
              </w:rPr>
              <w:t>Regulations which would further facilitate investments in t</w:t>
            </w:r>
            <w:r w:rsidRPr="00BA59E6">
              <w:rPr>
                <w:rFonts w:ascii="Times New Roman" w:hAnsi="Times New Roman"/>
                <w:sz w:val="24"/>
                <w:szCs w:val="24"/>
              </w:rPr>
              <w:t>hese areas.</w:t>
            </w:r>
          </w:p>
          <w:p w14:paraId="70AAD7B4" w14:textId="3E366491" w:rsidR="00D762A7" w:rsidRPr="00BA59E6" w:rsidRDefault="00D762A7" w:rsidP="002F3A4D">
            <w:pPr>
              <w:spacing w:before="120" w:after="120"/>
              <w:jc w:val="both"/>
              <w:rPr>
                <w:rFonts w:ascii="Times New Roman" w:hAnsi="Times New Roman"/>
                <w:sz w:val="24"/>
                <w:szCs w:val="24"/>
              </w:rPr>
            </w:pPr>
            <w:r w:rsidRPr="00BA59E6">
              <w:rPr>
                <w:rFonts w:ascii="Times New Roman" w:hAnsi="Times New Roman"/>
                <w:sz w:val="24"/>
                <w:szCs w:val="24"/>
              </w:rPr>
              <w:t xml:space="preserve">Specific development needs of regions, including the competitiveness challenges, shall continue to be addressed at territorial level. </w:t>
            </w:r>
          </w:p>
          <w:p w14:paraId="504AA55F" w14:textId="3EAA2536" w:rsidR="00BF20FD" w:rsidRPr="00BA59E6" w:rsidRDefault="00BF20FD" w:rsidP="002F3A4D">
            <w:pPr>
              <w:spacing w:before="120" w:after="120"/>
              <w:jc w:val="both"/>
              <w:rPr>
                <w:rFonts w:ascii="Times New Roman" w:hAnsi="Times New Roman"/>
                <w:sz w:val="24"/>
                <w:szCs w:val="24"/>
              </w:rPr>
            </w:pPr>
            <w:r w:rsidRPr="002F3A4D">
              <w:rPr>
                <w:rFonts w:ascii="Times New Roman" w:hAnsi="Times New Roman"/>
                <w:sz w:val="24"/>
                <w:szCs w:val="24"/>
              </w:rPr>
              <w:t>The new system will ensure that regional and local authorities continue – as under current cohesion programmes – to play a key role in the design and implementation of supported measures. The partnership principle will also remain a fundamental feature of the future system</w:t>
            </w:r>
            <w:r w:rsidR="00AD274C" w:rsidRPr="002F3A4D">
              <w:rPr>
                <w:rFonts w:ascii="Times New Roman" w:hAnsi="Times New Roman"/>
                <w:sz w:val="24"/>
                <w:szCs w:val="24"/>
              </w:rPr>
              <w:t>.</w:t>
            </w:r>
          </w:p>
          <w:p w14:paraId="221B0DCC" w14:textId="77777777" w:rsidR="00AD274C" w:rsidRPr="00BA59E6" w:rsidRDefault="00AD274C" w:rsidP="002F3A4D">
            <w:pPr>
              <w:spacing w:before="120" w:after="120"/>
              <w:jc w:val="both"/>
              <w:rPr>
                <w:rFonts w:ascii="Times New Roman" w:hAnsi="Times New Roman"/>
                <w:b/>
                <w:bCs/>
                <w:i/>
                <w:iCs/>
                <w:sz w:val="24"/>
                <w:szCs w:val="24"/>
              </w:rPr>
            </w:pPr>
            <w:bookmarkStart w:id="0" w:name="_Hlk203732659"/>
            <w:r w:rsidRPr="00BA59E6">
              <w:rPr>
                <w:rFonts w:ascii="Times New Roman" w:hAnsi="Times New Roman"/>
                <w:b/>
                <w:bCs/>
                <w:i/>
                <w:iCs/>
                <w:sz w:val="24"/>
                <w:szCs w:val="24"/>
              </w:rPr>
              <w:t>MFF and Defence (section 5.1)</w:t>
            </w:r>
          </w:p>
          <w:p w14:paraId="4F2D9AFE" w14:textId="4FB11A04" w:rsidR="00AD274C" w:rsidRPr="00BA59E6" w:rsidRDefault="00AD274C" w:rsidP="002F3A4D">
            <w:pPr>
              <w:spacing w:before="120" w:after="120"/>
              <w:jc w:val="both"/>
              <w:rPr>
                <w:rFonts w:ascii="Times New Roman" w:eastAsia="Times New Roman" w:hAnsi="Times New Roman"/>
                <w:sz w:val="24"/>
                <w:szCs w:val="24"/>
              </w:rPr>
            </w:pPr>
            <w:r w:rsidRPr="00BA59E6">
              <w:rPr>
                <w:rFonts w:ascii="Times New Roman" w:eastAsia="Times New Roman" w:hAnsi="Times New Roman"/>
                <w:sz w:val="24"/>
                <w:szCs w:val="24"/>
              </w:rPr>
              <w:t xml:space="preserve"> </w:t>
            </w:r>
            <w:r w:rsidR="002F3A4D">
              <w:rPr>
                <w:rFonts w:ascii="Times New Roman" w:eastAsia="Times New Roman" w:hAnsi="Times New Roman"/>
                <w:sz w:val="24"/>
                <w:szCs w:val="24"/>
              </w:rPr>
              <w:t xml:space="preserve">Building a true European Defence Union, as per the 2024-2029 political guidelines, would mean </w:t>
            </w:r>
            <w:r w:rsidRPr="00BA59E6">
              <w:rPr>
                <w:rFonts w:ascii="Times New Roman" w:eastAsia="Times New Roman" w:hAnsi="Times New Roman"/>
                <w:sz w:val="24"/>
                <w:szCs w:val="24"/>
              </w:rPr>
              <w:t>invest</w:t>
            </w:r>
            <w:r w:rsidR="002F3A4D">
              <w:rPr>
                <w:rFonts w:ascii="Times New Roman" w:eastAsia="Times New Roman" w:hAnsi="Times New Roman"/>
                <w:sz w:val="24"/>
                <w:szCs w:val="24"/>
              </w:rPr>
              <w:t>ing</w:t>
            </w:r>
            <w:r w:rsidRPr="00BA59E6">
              <w:rPr>
                <w:rFonts w:ascii="Times New Roman" w:eastAsia="Times New Roman" w:hAnsi="Times New Roman"/>
                <w:sz w:val="24"/>
                <w:szCs w:val="24"/>
              </w:rPr>
              <w:t xml:space="preserve"> more in </w:t>
            </w:r>
            <w:r w:rsidR="002F3A4D">
              <w:rPr>
                <w:rFonts w:ascii="Times New Roman" w:eastAsia="Times New Roman" w:hAnsi="Times New Roman"/>
                <w:sz w:val="24"/>
                <w:szCs w:val="24"/>
              </w:rPr>
              <w:t>Europe’s</w:t>
            </w:r>
            <w:r w:rsidR="002F3A4D" w:rsidRPr="00BA59E6">
              <w:rPr>
                <w:rFonts w:ascii="Times New Roman" w:eastAsia="Times New Roman" w:hAnsi="Times New Roman"/>
                <w:sz w:val="24"/>
                <w:szCs w:val="24"/>
              </w:rPr>
              <w:t xml:space="preserve"> </w:t>
            </w:r>
            <w:r w:rsidRPr="00BA59E6">
              <w:rPr>
                <w:rFonts w:ascii="Times New Roman" w:eastAsia="Times New Roman" w:hAnsi="Times New Roman"/>
                <w:sz w:val="24"/>
                <w:szCs w:val="24"/>
              </w:rPr>
              <w:t>defence industry</w:t>
            </w:r>
            <w:r w:rsidR="002F3A4D">
              <w:rPr>
                <w:rFonts w:ascii="Times New Roman" w:eastAsia="Times New Roman" w:hAnsi="Times New Roman"/>
                <w:sz w:val="24"/>
                <w:szCs w:val="24"/>
              </w:rPr>
              <w:t>,</w:t>
            </w:r>
            <w:r w:rsidRPr="00BA59E6">
              <w:rPr>
                <w:rFonts w:ascii="Times New Roman" w:eastAsia="Times New Roman" w:hAnsi="Times New Roman"/>
                <w:sz w:val="24"/>
                <w:szCs w:val="24"/>
              </w:rPr>
              <w:t xml:space="preserve"> pool</w:t>
            </w:r>
            <w:r w:rsidR="002F3A4D">
              <w:rPr>
                <w:rFonts w:ascii="Times New Roman" w:eastAsia="Times New Roman" w:hAnsi="Times New Roman"/>
                <w:sz w:val="24"/>
                <w:szCs w:val="24"/>
              </w:rPr>
              <w:t>ing</w:t>
            </w:r>
            <w:r w:rsidRPr="00BA59E6">
              <w:rPr>
                <w:rFonts w:ascii="Times New Roman" w:eastAsia="Times New Roman" w:hAnsi="Times New Roman"/>
                <w:sz w:val="24"/>
                <w:szCs w:val="24"/>
              </w:rPr>
              <w:t xml:space="preserve"> resources and counter</w:t>
            </w:r>
            <w:r w:rsidR="002F3A4D">
              <w:rPr>
                <w:rFonts w:ascii="Times New Roman" w:eastAsia="Times New Roman" w:hAnsi="Times New Roman"/>
                <w:sz w:val="24"/>
                <w:szCs w:val="24"/>
              </w:rPr>
              <w:t>ing</w:t>
            </w:r>
            <w:r w:rsidRPr="00BA59E6">
              <w:rPr>
                <w:rFonts w:ascii="Times New Roman" w:eastAsia="Times New Roman" w:hAnsi="Times New Roman"/>
                <w:sz w:val="24"/>
                <w:szCs w:val="24"/>
              </w:rPr>
              <w:t xml:space="preserve"> common threats through flagship European Defence Union projects. </w:t>
            </w:r>
          </w:p>
          <w:bookmarkEnd w:id="0"/>
          <w:p w14:paraId="3C3E4FD9" w14:textId="63610BF4" w:rsidR="00AD274C" w:rsidRPr="00BA59E6" w:rsidRDefault="00AD274C" w:rsidP="002F3A4D">
            <w:pPr>
              <w:spacing w:before="120" w:after="120"/>
              <w:jc w:val="both"/>
              <w:rPr>
                <w:rFonts w:ascii="Times New Roman" w:hAnsi="Times New Roman"/>
                <w:sz w:val="24"/>
                <w:szCs w:val="24"/>
              </w:rPr>
            </w:pPr>
            <w:r w:rsidRPr="00BA59E6">
              <w:rPr>
                <w:rFonts w:ascii="Times New Roman" w:hAnsi="Times New Roman"/>
                <w:sz w:val="24"/>
                <w:szCs w:val="24"/>
              </w:rPr>
              <w:t>The Commission will also focus on strengthening EU cyber defence capabilities, coordinating national cyber efforts and securing critical infrastructures – notably by developing a trusted European cyber-defence industry.</w:t>
            </w:r>
          </w:p>
          <w:p w14:paraId="2533DF84" w14:textId="77777777" w:rsidR="00AD274C" w:rsidRPr="00BA59E6" w:rsidRDefault="00AD274C" w:rsidP="002F3A4D">
            <w:pPr>
              <w:spacing w:before="120" w:after="120"/>
              <w:jc w:val="both"/>
              <w:rPr>
                <w:rFonts w:ascii="Times New Roman" w:hAnsi="Times New Roman"/>
                <w:b/>
                <w:bCs/>
                <w:i/>
                <w:iCs/>
                <w:sz w:val="24"/>
                <w:szCs w:val="24"/>
              </w:rPr>
            </w:pPr>
            <w:r w:rsidRPr="00BA59E6">
              <w:rPr>
                <w:rFonts w:ascii="Times New Roman" w:hAnsi="Times New Roman"/>
                <w:b/>
                <w:bCs/>
                <w:i/>
                <w:iCs/>
                <w:sz w:val="24"/>
                <w:szCs w:val="24"/>
              </w:rPr>
              <w:t>MFF and public goods (section 5.2)</w:t>
            </w:r>
          </w:p>
          <w:p w14:paraId="591D4304" w14:textId="3E8E3DC7" w:rsidR="00AD274C" w:rsidRPr="00BA59E6" w:rsidRDefault="00AD274C" w:rsidP="002F3A4D">
            <w:pPr>
              <w:spacing w:before="120" w:after="120"/>
              <w:jc w:val="both"/>
              <w:rPr>
                <w:rFonts w:ascii="Times New Roman" w:hAnsi="Times New Roman"/>
                <w:sz w:val="24"/>
                <w:szCs w:val="24"/>
              </w:rPr>
            </w:pPr>
            <w:r w:rsidRPr="00BA59E6">
              <w:rPr>
                <w:rFonts w:ascii="Times New Roman" w:hAnsi="Times New Roman"/>
                <w:sz w:val="24"/>
                <w:szCs w:val="24"/>
              </w:rPr>
              <w:t xml:space="preserve">The Commission values the EESC’s recognition of the importance of the European public goods (EPGs) and the role they can play in the future of the EU and its </w:t>
            </w:r>
            <w:r w:rsidR="00B45CAA" w:rsidRPr="00BA59E6">
              <w:rPr>
                <w:rFonts w:ascii="Times New Roman" w:hAnsi="Times New Roman"/>
                <w:sz w:val="24"/>
                <w:szCs w:val="24"/>
              </w:rPr>
              <w:t xml:space="preserve">economic, </w:t>
            </w:r>
            <w:r w:rsidRPr="00BA59E6">
              <w:rPr>
                <w:rFonts w:ascii="Times New Roman" w:hAnsi="Times New Roman"/>
                <w:sz w:val="24"/>
                <w:szCs w:val="24"/>
              </w:rPr>
              <w:t>social</w:t>
            </w:r>
            <w:r w:rsidR="00D762A7" w:rsidRPr="00BA59E6">
              <w:rPr>
                <w:rFonts w:ascii="Times New Roman" w:hAnsi="Times New Roman"/>
                <w:sz w:val="24"/>
                <w:szCs w:val="24"/>
              </w:rPr>
              <w:t xml:space="preserve"> and territorial</w:t>
            </w:r>
            <w:r w:rsidRPr="00BA59E6">
              <w:rPr>
                <w:rFonts w:ascii="Times New Roman" w:hAnsi="Times New Roman"/>
                <w:sz w:val="24"/>
                <w:szCs w:val="24"/>
              </w:rPr>
              <w:t xml:space="preserve"> cohesion</w:t>
            </w:r>
            <w:r w:rsidR="00D762A7" w:rsidRPr="00BA59E6">
              <w:rPr>
                <w:rFonts w:ascii="Times New Roman" w:hAnsi="Times New Roman"/>
                <w:sz w:val="24"/>
                <w:szCs w:val="24"/>
              </w:rPr>
              <w:t>,</w:t>
            </w:r>
            <w:r w:rsidRPr="00BA59E6">
              <w:rPr>
                <w:rFonts w:ascii="Times New Roman" w:hAnsi="Times New Roman"/>
                <w:sz w:val="24"/>
                <w:szCs w:val="24"/>
              </w:rPr>
              <w:t xml:space="preserve"> and takes note of the Committee’s proposal that an EU tool akin to </w:t>
            </w:r>
            <w:r w:rsidR="0063167B" w:rsidRPr="0063167B">
              <w:rPr>
                <w:rFonts w:ascii="Times New Roman" w:hAnsi="Times New Roman"/>
                <w:sz w:val="24"/>
                <w:szCs w:val="24"/>
              </w:rPr>
              <w:t xml:space="preserve">Support to mitigate Unemployment Risks in an Emergency </w:t>
            </w:r>
            <w:r w:rsidR="0063167B">
              <w:rPr>
                <w:rFonts w:ascii="Times New Roman" w:hAnsi="Times New Roman"/>
                <w:sz w:val="24"/>
                <w:szCs w:val="24"/>
              </w:rPr>
              <w:t>(</w:t>
            </w:r>
            <w:r w:rsidRPr="0063167B">
              <w:rPr>
                <w:rFonts w:ascii="Times New Roman" w:hAnsi="Times New Roman"/>
                <w:sz w:val="24"/>
                <w:szCs w:val="24"/>
              </w:rPr>
              <w:t>SURE</w:t>
            </w:r>
            <w:r w:rsidR="0063167B">
              <w:rPr>
                <w:rFonts w:ascii="Times New Roman" w:hAnsi="Times New Roman"/>
                <w:sz w:val="24"/>
                <w:szCs w:val="24"/>
              </w:rPr>
              <w:t>)</w:t>
            </w:r>
            <w:r w:rsidRPr="00BA59E6">
              <w:rPr>
                <w:rFonts w:ascii="Times New Roman" w:hAnsi="Times New Roman"/>
                <w:sz w:val="24"/>
                <w:szCs w:val="24"/>
              </w:rPr>
              <w:t xml:space="preserve"> should be launched in order to cope with any contingent shocks. </w:t>
            </w:r>
          </w:p>
          <w:p w14:paraId="40436A55" w14:textId="52A0CC77" w:rsidR="00AD274C" w:rsidRPr="00BA59E6" w:rsidRDefault="00AD274C" w:rsidP="002F3A4D">
            <w:pPr>
              <w:spacing w:before="120" w:after="120"/>
              <w:jc w:val="both"/>
              <w:rPr>
                <w:rFonts w:ascii="Times New Roman" w:hAnsi="Times New Roman"/>
                <w:sz w:val="24"/>
                <w:szCs w:val="24"/>
              </w:rPr>
            </w:pPr>
            <w:r w:rsidRPr="00BA59E6">
              <w:rPr>
                <w:rFonts w:ascii="Times New Roman" w:hAnsi="Times New Roman"/>
                <w:sz w:val="24"/>
                <w:szCs w:val="24"/>
              </w:rPr>
              <w:t>The future national and regional partnership plans will support EU priorities, including economic, social and territorial cohesion, through reforms and investments.</w:t>
            </w:r>
          </w:p>
          <w:p w14:paraId="76190FEF" w14:textId="77777777" w:rsidR="00AD274C" w:rsidRPr="00BA59E6" w:rsidRDefault="00AD274C" w:rsidP="002F3A4D">
            <w:pPr>
              <w:spacing w:before="120" w:after="120"/>
              <w:jc w:val="both"/>
              <w:rPr>
                <w:rFonts w:ascii="Times New Roman" w:hAnsi="Times New Roman"/>
                <w:b/>
                <w:bCs/>
                <w:i/>
                <w:iCs/>
                <w:sz w:val="24"/>
                <w:szCs w:val="24"/>
              </w:rPr>
            </w:pPr>
            <w:r w:rsidRPr="00BA59E6">
              <w:rPr>
                <w:rFonts w:ascii="Times New Roman" w:hAnsi="Times New Roman"/>
                <w:b/>
                <w:bCs/>
                <w:i/>
                <w:iCs/>
                <w:sz w:val="24"/>
                <w:szCs w:val="24"/>
              </w:rPr>
              <w:t>Innovation and Research/ Important Projects of Common Interest (section 5.3)</w:t>
            </w:r>
          </w:p>
          <w:p w14:paraId="0F039252" w14:textId="252FE049" w:rsidR="00AD274C" w:rsidRPr="00BA59E6" w:rsidRDefault="00AD274C" w:rsidP="002F3A4D">
            <w:pPr>
              <w:spacing w:before="120" w:after="120"/>
              <w:jc w:val="both"/>
              <w:rPr>
                <w:rFonts w:ascii="Times New Roman" w:hAnsi="Times New Roman"/>
                <w:sz w:val="24"/>
                <w:szCs w:val="24"/>
              </w:rPr>
            </w:pPr>
            <w:r w:rsidRPr="00BA59E6">
              <w:rPr>
                <w:rFonts w:ascii="Times New Roman" w:hAnsi="Times New Roman"/>
                <w:sz w:val="24"/>
                <w:szCs w:val="24"/>
              </w:rPr>
              <w:t xml:space="preserve">The Commission values the EESC recognition of the positive impact of the Innovation Fund. As announced in the Clean Industrial Deal, the Commission will strengthen the Innovation Fund and propose an industrial decarbonisation bank, aiming for </w:t>
            </w:r>
            <w:r w:rsidR="00DA01AC">
              <w:rPr>
                <w:rFonts w:ascii="Times New Roman" w:hAnsi="Times New Roman"/>
                <w:sz w:val="24"/>
                <w:szCs w:val="24"/>
              </w:rPr>
              <w:t xml:space="preserve">EUR </w:t>
            </w:r>
            <w:r w:rsidRPr="00BA59E6">
              <w:rPr>
                <w:rFonts w:ascii="Times New Roman" w:hAnsi="Times New Roman"/>
                <w:sz w:val="24"/>
                <w:szCs w:val="24"/>
              </w:rPr>
              <w:t xml:space="preserve">100 billion in funding, based on available funds in the Innovation Fund, additional revenues resulting from parts of the </w:t>
            </w:r>
            <w:r w:rsidR="0063167B" w:rsidRPr="0063167B">
              <w:rPr>
                <w:rFonts w:ascii="Times New Roman" w:hAnsi="Times New Roman"/>
                <w:sz w:val="24"/>
                <w:szCs w:val="24"/>
              </w:rPr>
              <w:t>Emissions Trading System</w:t>
            </w:r>
            <w:r w:rsidRPr="00BA59E6">
              <w:rPr>
                <w:rFonts w:ascii="Times New Roman" w:hAnsi="Times New Roman"/>
                <w:sz w:val="24"/>
                <w:szCs w:val="24"/>
              </w:rPr>
              <w:t xml:space="preserve"> as well as the revision of </w:t>
            </w:r>
            <w:proofErr w:type="spellStart"/>
            <w:r w:rsidRPr="00BA59E6">
              <w:rPr>
                <w:rFonts w:ascii="Times New Roman" w:hAnsi="Times New Roman"/>
                <w:sz w:val="24"/>
                <w:szCs w:val="24"/>
              </w:rPr>
              <w:t>InvestEU</w:t>
            </w:r>
            <w:proofErr w:type="spellEnd"/>
            <w:r w:rsidRPr="00BA59E6">
              <w:rPr>
                <w:rFonts w:ascii="Times New Roman" w:hAnsi="Times New Roman"/>
                <w:sz w:val="24"/>
                <w:szCs w:val="24"/>
              </w:rPr>
              <w:t xml:space="preserve">. </w:t>
            </w:r>
            <w:r w:rsidRPr="002F3A4D">
              <w:rPr>
                <w:rFonts w:ascii="Times New Roman" w:hAnsi="Times New Roman"/>
                <w:sz w:val="24"/>
                <w:szCs w:val="24"/>
              </w:rPr>
              <w:t>For the next MFF, the decarbonisation bank will be placed within the governance of the new Competitiveness Fund.</w:t>
            </w:r>
            <w:r w:rsidRPr="00BA59E6">
              <w:rPr>
                <w:rFonts w:ascii="Times New Roman" w:hAnsi="Times New Roman"/>
                <w:sz w:val="24"/>
                <w:szCs w:val="24"/>
              </w:rPr>
              <w:t xml:space="preserve"> </w:t>
            </w:r>
          </w:p>
          <w:p w14:paraId="171119C6" w14:textId="23EBB187" w:rsidR="00AD274C" w:rsidRPr="00BA59E6" w:rsidRDefault="00AD274C" w:rsidP="002F3A4D">
            <w:pPr>
              <w:spacing w:before="120" w:after="120"/>
              <w:jc w:val="both"/>
              <w:rPr>
                <w:u w:val="single"/>
              </w:rPr>
            </w:pPr>
            <w:r w:rsidRPr="00BA59E6">
              <w:rPr>
                <w:rFonts w:ascii="Times New Roman" w:hAnsi="Times New Roman"/>
                <w:sz w:val="24"/>
                <w:szCs w:val="24"/>
              </w:rPr>
              <w:t xml:space="preserve">The Commission acknowledges the EESC opinion regarding the need of a strong competitiveness fund in the next MFF. </w:t>
            </w:r>
            <w:r w:rsidR="0081584D" w:rsidRPr="00BA59E6">
              <w:rPr>
                <w:rFonts w:ascii="Times New Roman" w:hAnsi="Times New Roman"/>
                <w:sz w:val="24"/>
                <w:szCs w:val="24"/>
              </w:rPr>
              <w:t>In close connection with the next Framework Programme, t</w:t>
            </w:r>
            <w:r w:rsidRPr="00BA59E6">
              <w:rPr>
                <w:rFonts w:ascii="Times New Roman" w:hAnsi="Times New Roman"/>
                <w:sz w:val="24"/>
                <w:szCs w:val="24"/>
              </w:rPr>
              <w:t xml:space="preserve">he future competitiveness fund will establish an investment capacity that will support strategic technologies and manufacturing (from </w:t>
            </w:r>
            <w:r w:rsidR="00DA01AC">
              <w:rPr>
                <w:rFonts w:ascii="Times New Roman" w:hAnsi="Times New Roman"/>
                <w:sz w:val="24"/>
                <w:szCs w:val="24"/>
              </w:rPr>
              <w:t>artificial intelligence</w:t>
            </w:r>
            <w:r w:rsidRPr="00BA59E6">
              <w:rPr>
                <w:rFonts w:ascii="Times New Roman" w:hAnsi="Times New Roman"/>
                <w:sz w:val="24"/>
                <w:szCs w:val="24"/>
              </w:rPr>
              <w:t xml:space="preserve"> to space, from clean tech to bio-tech sectors etc.), which are critical to European competitiveness. The competitiveness fund will support all type of </w:t>
            </w:r>
            <w:r w:rsidRPr="00BA59E6">
              <w:rPr>
                <w:rFonts w:ascii="Times New Roman" w:hAnsi="Times New Roman"/>
                <w:sz w:val="24"/>
                <w:szCs w:val="24"/>
              </w:rPr>
              <w:lastRenderedPageBreak/>
              <w:t>enterprises in the EU – small, medium or bigger companies – but also universities or researchers, and will offer a comprehensive financial support toolbox, along the entire investment journey from research, through scale-up, industrial deployment, to manufacturing.</w:t>
            </w:r>
          </w:p>
          <w:p w14:paraId="48582D00" w14:textId="2938FB82" w:rsidR="00AD274C" w:rsidRPr="00BA59E6" w:rsidRDefault="00AD274C" w:rsidP="002F3A4D">
            <w:pPr>
              <w:spacing w:before="120" w:after="120"/>
              <w:jc w:val="both"/>
              <w:rPr>
                <w:rFonts w:ascii="Times New Roman" w:eastAsia="Times New Roman" w:hAnsi="Times New Roman"/>
                <w:sz w:val="24"/>
                <w:szCs w:val="24"/>
              </w:rPr>
            </w:pPr>
            <w:r w:rsidRPr="00BA59E6">
              <w:rPr>
                <w:rFonts w:ascii="Times New Roman" w:eastAsia="Times New Roman" w:hAnsi="Times New Roman"/>
                <w:color w:val="000000"/>
                <w:sz w:val="24"/>
                <w:szCs w:val="24"/>
              </w:rPr>
              <w:t xml:space="preserve">The Commission’s commitment to </w:t>
            </w:r>
            <w:r w:rsidR="00DA01AC">
              <w:rPr>
                <w:rFonts w:ascii="Times New Roman" w:eastAsia="Times New Roman" w:hAnsi="Times New Roman"/>
                <w:color w:val="000000"/>
                <w:sz w:val="24"/>
                <w:szCs w:val="24"/>
              </w:rPr>
              <w:t>research and innovation</w:t>
            </w:r>
            <w:r w:rsidRPr="00BA59E6">
              <w:rPr>
                <w:rFonts w:ascii="Times New Roman" w:eastAsia="Times New Roman" w:hAnsi="Times New Roman"/>
                <w:color w:val="000000"/>
                <w:sz w:val="24"/>
                <w:szCs w:val="24"/>
              </w:rPr>
              <w:t xml:space="preserve"> remains unwavering. Europe’s future competitiveness will depend on </w:t>
            </w:r>
            <w:r w:rsidR="002F4202">
              <w:rPr>
                <w:rFonts w:ascii="Times New Roman" w:eastAsia="Times New Roman" w:hAnsi="Times New Roman"/>
                <w:color w:val="000000"/>
                <w:sz w:val="24"/>
                <w:szCs w:val="24"/>
              </w:rPr>
              <w:t>its</w:t>
            </w:r>
            <w:r w:rsidR="002F4202" w:rsidRPr="00BA59E6">
              <w:rPr>
                <w:rFonts w:ascii="Times New Roman" w:eastAsia="Times New Roman" w:hAnsi="Times New Roman"/>
                <w:color w:val="000000"/>
                <w:sz w:val="24"/>
                <w:szCs w:val="24"/>
              </w:rPr>
              <w:t xml:space="preserve"> </w:t>
            </w:r>
            <w:r w:rsidRPr="00BA59E6">
              <w:rPr>
                <w:rFonts w:ascii="Times New Roman" w:eastAsia="Times New Roman" w:hAnsi="Times New Roman"/>
                <w:color w:val="000000"/>
                <w:sz w:val="24"/>
                <w:szCs w:val="24"/>
              </w:rPr>
              <w:t xml:space="preserve">ability to start a new age of invention and ingenuity, putting research and innovation, science and technology, at the centre of our economy. In this regard, the </w:t>
            </w:r>
            <w:r w:rsidR="002F4202">
              <w:rPr>
                <w:rFonts w:ascii="Times New Roman" w:eastAsia="Times New Roman" w:hAnsi="Times New Roman"/>
                <w:color w:val="000000"/>
                <w:sz w:val="24"/>
                <w:szCs w:val="24"/>
              </w:rPr>
              <w:t xml:space="preserve">2024-2029 </w:t>
            </w:r>
            <w:r w:rsidRPr="00BA59E6">
              <w:rPr>
                <w:rFonts w:ascii="Times New Roman" w:eastAsia="Times New Roman" w:hAnsi="Times New Roman"/>
                <w:color w:val="000000"/>
                <w:sz w:val="24"/>
                <w:szCs w:val="24"/>
              </w:rPr>
              <w:t>political guidelines already announced the ambition of expanding Horizon Europe’s European Research Council and European Innovation Council.</w:t>
            </w:r>
          </w:p>
          <w:p w14:paraId="49BCDFC9" w14:textId="79C323C6" w:rsidR="00AD274C" w:rsidRPr="00BA59E6" w:rsidRDefault="00AD274C" w:rsidP="002F3A4D">
            <w:pPr>
              <w:spacing w:before="120" w:after="120"/>
              <w:jc w:val="both"/>
              <w:rPr>
                <w:rFonts w:ascii="Times New Roman" w:eastAsia="Times New Roman" w:hAnsi="Times New Roman"/>
                <w:sz w:val="24"/>
                <w:szCs w:val="24"/>
              </w:rPr>
            </w:pPr>
            <w:r w:rsidRPr="00BA59E6">
              <w:rPr>
                <w:rFonts w:ascii="Times New Roman" w:eastAsia="Times New Roman" w:hAnsi="Times New Roman"/>
                <w:sz w:val="24"/>
                <w:szCs w:val="24"/>
              </w:rPr>
              <w:t>The Commission agrees with the EESC on the key role of Important Projects of Common Interest (IPCEIs) for EU’s industrial development. The European Competitiveness Fund will therefore support IPCEIs so that Europe can use its collective strength to invest together in ambitious common projects. The Commission recalls its ambition to make IPCEIs simpler and faster to get financed and off the ground, already under this MFF.</w:t>
            </w:r>
          </w:p>
          <w:p w14:paraId="473B2F68" w14:textId="77777777" w:rsidR="00AD274C" w:rsidRPr="00BA59E6" w:rsidRDefault="00AD274C" w:rsidP="002F3A4D">
            <w:pPr>
              <w:spacing w:before="120" w:after="120"/>
              <w:jc w:val="both"/>
              <w:rPr>
                <w:rFonts w:ascii="Times New Roman" w:hAnsi="Times New Roman"/>
                <w:b/>
                <w:bCs/>
                <w:i/>
                <w:iCs/>
                <w:sz w:val="24"/>
                <w:szCs w:val="24"/>
              </w:rPr>
            </w:pPr>
            <w:r w:rsidRPr="00BA59E6">
              <w:rPr>
                <w:rFonts w:ascii="Times New Roman" w:hAnsi="Times New Roman"/>
                <w:b/>
                <w:bCs/>
                <w:i/>
                <w:iCs/>
                <w:sz w:val="24"/>
                <w:szCs w:val="24"/>
              </w:rPr>
              <w:t>Mainstreaming in the next MFF (section 5.4)</w:t>
            </w:r>
          </w:p>
          <w:p w14:paraId="563BE4C4" w14:textId="739B52D3" w:rsidR="00AD274C" w:rsidRPr="00BA59E6" w:rsidRDefault="00AD274C" w:rsidP="002F3A4D">
            <w:pPr>
              <w:spacing w:before="120" w:after="120"/>
              <w:jc w:val="both"/>
              <w:rPr>
                <w:rFonts w:ascii="Times New Roman" w:hAnsi="Times New Roman"/>
                <w:sz w:val="24"/>
                <w:szCs w:val="24"/>
              </w:rPr>
            </w:pPr>
            <w:r w:rsidRPr="00BA59E6">
              <w:rPr>
                <w:rFonts w:ascii="Times New Roman" w:hAnsi="Times New Roman"/>
                <w:sz w:val="24"/>
                <w:szCs w:val="24"/>
              </w:rPr>
              <w:t xml:space="preserve">The Commission acknowledges that horizontal priorities, as outlined in the Interinstitutional Agreement, are at the heart to the EU budget. This focus is essential to ensure </w:t>
            </w:r>
            <w:r w:rsidR="002F4202">
              <w:rPr>
                <w:rFonts w:ascii="Times New Roman" w:hAnsi="Times New Roman"/>
                <w:sz w:val="24"/>
                <w:szCs w:val="24"/>
              </w:rPr>
              <w:t>the EU</w:t>
            </w:r>
            <w:r w:rsidR="002F4202" w:rsidRPr="00BA59E6">
              <w:rPr>
                <w:rFonts w:ascii="Times New Roman" w:hAnsi="Times New Roman"/>
                <w:sz w:val="24"/>
                <w:szCs w:val="24"/>
              </w:rPr>
              <w:t xml:space="preserve"> </w:t>
            </w:r>
            <w:r w:rsidRPr="00BA59E6">
              <w:rPr>
                <w:rFonts w:ascii="Times New Roman" w:hAnsi="Times New Roman"/>
                <w:sz w:val="24"/>
                <w:szCs w:val="24"/>
              </w:rPr>
              <w:t>remain</w:t>
            </w:r>
            <w:r w:rsidR="002F4202">
              <w:rPr>
                <w:rFonts w:ascii="Times New Roman" w:hAnsi="Times New Roman"/>
                <w:sz w:val="24"/>
                <w:szCs w:val="24"/>
              </w:rPr>
              <w:t>s</w:t>
            </w:r>
            <w:r w:rsidRPr="00BA59E6">
              <w:rPr>
                <w:rFonts w:ascii="Times New Roman" w:hAnsi="Times New Roman"/>
                <w:sz w:val="24"/>
                <w:szCs w:val="24"/>
              </w:rPr>
              <w:t xml:space="preserve"> aligned with </w:t>
            </w:r>
            <w:r w:rsidR="002F4202">
              <w:rPr>
                <w:rFonts w:ascii="Times New Roman" w:hAnsi="Times New Roman"/>
                <w:sz w:val="24"/>
                <w:szCs w:val="24"/>
              </w:rPr>
              <w:t>its</w:t>
            </w:r>
            <w:r w:rsidR="002F4202" w:rsidRPr="00BA59E6">
              <w:rPr>
                <w:rFonts w:ascii="Times New Roman" w:hAnsi="Times New Roman"/>
                <w:sz w:val="24"/>
                <w:szCs w:val="24"/>
              </w:rPr>
              <w:t xml:space="preserve"> </w:t>
            </w:r>
            <w:r w:rsidRPr="00BA59E6">
              <w:rPr>
                <w:rFonts w:ascii="Times New Roman" w:hAnsi="Times New Roman"/>
                <w:sz w:val="24"/>
                <w:szCs w:val="24"/>
              </w:rPr>
              <w:t>goals, such as those set out in the European Green Deal, while unlocking the necessary financing for the green transition across national, regional, and local levels.</w:t>
            </w:r>
          </w:p>
          <w:p w14:paraId="1FAC6522" w14:textId="2BED0BDC" w:rsidR="00AD274C" w:rsidRPr="00BA59E6" w:rsidRDefault="00AD274C" w:rsidP="002F3A4D">
            <w:pPr>
              <w:spacing w:before="120" w:after="120"/>
              <w:jc w:val="both"/>
              <w:rPr>
                <w:rFonts w:ascii="Times New Roman" w:hAnsi="Times New Roman"/>
                <w:sz w:val="24"/>
                <w:szCs w:val="24"/>
              </w:rPr>
            </w:pPr>
            <w:r w:rsidRPr="00BA59E6">
              <w:rPr>
                <w:rFonts w:ascii="Times New Roman" w:hAnsi="Times New Roman"/>
                <w:sz w:val="24"/>
                <w:szCs w:val="24"/>
              </w:rPr>
              <w:t xml:space="preserve">It is important to note that </w:t>
            </w:r>
            <w:r w:rsidR="002F4202">
              <w:rPr>
                <w:rFonts w:ascii="Times New Roman" w:hAnsi="Times New Roman"/>
                <w:sz w:val="24"/>
                <w:szCs w:val="24"/>
              </w:rPr>
              <w:t>‘</w:t>
            </w:r>
            <w:r w:rsidRPr="00BA59E6">
              <w:rPr>
                <w:rFonts w:ascii="Times New Roman" w:hAnsi="Times New Roman"/>
                <w:sz w:val="24"/>
                <w:szCs w:val="24"/>
              </w:rPr>
              <w:t>mainstreaming</w:t>
            </w:r>
            <w:r w:rsidR="002F4202">
              <w:rPr>
                <w:rFonts w:ascii="Times New Roman" w:hAnsi="Times New Roman"/>
                <w:sz w:val="24"/>
                <w:szCs w:val="24"/>
              </w:rPr>
              <w:t>’</w:t>
            </w:r>
            <w:r w:rsidRPr="00BA59E6">
              <w:rPr>
                <w:rFonts w:ascii="Times New Roman" w:hAnsi="Times New Roman"/>
                <w:sz w:val="24"/>
                <w:szCs w:val="24"/>
              </w:rPr>
              <w:t xml:space="preserve"> and </w:t>
            </w:r>
            <w:r w:rsidR="002F4202">
              <w:rPr>
                <w:rFonts w:ascii="Times New Roman" w:hAnsi="Times New Roman"/>
                <w:sz w:val="24"/>
                <w:szCs w:val="24"/>
              </w:rPr>
              <w:t>‘</w:t>
            </w:r>
            <w:r w:rsidRPr="00BA59E6">
              <w:rPr>
                <w:rFonts w:ascii="Times New Roman" w:hAnsi="Times New Roman"/>
                <w:sz w:val="24"/>
                <w:szCs w:val="24"/>
              </w:rPr>
              <w:t>spending targets</w:t>
            </w:r>
            <w:r w:rsidR="002F4202">
              <w:rPr>
                <w:rFonts w:ascii="Times New Roman" w:hAnsi="Times New Roman"/>
                <w:sz w:val="24"/>
                <w:szCs w:val="24"/>
              </w:rPr>
              <w:t>’</w:t>
            </w:r>
            <w:r w:rsidRPr="00BA59E6">
              <w:rPr>
                <w:rFonts w:ascii="Times New Roman" w:hAnsi="Times New Roman"/>
                <w:sz w:val="24"/>
                <w:szCs w:val="24"/>
              </w:rPr>
              <w:t xml:space="preserve"> are just two of the many tools available for addressing horizontal priorities. For instance, the recent recast of the Financial Regulation</w:t>
            </w:r>
            <w:r w:rsidR="002F4202">
              <w:rPr>
                <w:rStyle w:val="FootnoteReference"/>
                <w:rFonts w:ascii="Times New Roman" w:hAnsi="Times New Roman"/>
                <w:sz w:val="24"/>
                <w:szCs w:val="24"/>
              </w:rPr>
              <w:footnoteReference w:id="3"/>
            </w:r>
            <w:r w:rsidRPr="00BA59E6">
              <w:rPr>
                <w:rFonts w:ascii="Times New Roman" w:hAnsi="Times New Roman"/>
                <w:sz w:val="24"/>
                <w:szCs w:val="24"/>
              </w:rPr>
              <w:t xml:space="preserve"> includes the obligation that programmes are implemented, where feasible and appropriate, without doing significant harm to the climate and the environment.</w:t>
            </w:r>
          </w:p>
          <w:p w14:paraId="73B8E65C" w14:textId="77777777" w:rsidR="00AD274C" w:rsidRPr="00BA59E6" w:rsidRDefault="00AD274C" w:rsidP="002F3A4D">
            <w:pPr>
              <w:spacing w:before="120" w:after="120"/>
              <w:jc w:val="both"/>
              <w:rPr>
                <w:rFonts w:ascii="Times New Roman" w:hAnsi="Times New Roman"/>
                <w:b/>
                <w:bCs/>
                <w:i/>
                <w:iCs/>
                <w:sz w:val="24"/>
                <w:szCs w:val="24"/>
              </w:rPr>
            </w:pPr>
            <w:r w:rsidRPr="00BA59E6">
              <w:rPr>
                <w:rFonts w:ascii="Times New Roman" w:hAnsi="Times New Roman"/>
                <w:b/>
                <w:bCs/>
                <w:i/>
                <w:iCs/>
                <w:sz w:val="24"/>
                <w:szCs w:val="24"/>
              </w:rPr>
              <w:t>Transparency and democratic accountability (section 5.7)</w:t>
            </w:r>
          </w:p>
          <w:p w14:paraId="5423AF9F" w14:textId="77777777" w:rsidR="00AD274C" w:rsidRPr="00BA59E6" w:rsidRDefault="00AD274C" w:rsidP="002F3A4D">
            <w:pPr>
              <w:spacing w:before="120" w:after="120"/>
              <w:jc w:val="both"/>
              <w:rPr>
                <w:rFonts w:ascii="Times New Roman" w:hAnsi="Times New Roman"/>
                <w:sz w:val="24"/>
                <w:szCs w:val="24"/>
              </w:rPr>
            </w:pPr>
            <w:r w:rsidRPr="00BA59E6">
              <w:rPr>
                <w:rFonts w:ascii="Times New Roman" w:hAnsi="Times New Roman"/>
                <w:sz w:val="24"/>
                <w:szCs w:val="24"/>
              </w:rPr>
              <w:t>The Commission agrees that regular communication and information sharing are essential to ensure democratic oversight and guarantee that EU funds effectively deliver on their objectives and that the Union’s financial interests are duly protected.</w:t>
            </w:r>
          </w:p>
          <w:p w14:paraId="78154B16" w14:textId="73B1AAB4" w:rsidR="00AD274C" w:rsidRPr="002F3A4D" w:rsidRDefault="002F4202" w:rsidP="002F3A4D">
            <w:pPr>
              <w:spacing w:before="120" w:after="1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The EU’s</w:t>
            </w:r>
            <w:r w:rsidRPr="002F3A4D">
              <w:rPr>
                <w:rFonts w:ascii="Times New Roman" w:eastAsia="Times New Roman" w:hAnsi="Times New Roman"/>
                <w:color w:val="000000"/>
                <w:sz w:val="24"/>
                <w:szCs w:val="24"/>
              </w:rPr>
              <w:t xml:space="preserve"> </w:t>
            </w:r>
            <w:r w:rsidR="00AD274C" w:rsidRPr="002F3A4D">
              <w:rPr>
                <w:rFonts w:ascii="Times New Roman" w:eastAsia="Times New Roman" w:hAnsi="Times New Roman"/>
                <w:color w:val="000000"/>
                <w:sz w:val="24"/>
                <w:szCs w:val="24"/>
              </w:rPr>
              <w:t xml:space="preserve">future </w:t>
            </w:r>
            <w:r>
              <w:rPr>
                <w:rFonts w:ascii="Times New Roman" w:eastAsia="Times New Roman" w:hAnsi="Times New Roman"/>
                <w:color w:val="000000"/>
                <w:sz w:val="24"/>
                <w:szCs w:val="24"/>
              </w:rPr>
              <w:t xml:space="preserve">budget </w:t>
            </w:r>
            <w:r w:rsidR="00AD274C" w:rsidRPr="002F3A4D">
              <w:rPr>
                <w:rFonts w:ascii="Times New Roman" w:eastAsia="Times New Roman" w:hAnsi="Times New Roman"/>
                <w:color w:val="000000"/>
                <w:sz w:val="24"/>
                <w:szCs w:val="24"/>
              </w:rPr>
              <w:t xml:space="preserve">proposal will build on the lessons learned from the current EU programmes, including </w:t>
            </w:r>
            <w:r w:rsidR="00D762A7" w:rsidRPr="002F3A4D">
              <w:rPr>
                <w:rFonts w:ascii="Times New Roman" w:eastAsia="Times New Roman" w:hAnsi="Times New Roman"/>
                <w:color w:val="000000"/>
                <w:sz w:val="24"/>
                <w:szCs w:val="24"/>
              </w:rPr>
              <w:t xml:space="preserve">under </w:t>
            </w:r>
            <w:r w:rsidR="00AD274C" w:rsidRPr="002F3A4D">
              <w:rPr>
                <w:rFonts w:ascii="Times New Roman" w:eastAsia="Times New Roman" w:hAnsi="Times New Roman"/>
                <w:color w:val="000000"/>
                <w:sz w:val="24"/>
                <w:szCs w:val="24"/>
              </w:rPr>
              <w:t xml:space="preserve">cohesion </w:t>
            </w:r>
            <w:r w:rsidR="00D762A7" w:rsidRPr="002F3A4D">
              <w:rPr>
                <w:rFonts w:ascii="Times New Roman" w:eastAsia="Times New Roman" w:hAnsi="Times New Roman"/>
                <w:color w:val="000000"/>
                <w:sz w:val="24"/>
                <w:szCs w:val="24"/>
              </w:rPr>
              <w:t xml:space="preserve">policy </w:t>
            </w:r>
            <w:r w:rsidR="00AD274C" w:rsidRPr="002F3A4D">
              <w:rPr>
                <w:rFonts w:ascii="Times New Roman" w:eastAsia="Times New Roman" w:hAnsi="Times New Roman"/>
                <w:color w:val="000000"/>
                <w:sz w:val="24"/>
                <w:szCs w:val="24"/>
              </w:rPr>
              <w:t xml:space="preserve">funds and the </w:t>
            </w:r>
            <w:r w:rsidR="00DA01AC" w:rsidRPr="002F3A4D">
              <w:rPr>
                <w:rFonts w:ascii="Times New Roman" w:eastAsia="Times New Roman" w:hAnsi="Times New Roman"/>
                <w:color w:val="000000"/>
                <w:sz w:val="24"/>
                <w:szCs w:val="24"/>
              </w:rPr>
              <w:t>Recovery and Resilience Facility</w:t>
            </w:r>
            <w:r w:rsidR="00AD274C" w:rsidRPr="002F3A4D">
              <w:rPr>
                <w:rFonts w:ascii="Times New Roman" w:eastAsia="Times New Roman" w:hAnsi="Times New Roman"/>
                <w:color w:val="000000"/>
                <w:sz w:val="24"/>
                <w:szCs w:val="24"/>
              </w:rPr>
              <w:t xml:space="preserve">, and provide for </w:t>
            </w:r>
            <w:r w:rsidR="00E76541" w:rsidRPr="002F3A4D">
              <w:rPr>
                <w:rFonts w:ascii="Times New Roman" w:eastAsia="Times New Roman" w:hAnsi="Times New Roman"/>
                <w:color w:val="000000"/>
                <w:sz w:val="24"/>
                <w:szCs w:val="24"/>
              </w:rPr>
              <w:t>robust</w:t>
            </w:r>
            <w:r w:rsidR="00AD274C" w:rsidRPr="002F3A4D">
              <w:rPr>
                <w:rFonts w:ascii="Times New Roman" w:eastAsia="Times New Roman" w:hAnsi="Times New Roman"/>
                <w:color w:val="000000"/>
                <w:sz w:val="24"/>
                <w:szCs w:val="24"/>
              </w:rPr>
              <w:t xml:space="preserve"> reporting and transparency mechanisms. The delivery model of the EU budget should be more performance-based and supported by a strong assurance system, ensuring a stronger focus on results. This includes defining clear objectives, meaningful indicators with ambitious targets, and a state-of-the-art performance reporting.</w:t>
            </w:r>
          </w:p>
          <w:p w14:paraId="63EE9382" w14:textId="3C32A3E7" w:rsidR="00AD274C" w:rsidRPr="002F3A4D" w:rsidRDefault="00AD274C" w:rsidP="002F3A4D">
            <w:pPr>
              <w:spacing w:before="120" w:after="120"/>
              <w:jc w:val="both"/>
              <w:rPr>
                <w:rFonts w:ascii="Times New Roman" w:eastAsia="Times New Roman" w:hAnsi="Times New Roman"/>
                <w:b/>
                <w:bCs/>
                <w:color w:val="000000"/>
                <w:sz w:val="24"/>
                <w:szCs w:val="24"/>
              </w:rPr>
            </w:pPr>
            <w:r w:rsidRPr="002F3A4D">
              <w:rPr>
                <w:rFonts w:ascii="Times New Roman" w:eastAsia="Times New Roman" w:hAnsi="Times New Roman"/>
                <w:color w:val="000000"/>
                <w:sz w:val="24"/>
                <w:szCs w:val="24"/>
              </w:rPr>
              <w:t>In addition, and as is currently the case under cohesion policy, the application of the partnership principle will also remain a fundamental feature of the future national and regional partnership plans. The future system should ensure that partnerships are inclusive, participatory and contribute to better program design and implementation</w:t>
            </w:r>
            <w:r w:rsidR="00E76541" w:rsidRPr="002F3A4D">
              <w:rPr>
                <w:rFonts w:ascii="Times New Roman" w:eastAsia="Times New Roman" w:hAnsi="Times New Roman"/>
                <w:color w:val="000000"/>
                <w:sz w:val="24"/>
                <w:szCs w:val="24"/>
              </w:rPr>
              <w:t>, including monitoring and evaluation.</w:t>
            </w:r>
            <w:r w:rsidRPr="002F3A4D">
              <w:rPr>
                <w:rFonts w:ascii="Times New Roman" w:eastAsia="Times New Roman" w:hAnsi="Times New Roman"/>
                <w:b/>
                <w:bCs/>
                <w:color w:val="000000"/>
                <w:sz w:val="24"/>
                <w:szCs w:val="24"/>
              </w:rPr>
              <w:t xml:space="preserve"> </w:t>
            </w:r>
          </w:p>
          <w:p w14:paraId="18FFE514" w14:textId="6B95F313" w:rsidR="00AD274C" w:rsidRPr="00BA59E6" w:rsidRDefault="00AD274C" w:rsidP="002F3A4D">
            <w:pPr>
              <w:spacing w:before="120" w:after="120"/>
              <w:jc w:val="both"/>
              <w:rPr>
                <w:rFonts w:ascii="Times New Roman" w:eastAsia="Times New Roman" w:hAnsi="Times New Roman"/>
                <w:sz w:val="24"/>
                <w:szCs w:val="24"/>
              </w:rPr>
            </w:pPr>
            <w:r w:rsidRPr="002F3A4D">
              <w:rPr>
                <w:rFonts w:ascii="Times New Roman" w:eastAsia="Times New Roman" w:hAnsi="Times New Roman"/>
                <w:color w:val="000000"/>
                <w:sz w:val="24"/>
                <w:szCs w:val="24"/>
              </w:rPr>
              <w:t xml:space="preserve">The Commission is fully committed to further involve Youth and Civil society organisations to </w:t>
            </w:r>
            <w:r w:rsidRPr="002F3A4D">
              <w:rPr>
                <w:rFonts w:ascii="Times New Roman" w:eastAsia="Times New Roman" w:hAnsi="Times New Roman"/>
                <w:color w:val="000000"/>
                <w:sz w:val="24"/>
                <w:szCs w:val="24"/>
              </w:rPr>
              <w:lastRenderedPageBreak/>
              <w:t>design and implement EU programmes. Through dedicated initiatives such as the EU Youth Dialogue</w:t>
            </w:r>
            <w:r w:rsidRPr="002F3A4D">
              <w:rPr>
                <w:rStyle w:val="FootnoteReference"/>
                <w:rFonts w:ascii="Times New Roman" w:eastAsia="Times New Roman" w:hAnsi="Times New Roman"/>
                <w:color w:val="000000"/>
                <w:sz w:val="24"/>
                <w:szCs w:val="24"/>
              </w:rPr>
              <w:footnoteReference w:id="4"/>
            </w:r>
            <w:r w:rsidRPr="002F3A4D">
              <w:rPr>
                <w:rFonts w:ascii="Times New Roman" w:eastAsia="Times New Roman" w:hAnsi="Times New Roman"/>
                <w:color w:val="000000"/>
                <w:sz w:val="24"/>
                <w:szCs w:val="24"/>
              </w:rPr>
              <w:t xml:space="preserve"> and </w:t>
            </w:r>
            <w:bookmarkStart w:id="1" w:name="_Hlk200009766"/>
            <w:r w:rsidRPr="002F3A4D">
              <w:rPr>
                <w:rFonts w:ascii="Times New Roman" w:eastAsia="Times New Roman" w:hAnsi="Times New Roman"/>
                <w:color w:val="000000"/>
                <w:sz w:val="24"/>
                <w:szCs w:val="24"/>
              </w:rPr>
              <w:t>the Youth Check</w:t>
            </w:r>
            <w:bookmarkEnd w:id="1"/>
            <w:r w:rsidRPr="002F3A4D">
              <w:rPr>
                <w:rStyle w:val="FootnoteReference"/>
                <w:rFonts w:ascii="Times New Roman" w:eastAsia="Times New Roman" w:hAnsi="Times New Roman"/>
                <w:color w:val="000000"/>
                <w:sz w:val="24"/>
                <w:szCs w:val="24"/>
              </w:rPr>
              <w:footnoteReference w:id="5"/>
            </w:r>
            <w:r w:rsidRPr="002F3A4D">
              <w:rPr>
                <w:rFonts w:ascii="Times New Roman" w:eastAsia="Times New Roman" w:hAnsi="Times New Roman"/>
                <w:color w:val="000000"/>
                <w:sz w:val="24"/>
                <w:szCs w:val="24"/>
              </w:rPr>
              <w:t>, the active involvement of the European Youth Forum and several thematic events, workshops and expert group meetings, the Commission regularly engages directly with young people and youth organisations. This way, they can bring forward their perspectives, especially on EU programmes which directly impact young people, such as Erasmus+</w:t>
            </w:r>
            <w:r w:rsidRPr="002F3A4D">
              <w:rPr>
                <w:rStyle w:val="FootnoteReference"/>
                <w:rFonts w:ascii="Times New Roman" w:eastAsia="Times New Roman" w:hAnsi="Times New Roman"/>
                <w:color w:val="000000"/>
                <w:sz w:val="24"/>
                <w:szCs w:val="24"/>
              </w:rPr>
              <w:footnoteReference w:id="6"/>
            </w:r>
            <w:r w:rsidRPr="002F3A4D">
              <w:rPr>
                <w:rFonts w:ascii="Times New Roman" w:eastAsia="Times New Roman" w:hAnsi="Times New Roman"/>
                <w:color w:val="000000"/>
                <w:sz w:val="24"/>
                <w:szCs w:val="24"/>
              </w:rPr>
              <w:t xml:space="preserve"> or the European Solidarity Corps</w:t>
            </w:r>
            <w:r w:rsidRPr="002F3A4D">
              <w:rPr>
                <w:rStyle w:val="FootnoteReference"/>
                <w:rFonts w:ascii="Times New Roman" w:eastAsia="Times New Roman" w:hAnsi="Times New Roman"/>
                <w:color w:val="000000"/>
                <w:sz w:val="24"/>
                <w:szCs w:val="24"/>
              </w:rPr>
              <w:footnoteReference w:id="7"/>
            </w:r>
            <w:r w:rsidRPr="002F3A4D">
              <w:rPr>
                <w:rFonts w:ascii="Times New Roman" w:eastAsia="Times New Roman" w:hAnsi="Times New Roman"/>
                <w:color w:val="000000"/>
                <w:sz w:val="24"/>
                <w:szCs w:val="24"/>
              </w:rPr>
              <w:t>. In the context of the preparation of the MFF post-2027</w:t>
            </w:r>
            <w:r w:rsidRPr="00BA59E6">
              <w:rPr>
                <w:rFonts w:ascii="Times New Roman" w:eastAsia="Times New Roman" w:hAnsi="Times New Roman"/>
                <w:sz w:val="24"/>
                <w:szCs w:val="24"/>
              </w:rPr>
              <w:t>, along with its Communication, the Commission launched an Open Public Consultation</w:t>
            </w:r>
            <w:r w:rsidRPr="00BA59E6">
              <w:rPr>
                <w:rStyle w:val="FootnoteReference"/>
                <w:rFonts w:ascii="Times New Roman" w:eastAsia="Times New Roman" w:hAnsi="Times New Roman"/>
                <w:sz w:val="24"/>
                <w:szCs w:val="24"/>
              </w:rPr>
              <w:footnoteReference w:id="8"/>
            </w:r>
            <w:r w:rsidRPr="00BA59E6">
              <w:rPr>
                <w:rFonts w:ascii="Times New Roman" w:eastAsia="Times New Roman" w:hAnsi="Times New Roman"/>
                <w:sz w:val="24"/>
                <w:szCs w:val="24"/>
              </w:rPr>
              <w:t xml:space="preserve"> on the future of the EU budget and the policies it should support. This 12-week long Europe-wide campaign allowed all citizens and stakeholders to make their voice heard. </w:t>
            </w:r>
          </w:p>
          <w:p w14:paraId="30D14481" w14:textId="10F33CF8" w:rsidR="0049246C" w:rsidRPr="00BA59E6" w:rsidRDefault="00AD274C" w:rsidP="00FF03A8">
            <w:pPr>
              <w:spacing w:before="120" w:after="120"/>
              <w:rPr>
                <w:rFonts w:ascii="Times New Roman" w:hAnsi="Times New Roman"/>
                <w:b/>
                <w:sz w:val="24"/>
                <w:szCs w:val="24"/>
              </w:rPr>
            </w:pPr>
            <w:r w:rsidRPr="00BA59E6">
              <w:rPr>
                <w:rFonts w:ascii="Times New Roman" w:eastAsia="Times New Roman" w:hAnsi="Times New Roman"/>
                <w:sz w:val="24"/>
                <w:szCs w:val="24"/>
              </w:rPr>
              <w:t>In addition, a Citizens' Panel</w:t>
            </w:r>
            <w:r w:rsidRPr="00BA59E6">
              <w:rPr>
                <w:rStyle w:val="FootnoteReference"/>
                <w:rFonts w:ascii="Times New Roman" w:eastAsia="Times New Roman" w:hAnsi="Times New Roman"/>
                <w:sz w:val="24"/>
                <w:szCs w:val="24"/>
              </w:rPr>
              <w:footnoteReference w:id="9"/>
            </w:r>
            <w:r w:rsidRPr="00BA59E6">
              <w:rPr>
                <w:rFonts w:ascii="Times New Roman" w:eastAsia="Times New Roman" w:hAnsi="Times New Roman"/>
                <w:sz w:val="24"/>
                <w:szCs w:val="24"/>
              </w:rPr>
              <w:t xml:space="preserve"> of 150 Europeans debate</w:t>
            </w:r>
            <w:r w:rsidR="002F4202">
              <w:rPr>
                <w:rFonts w:ascii="Times New Roman" w:eastAsia="Times New Roman" w:hAnsi="Times New Roman"/>
                <w:sz w:val="24"/>
                <w:szCs w:val="24"/>
              </w:rPr>
              <w:t>d</w:t>
            </w:r>
            <w:r w:rsidRPr="00BA59E6">
              <w:rPr>
                <w:rFonts w:ascii="Times New Roman" w:eastAsia="Times New Roman" w:hAnsi="Times New Roman"/>
                <w:sz w:val="24"/>
                <w:szCs w:val="24"/>
              </w:rPr>
              <w:t xml:space="preserve"> and ma</w:t>
            </w:r>
            <w:r w:rsidR="002F4202">
              <w:rPr>
                <w:rFonts w:ascii="Times New Roman" w:eastAsia="Times New Roman" w:hAnsi="Times New Roman"/>
                <w:sz w:val="24"/>
                <w:szCs w:val="24"/>
              </w:rPr>
              <w:t>de</w:t>
            </w:r>
            <w:r w:rsidRPr="00BA59E6">
              <w:rPr>
                <w:rFonts w:ascii="Times New Roman" w:eastAsia="Times New Roman" w:hAnsi="Times New Roman"/>
                <w:sz w:val="24"/>
                <w:szCs w:val="24"/>
              </w:rPr>
              <w:t xml:space="preserve"> concrete recommendations for the next EU budget. It was accompanied by an online Citizens’ Engagement Platform offering everyone the opportunity to participate in the debate.</w:t>
            </w:r>
          </w:p>
        </w:tc>
      </w:tr>
    </w:tbl>
    <w:p w14:paraId="6AF07B14" w14:textId="26AEAB66" w:rsidR="004F6117" w:rsidRPr="00B16AEF" w:rsidRDefault="004F6117" w:rsidP="00BA59E6">
      <w:pPr>
        <w:rPr>
          <w:rFonts w:ascii="Times New Roman" w:hAnsi="Times New Roman"/>
          <w:b/>
          <w:strike/>
          <w:sz w:val="2"/>
          <w:szCs w:val="2"/>
          <w:u w:val="single"/>
        </w:rPr>
      </w:pPr>
    </w:p>
    <w:sectPr w:rsidR="004F6117" w:rsidRPr="00B16AE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5FBFD" w14:textId="77777777" w:rsidR="00520E44" w:rsidRDefault="00520E44" w:rsidP="00FF63EA">
      <w:pPr>
        <w:spacing w:after="0" w:line="240" w:lineRule="auto"/>
      </w:pPr>
      <w:r>
        <w:separator/>
      </w:r>
    </w:p>
  </w:endnote>
  <w:endnote w:type="continuationSeparator" w:id="0">
    <w:p w14:paraId="2B28B630" w14:textId="77777777" w:rsidR="00520E44" w:rsidRDefault="00520E44" w:rsidP="00FF6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3A34E" w14:textId="77777777" w:rsidR="00520E44" w:rsidRDefault="00520E44" w:rsidP="00FF63EA">
      <w:pPr>
        <w:spacing w:after="0" w:line="240" w:lineRule="auto"/>
      </w:pPr>
      <w:r>
        <w:separator/>
      </w:r>
    </w:p>
  </w:footnote>
  <w:footnote w:type="continuationSeparator" w:id="0">
    <w:p w14:paraId="0C8B72DC" w14:textId="77777777" w:rsidR="00520E44" w:rsidRDefault="00520E44" w:rsidP="00FF63EA">
      <w:pPr>
        <w:spacing w:after="0" w:line="240" w:lineRule="auto"/>
      </w:pPr>
      <w:r>
        <w:continuationSeparator/>
      </w:r>
    </w:p>
  </w:footnote>
  <w:footnote w:id="1">
    <w:p w14:paraId="141E273E" w14:textId="1F9D6853" w:rsidR="00BD5D4F" w:rsidRPr="00BD5D4F" w:rsidRDefault="00BD5D4F" w:rsidP="00BD5D4F">
      <w:pPr>
        <w:pStyle w:val="FootnoteText"/>
        <w:widowControl w:val="0"/>
        <w:spacing w:after="0" w:line="240" w:lineRule="auto"/>
        <w:ind w:left="142" w:right="-284" w:hanging="284"/>
        <w:jc w:val="both"/>
        <w:rPr>
          <w:rFonts w:ascii="Times New Roman" w:hAnsi="Times New Roman"/>
        </w:rPr>
      </w:pPr>
      <w:r w:rsidRPr="00BD5D4F">
        <w:rPr>
          <w:rStyle w:val="FootnoteReference"/>
          <w:rFonts w:ascii="Times New Roman" w:hAnsi="Times New Roman"/>
        </w:rPr>
        <w:footnoteRef/>
      </w:r>
      <w:r w:rsidRPr="00BD5D4F">
        <w:rPr>
          <w:rFonts w:ascii="Times New Roman" w:hAnsi="Times New Roman"/>
        </w:rPr>
        <w:t xml:space="preserve"> </w:t>
      </w:r>
      <w:r w:rsidRPr="00BD5D4F">
        <w:rPr>
          <w:rFonts w:ascii="Times New Roman" w:hAnsi="Times New Roman"/>
        </w:rPr>
        <w:tab/>
      </w:r>
      <w:r w:rsidRPr="00BD5D4F">
        <w:rPr>
          <w:rFonts w:ascii="Times New Roman" w:hAnsi="Times New Roman"/>
        </w:rPr>
        <w:t>Regulation (EU) 2021/1058 of the European Parliament and of the Council of 24 June 2021 on the European Regional Development Fund and on the Cohesion Fund</w:t>
      </w:r>
      <w:r w:rsidRPr="00BD5D4F">
        <w:rPr>
          <w:rFonts w:ascii="Times New Roman" w:hAnsi="Times New Roman"/>
        </w:rPr>
        <w:t xml:space="preserve"> (</w:t>
      </w:r>
      <w:hyperlink r:id="rId1" w:tooltip="Gives access to this document through its ELI URI." w:history="1">
        <w:r w:rsidRPr="00BD5D4F">
          <w:rPr>
            <w:rStyle w:val="Hyperlink"/>
            <w:rFonts w:ascii="Times New Roman" w:hAnsi="Times New Roman"/>
          </w:rPr>
          <w:t>http://data.europa.eu/eli/reg/2021/1058/oj</w:t>
        </w:r>
      </w:hyperlink>
      <w:r w:rsidRPr="00BD5D4F">
        <w:rPr>
          <w:rFonts w:ascii="Times New Roman" w:hAnsi="Times New Roman"/>
        </w:rPr>
        <w:t>).</w:t>
      </w:r>
    </w:p>
  </w:footnote>
  <w:footnote w:id="2">
    <w:p w14:paraId="6AEEBA5D" w14:textId="6271BEBF" w:rsidR="00BD5D4F" w:rsidRPr="00BD5D4F" w:rsidRDefault="00BD5D4F" w:rsidP="00BD5D4F">
      <w:pPr>
        <w:pStyle w:val="FootnoteText"/>
        <w:widowControl w:val="0"/>
        <w:spacing w:after="0" w:line="240" w:lineRule="auto"/>
        <w:ind w:left="142" w:right="-284" w:hanging="284"/>
        <w:jc w:val="both"/>
        <w:rPr>
          <w:rFonts w:ascii="Times New Roman" w:hAnsi="Times New Roman"/>
        </w:rPr>
      </w:pPr>
      <w:r w:rsidRPr="00BD5D4F">
        <w:rPr>
          <w:rStyle w:val="FootnoteReference"/>
          <w:rFonts w:ascii="Times New Roman" w:hAnsi="Times New Roman"/>
          <w:b/>
          <w:bCs/>
        </w:rPr>
        <w:footnoteRef/>
      </w:r>
      <w:r w:rsidRPr="00BD5D4F">
        <w:rPr>
          <w:rFonts w:ascii="Times New Roman" w:hAnsi="Times New Roman"/>
          <w:b/>
          <w:bCs/>
        </w:rPr>
        <w:t xml:space="preserve"> </w:t>
      </w:r>
      <w:r w:rsidRPr="00BD5D4F">
        <w:rPr>
          <w:rFonts w:ascii="Times New Roman" w:hAnsi="Times New Roman"/>
          <w:b/>
          <w:bCs/>
        </w:rPr>
        <w:tab/>
      </w:r>
      <w:r w:rsidRPr="00BD5D4F">
        <w:rPr>
          <w:rFonts w:ascii="Times New Roman" w:hAnsi="Times New Roman"/>
        </w:rPr>
        <w:t>Regulation (EU) 2021/1056 of the European Parliament and of the Council of 24 June 2021 establishing the Just Transition Fund</w:t>
      </w:r>
      <w:r w:rsidRPr="00BD5D4F">
        <w:rPr>
          <w:rFonts w:ascii="Times New Roman" w:hAnsi="Times New Roman"/>
        </w:rPr>
        <w:t xml:space="preserve"> (</w:t>
      </w:r>
      <w:hyperlink r:id="rId2" w:tooltip="Gives access to this document through its ELI URI." w:history="1">
        <w:r w:rsidRPr="00BD5D4F">
          <w:rPr>
            <w:rStyle w:val="Hyperlink"/>
            <w:rFonts w:ascii="Times New Roman" w:hAnsi="Times New Roman"/>
          </w:rPr>
          <w:t>http://data.europa.eu/eli/reg/2021/1056/oj</w:t>
        </w:r>
      </w:hyperlink>
      <w:r w:rsidRPr="00BD5D4F">
        <w:rPr>
          <w:rFonts w:ascii="Times New Roman" w:hAnsi="Times New Roman"/>
        </w:rPr>
        <w:t>).</w:t>
      </w:r>
    </w:p>
  </w:footnote>
  <w:footnote w:id="3">
    <w:p w14:paraId="75EE5B69" w14:textId="24BDFD3D" w:rsidR="002F4202" w:rsidRPr="00BD5D4F" w:rsidRDefault="002F4202" w:rsidP="00BD5D4F">
      <w:pPr>
        <w:pStyle w:val="FootnoteText"/>
        <w:widowControl w:val="0"/>
        <w:spacing w:after="0" w:line="240" w:lineRule="auto"/>
        <w:ind w:left="142" w:right="-284" w:hanging="284"/>
        <w:jc w:val="both"/>
        <w:rPr>
          <w:rFonts w:ascii="Times New Roman" w:hAnsi="Times New Roman"/>
        </w:rPr>
      </w:pPr>
      <w:r w:rsidRPr="00BD5D4F">
        <w:rPr>
          <w:rStyle w:val="FootnoteReference"/>
          <w:rFonts w:ascii="Times New Roman" w:hAnsi="Times New Roman"/>
        </w:rPr>
        <w:footnoteRef/>
      </w:r>
      <w:r w:rsidRPr="00BD5D4F">
        <w:rPr>
          <w:rFonts w:ascii="Times New Roman" w:hAnsi="Times New Roman"/>
        </w:rPr>
        <w:t xml:space="preserve"> </w:t>
      </w:r>
      <w:r w:rsidR="00BD5D4F" w:rsidRPr="00BD5D4F">
        <w:rPr>
          <w:rFonts w:ascii="Times New Roman" w:hAnsi="Times New Roman"/>
        </w:rPr>
        <w:tab/>
      </w:r>
      <w:r w:rsidR="00BD5D4F" w:rsidRPr="00BD5D4F">
        <w:rPr>
          <w:rFonts w:ascii="Times New Roman" w:hAnsi="Times New Roman"/>
        </w:rPr>
        <w:t>Regulation (EU, Euratom) 2024/2509 of the European Parliament and of the Council of 23 September 2024 on the financial rules applicable to the general budget of the Union (recast)</w:t>
      </w:r>
      <w:r w:rsidR="00BD5D4F" w:rsidRPr="00BD5D4F">
        <w:rPr>
          <w:rFonts w:ascii="Times New Roman" w:hAnsi="Times New Roman"/>
        </w:rPr>
        <w:t xml:space="preserve"> (</w:t>
      </w:r>
      <w:hyperlink r:id="rId3" w:history="1">
        <w:r w:rsidR="00BD5D4F" w:rsidRPr="00BD5D4F">
          <w:rPr>
            <w:rStyle w:val="Hyperlink"/>
            <w:rFonts w:ascii="Times New Roman" w:hAnsi="Times New Roman"/>
          </w:rPr>
          <w:t>h</w:t>
        </w:r>
        <w:r w:rsidR="00BD5D4F" w:rsidRPr="00BD5D4F">
          <w:rPr>
            <w:rStyle w:val="Hyperlink"/>
            <w:rFonts w:ascii="Times New Roman" w:hAnsi="Times New Roman"/>
          </w:rPr>
          <w:t>t</w:t>
        </w:r>
        <w:r w:rsidR="00BD5D4F" w:rsidRPr="00BD5D4F">
          <w:rPr>
            <w:rStyle w:val="Hyperlink"/>
            <w:rFonts w:ascii="Times New Roman" w:hAnsi="Times New Roman"/>
          </w:rPr>
          <w:t>tps://eur-lex.europa.eu/eli/reg/2024/250</w:t>
        </w:r>
        <w:r w:rsidR="00BD5D4F" w:rsidRPr="00BD5D4F">
          <w:rPr>
            <w:rStyle w:val="Hyperlink"/>
            <w:rFonts w:ascii="Times New Roman" w:hAnsi="Times New Roman"/>
          </w:rPr>
          <w:t>9</w:t>
        </w:r>
        <w:r w:rsidR="00BD5D4F" w:rsidRPr="00BD5D4F">
          <w:rPr>
            <w:rStyle w:val="Hyperlink"/>
            <w:rFonts w:ascii="Times New Roman" w:hAnsi="Times New Roman"/>
          </w:rPr>
          <w:t>/oj/eng</w:t>
        </w:r>
      </w:hyperlink>
      <w:r w:rsidR="00BD5D4F" w:rsidRPr="00BD5D4F">
        <w:rPr>
          <w:rFonts w:ascii="Times New Roman" w:hAnsi="Times New Roman"/>
        </w:rPr>
        <w:t xml:space="preserve">). </w:t>
      </w:r>
    </w:p>
  </w:footnote>
  <w:footnote w:id="4">
    <w:p w14:paraId="0DBF6ABD" w14:textId="4D60AEA5" w:rsidR="00AD274C" w:rsidRPr="00BD5D4F" w:rsidRDefault="00AD274C" w:rsidP="00BD5D4F">
      <w:pPr>
        <w:pStyle w:val="FootnoteText"/>
        <w:widowControl w:val="0"/>
        <w:spacing w:after="0" w:line="240" w:lineRule="auto"/>
        <w:ind w:left="142" w:right="-284" w:hanging="284"/>
        <w:jc w:val="both"/>
        <w:rPr>
          <w:rFonts w:ascii="Times New Roman" w:hAnsi="Times New Roman"/>
        </w:rPr>
      </w:pPr>
      <w:r w:rsidRPr="00BD5D4F">
        <w:rPr>
          <w:rStyle w:val="FootnoteReference"/>
          <w:rFonts w:ascii="Times New Roman" w:hAnsi="Times New Roman"/>
        </w:rPr>
        <w:footnoteRef/>
      </w:r>
      <w:r w:rsidRPr="00BD5D4F">
        <w:rPr>
          <w:rFonts w:ascii="Times New Roman" w:hAnsi="Times New Roman"/>
        </w:rPr>
        <w:t xml:space="preserve"> </w:t>
      </w:r>
      <w:r w:rsidR="00BA59E6" w:rsidRPr="00BD5D4F">
        <w:rPr>
          <w:rFonts w:ascii="Times New Roman" w:hAnsi="Times New Roman"/>
        </w:rPr>
        <w:tab/>
      </w:r>
      <w:hyperlink r:id="rId4" w:history="1">
        <w:r w:rsidR="00BA59E6" w:rsidRPr="00BD5D4F">
          <w:rPr>
            <w:rStyle w:val="Hyperlink"/>
            <w:rFonts w:ascii="Times New Roman" w:hAnsi="Times New Roman"/>
          </w:rPr>
          <w:t>https://youth.</w:t>
        </w:r>
        <w:r w:rsidR="00BA59E6" w:rsidRPr="00BD5D4F">
          <w:rPr>
            <w:rStyle w:val="Hyperlink"/>
            <w:rFonts w:ascii="Times New Roman" w:hAnsi="Times New Roman"/>
          </w:rPr>
          <w:t>e</w:t>
        </w:r>
        <w:r w:rsidR="00BA59E6" w:rsidRPr="00BD5D4F">
          <w:rPr>
            <w:rStyle w:val="Hyperlink"/>
            <w:rFonts w:ascii="Times New Roman" w:hAnsi="Times New Roman"/>
          </w:rPr>
          <w:t>uropa.eu/eu-youth-dialogue_en</w:t>
        </w:r>
      </w:hyperlink>
      <w:r w:rsidR="00EF24B8">
        <w:rPr>
          <w:rFonts w:ascii="Times New Roman" w:hAnsi="Times New Roman"/>
        </w:rPr>
        <w:t>.</w:t>
      </w:r>
    </w:p>
  </w:footnote>
  <w:footnote w:id="5">
    <w:p w14:paraId="036E9DDE" w14:textId="1118C776" w:rsidR="00AD274C" w:rsidRPr="00BD5D4F" w:rsidRDefault="00AD274C" w:rsidP="00BD5D4F">
      <w:pPr>
        <w:pStyle w:val="FootnoteText"/>
        <w:widowControl w:val="0"/>
        <w:spacing w:after="0" w:line="240" w:lineRule="auto"/>
        <w:ind w:left="142" w:right="-284" w:hanging="284"/>
        <w:jc w:val="both"/>
        <w:rPr>
          <w:rFonts w:ascii="Times New Roman" w:hAnsi="Times New Roman"/>
        </w:rPr>
      </w:pPr>
      <w:r w:rsidRPr="00BD5D4F">
        <w:rPr>
          <w:rStyle w:val="FootnoteReference"/>
          <w:rFonts w:ascii="Times New Roman" w:hAnsi="Times New Roman"/>
        </w:rPr>
        <w:footnoteRef/>
      </w:r>
      <w:r w:rsidRPr="00BD5D4F">
        <w:rPr>
          <w:rFonts w:ascii="Times New Roman" w:hAnsi="Times New Roman"/>
        </w:rPr>
        <w:t xml:space="preserve"> </w:t>
      </w:r>
      <w:r w:rsidR="00BA59E6" w:rsidRPr="00BD5D4F">
        <w:rPr>
          <w:rFonts w:ascii="Times New Roman" w:hAnsi="Times New Roman"/>
        </w:rPr>
        <w:tab/>
      </w:r>
      <w:hyperlink r:id="rId5" w:history="1">
        <w:r w:rsidR="00BA59E6" w:rsidRPr="00BD5D4F">
          <w:rPr>
            <w:rStyle w:val="Hyperlink"/>
            <w:rFonts w:ascii="Times New Roman" w:hAnsi="Times New Roman"/>
          </w:rPr>
          <w:t>https://youth.europa</w:t>
        </w:r>
        <w:r w:rsidR="00BA59E6" w:rsidRPr="00BD5D4F">
          <w:rPr>
            <w:rStyle w:val="Hyperlink"/>
            <w:rFonts w:ascii="Times New Roman" w:hAnsi="Times New Roman"/>
          </w:rPr>
          <w:t>.</w:t>
        </w:r>
        <w:r w:rsidR="00BA59E6" w:rsidRPr="00BD5D4F">
          <w:rPr>
            <w:rStyle w:val="Hyperlink"/>
            <w:rFonts w:ascii="Times New Roman" w:hAnsi="Times New Roman"/>
          </w:rPr>
          <w:t>eu/strategy/youth-check_en</w:t>
        </w:r>
      </w:hyperlink>
      <w:r w:rsidR="00EF24B8">
        <w:rPr>
          <w:rFonts w:ascii="Times New Roman" w:hAnsi="Times New Roman"/>
        </w:rPr>
        <w:t>.</w:t>
      </w:r>
    </w:p>
  </w:footnote>
  <w:footnote w:id="6">
    <w:p w14:paraId="45AB12E2" w14:textId="7EA8B355" w:rsidR="00AD274C" w:rsidRPr="00BD5D4F" w:rsidRDefault="00AD274C" w:rsidP="00BD5D4F">
      <w:pPr>
        <w:pStyle w:val="FootnoteText"/>
        <w:widowControl w:val="0"/>
        <w:spacing w:after="0" w:line="240" w:lineRule="auto"/>
        <w:ind w:left="142" w:hanging="284"/>
        <w:jc w:val="both"/>
        <w:rPr>
          <w:rFonts w:ascii="Times New Roman" w:hAnsi="Times New Roman"/>
        </w:rPr>
      </w:pPr>
      <w:r w:rsidRPr="00BD5D4F">
        <w:rPr>
          <w:rStyle w:val="FootnoteReference"/>
          <w:rFonts w:ascii="Times New Roman" w:hAnsi="Times New Roman"/>
        </w:rPr>
        <w:footnoteRef/>
      </w:r>
      <w:r w:rsidRPr="00BD5D4F">
        <w:rPr>
          <w:rFonts w:ascii="Times New Roman" w:hAnsi="Times New Roman"/>
        </w:rPr>
        <w:t xml:space="preserve"> </w:t>
      </w:r>
      <w:r w:rsidR="00BA59E6" w:rsidRPr="00BD5D4F">
        <w:rPr>
          <w:rFonts w:ascii="Times New Roman" w:hAnsi="Times New Roman"/>
        </w:rPr>
        <w:tab/>
      </w:r>
      <w:hyperlink r:id="rId6" w:history="1">
        <w:r w:rsidR="00BA59E6" w:rsidRPr="00BD5D4F">
          <w:rPr>
            <w:rStyle w:val="Hyperlink"/>
            <w:rFonts w:ascii="Times New Roman" w:hAnsi="Times New Roman"/>
          </w:rPr>
          <w:t>https://erasmus-plus</w:t>
        </w:r>
        <w:r w:rsidR="00BA59E6" w:rsidRPr="00BD5D4F">
          <w:rPr>
            <w:rStyle w:val="Hyperlink"/>
            <w:rFonts w:ascii="Times New Roman" w:hAnsi="Times New Roman"/>
          </w:rPr>
          <w:t>.</w:t>
        </w:r>
        <w:r w:rsidR="00BA59E6" w:rsidRPr="00BD5D4F">
          <w:rPr>
            <w:rStyle w:val="Hyperlink"/>
            <w:rFonts w:ascii="Times New Roman" w:hAnsi="Times New Roman"/>
          </w:rPr>
          <w:t>ec.europa.eu/</w:t>
        </w:r>
      </w:hyperlink>
      <w:r w:rsidR="00EF24B8">
        <w:rPr>
          <w:rFonts w:ascii="Times New Roman" w:hAnsi="Times New Roman"/>
        </w:rPr>
        <w:t>.</w:t>
      </w:r>
    </w:p>
  </w:footnote>
  <w:footnote w:id="7">
    <w:p w14:paraId="4F003BA5" w14:textId="28F4D04C" w:rsidR="00AD274C" w:rsidRPr="00BD5D4F" w:rsidRDefault="00AD274C" w:rsidP="00BD5D4F">
      <w:pPr>
        <w:pStyle w:val="FootnoteText"/>
        <w:widowControl w:val="0"/>
        <w:spacing w:after="0" w:line="240" w:lineRule="auto"/>
        <w:ind w:left="142" w:hanging="284"/>
        <w:rPr>
          <w:rFonts w:ascii="Times New Roman" w:hAnsi="Times New Roman"/>
        </w:rPr>
      </w:pPr>
      <w:r w:rsidRPr="00BD5D4F">
        <w:rPr>
          <w:rStyle w:val="FootnoteReference"/>
          <w:rFonts w:ascii="Times New Roman" w:hAnsi="Times New Roman"/>
        </w:rPr>
        <w:footnoteRef/>
      </w:r>
      <w:r w:rsidRPr="00BD5D4F">
        <w:rPr>
          <w:rFonts w:ascii="Times New Roman" w:hAnsi="Times New Roman"/>
        </w:rPr>
        <w:t xml:space="preserve"> </w:t>
      </w:r>
      <w:r w:rsidR="0063167B" w:rsidRPr="00BD5D4F">
        <w:rPr>
          <w:rFonts w:ascii="Times New Roman" w:hAnsi="Times New Roman"/>
        </w:rPr>
        <w:tab/>
      </w:r>
      <w:hyperlink r:id="rId7" w:history="1">
        <w:r w:rsidR="0063167B" w:rsidRPr="00BD5D4F">
          <w:rPr>
            <w:rStyle w:val="Hyperlink"/>
            <w:rFonts w:ascii="Times New Roman" w:hAnsi="Times New Roman"/>
          </w:rPr>
          <w:t>https://youth.europa.eu/solida</w:t>
        </w:r>
        <w:r w:rsidR="0063167B" w:rsidRPr="00BD5D4F">
          <w:rPr>
            <w:rStyle w:val="Hyperlink"/>
            <w:rFonts w:ascii="Times New Roman" w:hAnsi="Times New Roman"/>
          </w:rPr>
          <w:t>r</w:t>
        </w:r>
        <w:r w:rsidR="0063167B" w:rsidRPr="00BD5D4F">
          <w:rPr>
            <w:rStyle w:val="Hyperlink"/>
            <w:rFonts w:ascii="Times New Roman" w:hAnsi="Times New Roman"/>
          </w:rPr>
          <w:t>ity_en</w:t>
        </w:r>
      </w:hyperlink>
      <w:r w:rsidR="00EF24B8">
        <w:rPr>
          <w:rFonts w:ascii="Times New Roman" w:hAnsi="Times New Roman"/>
        </w:rPr>
        <w:t>.</w:t>
      </w:r>
    </w:p>
  </w:footnote>
  <w:footnote w:id="8">
    <w:p w14:paraId="2F585E43" w14:textId="52E7B65F" w:rsidR="00AD274C" w:rsidRPr="00BD5D4F" w:rsidRDefault="00AD274C" w:rsidP="00BD5D4F">
      <w:pPr>
        <w:pStyle w:val="FootnoteText"/>
        <w:widowControl w:val="0"/>
        <w:spacing w:after="0" w:line="240" w:lineRule="auto"/>
        <w:ind w:left="142" w:hanging="284"/>
        <w:rPr>
          <w:rFonts w:ascii="Times New Roman" w:hAnsi="Times New Roman"/>
        </w:rPr>
      </w:pPr>
      <w:r w:rsidRPr="00BD5D4F">
        <w:rPr>
          <w:rStyle w:val="FootnoteReference"/>
          <w:rFonts w:ascii="Times New Roman" w:hAnsi="Times New Roman"/>
        </w:rPr>
        <w:footnoteRef/>
      </w:r>
      <w:r w:rsidRPr="00BD5D4F">
        <w:rPr>
          <w:rFonts w:ascii="Times New Roman" w:hAnsi="Times New Roman"/>
        </w:rPr>
        <w:t xml:space="preserve"> </w:t>
      </w:r>
      <w:r w:rsidR="0063167B" w:rsidRPr="00BD5D4F">
        <w:rPr>
          <w:rFonts w:ascii="Times New Roman" w:hAnsi="Times New Roman"/>
        </w:rPr>
        <w:tab/>
      </w:r>
      <w:hyperlink r:id="rId8" w:history="1">
        <w:r w:rsidR="0063167B" w:rsidRPr="00BD5D4F">
          <w:rPr>
            <w:rStyle w:val="Hyperlink"/>
            <w:rFonts w:ascii="Times New Roman" w:hAnsi="Times New Roman"/>
          </w:rPr>
          <w:t>https://have-your-say</w:t>
        </w:r>
        <w:r w:rsidR="0063167B" w:rsidRPr="00BD5D4F">
          <w:rPr>
            <w:rStyle w:val="Hyperlink"/>
            <w:rFonts w:ascii="Times New Roman" w:hAnsi="Times New Roman"/>
          </w:rPr>
          <w:t>.</w:t>
        </w:r>
        <w:r w:rsidR="0063167B" w:rsidRPr="00BD5D4F">
          <w:rPr>
            <w:rStyle w:val="Hyperlink"/>
            <w:rFonts w:ascii="Times New Roman" w:hAnsi="Times New Roman"/>
          </w:rPr>
          <w:t>ec.europa.eu/index_en</w:t>
        </w:r>
      </w:hyperlink>
      <w:r w:rsidR="00EF24B8">
        <w:rPr>
          <w:rFonts w:ascii="Times New Roman" w:hAnsi="Times New Roman"/>
        </w:rPr>
        <w:t>.</w:t>
      </w:r>
    </w:p>
  </w:footnote>
  <w:footnote w:id="9">
    <w:p w14:paraId="6C24F918" w14:textId="1E4C2E49" w:rsidR="00AD274C" w:rsidRPr="002F3A4D" w:rsidRDefault="00AD274C" w:rsidP="00BD5D4F">
      <w:pPr>
        <w:pStyle w:val="FootnoteText"/>
        <w:widowControl w:val="0"/>
        <w:spacing w:after="0" w:line="240" w:lineRule="auto"/>
        <w:ind w:left="142" w:hanging="284"/>
      </w:pPr>
      <w:r w:rsidRPr="00BD5D4F">
        <w:rPr>
          <w:rStyle w:val="FootnoteReference"/>
          <w:rFonts w:ascii="Times New Roman" w:hAnsi="Times New Roman"/>
        </w:rPr>
        <w:footnoteRef/>
      </w:r>
      <w:r w:rsidRPr="00BD5D4F">
        <w:rPr>
          <w:rFonts w:ascii="Times New Roman" w:hAnsi="Times New Roman"/>
        </w:rPr>
        <w:t xml:space="preserve"> </w:t>
      </w:r>
      <w:r w:rsidR="0063167B" w:rsidRPr="00BD5D4F">
        <w:rPr>
          <w:rFonts w:ascii="Times New Roman" w:hAnsi="Times New Roman"/>
        </w:rPr>
        <w:tab/>
      </w:r>
      <w:hyperlink r:id="rId9" w:history="1">
        <w:r w:rsidR="0063167B" w:rsidRPr="00BD5D4F">
          <w:rPr>
            <w:rStyle w:val="Hyperlink"/>
            <w:rFonts w:ascii="Times New Roman" w:hAnsi="Times New Roman"/>
          </w:rPr>
          <w:t>https://citizens.ec</w:t>
        </w:r>
        <w:r w:rsidR="0063167B" w:rsidRPr="00BD5D4F">
          <w:rPr>
            <w:rStyle w:val="Hyperlink"/>
            <w:rFonts w:ascii="Times New Roman" w:hAnsi="Times New Roman"/>
          </w:rPr>
          <w:t>.</w:t>
        </w:r>
        <w:r w:rsidR="0063167B" w:rsidRPr="00BD5D4F">
          <w:rPr>
            <w:rStyle w:val="Hyperlink"/>
            <w:rFonts w:ascii="Times New Roman" w:hAnsi="Times New Roman"/>
          </w:rPr>
          <w:t>europa.eu/european-citizens-panels/european-citizens-panel-new-european-budget_en</w:t>
        </w:r>
      </w:hyperlink>
      <w:r w:rsidR="00EF24B8">
        <w:rPr>
          <w:rFonts w:ascii="Times New Roman" w:hAnsi="Times New Roma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077C4F"/>
    <w:rsid w:val="00012A37"/>
    <w:rsid w:val="00021E0A"/>
    <w:rsid w:val="00046B15"/>
    <w:rsid w:val="00050DC7"/>
    <w:rsid w:val="00076109"/>
    <w:rsid w:val="00077C4F"/>
    <w:rsid w:val="0008777E"/>
    <w:rsid w:val="00092ED0"/>
    <w:rsid w:val="000A1A19"/>
    <w:rsid w:val="000C1720"/>
    <w:rsid w:val="000D1CDE"/>
    <w:rsid w:val="000E2B54"/>
    <w:rsid w:val="000F0274"/>
    <w:rsid w:val="000F5FD8"/>
    <w:rsid w:val="001167C0"/>
    <w:rsid w:val="00135C2A"/>
    <w:rsid w:val="0019330C"/>
    <w:rsid w:val="001B0E0B"/>
    <w:rsid w:val="001B2699"/>
    <w:rsid w:val="001C4138"/>
    <w:rsid w:val="001D05B1"/>
    <w:rsid w:val="001F2EC6"/>
    <w:rsid w:val="001F65D0"/>
    <w:rsid w:val="00210500"/>
    <w:rsid w:val="00217E59"/>
    <w:rsid w:val="002466F3"/>
    <w:rsid w:val="002634D3"/>
    <w:rsid w:val="00291304"/>
    <w:rsid w:val="002A682F"/>
    <w:rsid w:val="002C2C85"/>
    <w:rsid w:val="002F03FA"/>
    <w:rsid w:val="002F3A4D"/>
    <w:rsid w:val="002F4202"/>
    <w:rsid w:val="003004D2"/>
    <w:rsid w:val="003349A3"/>
    <w:rsid w:val="00377967"/>
    <w:rsid w:val="00386143"/>
    <w:rsid w:val="00393FA7"/>
    <w:rsid w:val="003B58DC"/>
    <w:rsid w:val="003E1C28"/>
    <w:rsid w:val="003F579B"/>
    <w:rsid w:val="003F686E"/>
    <w:rsid w:val="00442552"/>
    <w:rsid w:val="00455A1C"/>
    <w:rsid w:val="004675B5"/>
    <w:rsid w:val="004770D6"/>
    <w:rsid w:val="0048024A"/>
    <w:rsid w:val="0049246C"/>
    <w:rsid w:val="004C7604"/>
    <w:rsid w:val="004D56C8"/>
    <w:rsid w:val="004F6117"/>
    <w:rsid w:val="004F63F1"/>
    <w:rsid w:val="004F651E"/>
    <w:rsid w:val="004F676A"/>
    <w:rsid w:val="0050067D"/>
    <w:rsid w:val="00507A97"/>
    <w:rsid w:val="00520E44"/>
    <w:rsid w:val="0052596B"/>
    <w:rsid w:val="00532E3B"/>
    <w:rsid w:val="00554D8D"/>
    <w:rsid w:val="00573835"/>
    <w:rsid w:val="00581306"/>
    <w:rsid w:val="005900AB"/>
    <w:rsid w:val="005A18C0"/>
    <w:rsid w:val="005C3105"/>
    <w:rsid w:val="005C3F28"/>
    <w:rsid w:val="006126F6"/>
    <w:rsid w:val="00625650"/>
    <w:rsid w:val="00627A1A"/>
    <w:rsid w:val="0063167B"/>
    <w:rsid w:val="006347BE"/>
    <w:rsid w:val="00692C2F"/>
    <w:rsid w:val="00695797"/>
    <w:rsid w:val="00696A5E"/>
    <w:rsid w:val="00696B4B"/>
    <w:rsid w:val="006B3B69"/>
    <w:rsid w:val="006F0023"/>
    <w:rsid w:val="00712174"/>
    <w:rsid w:val="007165AF"/>
    <w:rsid w:val="00734613"/>
    <w:rsid w:val="00751910"/>
    <w:rsid w:val="00751E60"/>
    <w:rsid w:val="007547B5"/>
    <w:rsid w:val="00795A9E"/>
    <w:rsid w:val="007976CD"/>
    <w:rsid w:val="007A606D"/>
    <w:rsid w:val="007C2214"/>
    <w:rsid w:val="007D7284"/>
    <w:rsid w:val="00807B48"/>
    <w:rsid w:val="008135CA"/>
    <w:rsid w:val="0081584D"/>
    <w:rsid w:val="0081584F"/>
    <w:rsid w:val="008277F2"/>
    <w:rsid w:val="00847083"/>
    <w:rsid w:val="008703BF"/>
    <w:rsid w:val="008750B3"/>
    <w:rsid w:val="008925CE"/>
    <w:rsid w:val="008C4D41"/>
    <w:rsid w:val="00981F45"/>
    <w:rsid w:val="00986A5E"/>
    <w:rsid w:val="00994D12"/>
    <w:rsid w:val="009B128B"/>
    <w:rsid w:val="009C1053"/>
    <w:rsid w:val="009D7065"/>
    <w:rsid w:val="009F31DE"/>
    <w:rsid w:val="00A16F07"/>
    <w:rsid w:val="00A62C7B"/>
    <w:rsid w:val="00A7709A"/>
    <w:rsid w:val="00AD274C"/>
    <w:rsid w:val="00AE1842"/>
    <w:rsid w:val="00AE3C7C"/>
    <w:rsid w:val="00B16AEF"/>
    <w:rsid w:val="00B31306"/>
    <w:rsid w:val="00B42814"/>
    <w:rsid w:val="00B45CAA"/>
    <w:rsid w:val="00B77888"/>
    <w:rsid w:val="00B83936"/>
    <w:rsid w:val="00BA59E6"/>
    <w:rsid w:val="00BD2CE2"/>
    <w:rsid w:val="00BD5D4F"/>
    <w:rsid w:val="00BD6EB7"/>
    <w:rsid w:val="00BF20FD"/>
    <w:rsid w:val="00C54D27"/>
    <w:rsid w:val="00C76EEB"/>
    <w:rsid w:val="00CB7DE8"/>
    <w:rsid w:val="00D01F5A"/>
    <w:rsid w:val="00D15898"/>
    <w:rsid w:val="00D1716E"/>
    <w:rsid w:val="00D17CD8"/>
    <w:rsid w:val="00D21FD8"/>
    <w:rsid w:val="00D56301"/>
    <w:rsid w:val="00D64E05"/>
    <w:rsid w:val="00D762A7"/>
    <w:rsid w:val="00D92FD3"/>
    <w:rsid w:val="00DA01AC"/>
    <w:rsid w:val="00DA3B6E"/>
    <w:rsid w:val="00DB5A03"/>
    <w:rsid w:val="00DB7581"/>
    <w:rsid w:val="00DC70C1"/>
    <w:rsid w:val="00E34565"/>
    <w:rsid w:val="00E76541"/>
    <w:rsid w:val="00E83C12"/>
    <w:rsid w:val="00E904C8"/>
    <w:rsid w:val="00EA1BBF"/>
    <w:rsid w:val="00EB29A9"/>
    <w:rsid w:val="00EB69EB"/>
    <w:rsid w:val="00EB77D2"/>
    <w:rsid w:val="00ED2005"/>
    <w:rsid w:val="00ED344E"/>
    <w:rsid w:val="00EF24B8"/>
    <w:rsid w:val="00EF5A0F"/>
    <w:rsid w:val="00F316C8"/>
    <w:rsid w:val="00F37A95"/>
    <w:rsid w:val="00F632DE"/>
    <w:rsid w:val="00F735E4"/>
    <w:rsid w:val="00FB7834"/>
    <w:rsid w:val="00FD4B6A"/>
    <w:rsid w:val="00FD55F1"/>
    <w:rsid w:val="00FF03A8"/>
    <w:rsid w:val="00FF63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BEE9"/>
  <w15:chartTrackingRefBased/>
  <w15:docId w15:val="{8250BCC8-4D0F-43C9-A9FB-5B735BFFB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US"/>
    </w:rPr>
  </w:style>
  <w:style w:type="paragraph" w:styleId="Heading2">
    <w:name w:val="heading 2"/>
    <w:basedOn w:val="Normal"/>
    <w:next w:val="Normal"/>
    <w:link w:val="Heading2Char"/>
    <w:uiPriority w:val="9"/>
    <w:unhideWhenUsed/>
    <w:qFormat/>
    <w:rsid w:val="00BF20FD"/>
    <w:pPr>
      <w:keepNext/>
      <w:keepLines/>
      <w:spacing w:before="160" w:after="80"/>
      <w:outlineLvl w:val="1"/>
    </w:pPr>
    <w:rPr>
      <w:rFonts w:ascii="Calibri Light" w:eastAsia="Yu Mincho" w:hAnsi="Calibri Light" w:cs="Yu Gothic Light"/>
      <w:color w:val="2E74B5"/>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BF20FD"/>
    <w:rPr>
      <w:rFonts w:ascii="Calibri Light" w:eastAsia="Yu Mincho" w:hAnsi="Calibri Light" w:cs="Yu Gothic Light"/>
      <w:color w:val="2E74B5"/>
      <w:sz w:val="32"/>
      <w:szCs w:val="32"/>
      <w:lang w:eastAsia="en-US"/>
    </w:rPr>
  </w:style>
  <w:style w:type="paragraph" w:styleId="FootnoteText">
    <w:name w:val="footnote text"/>
    <w:basedOn w:val="Normal"/>
    <w:link w:val="FootnoteTextChar"/>
    <w:uiPriority w:val="99"/>
    <w:semiHidden/>
    <w:unhideWhenUsed/>
    <w:rsid w:val="00AD274C"/>
    <w:rPr>
      <w:sz w:val="20"/>
      <w:szCs w:val="20"/>
    </w:rPr>
  </w:style>
  <w:style w:type="character" w:customStyle="1" w:styleId="FootnoteTextChar">
    <w:name w:val="Footnote Text Char"/>
    <w:link w:val="FootnoteText"/>
    <w:uiPriority w:val="99"/>
    <w:semiHidden/>
    <w:rsid w:val="00AD274C"/>
    <w:rPr>
      <w:lang w:eastAsia="en-US"/>
    </w:rPr>
  </w:style>
  <w:style w:type="character" w:styleId="FootnoteReference">
    <w:name w:val="footnote reference"/>
    <w:uiPriority w:val="99"/>
    <w:semiHidden/>
    <w:unhideWhenUsed/>
    <w:rsid w:val="00AD274C"/>
    <w:rPr>
      <w:vertAlign w:val="superscript"/>
    </w:rPr>
  </w:style>
  <w:style w:type="character" w:styleId="Hyperlink">
    <w:name w:val="Hyperlink"/>
    <w:uiPriority w:val="99"/>
    <w:unhideWhenUsed/>
    <w:rsid w:val="00AD274C"/>
    <w:rPr>
      <w:color w:val="0563C1"/>
      <w:u w:val="single"/>
    </w:rPr>
  </w:style>
  <w:style w:type="character" w:styleId="CommentReference">
    <w:name w:val="annotation reference"/>
    <w:uiPriority w:val="99"/>
    <w:semiHidden/>
    <w:unhideWhenUsed/>
    <w:rsid w:val="00D762A7"/>
    <w:rPr>
      <w:sz w:val="16"/>
      <w:szCs w:val="16"/>
    </w:rPr>
  </w:style>
  <w:style w:type="paragraph" w:styleId="CommentText">
    <w:name w:val="annotation text"/>
    <w:basedOn w:val="Normal"/>
    <w:link w:val="CommentTextChar"/>
    <w:uiPriority w:val="99"/>
    <w:unhideWhenUsed/>
    <w:rsid w:val="00D762A7"/>
    <w:rPr>
      <w:sz w:val="20"/>
      <w:szCs w:val="20"/>
    </w:rPr>
  </w:style>
  <w:style w:type="character" w:customStyle="1" w:styleId="CommentTextChar">
    <w:name w:val="Comment Text Char"/>
    <w:link w:val="CommentText"/>
    <w:uiPriority w:val="99"/>
    <w:rsid w:val="00D762A7"/>
    <w:rPr>
      <w:lang w:val="en-GB" w:eastAsia="en-US"/>
    </w:rPr>
  </w:style>
  <w:style w:type="paragraph" w:styleId="Revision">
    <w:name w:val="Revision"/>
    <w:hidden/>
    <w:uiPriority w:val="99"/>
    <w:semiHidden/>
    <w:rsid w:val="00D15898"/>
    <w:rPr>
      <w:sz w:val="22"/>
      <w:szCs w:val="22"/>
      <w:lang w:val="en-GB" w:eastAsia="en-US"/>
    </w:rPr>
  </w:style>
  <w:style w:type="paragraph" w:styleId="CommentSubject">
    <w:name w:val="annotation subject"/>
    <w:basedOn w:val="CommentText"/>
    <w:next w:val="CommentText"/>
    <w:link w:val="CommentSubjectChar"/>
    <w:uiPriority w:val="99"/>
    <w:semiHidden/>
    <w:unhideWhenUsed/>
    <w:rsid w:val="00D15898"/>
    <w:rPr>
      <w:b/>
      <w:bCs/>
    </w:rPr>
  </w:style>
  <w:style w:type="character" w:customStyle="1" w:styleId="CommentSubjectChar">
    <w:name w:val="Comment Subject Char"/>
    <w:link w:val="CommentSubject"/>
    <w:uiPriority w:val="99"/>
    <w:semiHidden/>
    <w:rsid w:val="00D15898"/>
    <w:rPr>
      <w:b/>
      <w:bCs/>
      <w:lang w:val="en-GB" w:eastAsia="en-US"/>
    </w:rPr>
  </w:style>
  <w:style w:type="character" w:styleId="UnresolvedMention">
    <w:name w:val="Unresolved Mention"/>
    <w:uiPriority w:val="99"/>
    <w:semiHidden/>
    <w:unhideWhenUsed/>
    <w:rsid w:val="00BA59E6"/>
    <w:rPr>
      <w:color w:val="605E5C"/>
      <w:shd w:val="clear" w:color="auto" w:fill="E1DFDD"/>
    </w:rPr>
  </w:style>
  <w:style w:type="character" w:styleId="FollowedHyperlink">
    <w:name w:val="FollowedHyperlink"/>
    <w:basedOn w:val="DefaultParagraphFont"/>
    <w:uiPriority w:val="99"/>
    <w:semiHidden/>
    <w:unhideWhenUsed/>
    <w:rsid w:val="00BD5D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have-your-say.ec.europa.eu/index_en" TargetMode="External"/><Relationship Id="rId3" Type="http://schemas.openxmlformats.org/officeDocument/2006/relationships/hyperlink" Target="https://eur-lex.europa.eu/eli/reg/2024/2509/oj/eng" TargetMode="External"/><Relationship Id="rId7" Type="http://schemas.openxmlformats.org/officeDocument/2006/relationships/hyperlink" Target="https://youth.europa.eu/solidarity_en" TargetMode="External"/><Relationship Id="rId2" Type="http://schemas.openxmlformats.org/officeDocument/2006/relationships/hyperlink" Target="http://data.europa.eu/eli/reg/2021/1056/oj" TargetMode="External"/><Relationship Id="rId1" Type="http://schemas.openxmlformats.org/officeDocument/2006/relationships/hyperlink" Target="http://data.europa.eu/eli/reg/2021/1058/oj" TargetMode="External"/><Relationship Id="rId6" Type="http://schemas.openxmlformats.org/officeDocument/2006/relationships/hyperlink" Target="https://erasmus-plus.ec.europa.eu/" TargetMode="External"/><Relationship Id="rId5" Type="http://schemas.openxmlformats.org/officeDocument/2006/relationships/hyperlink" Target="https://youth.europa.eu/strategy/youth-check_en" TargetMode="External"/><Relationship Id="rId4" Type="http://schemas.openxmlformats.org/officeDocument/2006/relationships/hyperlink" Target="https://youth.europa.eu/eu-youth-dialogue_en" TargetMode="External"/><Relationship Id="rId9" Type="http://schemas.openxmlformats.org/officeDocument/2006/relationships/hyperlink" Target="https://citizens.ec.europa.eu/european-citizens-panels/european-citizens-panel-new-european-budget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04BF4-0624-4C96-8DA4-6A25FFDE7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1423</Words>
  <Characters>8330</Characters>
  <Application>Microsoft Office Word</Application>
  <DocSecurity>0</DocSecurity>
  <Lines>120</Lines>
  <Paragraphs>36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PUIA Manuela Morena (SG)</dc:creator>
  <cp:keywords/>
  <cp:lastModifiedBy>ROSSI Simona (SG-EXT)</cp:lastModifiedBy>
  <cp:revision>3</cp:revision>
  <cp:lastPrinted>2013-02-27T18:02:00Z</cp:lastPrinted>
  <dcterms:created xsi:type="dcterms:W3CDTF">2025-11-18T15:46:00Z</dcterms:created>
  <dcterms:modified xsi:type="dcterms:W3CDTF">2025-11-18T15:47:00Z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2023-04-12T12:31:59Z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633b4ac4-9ed9-4135-981c-e588276a87bc</vt:lpwstr>
  </property>
  <property fmtid="{D5CDD505-2E9C-101B-9397-08002B2CF9AE}" pid="8" name="MSIP_Label_6bd9ddd1-4d20-43f6-abfa-fc3c07406f94_ContentBits">
    <vt:lpwstr>0</vt:lpwstr>
  </property>
</Properties>
</file>