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0A5D18" w:rsidR="000A5D18" w:rsidP="000A5D18" w:rsidRDefault="000A5D18" w14:paraId="6E9A7E2B" w14:textId="77777777">
      <w:pPr>
        <w:jc w:val="right"/>
        <w:rPr>
          <w:b/>
          <w:bCs/>
        </w:rPr>
      </w:pPr>
      <w:r w:rsidRPr="000A5D18">
        <w:rPr>
          <w:b/>
          <w:bCs/>
        </w:rPr>
        <w:t>NAT/964</w:t>
      </w:r>
    </w:p>
    <w:p w:rsidRPr="00A67235" w:rsidR="000A5D18" w:rsidP="000A5D18" w:rsidRDefault="000A5D18" w14:paraId="12D5DD2E" w14:textId="37E724F1">
      <w:pPr>
        <w:jc w:val="right"/>
      </w:pPr>
      <w:r w:rsidRPr="000A5D18">
        <w:rPr>
          <w:b/>
          <w:bCs/>
        </w:rPr>
        <w:t>Omnibus on chemicals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3D1D008B">
      <w:pPr>
        <w:jc w:val="right"/>
      </w:pPr>
      <w:r w:rsidRPr="00A67235">
        <w:t xml:space="preserve">Brussels, </w:t>
      </w:r>
      <w:r w:rsidR="000A5D18">
        <w:t>23 October 2025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0A5D18" w:rsidR="000A5D18" w:rsidP="000A5D18" w:rsidRDefault="00964A13" w14:paraId="27762C87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0A5D18" w:rsidR="000A5D18">
        <w:rPr>
          <w:b/>
          <w:bCs/>
        </w:rPr>
        <w:t>Proposal for a Regulation of the European Parliament and of the Council amending Regulation (EU) 2024/2865 as regards dates of application and transitional provisions</w:t>
      </w:r>
    </w:p>
    <w:p w:rsidRPr="000A5D18" w:rsidR="000A5D18" w:rsidP="000A5D18" w:rsidRDefault="000A5D18" w14:paraId="7B96F202" w14:textId="77777777">
      <w:pPr>
        <w:jc w:val="center"/>
        <w:rPr>
          <w:b/>
          <w:bCs/>
        </w:rPr>
      </w:pPr>
      <w:r w:rsidRPr="000A5D18">
        <w:rPr>
          <w:b/>
          <w:bCs/>
        </w:rPr>
        <w:t>and</w:t>
      </w:r>
    </w:p>
    <w:p w:rsidRPr="000A5D18" w:rsidR="000A5D18" w:rsidP="000A5D18" w:rsidRDefault="000A5D18" w14:paraId="282442F7" w14:textId="77777777">
      <w:pPr>
        <w:jc w:val="center"/>
      </w:pPr>
      <w:r w:rsidRPr="000A5D18">
        <w:rPr>
          <w:b/>
          <w:bCs/>
        </w:rPr>
        <w:t>Proposal for a Regulation of the European Parliament and of the Council amending Regulations (EC) No 1272/2008, (EC) No 1223/2009 and (EU) 2019/1009 as regards simplification of certain requirements and procedures for chemical products</w:t>
      </w:r>
      <w:r w:rsidRPr="00A67235" w:rsidR="00964A13">
        <w:rPr>
          <w:b/>
          <w:bCs/>
        </w:rPr>
        <w:br/>
      </w:r>
      <w:r w:rsidR="0015330A">
        <w:t>[</w:t>
      </w:r>
      <w:r w:rsidRPr="000A5D18">
        <w:t>COM(2025) 526 final – 2025/526(COD)</w:t>
      </w:r>
    </w:p>
    <w:p w:rsidRPr="00A67235" w:rsidR="00964A13" w:rsidP="000A5D18" w:rsidRDefault="000A5D18" w14:paraId="1CA7DBC6" w14:textId="4909F1C6">
      <w:pPr>
        <w:jc w:val="center"/>
      </w:pPr>
      <w:r w:rsidRPr="00574093">
        <w:t>COM(2025) 531 final – 2025/531(COD</w:t>
      </w:r>
      <w:r w:rsidRPr="00574093" w:rsidR="00F8169C">
        <w:t>)</w:t>
      </w:r>
      <w:r w:rsidRPr="00574093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0A5D18" w14:paraId="0FA745B1" w14:textId="0DEBC56D">
      <w:pPr>
        <w:jc w:val="center"/>
        <w:rPr>
          <w:bCs/>
        </w:rPr>
      </w:pPr>
      <w:r>
        <w:t>600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21</w:t>
      </w:r>
      <w:r w:rsidR="0015330A">
        <w:rPr>
          <w:bCs/>
        </w:rPr>
        <w:t>-</w:t>
      </w:r>
      <w:r>
        <w:rPr>
          <w:bCs/>
        </w:rPr>
        <w:t>23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4DFE391A">
      <w:pPr>
        <w:jc w:val="center"/>
      </w:pPr>
      <w:r w:rsidRPr="00A67235">
        <w:t xml:space="preserve">Meeting of </w:t>
      </w:r>
      <w:r w:rsidR="00085254">
        <w:t>23</w:t>
      </w:r>
      <w:r w:rsidRPr="00085254" w:rsidR="00085254">
        <w:rPr>
          <w:vertAlign w:val="superscript"/>
        </w:rPr>
        <w:t>rd</w:t>
      </w:r>
      <w:r w:rsidR="00085254">
        <w:t xml:space="preserve"> of October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72C10AA4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826F11">
        <w:t>28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21805C82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826F11">
        <w:t>28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DF00B6" w:rsidR="00DF00B6" w:rsidP="00DF00B6" w:rsidRDefault="00DF00B6" w14:paraId="290554C7" w14:textId="77777777">
      <w:pPr>
        <w:ind w:left="1430"/>
        <w:rPr>
          <w:i/>
          <w:iCs/>
        </w:rPr>
      </w:pPr>
      <w:r w:rsidRPr="00DF00B6">
        <w:rPr>
          <w:i/>
          <w:iCs/>
        </w:rPr>
        <w:t>Proposal for a Regulation of the European Parliament and of the Council amending Regulation (EU) 2024/2865 as regards dates of application and transitional provisions</w:t>
      </w:r>
    </w:p>
    <w:p w:rsidRPr="00DF00B6" w:rsidR="00DF00B6" w:rsidP="00DF00B6" w:rsidRDefault="00DF00B6" w14:paraId="4C921156" w14:textId="77777777">
      <w:pPr>
        <w:ind w:left="1430"/>
        <w:rPr>
          <w:i/>
          <w:iCs/>
        </w:rPr>
      </w:pPr>
      <w:r w:rsidRPr="00DF00B6">
        <w:rPr>
          <w:i/>
          <w:iCs/>
        </w:rPr>
        <w:t>and</w:t>
      </w:r>
    </w:p>
    <w:p w:rsidRPr="00A67235" w:rsidR="000E4B6B" w:rsidP="00DF00B6" w:rsidRDefault="00DF00B6" w14:paraId="0750582A" w14:textId="1AAFEF2E">
      <w:pPr>
        <w:ind w:left="1430"/>
        <w:rPr>
          <w:i/>
          <w:iCs/>
        </w:rPr>
      </w:pPr>
      <w:r w:rsidRPr="00DF00B6">
        <w:rPr>
          <w:i/>
          <w:iCs/>
        </w:rPr>
        <w:t>Proposal for a Regulation of the European Parliament and of the Council amending Regulations (EC) No 1272/2008, (EC) No 1223/2009 and (EU) 2019/1009 as regards simplification of certain requirements and procedures for chemical products</w:t>
      </w:r>
    </w:p>
    <w:p w:rsidRPr="0066524D" w:rsidR="0066524D" w:rsidP="0066524D" w:rsidRDefault="0066524D" w14:paraId="375827A0" w14:textId="77777777">
      <w:pPr>
        <w:ind w:left="1430"/>
        <w:rPr>
          <w:lang w:val="pt-PT"/>
        </w:rPr>
      </w:pPr>
      <w:r w:rsidRPr="0066524D">
        <w:rPr>
          <w:lang w:val="pt-PT"/>
        </w:rPr>
        <w:t>COM(2025) 526 final – 2025/526(COD)</w:t>
      </w:r>
    </w:p>
    <w:p w:rsidRPr="0066524D" w:rsidR="000E4B6B" w:rsidP="0066524D" w:rsidRDefault="0066524D" w14:paraId="305301AD" w14:textId="4BF4F54C">
      <w:pPr>
        <w:ind w:left="1430"/>
        <w:rPr>
          <w:lang w:val="pt-PT"/>
        </w:rPr>
      </w:pPr>
      <w:r w:rsidRPr="0066524D">
        <w:rPr>
          <w:lang w:val="pt-PT"/>
        </w:rPr>
        <w:t>COM(2025) 531 final – 2025/531(COD)</w:t>
      </w:r>
    </w:p>
    <w:p w:rsidRPr="0066524D" w:rsidR="000E4B6B" w:rsidP="00EC0F0F" w:rsidRDefault="000E4B6B" w14:paraId="7B740915" w14:textId="77777777">
      <w:pPr>
        <w:rPr>
          <w:lang w:val="pt-PT"/>
        </w:rPr>
      </w:pPr>
    </w:p>
    <w:p w:rsidR="00A67B54" w:rsidP="00A67B54" w:rsidRDefault="000E4B6B" w14:paraId="62F44743" w14:textId="21367643">
      <w:r w:rsidRPr="00A67235">
        <w:t xml:space="preserve">The preliminary work had been carried out by the Section for </w:t>
      </w:r>
      <w:r w:rsidRPr="00C93FC4" w:rsidR="00C93FC4">
        <w:t xml:space="preserve">Agriculture, Rural Development and the Environment </w:t>
      </w:r>
      <w:r w:rsidRPr="00A67235">
        <w:t>(president:</w:t>
      </w:r>
      <w:r w:rsidR="00177DAC">
        <w:t xml:space="preserve"> </w:t>
      </w:r>
      <w:r w:rsidRPr="00C93FC4" w:rsidR="00C93FC4">
        <w:rPr>
          <w:b/>
          <w:bCs/>
        </w:rPr>
        <w:t>Mr</w:t>
      </w:r>
      <w:r w:rsidR="00C93FC4">
        <w:t xml:space="preserve"> </w:t>
      </w:r>
      <w:r w:rsidRPr="00C93FC4" w:rsidR="00C93FC4">
        <w:rPr>
          <w:b/>
          <w:bCs/>
        </w:rPr>
        <w:t>Stoyan TCHOUKANOV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361782">
        <w:rPr>
          <w:b/>
          <w:bCs/>
        </w:rPr>
        <w:t xml:space="preserve">Mr </w:t>
      </w:r>
      <w:r w:rsidR="00826F11">
        <w:rPr>
          <w:b/>
          <w:bCs/>
        </w:rPr>
        <w:t>John COMER</w:t>
      </w:r>
      <w:r w:rsidRPr="00A67235">
        <w:t>.</w:t>
      </w:r>
    </w:p>
    <w:p w:rsidRPr="00A67235" w:rsidR="00A67B54" w:rsidP="00A67B54" w:rsidRDefault="00A67B54" w14:paraId="5EF7BD17" w14:textId="77777777"/>
    <w:p w:rsidR="00A67B54" w:rsidRDefault="00A67B54" w14:paraId="37403230" w14:textId="73542645">
      <w:r w:rsidRPr="4BD63C27">
        <w:rPr>
          <w:b/>
          <w:bCs/>
        </w:rPr>
        <w:t>The rapporteur</w:t>
      </w:r>
      <w:r>
        <w:t xml:space="preserve"> presented the opinion and highlighted that </w:t>
      </w:r>
      <w:r w:rsidR="62761947">
        <w:t xml:space="preserve">the European Economic and Social Committe welcomes the European Commission </w:t>
      </w:r>
      <w:r w:rsidR="1392DFEA">
        <w:t xml:space="preserve">proposal and thanked everyone for the positive cooperation. In particular, he mentioned the following points: </w:t>
      </w:r>
    </w:p>
    <w:p w:rsidR="4BD63C27" w:rsidRDefault="4BD63C27" w14:paraId="20316D6F" w14:textId="0016CD28"/>
    <w:p w:rsidR="1392DFEA" w:rsidP="4BD63C27" w:rsidRDefault="1392DFEA" w14:paraId="3D660729" w14:textId="75E4BF35">
      <w:pPr>
        <w:pStyle w:val="ListParagraph"/>
        <w:numPr>
          <w:ilvl w:val="0"/>
          <w:numId w:val="2"/>
        </w:numPr>
      </w:pPr>
      <w:r>
        <w:t xml:space="preserve">It is urgent to streamline </w:t>
      </w:r>
      <w:r w:rsidR="489EE6AD">
        <w:t xml:space="preserve">and simplify </w:t>
      </w:r>
      <w:r>
        <w:t xml:space="preserve">this regulation in order </w:t>
      </w:r>
      <w:r w:rsidR="2D703AF7">
        <w:t xml:space="preserve">to maintain balance and </w:t>
      </w:r>
      <w:r>
        <w:t xml:space="preserve">not hamper the industry </w:t>
      </w:r>
      <w:r w:rsidR="344C6FF4">
        <w:t>and innovation</w:t>
      </w:r>
      <w:r>
        <w:t xml:space="preserve">. </w:t>
      </w:r>
    </w:p>
    <w:p w:rsidR="1392DFEA" w:rsidP="4BD63C27" w:rsidRDefault="1392DFEA" w14:paraId="04A3CB14" w14:textId="7A9BD50B">
      <w:pPr>
        <w:pStyle w:val="ListParagraph"/>
        <w:numPr>
          <w:ilvl w:val="0"/>
          <w:numId w:val="2"/>
        </w:numPr>
      </w:pPr>
      <w:r>
        <w:t>Human and environmental health should be prioritised and protected</w:t>
      </w:r>
      <w:r w:rsidR="661245DB">
        <w:t>.</w:t>
      </w:r>
    </w:p>
    <w:p w:rsidR="51D1B0B3" w:rsidP="4BD63C27" w:rsidRDefault="51D1B0B3" w14:paraId="75DA294E" w14:textId="756B5B17">
      <w:pPr>
        <w:pStyle w:val="ListParagraph"/>
        <w:numPr>
          <w:ilvl w:val="0"/>
          <w:numId w:val="2"/>
        </w:numPr>
      </w:pPr>
      <w:r>
        <w:t>Reduc</w:t>
      </w:r>
      <w:r w:rsidR="639A2DE9">
        <w:t>ing</w:t>
      </w:r>
      <w:r>
        <w:t xml:space="preserve"> complying cost and reduce administrative burden</w:t>
      </w:r>
      <w:r w:rsidR="4E137E65">
        <w:t>s</w:t>
      </w:r>
      <w:r>
        <w:t xml:space="preserve"> for the chemical industry</w:t>
      </w:r>
      <w:r w:rsidR="2C184667">
        <w:t xml:space="preserve"> is the main priority. </w:t>
      </w:r>
    </w:p>
    <w:p w:rsidR="16F4CF1E" w:rsidP="4BD63C27" w:rsidRDefault="16F4CF1E" w14:paraId="448A9690" w14:textId="6D410ABD">
      <w:pPr>
        <w:pStyle w:val="ListParagraph"/>
        <w:numPr>
          <w:ilvl w:val="0"/>
          <w:numId w:val="2"/>
        </w:numPr>
      </w:pPr>
      <w:r>
        <w:t xml:space="preserve">The simplification of the hazardous chemicals labelling rules </w:t>
      </w:r>
      <w:r w:rsidR="73741B00">
        <w:t xml:space="preserve">should be given great importance as consumers must be informed and aware </w:t>
      </w:r>
      <w:r w:rsidR="36444BA1">
        <w:t>of</w:t>
      </w:r>
      <w:r w:rsidR="73741B00">
        <w:t xml:space="preserve"> what a product contains. Therefore, a </w:t>
      </w:r>
      <w:r w:rsidR="4BDACE99">
        <w:t>consistent</w:t>
      </w:r>
      <w:r w:rsidR="73741B00">
        <w:t xml:space="preserve"> methodology should be undertaken, including </w:t>
      </w:r>
      <w:r w:rsidR="5D3FBFBC">
        <w:t>easy readability and visibility</w:t>
      </w:r>
      <w:r w:rsidR="3143949F">
        <w:t xml:space="preserve"> of labels</w:t>
      </w:r>
      <w:r w:rsidR="5D3FBFBC">
        <w:t xml:space="preserve">. </w:t>
      </w:r>
    </w:p>
    <w:p w:rsidR="0339FA2C" w:rsidP="4BD63C27" w:rsidRDefault="0339FA2C" w14:paraId="5BEF5E4F" w14:textId="76FE1794">
      <w:pPr>
        <w:pStyle w:val="ListParagraph"/>
        <w:numPr>
          <w:ilvl w:val="0"/>
          <w:numId w:val="2"/>
        </w:numPr>
      </w:pPr>
      <w:r>
        <w:t xml:space="preserve"> </w:t>
      </w:r>
      <w:r w:rsidR="22BFD2CD">
        <w:t xml:space="preserve">Regarding </w:t>
      </w:r>
      <w:r w:rsidR="73B4B819">
        <w:t>CMR substances</w:t>
      </w:r>
      <w:r w:rsidR="71186698">
        <w:t>, it</w:t>
      </w:r>
      <w:r w:rsidR="73B4B819">
        <w:t xml:space="preserve"> </w:t>
      </w:r>
      <w:r w:rsidR="495FA510">
        <w:t xml:space="preserve">is important to </w:t>
      </w:r>
      <w:r w:rsidR="20852925">
        <w:t>make clear the condition</w:t>
      </w:r>
      <w:r w:rsidR="52E2FF18">
        <w:t>s</w:t>
      </w:r>
      <w:r w:rsidR="20852925">
        <w:t xml:space="preserve"> for derogation, </w:t>
      </w:r>
      <w:r w:rsidR="3B4ADAA7">
        <w:t xml:space="preserve">in order to preserve human health and protect vulnerable groups. </w:t>
      </w:r>
    </w:p>
    <w:p w:rsidR="4BD63C27" w:rsidRDefault="4BD63C27" w14:paraId="07A8FDD6" w14:textId="5BA11998"/>
    <w:p w:rsidR="00361149" w:rsidP="00EC0F0F" w:rsidRDefault="00361149" w14:paraId="2C64A9D5" w14:textId="4712BBC8">
      <w:r>
        <w:t xml:space="preserve">In the ensuing debate, </w:t>
      </w:r>
      <w:r w:rsidRPr="00574093" w:rsidR="723362F4">
        <w:rPr>
          <w:b/>
          <w:bCs/>
        </w:rPr>
        <w:t xml:space="preserve">Mr </w:t>
      </w:r>
      <w:r w:rsidRPr="00574093" w:rsidR="1B9F242F">
        <w:rPr>
          <w:b/>
          <w:bCs/>
        </w:rPr>
        <w:t>TCHOUKANOV</w:t>
      </w:r>
      <w:r w:rsidR="723362F4">
        <w:t xml:space="preserve"> and </w:t>
      </w:r>
      <w:r w:rsidRPr="00574093" w:rsidR="723362F4">
        <w:rPr>
          <w:b/>
          <w:bCs/>
        </w:rPr>
        <w:t>Mr</w:t>
      </w:r>
      <w:r w:rsidRPr="00574093" w:rsidR="1E923A88">
        <w:rPr>
          <w:b/>
          <w:bCs/>
        </w:rPr>
        <w:t xml:space="preserve"> PUXEU ROCAMORA</w:t>
      </w:r>
      <w:r w:rsidR="723362F4">
        <w:t xml:space="preserve"> </w:t>
      </w:r>
      <w:r w:rsidR="5463402A">
        <w:t xml:space="preserve">and </w:t>
      </w:r>
      <w:r w:rsidRPr="00574093" w:rsidR="5463402A">
        <w:rPr>
          <w:b/>
          <w:bCs/>
        </w:rPr>
        <w:t xml:space="preserve">Mr </w:t>
      </w:r>
      <w:r w:rsidRPr="00574093" w:rsidR="10DBAA0C">
        <w:rPr>
          <w:b/>
          <w:bCs/>
        </w:rPr>
        <w:t>ALEMANY</w:t>
      </w:r>
      <w:r w:rsidR="10DBAA0C">
        <w:t xml:space="preserve"> took</w:t>
      </w:r>
      <w:r>
        <w:t xml:space="preserve"> the floo</w:t>
      </w:r>
      <w:r w:rsidR="60A94424">
        <w:t>r</w:t>
      </w:r>
      <w:r w:rsidR="1104293B">
        <w:t xml:space="preserve"> for their comments and </w:t>
      </w:r>
      <w:r w:rsidR="2CE0C73F">
        <w:t xml:space="preserve">expressed their support: </w:t>
      </w:r>
    </w:p>
    <w:p w:rsidR="4BD63C27" w:rsidRDefault="4BD63C27" w14:paraId="45CD8FF8" w14:textId="3F92FF67"/>
    <w:p w:rsidR="2CE0C73F" w:rsidP="4BD63C27" w:rsidRDefault="2CE0C73F" w14:paraId="38080BFE" w14:textId="3100E6F6">
      <w:pPr>
        <w:pStyle w:val="ListParagraph"/>
        <w:numPr>
          <w:ilvl w:val="0"/>
          <w:numId w:val="1"/>
        </w:numPr>
      </w:pPr>
      <w:r>
        <w:t>It was underlined that looking for a consensus is the group’s added value and that human beings, particularly their health, should always be prioritized.</w:t>
      </w:r>
    </w:p>
    <w:p w:rsidR="2CE0C73F" w:rsidP="4BD63C27" w:rsidRDefault="2CE0C73F" w14:paraId="456D22AD" w14:textId="52796D57">
      <w:pPr>
        <w:pStyle w:val="ListParagraph"/>
        <w:numPr>
          <w:ilvl w:val="0"/>
          <w:numId w:val="1"/>
        </w:numPr>
      </w:pPr>
      <w:r>
        <w:t>It was mentioned the need for a transition period and the capacity to include amendments, and he asked to maintain this way of working in order to reach the broadest possible majority.</w:t>
      </w:r>
    </w:p>
    <w:p w:rsidR="2CE0C73F" w:rsidP="4BD63C27" w:rsidRDefault="2CE0C73F" w14:paraId="08078E16" w14:textId="77CFC24B">
      <w:pPr>
        <w:pStyle w:val="ListParagraph"/>
        <w:numPr>
          <w:ilvl w:val="0"/>
          <w:numId w:val="1"/>
        </w:numPr>
      </w:pPr>
      <w:r>
        <w:t>I</w:t>
      </w:r>
      <w:r w:rsidR="435766D9">
        <w:t>t</w:t>
      </w:r>
      <w:r>
        <w:t xml:space="preserve"> was</w:t>
      </w:r>
      <w:r w:rsidR="4B200482">
        <w:t xml:space="preserve"> </w:t>
      </w:r>
      <w:r>
        <w:t>stressed the importance of the REACH regulation, emphasizing the need to defend Europe’s strategic autonomy while simplifying the regulation.</w:t>
      </w:r>
    </w:p>
    <w:p w:rsidR="4BD63C27" w:rsidRDefault="4BD63C27" w14:paraId="7F5AF6F1" w14:textId="1E3C7FCE"/>
    <w:p w:rsidR="4BD63C27" w:rsidRDefault="4BD63C27" w14:paraId="5E92BEEF" w14:textId="0FAB5278"/>
    <w:p w:rsidRPr="00A67235" w:rsidR="00361149" w:rsidP="00EC0F0F" w:rsidRDefault="002B594B" w14:paraId="1BCE003C" w14:textId="2F866033">
      <w:r w:rsidRPr="00DD26B1">
        <w:rPr>
          <w:b/>
        </w:rPr>
        <w:t>Vote on the opinion as a whole</w:t>
      </w:r>
    </w:p>
    <w:p w:rsidRPr="00A67235" w:rsidR="00474318" w:rsidP="00474318" w:rsidRDefault="000E4B6B" w14:paraId="131BE05D" w14:textId="31D90DD4">
      <w:r>
        <w:t>The opinion was adopted by</w:t>
      </w:r>
      <w:r w:rsidR="00177DAC">
        <w:t xml:space="preserve"> </w:t>
      </w:r>
      <w:r w:rsidR="00474318">
        <w:t xml:space="preserve">the Assembly by </w:t>
      </w:r>
      <w:r w:rsidR="0B4662DA">
        <w:t>224</w:t>
      </w:r>
      <w:r w:rsidR="00474318">
        <w:t xml:space="preserve"> votes in favour,</w:t>
      </w:r>
      <w:r w:rsidR="44F6B014">
        <w:t xml:space="preserve"> </w:t>
      </w:r>
      <w:r w:rsidR="0009354B">
        <w:t xml:space="preserve">1 </w:t>
      </w:r>
      <w:r w:rsidR="095710F2">
        <w:t>vote</w:t>
      </w:r>
      <w:r w:rsidR="00474318">
        <w:t xml:space="preserve"> against and </w:t>
      </w:r>
      <w:r w:rsidR="3CED6BAD">
        <w:t>11</w:t>
      </w:r>
      <w:r w:rsidR="00474318">
        <w:t xml:space="preserve"> abstentions.</w:t>
      </w:r>
    </w:p>
    <w:p w:rsidRPr="00A67235" w:rsidR="000E4B6B" w:rsidP="00EC0F0F" w:rsidRDefault="000E4B6B" w14:paraId="0133C75D" w14:textId="41DD1ADF"/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1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F4EB7" w14:textId="77777777" w:rsidR="00A51E5A" w:rsidRDefault="00A51E5A">
      <w:r>
        <w:separator/>
      </w:r>
    </w:p>
  </w:endnote>
  <w:endnote w:type="continuationSeparator" w:id="0">
    <w:p w14:paraId="3D9A48E6" w14:textId="77777777" w:rsidR="00A51E5A" w:rsidRDefault="00A51E5A">
      <w:r>
        <w:continuationSeparator/>
      </w:r>
    </w:p>
  </w:endnote>
  <w:endnote w:type="continuationNotice" w:id="1">
    <w:p w14:paraId="0096D29B" w14:textId="77777777" w:rsidR="00A51E5A" w:rsidRDefault="00A51E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224EC26E" w:rsidR="00964A13" w:rsidRPr="00964A13" w:rsidRDefault="00964A13" w:rsidP="00964A13">
    <w:pPr>
      <w:pStyle w:val="Footer"/>
    </w:pPr>
    <w:r>
      <w:t>EESC-</w:t>
    </w:r>
    <w:r w:rsidR="00085254">
      <w:t>2025-02571-00-00</w:t>
    </w:r>
    <w:r>
      <w:t>-CR-REF (</w:t>
    </w:r>
    <w:r w:rsidR="00085254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F767F8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F767F8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F767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06B5C" w14:textId="77777777" w:rsidR="00A51E5A" w:rsidRDefault="00A51E5A">
      <w:r>
        <w:separator/>
      </w:r>
    </w:p>
  </w:footnote>
  <w:footnote w:type="continuationSeparator" w:id="0">
    <w:p w14:paraId="27FE9571" w14:textId="77777777" w:rsidR="00A51E5A" w:rsidRDefault="00A51E5A">
      <w:r>
        <w:continuationSeparator/>
      </w:r>
    </w:p>
  </w:footnote>
  <w:footnote w:type="continuationNotice" w:id="1">
    <w:p w14:paraId="615EDD81" w14:textId="77777777" w:rsidR="00A51E5A" w:rsidRDefault="00A51E5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CED6D9A"/>
    <w:multiLevelType w:val="hybridMultilevel"/>
    <w:tmpl w:val="EC94B0D6"/>
    <w:lvl w:ilvl="0" w:tplc="77F2E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45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EE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27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E4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CF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2C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0E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44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84208"/>
    <w:multiLevelType w:val="hybridMultilevel"/>
    <w:tmpl w:val="34C247E0"/>
    <w:lvl w:ilvl="0" w:tplc="DD382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0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64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EE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C5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03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E2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A1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4A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152261"/>
    <w:multiLevelType w:val="hybridMultilevel"/>
    <w:tmpl w:val="C366A87A"/>
    <w:lvl w:ilvl="0" w:tplc="DDEC4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60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E6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65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6E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47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00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25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25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85254"/>
    <w:rsid w:val="0009354B"/>
    <w:rsid w:val="000A5D18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2B594B"/>
    <w:rsid w:val="00320C0B"/>
    <w:rsid w:val="003439B0"/>
    <w:rsid w:val="00361149"/>
    <w:rsid w:val="00361782"/>
    <w:rsid w:val="003876B5"/>
    <w:rsid w:val="00392924"/>
    <w:rsid w:val="003C15D7"/>
    <w:rsid w:val="003C2604"/>
    <w:rsid w:val="003E1619"/>
    <w:rsid w:val="00423299"/>
    <w:rsid w:val="00460CC5"/>
    <w:rsid w:val="00474318"/>
    <w:rsid w:val="004A0843"/>
    <w:rsid w:val="00564B0D"/>
    <w:rsid w:val="00574093"/>
    <w:rsid w:val="00590C1E"/>
    <w:rsid w:val="005B4949"/>
    <w:rsid w:val="005E1A79"/>
    <w:rsid w:val="00646E27"/>
    <w:rsid w:val="0066524D"/>
    <w:rsid w:val="0073571F"/>
    <w:rsid w:val="007C6A55"/>
    <w:rsid w:val="00815851"/>
    <w:rsid w:val="00826375"/>
    <w:rsid w:val="00826F11"/>
    <w:rsid w:val="00862EFF"/>
    <w:rsid w:val="008A371F"/>
    <w:rsid w:val="008E0097"/>
    <w:rsid w:val="008F2211"/>
    <w:rsid w:val="00911202"/>
    <w:rsid w:val="009326E3"/>
    <w:rsid w:val="00961F04"/>
    <w:rsid w:val="00964A13"/>
    <w:rsid w:val="00966D28"/>
    <w:rsid w:val="009E138D"/>
    <w:rsid w:val="00A14D3A"/>
    <w:rsid w:val="00A51E5A"/>
    <w:rsid w:val="00A53158"/>
    <w:rsid w:val="00A64D59"/>
    <w:rsid w:val="00A67235"/>
    <w:rsid w:val="00A67B54"/>
    <w:rsid w:val="00BE7410"/>
    <w:rsid w:val="00C05B64"/>
    <w:rsid w:val="00C4683E"/>
    <w:rsid w:val="00C87758"/>
    <w:rsid w:val="00C93FC4"/>
    <w:rsid w:val="00CA643A"/>
    <w:rsid w:val="00D1E980"/>
    <w:rsid w:val="00D54F5F"/>
    <w:rsid w:val="00D806A2"/>
    <w:rsid w:val="00DD05A8"/>
    <w:rsid w:val="00DD3A9D"/>
    <w:rsid w:val="00DF00B6"/>
    <w:rsid w:val="00E24886"/>
    <w:rsid w:val="00E55BBF"/>
    <w:rsid w:val="00E70261"/>
    <w:rsid w:val="00EC0F0F"/>
    <w:rsid w:val="00ED6BB4"/>
    <w:rsid w:val="00F01EB5"/>
    <w:rsid w:val="00F767F8"/>
    <w:rsid w:val="00F8169C"/>
    <w:rsid w:val="0339FA2C"/>
    <w:rsid w:val="05358047"/>
    <w:rsid w:val="059FB1FC"/>
    <w:rsid w:val="095710F2"/>
    <w:rsid w:val="0A92F25E"/>
    <w:rsid w:val="0B4662DA"/>
    <w:rsid w:val="0C915525"/>
    <w:rsid w:val="10DBAA0C"/>
    <w:rsid w:val="1104293B"/>
    <w:rsid w:val="1363658B"/>
    <w:rsid w:val="1392DFEA"/>
    <w:rsid w:val="146F09C6"/>
    <w:rsid w:val="16F4CF1E"/>
    <w:rsid w:val="1B9F242F"/>
    <w:rsid w:val="1C97CDEC"/>
    <w:rsid w:val="1D7B5E14"/>
    <w:rsid w:val="1E923A88"/>
    <w:rsid w:val="20852925"/>
    <w:rsid w:val="20F94811"/>
    <w:rsid w:val="22BFD2CD"/>
    <w:rsid w:val="23C3F083"/>
    <w:rsid w:val="244597CA"/>
    <w:rsid w:val="24733575"/>
    <w:rsid w:val="2727C929"/>
    <w:rsid w:val="278099FD"/>
    <w:rsid w:val="290B233F"/>
    <w:rsid w:val="29F2BDDC"/>
    <w:rsid w:val="2AF6028B"/>
    <w:rsid w:val="2B035325"/>
    <w:rsid w:val="2C184667"/>
    <w:rsid w:val="2C81F098"/>
    <w:rsid w:val="2CE0C73F"/>
    <w:rsid w:val="2D703AF7"/>
    <w:rsid w:val="3143949F"/>
    <w:rsid w:val="344C6FF4"/>
    <w:rsid w:val="36444BA1"/>
    <w:rsid w:val="377DDB6F"/>
    <w:rsid w:val="389B1A11"/>
    <w:rsid w:val="39240F0B"/>
    <w:rsid w:val="3ADECE09"/>
    <w:rsid w:val="3B4ADAA7"/>
    <w:rsid w:val="3B8F306D"/>
    <w:rsid w:val="3BEB241B"/>
    <w:rsid w:val="3C9F7321"/>
    <w:rsid w:val="3CED6BAD"/>
    <w:rsid w:val="4105AF42"/>
    <w:rsid w:val="435766D9"/>
    <w:rsid w:val="44B85E41"/>
    <w:rsid w:val="44F6B014"/>
    <w:rsid w:val="456B8EBF"/>
    <w:rsid w:val="463FF11C"/>
    <w:rsid w:val="477AA842"/>
    <w:rsid w:val="489EE6AD"/>
    <w:rsid w:val="495FA510"/>
    <w:rsid w:val="49E6865E"/>
    <w:rsid w:val="4B200482"/>
    <w:rsid w:val="4BD63C27"/>
    <w:rsid w:val="4BDACE99"/>
    <w:rsid w:val="4E137E65"/>
    <w:rsid w:val="4E5AC1D9"/>
    <w:rsid w:val="50085CC0"/>
    <w:rsid w:val="502FEA23"/>
    <w:rsid w:val="50B7DBC3"/>
    <w:rsid w:val="51D1B0B3"/>
    <w:rsid w:val="52E2FF18"/>
    <w:rsid w:val="54229100"/>
    <w:rsid w:val="5463402A"/>
    <w:rsid w:val="5B348A5B"/>
    <w:rsid w:val="5D1A462C"/>
    <w:rsid w:val="5D3FBFBC"/>
    <w:rsid w:val="60343C63"/>
    <w:rsid w:val="60A94424"/>
    <w:rsid w:val="62761947"/>
    <w:rsid w:val="62BA9B65"/>
    <w:rsid w:val="639A2DE9"/>
    <w:rsid w:val="661245DB"/>
    <w:rsid w:val="6625AFE9"/>
    <w:rsid w:val="68396DEB"/>
    <w:rsid w:val="6BE28631"/>
    <w:rsid w:val="6C5EBB92"/>
    <w:rsid w:val="71186698"/>
    <w:rsid w:val="723362F4"/>
    <w:rsid w:val="72F7A948"/>
    <w:rsid w:val="73741B00"/>
    <w:rsid w:val="73B4B819"/>
    <w:rsid w:val="763F4CCA"/>
    <w:rsid w:val="7797A186"/>
    <w:rsid w:val="791C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4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4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4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4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4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4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4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4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4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4BD63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A6WAAD5KZT2Q-235352946-7234</_dlc_DocId>
    <_dlc_DocIdUrl xmlns="1a33af13-4045-4f88-9d7b-618e30f79918">
      <Url>http://dm/eesc/2025/_layouts/15/DocIdRedir.aspx?ID=A6WAAD5KZT2Q-235352946-7234</Url>
      <Description>A6WAAD5KZT2Q-235352946-7234</Description>
    </_dlc_DocIdUrl>
    <Procedure xmlns="1a33af13-4045-4f88-9d7b-618e30f79918">2025/0531(COD)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2025-10-23T12:00:00+00:00</ProductionDate>
    <FicheYear xmlns="1a33af13-4045-4f88-9d7b-618e30f79918">2025</FicheYear>
    <DocumentNumber xmlns="a3e83899-37aa-47c6-ba54-4ea80e9c17cf">2571</DocumentNumber>
    <DossierNumber xmlns="1a33af13-4045-4f88-9d7b-618e30f79918">964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120</Value>
      <Value>8</Value>
      <Value>5</Value>
      <Value>3</Value>
      <Value>1</Value>
      <Value>78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COMER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10215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2025-10-23T12:00:00+00:00</AdoptionDate>
    <RequestingService xmlns="1a33af13-4045-4f88-9d7b-618e30f79918">Systèmes alimentaires durables, environnement, dév. rural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5BFCB3CC-977B-40AE-AFD7-6BD4F850ECA4}"/>
</file>

<file path=customXml/itemProps2.xml><?xml version="1.0" encoding="utf-8"?>
<ds:datastoreItem xmlns:ds="http://schemas.openxmlformats.org/officeDocument/2006/customXml" ds:itemID="{E163F8CF-7346-4D5A-834F-1E815DFDAD3A}"/>
</file>

<file path=customXml/itemProps3.xml><?xml version="1.0" encoding="utf-8"?>
<ds:datastoreItem xmlns:ds="http://schemas.openxmlformats.org/officeDocument/2006/customXml" ds:itemID="{6DDDC815-9111-4A24-A8B5-2DDD5DF9826D}"/>
</file>

<file path=customXml/itemProps4.xml><?xml version="1.0" encoding="utf-8"?>
<ds:datastoreItem xmlns:ds="http://schemas.openxmlformats.org/officeDocument/2006/customXml" ds:itemID="{04558BFE-9AFA-43C0-9D34-38D3CEF98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>CESE-CdR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Omnibus on chemicals </dc:title>
  <dc:subject>Record of proceedings</dc:subject>
  <dc:creator>Hilary Morris</dc:creator>
  <cp:keywords>EESC-2025-02571-00-00-CR-TRA-EN</cp:keywords>
  <dc:description>Rapporteur: - COMER Original language: - EN Date of document: - 23/10/2025 Date of meeting: -  External documents: - COM(2025)531- final Administrator responsible: -  MOLINA SAAVEDRA ALEJANDRA</dc:description>
  <cp:lastModifiedBy>TDriveSVCUserProd</cp:lastModifiedBy>
  <cp:revision>18</cp:revision>
  <cp:lastPrinted>2004-02-16T15:16:00Z</cp:lastPrinted>
  <dcterms:created xsi:type="dcterms:W3CDTF">2025-10-22T09:27:00Z</dcterms:created>
  <dcterms:modified xsi:type="dcterms:W3CDTF">2025-10-23T11:02:00Z</dcterms:modified>
  <cp:category>NAT/964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7b4fcbe3-43a4-4345-bf13-cd25524295f2</vt:lpwstr>
  </property>
  <property fmtid="{D5CDD505-2E9C-101B-9397-08002B2CF9AE}" pid="9" name="Procedure">
    <vt:lpwstr>2025/0531(COD)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2571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964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120;#NAT|b263ab5d-0564-42a8-87bf-1cc57d938922</vt:lpwstr>
  </property>
  <property fmtid="{D5CDD505-2E9C-101B-9397-08002B2CF9AE}" pid="20" name="RequestingService">
    <vt:lpwstr>Systèmes alimentaires durables, environnement, dév. rural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120;#NAT|b263ab5d-0564-42a8-87bf-1cc57d938922;#8;#Final|ea5e6674-7b27-4bac-b091-73adbb394efe;#5;#EN|f2175f21-25d7-44a3-96da-d6a61b075e1b;#3;#REF|722611fd-7eaf-44e3-8780-a3226646f5f0;#1;#EESC|422833ec-8d7e-4e65-8e4e-8bed07ffb729;#78;#CR|3d8a0a7b-557a-49c4-997f-22056dbd9ff4</vt:lpwstr>
  </property>
  <property fmtid="{D5CDD505-2E9C-101B-9397-08002B2CF9AE}" pid="31" name="Rapporteur">
    <vt:lpwstr>COMER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10215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2025-10-23T12:00:00Z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