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77777777" w:rsidR="00077C4F" w:rsidRPr="002E67B0" w:rsidRDefault="00077C4F" w:rsidP="002E67B0">
      <w:pPr>
        <w:spacing w:after="0" w:line="240" w:lineRule="auto"/>
        <w:ind w:left="-284"/>
        <w:rPr>
          <w:rFonts w:ascii="Times New Roman" w:hAnsi="Times New Roman"/>
          <w:bCs/>
          <w:sz w:val="20"/>
          <w:szCs w:val="20"/>
        </w:rPr>
      </w:pPr>
    </w:p>
    <w:tbl>
      <w:tblPr>
        <w:tblW w:w="958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581"/>
      </w:tblGrid>
      <w:tr w:rsidR="001C4138" w:rsidRPr="00442552" w14:paraId="7E6372DC" w14:textId="77777777" w:rsidTr="00CF61F8">
        <w:trPr>
          <w:jc w:val="center"/>
        </w:trPr>
        <w:tc>
          <w:tcPr>
            <w:tcW w:w="9581" w:type="dxa"/>
          </w:tcPr>
          <w:p w14:paraId="3A4EDC3A" w14:textId="50FA6AA2" w:rsidR="001C4138" w:rsidRPr="00C93C3F" w:rsidRDefault="00AC281A" w:rsidP="002E67B0">
            <w:pPr>
              <w:widowControl w:val="0"/>
              <w:spacing w:before="120" w:after="120"/>
              <w:ind w:left="125"/>
              <w:rPr>
                <w:rFonts w:ascii="Times New Roman" w:hAnsi="Times New Roman"/>
                <w:b/>
                <w:sz w:val="24"/>
                <w:szCs w:val="24"/>
                <w:lang w:val="en-IE"/>
              </w:rPr>
            </w:pPr>
            <w:r w:rsidRPr="00C93C3F">
              <w:rPr>
                <w:rFonts w:ascii="Times New Roman" w:hAnsi="Times New Roman"/>
                <w:b/>
                <w:sz w:val="24"/>
                <w:szCs w:val="24"/>
              </w:rPr>
              <w:t>A shorter settlement cycle for securities transactions in the EU</w:t>
            </w:r>
            <w:r w:rsidR="001C4138" w:rsidRPr="00C93C3F">
              <w:rPr>
                <w:rFonts w:ascii="Times New Roman" w:hAnsi="Times New Roman"/>
                <w:b/>
                <w:sz w:val="24"/>
                <w:szCs w:val="24"/>
              </w:rPr>
              <w:br/>
            </w:r>
            <w:proofErr w:type="gramStart"/>
            <w:r w:rsidRPr="00C93C3F">
              <w:rPr>
                <w:rFonts w:ascii="Times New Roman" w:hAnsi="Times New Roman"/>
                <w:b/>
                <w:sz w:val="24"/>
                <w:szCs w:val="24"/>
              </w:rPr>
              <w:t>COM(</w:t>
            </w:r>
            <w:proofErr w:type="gramEnd"/>
            <w:r w:rsidRPr="00C93C3F">
              <w:rPr>
                <w:rFonts w:ascii="Times New Roman" w:hAnsi="Times New Roman"/>
                <w:b/>
                <w:sz w:val="24"/>
                <w:szCs w:val="24"/>
              </w:rPr>
              <w:t>2025) 38 final – 2025/0022 (COD)</w:t>
            </w:r>
            <w:r w:rsidR="001C4138" w:rsidRPr="00C93C3F">
              <w:rPr>
                <w:rFonts w:ascii="Times New Roman" w:hAnsi="Times New Roman"/>
                <w:b/>
                <w:sz w:val="24"/>
                <w:szCs w:val="24"/>
              </w:rPr>
              <w:br/>
            </w:r>
            <w:r w:rsidR="001C4138" w:rsidRPr="00C93C3F">
              <w:rPr>
                <w:rFonts w:ascii="Times New Roman" w:hAnsi="Times New Roman"/>
                <w:b/>
                <w:sz w:val="24"/>
                <w:szCs w:val="24"/>
                <w:lang w:val="en-IE"/>
              </w:rPr>
              <w:t>EESC-</w:t>
            </w:r>
            <w:r w:rsidRPr="00C93C3F">
              <w:rPr>
                <w:rFonts w:ascii="Times New Roman" w:hAnsi="Times New Roman"/>
                <w:b/>
                <w:sz w:val="24"/>
                <w:szCs w:val="24"/>
                <w:lang w:val="en-IE"/>
              </w:rPr>
              <w:t>2025</w:t>
            </w:r>
            <w:r w:rsidR="00CD25CE">
              <w:rPr>
                <w:rFonts w:ascii="Times New Roman" w:hAnsi="Times New Roman"/>
                <w:b/>
                <w:sz w:val="24"/>
                <w:szCs w:val="24"/>
                <w:lang w:val="en-IE"/>
              </w:rPr>
              <w:t>-</w:t>
            </w:r>
            <w:r w:rsidRPr="00C93C3F">
              <w:rPr>
                <w:rFonts w:ascii="Times New Roman" w:hAnsi="Times New Roman"/>
                <w:b/>
                <w:sz w:val="24"/>
                <w:szCs w:val="24"/>
                <w:lang w:val="en-IE"/>
              </w:rPr>
              <w:t>00853</w:t>
            </w:r>
            <w:r w:rsidR="001C4138" w:rsidRPr="00C93C3F">
              <w:rPr>
                <w:rFonts w:ascii="Times New Roman" w:hAnsi="Times New Roman"/>
                <w:b/>
                <w:sz w:val="24"/>
                <w:szCs w:val="24"/>
                <w:lang w:val="en-IE"/>
              </w:rPr>
              <w:t xml:space="preserve"> </w:t>
            </w:r>
            <w:r w:rsidR="001C4138" w:rsidRPr="00C93C3F">
              <w:rPr>
                <w:rFonts w:ascii="Times New Roman" w:hAnsi="Times New Roman"/>
                <w:b/>
                <w:sz w:val="24"/>
                <w:szCs w:val="24"/>
              </w:rPr>
              <w:t xml:space="preserve">‒ </w:t>
            </w:r>
            <w:r w:rsidRPr="00C93C3F">
              <w:rPr>
                <w:rFonts w:ascii="Times New Roman" w:hAnsi="Times New Roman"/>
                <w:b/>
                <w:sz w:val="24"/>
                <w:szCs w:val="24"/>
              </w:rPr>
              <w:t>ECO/669</w:t>
            </w:r>
            <w:r w:rsidR="001C4138" w:rsidRPr="00C93C3F">
              <w:rPr>
                <w:rFonts w:ascii="Times New Roman" w:hAnsi="Times New Roman"/>
                <w:b/>
                <w:sz w:val="24"/>
                <w:szCs w:val="24"/>
              </w:rPr>
              <w:br/>
            </w:r>
            <w:r w:rsidRPr="00C93C3F">
              <w:rPr>
                <w:rFonts w:ascii="Times New Roman" w:hAnsi="Times New Roman"/>
                <w:b/>
                <w:sz w:val="24"/>
                <w:szCs w:val="24"/>
              </w:rPr>
              <w:t>596</w:t>
            </w:r>
            <w:r w:rsidR="001C4138" w:rsidRPr="00C93C3F">
              <w:rPr>
                <w:rFonts w:ascii="Times New Roman" w:hAnsi="Times New Roman"/>
                <w:b/>
                <w:sz w:val="24"/>
                <w:szCs w:val="24"/>
                <w:vertAlign w:val="superscript"/>
                <w:lang w:val="en-IE"/>
              </w:rPr>
              <w:t>th</w:t>
            </w:r>
            <w:r w:rsidR="001C4138" w:rsidRPr="00C93C3F">
              <w:rPr>
                <w:rFonts w:ascii="Times New Roman" w:hAnsi="Times New Roman"/>
                <w:b/>
                <w:sz w:val="24"/>
                <w:szCs w:val="24"/>
                <w:lang w:val="en-IE"/>
              </w:rPr>
              <w:t xml:space="preserve"> </w:t>
            </w:r>
            <w:r w:rsidR="001C4138" w:rsidRPr="00C93C3F">
              <w:rPr>
                <w:rFonts w:ascii="Times New Roman" w:hAnsi="Times New Roman"/>
                <w:b/>
                <w:sz w:val="24"/>
                <w:szCs w:val="24"/>
              </w:rPr>
              <w:t xml:space="preserve">Plenary Session – </w:t>
            </w:r>
            <w:r w:rsidRPr="00C93C3F">
              <w:rPr>
                <w:rFonts w:ascii="Times New Roman" w:hAnsi="Times New Roman"/>
                <w:b/>
                <w:sz w:val="24"/>
                <w:szCs w:val="24"/>
              </w:rPr>
              <w:t>April 2025</w:t>
            </w:r>
            <w:r w:rsidR="001C4138" w:rsidRPr="00C93C3F">
              <w:rPr>
                <w:rFonts w:ascii="Times New Roman" w:hAnsi="Times New Roman"/>
                <w:b/>
                <w:sz w:val="24"/>
                <w:szCs w:val="24"/>
              </w:rPr>
              <w:br/>
              <w:t xml:space="preserve">Rapporteur: </w:t>
            </w:r>
            <w:r w:rsidRPr="00C93C3F">
              <w:rPr>
                <w:rFonts w:ascii="Times New Roman" w:hAnsi="Times New Roman"/>
                <w:b/>
                <w:sz w:val="24"/>
                <w:szCs w:val="24"/>
              </w:rPr>
              <w:t xml:space="preserve">Philip </w:t>
            </w:r>
            <w:r w:rsidRPr="00C93C3F">
              <w:rPr>
                <w:rFonts w:ascii="Times New Roman" w:hAnsi="Times New Roman"/>
                <w:b/>
                <w:sz w:val="24"/>
                <w:szCs w:val="24"/>
                <w:lang w:val="en-IE"/>
              </w:rPr>
              <w:t xml:space="preserve">VON BROCKDORFF </w:t>
            </w:r>
            <w:r w:rsidR="00CD25CE" w:rsidRPr="00D45E5C">
              <w:rPr>
                <w:rFonts w:ascii="Times New Roman" w:hAnsi="Times New Roman"/>
                <w:b/>
                <w:sz w:val="24"/>
                <w:szCs w:val="24"/>
                <w:lang w:val="en-IE"/>
              </w:rPr>
              <w:t>(MT-II</w:t>
            </w:r>
            <w:r w:rsidR="00CD25CE">
              <w:rPr>
                <w:rFonts w:ascii="Times New Roman" w:hAnsi="Times New Roman"/>
                <w:b/>
                <w:sz w:val="24"/>
                <w:szCs w:val="24"/>
                <w:lang w:val="en-IE"/>
              </w:rPr>
              <w:t>)</w:t>
            </w:r>
            <w:r w:rsidR="001C4138" w:rsidRPr="00C93C3F">
              <w:rPr>
                <w:rFonts w:ascii="Times New Roman" w:hAnsi="Times New Roman"/>
                <w:b/>
                <w:sz w:val="24"/>
                <w:szCs w:val="24"/>
              </w:rPr>
              <w:br/>
              <w:t xml:space="preserve">DG </w:t>
            </w:r>
            <w:r w:rsidRPr="00C93C3F">
              <w:rPr>
                <w:rFonts w:ascii="Times New Roman" w:hAnsi="Times New Roman"/>
                <w:b/>
                <w:sz w:val="24"/>
                <w:szCs w:val="24"/>
              </w:rPr>
              <w:t>FISMA</w:t>
            </w:r>
            <w:r w:rsidR="001C4138" w:rsidRPr="00C93C3F">
              <w:rPr>
                <w:rFonts w:ascii="Times New Roman" w:hAnsi="Times New Roman"/>
                <w:b/>
                <w:sz w:val="24"/>
                <w:szCs w:val="24"/>
              </w:rPr>
              <w:t xml:space="preserve"> – Commissioner </w:t>
            </w:r>
            <w:r w:rsidRPr="00C93C3F">
              <w:rPr>
                <w:rFonts w:ascii="Times New Roman" w:hAnsi="Times New Roman"/>
                <w:b/>
                <w:sz w:val="24"/>
                <w:szCs w:val="24"/>
              </w:rPr>
              <w:t>ALBUQUERQUE</w:t>
            </w:r>
          </w:p>
        </w:tc>
      </w:tr>
      <w:tr w:rsidR="00734613" w:rsidRPr="00442552" w14:paraId="1937071F" w14:textId="77777777" w:rsidTr="00CF61F8">
        <w:trPr>
          <w:jc w:val="center"/>
        </w:trPr>
        <w:tc>
          <w:tcPr>
            <w:tcW w:w="9581" w:type="dxa"/>
          </w:tcPr>
          <w:p w14:paraId="1E50B4DB" w14:textId="5D976175" w:rsidR="00734613" w:rsidRPr="00695797" w:rsidRDefault="004F6117" w:rsidP="00954BB7">
            <w:pPr>
              <w:widowControl w:val="0"/>
              <w:spacing w:before="120" w:after="120"/>
              <w:ind w:left="-204"/>
              <w:jc w:val="center"/>
              <w:rPr>
                <w:rFonts w:ascii="Times New Roman" w:hAnsi="Times New Roman"/>
                <w:b/>
                <w:sz w:val="24"/>
                <w:szCs w:val="24"/>
              </w:rPr>
            </w:pPr>
            <w:r w:rsidRPr="004F6117">
              <w:rPr>
                <w:rFonts w:ascii="Times New Roman" w:hAnsi="Times New Roman"/>
                <w:b/>
                <w:sz w:val="24"/>
                <w:szCs w:val="24"/>
              </w:rPr>
              <w:t>European Commission position on points</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sidR="00CD25CE">
              <w:rPr>
                <w:rFonts w:ascii="Times New Roman" w:hAnsi="Times New Roman"/>
                <w:b/>
                <w:sz w:val="24"/>
                <w:szCs w:val="24"/>
              </w:rPr>
              <w:t xml:space="preserve">(EESC)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4F6117" w14:paraId="673DDC1B" w14:textId="77777777" w:rsidTr="00CF61F8">
        <w:trPr>
          <w:trHeight w:val="987"/>
          <w:jc w:val="center"/>
        </w:trPr>
        <w:tc>
          <w:tcPr>
            <w:tcW w:w="9581" w:type="dxa"/>
          </w:tcPr>
          <w:p w14:paraId="62D95CD2" w14:textId="33EACBF8" w:rsidR="005C2FB7" w:rsidRPr="00C93C3F" w:rsidRDefault="005C2FB7" w:rsidP="00C93C3F">
            <w:pPr>
              <w:widowControl w:val="0"/>
              <w:spacing w:before="120" w:after="120"/>
              <w:jc w:val="both"/>
              <w:rPr>
                <w:rFonts w:ascii="Times New Roman" w:hAnsi="Times New Roman"/>
                <w:color w:val="000000"/>
                <w:sz w:val="24"/>
                <w:szCs w:val="24"/>
                <w:u w:val="single"/>
              </w:rPr>
            </w:pPr>
            <w:r w:rsidRPr="00C93C3F">
              <w:rPr>
                <w:rFonts w:ascii="Times New Roman" w:hAnsi="Times New Roman"/>
                <w:color w:val="000000"/>
                <w:sz w:val="24"/>
                <w:szCs w:val="24"/>
                <w:u w:val="single"/>
              </w:rPr>
              <w:t>Point 1.5 of the opinion:</w:t>
            </w:r>
          </w:p>
          <w:p w14:paraId="5D8C3328" w14:textId="01607F05" w:rsidR="14AC0B6C" w:rsidRPr="00C93C3F" w:rsidRDefault="14AC0B6C" w:rsidP="00C93C3F">
            <w:pPr>
              <w:widowControl w:val="0"/>
              <w:spacing w:before="120" w:after="120"/>
              <w:jc w:val="both"/>
              <w:rPr>
                <w:rFonts w:ascii="Times New Roman" w:hAnsi="Times New Roman"/>
                <w:sz w:val="24"/>
                <w:szCs w:val="24"/>
              </w:rPr>
            </w:pPr>
            <w:r w:rsidRPr="00C93C3F">
              <w:rPr>
                <w:rFonts w:ascii="Times New Roman" w:eastAsia="Times New Roman" w:hAnsi="Times New Roman"/>
                <w:color w:val="000000"/>
                <w:sz w:val="24"/>
                <w:szCs w:val="24"/>
              </w:rPr>
              <w:t xml:space="preserve">The amendment to the Central Securities Depositories Regulation </w:t>
            </w:r>
            <w:r w:rsidR="00CD25CE">
              <w:rPr>
                <w:rFonts w:ascii="Times New Roman" w:eastAsia="Times New Roman" w:hAnsi="Times New Roman"/>
                <w:color w:val="000000"/>
                <w:sz w:val="24"/>
                <w:szCs w:val="24"/>
              </w:rPr>
              <w:t>(</w:t>
            </w:r>
            <w:r w:rsidRPr="00C93C3F">
              <w:rPr>
                <w:rFonts w:ascii="Times New Roman" w:eastAsia="Times New Roman" w:hAnsi="Times New Roman"/>
                <w:color w:val="000000"/>
                <w:sz w:val="24"/>
                <w:szCs w:val="24"/>
              </w:rPr>
              <w:t>CSDR)</w:t>
            </w:r>
            <w:r w:rsidR="00CD25CE">
              <w:rPr>
                <w:rStyle w:val="FootnoteReference"/>
                <w:rFonts w:ascii="Times New Roman" w:eastAsia="Times New Roman" w:hAnsi="Times New Roman"/>
                <w:color w:val="000000"/>
                <w:sz w:val="24"/>
                <w:szCs w:val="24"/>
              </w:rPr>
              <w:footnoteReference w:id="1"/>
            </w:r>
            <w:r w:rsidRPr="00C93C3F">
              <w:rPr>
                <w:rFonts w:ascii="Times New Roman" w:eastAsia="Times New Roman" w:hAnsi="Times New Roman"/>
                <w:color w:val="000000"/>
                <w:sz w:val="24"/>
                <w:szCs w:val="24"/>
              </w:rPr>
              <w:t xml:space="preserve"> to </w:t>
            </w:r>
            <w:r w:rsidR="4E10FE38" w:rsidRPr="00C93C3F">
              <w:rPr>
                <w:rFonts w:ascii="Times New Roman" w:eastAsia="Times New Roman" w:hAnsi="Times New Roman"/>
                <w:color w:val="000000"/>
                <w:sz w:val="24"/>
                <w:szCs w:val="24"/>
              </w:rPr>
              <w:t xml:space="preserve">mandate </w:t>
            </w:r>
            <w:r w:rsidRPr="00C93C3F">
              <w:rPr>
                <w:rFonts w:ascii="Times New Roman" w:eastAsia="Times New Roman" w:hAnsi="Times New Roman"/>
                <w:color w:val="000000"/>
                <w:sz w:val="24"/>
                <w:szCs w:val="24"/>
              </w:rPr>
              <w:t xml:space="preserve">T+1 settlement will improve the efficiency of settlement on the EU capital market. Irrespective of the move to shorter settlement, the CSDR foresees </w:t>
            </w:r>
            <w:proofErr w:type="gramStart"/>
            <w:r w:rsidRPr="00C93C3F">
              <w:rPr>
                <w:rFonts w:ascii="Times New Roman" w:eastAsia="Times New Roman" w:hAnsi="Times New Roman"/>
                <w:color w:val="000000"/>
                <w:sz w:val="24"/>
                <w:szCs w:val="24"/>
              </w:rPr>
              <w:t>a number of</w:t>
            </w:r>
            <w:proofErr w:type="gramEnd"/>
            <w:r w:rsidRPr="00C93C3F">
              <w:rPr>
                <w:rFonts w:ascii="Times New Roman" w:eastAsia="Times New Roman" w:hAnsi="Times New Roman"/>
                <w:color w:val="000000"/>
                <w:sz w:val="24"/>
                <w:szCs w:val="24"/>
              </w:rPr>
              <w:t xml:space="preserve"> measures to ensure that settlement fails continue to fall on the EU capital market, notably:</w:t>
            </w:r>
          </w:p>
          <w:p w14:paraId="53800E5B" w14:textId="4787649F" w:rsidR="14AC0B6C" w:rsidRPr="00C93C3F" w:rsidRDefault="00CD25CE" w:rsidP="00C93C3F">
            <w:pPr>
              <w:pStyle w:val="ListParagraph"/>
              <w:widowControl w:val="0"/>
              <w:numPr>
                <w:ilvl w:val="0"/>
                <w:numId w:val="1"/>
              </w:numPr>
              <w:spacing w:before="120" w:after="120"/>
              <w:ind w:left="268" w:hanging="268"/>
              <w:contextualSpacing w:val="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w:t>
            </w:r>
            <w:r w:rsidR="14AC0B6C" w:rsidRPr="00C93C3F">
              <w:rPr>
                <w:rFonts w:ascii="Times New Roman" w:eastAsia="Times New Roman" w:hAnsi="Times New Roman"/>
                <w:color w:val="000000"/>
                <w:sz w:val="24"/>
                <w:szCs w:val="24"/>
              </w:rPr>
              <w:t>egular reporting by the European Securities and Markets Authority (ESMA) on trends, risks and vulnerabilities, and where necessary, recommendation</w:t>
            </w:r>
            <w:r w:rsidR="5F8F00F2" w:rsidRPr="00C93C3F">
              <w:rPr>
                <w:rFonts w:ascii="Times New Roman" w:eastAsia="Times New Roman" w:hAnsi="Times New Roman"/>
                <w:color w:val="000000"/>
                <w:sz w:val="24"/>
                <w:szCs w:val="24"/>
              </w:rPr>
              <w:t>s</w:t>
            </w:r>
            <w:r w:rsidR="14AC0B6C" w:rsidRPr="00C93C3F">
              <w:rPr>
                <w:rFonts w:ascii="Times New Roman" w:eastAsia="Times New Roman" w:hAnsi="Times New Roman"/>
                <w:color w:val="000000"/>
                <w:sz w:val="24"/>
                <w:szCs w:val="24"/>
              </w:rPr>
              <w:t xml:space="preserve"> of preventive or remedial actions (Article</w:t>
            </w:r>
            <w:r w:rsidR="00F86D99">
              <w:rPr>
                <w:rFonts w:ascii="Times New Roman" w:eastAsia="Times New Roman" w:hAnsi="Times New Roman"/>
                <w:color w:val="000000"/>
                <w:sz w:val="24"/>
                <w:szCs w:val="24"/>
              </w:rPr>
              <w:t> </w:t>
            </w:r>
            <w:r w:rsidR="14AC0B6C" w:rsidRPr="00C93C3F">
              <w:rPr>
                <w:rFonts w:ascii="Times New Roman" w:eastAsia="Times New Roman" w:hAnsi="Times New Roman"/>
                <w:color w:val="000000"/>
                <w:sz w:val="24"/>
                <w:szCs w:val="24"/>
              </w:rPr>
              <w:t>74 (1) of the CSDR</w:t>
            </w:r>
            <w:proofErr w:type="gramStart"/>
            <w:r w:rsidR="14AC0B6C" w:rsidRPr="00C93C3F">
              <w:rPr>
                <w:rFonts w:ascii="Times New Roman" w:eastAsia="Times New Roman" w:hAnsi="Times New Roman"/>
                <w:color w:val="000000"/>
                <w:sz w:val="24"/>
                <w:szCs w:val="24"/>
              </w:rPr>
              <w:t>)</w:t>
            </w:r>
            <w:r>
              <w:rPr>
                <w:rFonts w:ascii="Times New Roman" w:eastAsia="Times New Roman" w:hAnsi="Times New Roman"/>
                <w:color w:val="000000"/>
                <w:sz w:val="24"/>
                <w:szCs w:val="24"/>
              </w:rPr>
              <w:t>;</w:t>
            </w:r>
            <w:proofErr w:type="gramEnd"/>
          </w:p>
          <w:p w14:paraId="51427681" w14:textId="6DFF3E98" w:rsidR="14AC0B6C" w:rsidRPr="00C93C3F" w:rsidRDefault="14AC0B6C" w:rsidP="00C93C3F">
            <w:pPr>
              <w:pStyle w:val="ListParagraph"/>
              <w:widowControl w:val="0"/>
              <w:numPr>
                <w:ilvl w:val="0"/>
                <w:numId w:val="1"/>
              </w:numPr>
              <w:spacing w:before="120" w:after="120"/>
              <w:ind w:left="268" w:hanging="268"/>
              <w:contextualSpacing w:val="0"/>
              <w:jc w:val="both"/>
              <w:rPr>
                <w:rFonts w:ascii="Times New Roman" w:eastAsia="Times New Roman" w:hAnsi="Times New Roman"/>
                <w:color w:val="000000"/>
                <w:sz w:val="24"/>
                <w:szCs w:val="24"/>
              </w:rPr>
            </w:pPr>
            <w:r w:rsidRPr="00C93C3F">
              <w:rPr>
                <w:rFonts w:ascii="Times New Roman" w:eastAsia="Times New Roman" w:hAnsi="Times New Roman"/>
                <w:color w:val="000000"/>
                <w:sz w:val="24"/>
                <w:szCs w:val="24"/>
              </w:rPr>
              <w:t>‘CSDR Refit’</w:t>
            </w:r>
            <w:r w:rsidR="00F86D99">
              <w:rPr>
                <w:rStyle w:val="FootnoteReference"/>
                <w:rFonts w:ascii="Times New Roman" w:eastAsia="Times New Roman" w:hAnsi="Times New Roman"/>
                <w:color w:val="000000"/>
                <w:sz w:val="24"/>
                <w:szCs w:val="24"/>
              </w:rPr>
              <w:footnoteReference w:id="2"/>
            </w:r>
            <w:r w:rsidRPr="00C93C3F">
              <w:rPr>
                <w:rFonts w:ascii="Times New Roman" w:eastAsia="Times New Roman" w:hAnsi="Times New Roman"/>
                <w:color w:val="000000"/>
                <w:sz w:val="24"/>
                <w:szCs w:val="24"/>
              </w:rPr>
              <w:t xml:space="preserve">, which entered into force on 16 January 2024, has refined the scope of and simplified the CSDR settlement efficiency regime which applies, inter alia, to cash penalties on failed securities transactions (‘settlement fails’). As a result, ESMA is currently preparing </w:t>
            </w:r>
            <w:r w:rsidR="44FBDD55" w:rsidRPr="00C93C3F">
              <w:rPr>
                <w:rFonts w:ascii="Times New Roman" w:eastAsia="Times New Roman" w:hAnsi="Times New Roman"/>
                <w:color w:val="000000"/>
                <w:sz w:val="24"/>
                <w:szCs w:val="24"/>
              </w:rPr>
              <w:t>a</w:t>
            </w:r>
            <w:r w:rsidR="00825AB2">
              <w:rPr>
                <w:rFonts w:ascii="Times New Roman" w:eastAsia="Times New Roman" w:hAnsi="Times New Roman"/>
                <w:color w:val="000000"/>
                <w:sz w:val="24"/>
                <w:szCs w:val="24"/>
              </w:rPr>
              <w:t> </w:t>
            </w:r>
            <w:r w:rsidRPr="00C93C3F">
              <w:rPr>
                <w:rFonts w:ascii="Times New Roman" w:eastAsia="Times New Roman" w:hAnsi="Times New Roman"/>
                <w:color w:val="000000"/>
                <w:sz w:val="24"/>
                <w:szCs w:val="24"/>
              </w:rPr>
              <w:t>Technical Advice for the Commission specifying the underlying causes of settlement fails that are not attributable to participants or circumstances in which operations are not considered as trading (Article 7(9) of the CSDR</w:t>
            </w:r>
            <w:proofErr w:type="gramStart"/>
            <w:r w:rsidRPr="00C93C3F">
              <w:rPr>
                <w:rFonts w:ascii="Times New Roman" w:eastAsia="Times New Roman" w:hAnsi="Times New Roman"/>
                <w:color w:val="000000"/>
                <w:sz w:val="24"/>
                <w:szCs w:val="24"/>
              </w:rPr>
              <w:t>);</w:t>
            </w:r>
            <w:proofErr w:type="gramEnd"/>
          </w:p>
          <w:p w14:paraId="52AE8FC0" w14:textId="069BB7DB" w:rsidR="14AC0B6C" w:rsidRPr="00C93C3F" w:rsidRDefault="14AC0B6C" w:rsidP="00C93C3F">
            <w:pPr>
              <w:pStyle w:val="ListParagraph"/>
              <w:widowControl w:val="0"/>
              <w:numPr>
                <w:ilvl w:val="0"/>
                <w:numId w:val="1"/>
              </w:numPr>
              <w:spacing w:before="120" w:after="120"/>
              <w:ind w:left="268" w:hanging="268"/>
              <w:contextualSpacing w:val="0"/>
              <w:jc w:val="both"/>
              <w:rPr>
                <w:rFonts w:ascii="Times New Roman" w:eastAsia="Times New Roman" w:hAnsi="Times New Roman"/>
                <w:color w:val="000000"/>
                <w:sz w:val="24"/>
                <w:szCs w:val="24"/>
              </w:rPr>
            </w:pPr>
            <w:r w:rsidRPr="00C93C3F">
              <w:rPr>
                <w:rFonts w:ascii="Times New Roman" w:eastAsia="Times New Roman" w:hAnsi="Times New Roman"/>
                <w:color w:val="000000"/>
                <w:sz w:val="24"/>
                <w:szCs w:val="24"/>
              </w:rPr>
              <w:t>ESMA is currently also preparing a report regarding the appropriateness of applying additional regulatory tools to improve settlement efficiency in the Union (Article 74 (6) of the CSDR).</w:t>
            </w:r>
          </w:p>
          <w:p w14:paraId="3B6299B6" w14:textId="647B59F9" w:rsidR="14AC0B6C" w:rsidRPr="00C93C3F" w:rsidRDefault="14AC0B6C" w:rsidP="00C93C3F">
            <w:pPr>
              <w:widowControl w:val="0"/>
              <w:spacing w:before="120" w:after="120"/>
              <w:jc w:val="both"/>
              <w:rPr>
                <w:rFonts w:ascii="Times New Roman" w:hAnsi="Times New Roman"/>
                <w:sz w:val="24"/>
                <w:szCs w:val="24"/>
              </w:rPr>
            </w:pPr>
            <w:r w:rsidRPr="00C93C3F">
              <w:rPr>
                <w:rFonts w:ascii="Times New Roman" w:eastAsia="Times New Roman" w:hAnsi="Times New Roman"/>
                <w:color w:val="000000"/>
                <w:sz w:val="24"/>
                <w:szCs w:val="24"/>
              </w:rPr>
              <w:t>In addition, the T+1 Industry Committee has set up a dedicated workstream devoted to settlement efficiency. The objective of the workstream is to develop cross-industry standards and processes that will allow to move to shorter settlement without detriment to the level of settlement efficiency in the EU capital market. Lastly, the Commission has emphasised on numerous occasions that a consistently high level of settlement efficiency on the EU capital market remains an important policy objective, also for reasons of financial stability.</w:t>
            </w:r>
          </w:p>
          <w:p w14:paraId="7DC22902" w14:textId="77777777" w:rsidR="002E67B0" w:rsidRDefault="002E67B0" w:rsidP="002E67B0">
            <w:pPr>
              <w:keepNext/>
              <w:keepLines/>
              <w:spacing w:before="120" w:after="120"/>
              <w:jc w:val="both"/>
              <w:rPr>
                <w:rFonts w:ascii="Times New Roman" w:hAnsi="Times New Roman"/>
                <w:color w:val="000000"/>
                <w:sz w:val="24"/>
                <w:szCs w:val="24"/>
                <w:u w:val="single"/>
              </w:rPr>
            </w:pPr>
          </w:p>
          <w:p w14:paraId="610B5688" w14:textId="1F93A232" w:rsidR="005C2FB7" w:rsidRPr="00C93C3F" w:rsidRDefault="005C2FB7" w:rsidP="002E67B0">
            <w:pPr>
              <w:keepNext/>
              <w:keepLines/>
              <w:spacing w:before="120" w:after="120"/>
              <w:jc w:val="both"/>
              <w:rPr>
                <w:rFonts w:ascii="Times New Roman" w:hAnsi="Times New Roman"/>
                <w:color w:val="000000"/>
                <w:sz w:val="24"/>
                <w:szCs w:val="24"/>
                <w:u w:val="single"/>
              </w:rPr>
            </w:pPr>
            <w:r w:rsidRPr="00C93C3F">
              <w:rPr>
                <w:rFonts w:ascii="Times New Roman" w:hAnsi="Times New Roman"/>
                <w:color w:val="000000"/>
                <w:sz w:val="24"/>
                <w:szCs w:val="24"/>
                <w:u w:val="single"/>
              </w:rPr>
              <w:lastRenderedPageBreak/>
              <w:t>Point 1.6 of the opinion:</w:t>
            </w:r>
          </w:p>
          <w:p w14:paraId="14E2550D" w14:textId="3D58926F" w:rsidR="5D6147DA" w:rsidRPr="00C93C3F" w:rsidRDefault="5D6147DA" w:rsidP="002E67B0">
            <w:pPr>
              <w:keepNext/>
              <w:keepLines/>
              <w:spacing w:before="120" w:after="120"/>
              <w:jc w:val="both"/>
              <w:rPr>
                <w:rFonts w:ascii="Times New Roman" w:hAnsi="Times New Roman"/>
                <w:sz w:val="24"/>
                <w:szCs w:val="24"/>
              </w:rPr>
            </w:pPr>
            <w:r w:rsidRPr="00C93C3F">
              <w:rPr>
                <w:rFonts w:ascii="Times New Roman" w:eastAsia="Times New Roman" w:hAnsi="Times New Roman"/>
                <w:color w:val="000000"/>
                <w:sz w:val="24"/>
                <w:szCs w:val="24"/>
              </w:rPr>
              <w:t xml:space="preserve">The Commission takes note of the concerns expressed by the Committee about the need to ensure a wide representation of views in the work of the industry and neutrality of advice preparing the move to T+1. For this reason, the T+1 Coordination Committee brings together ESMA, the European Central Bank (ECB) and the Commission to monitor the progress of the work of the T+1 Industry Committee. In addition, </w:t>
            </w:r>
            <w:proofErr w:type="gramStart"/>
            <w:r w:rsidRPr="00C93C3F">
              <w:rPr>
                <w:rFonts w:ascii="Times New Roman" w:eastAsia="Times New Roman" w:hAnsi="Times New Roman"/>
                <w:color w:val="000000"/>
                <w:sz w:val="24"/>
                <w:szCs w:val="24"/>
              </w:rPr>
              <w:t>a number of</w:t>
            </w:r>
            <w:proofErr w:type="gramEnd"/>
            <w:r w:rsidRPr="00C93C3F">
              <w:rPr>
                <w:rFonts w:ascii="Times New Roman" w:eastAsia="Times New Roman" w:hAnsi="Times New Roman"/>
                <w:color w:val="000000"/>
                <w:sz w:val="24"/>
                <w:szCs w:val="24"/>
              </w:rPr>
              <w:t xml:space="preserve"> Member States have set-up national T+1 preparatory bodies to ensure as wide participation as possible in the process. ESMA, via its mandate, continues to monitor and coordinate these efforts.</w:t>
            </w:r>
          </w:p>
          <w:p w14:paraId="017D8BA9" w14:textId="0E50025B" w:rsidR="005C2FB7" w:rsidRPr="00C93C3F" w:rsidRDefault="005C2FB7" w:rsidP="00C93C3F">
            <w:pPr>
              <w:widowControl w:val="0"/>
              <w:spacing w:before="120" w:after="120"/>
              <w:jc w:val="both"/>
              <w:rPr>
                <w:rFonts w:ascii="Times New Roman" w:hAnsi="Times New Roman"/>
                <w:color w:val="000000"/>
                <w:sz w:val="24"/>
                <w:szCs w:val="24"/>
                <w:u w:val="single"/>
              </w:rPr>
            </w:pPr>
            <w:r w:rsidRPr="00C93C3F">
              <w:rPr>
                <w:rFonts w:ascii="Times New Roman" w:hAnsi="Times New Roman"/>
                <w:color w:val="000000"/>
                <w:sz w:val="24"/>
                <w:szCs w:val="24"/>
                <w:u w:val="single"/>
              </w:rPr>
              <w:t xml:space="preserve">Point 1.7 </w:t>
            </w:r>
            <w:r w:rsidR="00D12A87" w:rsidRPr="00C93C3F">
              <w:rPr>
                <w:rFonts w:ascii="Times New Roman" w:hAnsi="Times New Roman"/>
                <w:color w:val="000000"/>
                <w:sz w:val="24"/>
                <w:szCs w:val="24"/>
                <w:u w:val="single"/>
              </w:rPr>
              <w:t xml:space="preserve">&amp; 2.13 </w:t>
            </w:r>
            <w:r w:rsidRPr="00C93C3F">
              <w:rPr>
                <w:rFonts w:ascii="Times New Roman" w:hAnsi="Times New Roman"/>
                <w:color w:val="000000"/>
                <w:sz w:val="24"/>
                <w:szCs w:val="24"/>
                <w:u w:val="single"/>
              </w:rPr>
              <w:t>of the opinion:</w:t>
            </w:r>
          </w:p>
          <w:p w14:paraId="03BABC73" w14:textId="16C15A09" w:rsidR="005C2FB7" w:rsidRPr="00C93C3F" w:rsidRDefault="564FCC38" w:rsidP="00C93C3F">
            <w:pPr>
              <w:widowControl w:val="0"/>
              <w:spacing w:before="120" w:after="120"/>
              <w:jc w:val="both"/>
              <w:rPr>
                <w:rFonts w:ascii="Times New Roman" w:hAnsi="Times New Roman"/>
                <w:sz w:val="24"/>
                <w:szCs w:val="24"/>
              </w:rPr>
            </w:pPr>
            <w:r w:rsidRPr="00C93C3F">
              <w:rPr>
                <w:rFonts w:ascii="Times New Roman" w:eastAsia="Times New Roman" w:hAnsi="Times New Roman"/>
                <w:color w:val="000000"/>
                <w:sz w:val="24"/>
                <w:szCs w:val="24"/>
              </w:rPr>
              <w:t xml:space="preserve">Ensuring a wide representation of stakeholder in the cross-industry effort to move to T+1 settlement is of key importance for the Commission. To ensure that all views are considered the ECB, ESMA and the Commission have set-up a </w:t>
            </w:r>
            <w:r w:rsidR="43BAB628" w:rsidRPr="00C93C3F">
              <w:rPr>
                <w:rFonts w:ascii="Times New Roman" w:eastAsia="Times New Roman" w:hAnsi="Times New Roman"/>
                <w:color w:val="000000"/>
                <w:sz w:val="24"/>
                <w:szCs w:val="24"/>
              </w:rPr>
              <w:t>strong</w:t>
            </w:r>
            <w:r w:rsidR="020898FA" w:rsidRPr="00C93C3F">
              <w:rPr>
                <w:rFonts w:ascii="Times New Roman" w:eastAsia="Times New Roman" w:hAnsi="Times New Roman"/>
                <w:color w:val="000000"/>
                <w:sz w:val="24"/>
                <w:szCs w:val="24"/>
              </w:rPr>
              <w:t xml:space="preserve"> </w:t>
            </w:r>
            <w:r w:rsidRPr="00C93C3F">
              <w:rPr>
                <w:rFonts w:ascii="Times New Roman" w:eastAsia="Times New Roman" w:hAnsi="Times New Roman"/>
                <w:color w:val="000000"/>
                <w:sz w:val="24"/>
                <w:szCs w:val="24"/>
              </w:rPr>
              <w:t>governance structure, consisting of the T+1 Coordination Committee, the T+1 Industry Committee and technical workstreams of the T+1 Industry Committee</w:t>
            </w:r>
            <w:r w:rsidR="00F86D99">
              <w:rPr>
                <w:rStyle w:val="FootnoteReference"/>
                <w:rFonts w:ascii="Times New Roman" w:eastAsia="Times New Roman" w:hAnsi="Times New Roman"/>
                <w:color w:val="000000"/>
                <w:sz w:val="24"/>
                <w:szCs w:val="24"/>
              </w:rPr>
              <w:footnoteReference w:id="3"/>
            </w:r>
            <w:r w:rsidRPr="00C93C3F">
              <w:rPr>
                <w:rFonts w:ascii="Times New Roman" w:eastAsia="Times New Roman" w:hAnsi="Times New Roman"/>
                <w:color w:val="000000"/>
                <w:sz w:val="24"/>
                <w:szCs w:val="24"/>
              </w:rPr>
              <w:t>.</w:t>
            </w:r>
          </w:p>
          <w:p w14:paraId="5B9E68EB" w14:textId="3AF0DC7F" w:rsidR="005C2FB7" w:rsidRPr="00C93C3F" w:rsidRDefault="564FCC38" w:rsidP="00C93C3F">
            <w:pPr>
              <w:widowControl w:val="0"/>
              <w:spacing w:before="120" w:after="120"/>
              <w:jc w:val="both"/>
              <w:rPr>
                <w:rFonts w:ascii="Times New Roman" w:eastAsia="Times New Roman" w:hAnsi="Times New Roman"/>
                <w:color w:val="000000"/>
                <w:sz w:val="24"/>
                <w:szCs w:val="24"/>
              </w:rPr>
            </w:pPr>
            <w:r w:rsidRPr="00C93C3F">
              <w:rPr>
                <w:rFonts w:ascii="Times New Roman" w:eastAsia="Times New Roman" w:hAnsi="Times New Roman"/>
                <w:color w:val="000000"/>
                <w:sz w:val="24"/>
                <w:szCs w:val="24"/>
              </w:rPr>
              <w:t>The T+1 Coordination Committee consists of ESMA, the ECB, the Commission (DG FISMA) and the chair of the Industry Committee and aims to keep stock of progress and resolve issues that the Industry Committee cannot resolve. Hence, retail and expert participation should be encouraged in the T+1 Industry Committee, which is the more appropriate venue for exchanges of views and where the operational work on making T+1 happen is taking place</w:t>
            </w:r>
            <w:r w:rsidR="00F86D99">
              <w:rPr>
                <w:rStyle w:val="FootnoteReference"/>
                <w:rFonts w:ascii="Times New Roman" w:eastAsia="Times New Roman" w:hAnsi="Times New Roman"/>
                <w:color w:val="000000"/>
                <w:sz w:val="24"/>
                <w:szCs w:val="24"/>
              </w:rPr>
              <w:footnoteReference w:id="4"/>
            </w:r>
            <w:r w:rsidRPr="00C93C3F">
              <w:rPr>
                <w:rFonts w:ascii="Times New Roman" w:eastAsia="Times New Roman" w:hAnsi="Times New Roman"/>
                <w:color w:val="000000"/>
                <w:sz w:val="24"/>
                <w:szCs w:val="24"/>
              </w:rPr>
              <w:t>.</w:t>
            </w:r>
          </w:p>
          <w:p w14:paraId="1F06F4B8" w14:textId="2F8CAC35" w:rsidR="005C2FB7" w:rsidRPr="00C93C3F" w:rsidRDefault="564FCC38" w:rsidP="00C93C3F">
            <w:pPr>
              <w:widowControl w:val="0"/>
              <w:spacing w:before="120" w:after="120"/>
              <w:jc w:val="both"/>
              <w:rPr>
                <w:rFonts w:ascii="Times New Roman" w:hAnsi="Times New Roman"/>
                <w:sz w:val="24"/>
                <w:szCs w:val="24"/>
              </w:rPr>
            </w:pPr>
            <w:r w:rsidRPr="00C93C3F">
              <w:rPr>
                <w:rFonts w:ascii="Times New Roman" w:eastAsia="Times New Roman" w:hAnsi="Times New Roman"/>
                <w:color w:val="000000"/>
                <w:sz w:val="24"/>
                <w:szCs w:val="24"/>
              </w:rPr>
              <w:t xml:space="preserve">The Commission would appreciate </w:t>
            </w:r>
            <w:r w:rsidR="00A11F18">
              <w:rPr>
                <w:rFonts w:ascii="Times New Roman" w:eastAsia="Times New Roman" w:hAnsi="Times New Roman"/>
                <w:color w:val="000000"/>
                <w:sz w:val="24"/>
                <w:szCs w:val="24"/>
              </w:rPr>
              <w:t xml:space="preserve">the </w:t>
            </w:r>
            <w:r w:rsidRPr="00C93C3F">
              <w:rPr>
                <w:rFonts w:ascii="Times New Roman" w:eastAsia="Times New Roman" w:hAnsi="Times New Roman"/>
                <w:color w:val="000000"/>
                <w:sz w:val="24"/>
                <w:szCs w:val="24"/>
              </w:rPr>
              <w:t>EESC</w:t>
            </w:r>
            <w:r w:rsidR="00A11F18">
              <w:rPr>
                <w:rFonts w:ascii="Times New Roman" w:eastAsia="Times New Roman" w:hAnsi="Times New Roman"/>
                <w:color w:val="000000"/>
                <w:sz w:val="24"/>
                <w:szCs w:val="24"/>
              </w:rPr>
              <w:t>’s</w:t>
            </w:r>
            <w:r w:rsidRPr="00C93C3F">
              <w:rPr>
                <w:rFonts w:ascii="Times New Roman" w:eastAsia="Times New Roman" w:hAnsi="Times New Roman"/>
                <w:color w:val="000000"/>
                <w:sz w:val="24"/>
                <w:szCs w:val="24"/>
              </w:rPr>
              <w:t xml:space="preserve"> support in identifying retail representation to participate in T+1 work.</w:t>
            </w:r>
          </w:p>
          <w:p w14:paraId="30BFED06" w14:textId="1DB88485" w:rsidR="005C2FB7" w:rsidRPr="00C93C3F" w:rsidRDefault="005C2FB7" w:rsidP="00C93C3F">
            <w:pPr>
              <w:widowControl w:val="0"/>
              <w:spacing w:before="120" w:after="120"/>
              <w:jc w:val="both"/>
              <w:rPr>
                <w:rFonts w:ascii="Times New Roman" w:hAnsi="Times New Roman"/>
                <w:color w:val="000000"/>
                <w:sz w:val="24"/>
                <w:szCs w:val="24"/>
                <w:u w:val="single"/>
              </w:rPr>
            </w:pPr>
            <w:r w:rsidRPr="00C93C3F">
              <w:rPr>
                <w:rFonts w:ascii="Times New Roman" w:hAnsi="Times New Roman"/>
                <w:color w:val="000000"/>
                <w:sz w:val="24"/>
                <w:szCs w:val="24"/>
                <w:u w:val="single"/>
              </w:rPr>
              <w:t>Point 2.11 of the opinion:</w:t>
            </w:r>
          </w:p>
          <w:p w14:paraId="30D14481" w14:textId="6F1D3CD5" w:rsidR="00142E28" w:rsidRPr="00644CAA" w:rsidRDefault="23C5A9C2" w:rsidP="00C93C3F">
            <w:pPr>
              <w:widowControl w:val="0"/>
              <w:spacing w:before="120" w:after="120"/>
              <w:jc w:val="both"/>
              <w:rPr>
                <w:rFonts w:ascii="Times New Roman" w:hAnsi="Times New Roman"/>
                <w:color w:val="000000"/>
                <w:sz w:val="24"/>
                <w:szCs w:val="24"/>
                <w:vertAlign w:val="superscript"/>
              </w:rPr>
            </w:pPr>
            <w:r w:rsidRPr="00C93C3F">
              <w:rPr>
                <w:rFonts w:ascii="Times New Roman" w:hAnsi="Times New Roman"/>
                <w:color w:val="000000"/>
                <w:sz w:val="24"/>
                <w:szCs w:val="24"/>
              </w:rPr>
              <w:t>The Commission, together with ESMA and national competent authorit</w:t>
            </w:r>
            <w:r w:rsidR="4722D23C" w:rsidRPr="00C93C3F">
              <w:rPr>
                <w:rFonts w:ascii="Times New Roman" w:hAnsi="Times New Roman"/>
                <w:color w:val="000000"/>
                <w:sz w:val="24"/>
                <w:szCs w:val="24"/>
              </w:rPr>
              <w:t xml:space="preserve">ies, </w:t>
            </w:r>
            <w:r w:rsidRPr="00C93C3F">
              <w:rPr>
                <w:rFonts w:ascii="Times New Roman" w:hAnsi="Times New Roman"/>
                <w:color w:val="000000"/>
                <w:sz w:val="24"/>
                <w:szCs w:val="24"/>
              </w:rPr>
              <w:t>continues to monitor the ev</w:t>
            </w:r>
            <w:r w:rsidR="005AFB60" w:rsidRPr="00C93C3F">
              <w:rPr>
                <w:rFonts w:ascii="Times New Roman" w:hAnsi="Times New Roman"/>
                <w:color w:val="000000"/>
                <w:sz w:val="24"/>
                <w:szCs w:val="24"/>
              </w:rPr>
              <w:t>olution of settlement efficiency on the EU capital market</w:t>
            </w:r>
            <w:r w:rsidR="1AC18CE6" w:rsidRPr="00C93C3F">
              <w:rPr>
                <w:rFonts w:ascii="Times New Roman" w:hAnsi="Times New Roman"/>
                <w:color w:val="000000"/>
                <w:sz w:val="24"/>
                <w:szCs w:val="24"/>
              </w:rPr>
              <w:t>. Art</w:t>
            </w:r>
            <w:r w:rsidR="7B095D86" w:rsidRPr="00C93C3F">
              <w:rPr>
                <w:rFonts w:ascii="Times New Roman" w:hAnsi="Times New Roman"/>
                <w:color w:val="000000"/>
                <w:sz w:val="24"/>
                <w:szCs w:val="24"/>
              </w:rPr>
              <w:t>ic</w:t>
            </w:r>
            <w:r w:rsidR="7A1B2E22" w:rsidRPr="00C93C3F">
              <w:rPr>
                <w:rFonts w:ascii="Times New Roman" w:hAnsi="Times New Roman"/>
                <w:color w:val="000000"/>
                <w:sz w:val="24"/>
                <w:szCs w:val="24"/>
              </w:rPr>
              <w:t>le</w:t>
            </w:r>
            <w:r w:rsidR="1AC18CE6" w:rsidRPr="00C93C3F">
              <w:rPr>
                <w:rFonts w:ascii="Times New Roman" w:hAnsi="Times New Roman"/>
                <w:color w:val="000000"/>
                <w:sz w:val="24"/>
                <w:szCs w:val="24"/>
              </w:rPr>
              <w:t xml:space="preserve"> 7(1) </w:t>
            </w:r>
            <w:r w:rsidR="560D53E4" w:rsidRPr="00C93C3F">
              <w:rPr>
                <w:rFonts w:ascii="Times New Roman" w:hAnsi="Times New Roman"/>
                <w:color w:val="000000"/>
                <w:sz w:val="24"/>
                <w:szCs w:val="24"/>
              </w:rPr>
              <w:t>of the CSDR</w:t>
            </w:r>
            <w:r w:rsidR="00DE5C4A" w:rsidRPr="00C93C3F">
              <w:rPr>
                <w:rFonts w:ascii="Times New Roman" w:hAnsi="Times New Roman"/>
                <w:color w:val="000000"/>
                <w:sz w:val="24"/>
                <w:szCs w:val="24"/>
              </w:rPr>
              <w:t xml:space="preserve"> </w:t>
            </w:r>
            <w:r w:rsidR="1AC18CE6" w:rsidRPr="00C93C3F">
              <w:rPr>
                <w:rFonts w:ascii="Times New Roman" w:hAnsi="Times New Roman"/>
                <w:color w:val="000000"/>
                <w:sz w:val="24"/>
                <w:szCs w:val="24"/>
              </w:rPr>
              <w:t xml:space="preserve">mandates </w:t>
            </w:r>
            <w:r w:rsidR="00624FA8" w:rsidRPr="00D45E5C">
              <w:rPr>
                <w:rFonts w:ascii="Times New Roman" w:hAnsi="Times New Roman"/>
                <w:color w:val="000000"/>
                <w:sz w:val="24"/>
                <w:szCs w:val="24"/>
              </w:rPr>
              <w:t>Central Securities Depositories</w:t>
            </w:r>
            <w:r w:rsidR="00624FA8" w:rsidRPr="00624FA8">
              <w:rPr>
                <w:rFonts w:ascii="Times New Roman" w:hAnsi="Times New Roman"/>
                <w:color w:val="000000"/>
                <w:sz w:val="24"/>
                <w:szCs w:val="24"/>
              </w:rPr>
              <w:t xml:space="preserve"> </w:t>
            </w:r>
            <w:r w:rsidR="00624FA8">
              <w:rPr>
                <w:rFonts w:ascii="Times New Roman" w:hAnsi="Times New Roman"/>
                <w:color w:val="000000"/>
                <w:sz w:val="24"/>
                <w:szCs w:val="24"/>
              </w:rPr>
              <w:t>(</w:t>
            </w:r>
            <w:r w:rsidR="1AC18CE6" w:rsidRPr="00624FA8">
              <w:rPr>
                <w:rFonts w:ascii="Times New Roman" w:hAnsi="Times New Roman"/>
                <w:color w:val="000000"/>
                <w:sz w:val="24"/>
                <w:szCs w:val="24"/>
              </w:rPr>
              <w:t>CSDs</w:t>
            </w:r>
            <w:r w:rsidR="00624FA8">
              <w:rPr>
                <w:rFonts w:ascii="Times New Roman" w:hAnsi="Times New Roman"/>
                <w:color w:val="000000"/>
                <w:sz w:val="24"/>
                <w:szCs w:val="24"/>
              </w:rPr>
              <w:t>)</w:t>
            </w:r>
            <w:r w:rsidR="1AC18CE6" w:rsidRPr="00C93C3F">
              <w:rPr>
                <w:rFonts w:ascii="Times New Roman" w:hAnsi="Times New Roman"/>
                <w:color w:val="000000"/>
                <w:sz w:val="24"/>
                <w:szCs w:val="24"/>
              </w:rPr>
              <w:t xml:space="preserve"> to set up a system that monitors settlement fails</w:t>
            </w:r>
            <w:r w:rsidR="02B694F2" w:rsidRPr="00C93C3F">
              <w:rPr>
                <w:rFonts w:ascii="Times New Roman" w:hAnsi="Times New Roman"/>
                <w:color w:val="000000"/>
                <w:sz w:val="24"/>
                <w:szCs w:val="24"/>
              </w:rPr>
              <w:t xml:space="preserve"> </w:t>
            </w:r>
            <w:r w:rsidR="00D12A87" w:rsidRPr="00C93C3F">
              <w:rPr>
                <w:rFonts w:ascii="Times New Roman" w:hAnsi="Times New Roman"/>
                <w:color w:val="000000"/>
                <w:sz w:val="24"/>
                <w:szCs w:val="24"/>
              </w:rPr>
              <w:t>in</w:t>
            </w:r>
            <w:r w:rsidR="4C08EC81" w:rsidRPr="00C93C3F">
              <w:rPr>
                <w:rFonts w:ascii="Times New Roman" w:hAnsi="Times New Roman"/>
                <w:color w:val="000000"/>
                <w:sz w:val="24"/>
                <w:szCs w:val="24"/>
              </w:rPr>
              <w:t xml:space="preserve"> the settlement system it operates. CSD</w:t>
            </w:r>
            <w:r w:rsidR="55F1F2EC" w:rsidRPr="00C93C3F">
              <w:rPr>
                <w:rFonts w:ascii="Times New Roman" w:hAnsi="Times New Roman"/>
                <w:color w:val="000000"/>
                <w:sz w:val="24"/>
                <w:szCs w:val="24"/>
              </w:rPr>
              <w:t>s are required to</w:t>
            </w:r>
            <w:r w:rsidR="4B418915" w:rsidRPr="00C93C3F">
              <w:rPr>
                <w:rFonts w:ascii="Times New Roman" w:hAnsi="Times New Roman"/>
                <w:color w:val="000000"/>
                <w:sz w:val="24"/>
                <w:szCs w:val="24"/>
              </w:rPr>
              <w:t xml:space="preserve"> </w:t>
            </w:r>
            <w:r w:rsidR="4C08EC81" w:rsidRPr="00C93C3F">
              <w:rPr>
                <w:rFonts w:ascii="Times New Roman" w:hAnsi="Times New Roman"/>
                <w:color w:val="000000"/>
                <w:sz w:val="24"/>
                <w:szCs w:val="24"/>
              </w:rPr>
              <w:t>provide regular reports to the</w:t>
            </w:r>
            <w:r w:rsidR="16200ECF" w:rsidRPr="00C93C3F">
              <w:rPr>
                <w:rFonts w:ascii="Times New Roman" w:hAnsi="Times New Roman"/>
                <w:color w:val="000000"/>
                <w:sz w:val="24"/>
                <w:szCs w:val="24"/>
              </w:rPr>
              <w:t>ir</w:t>
            </w:r>
            <w:r w:rsidR="4C08EC81" w:rsidRPr="00C93C3F">
              <w:rPr>
                <w:rFonts w:ascii="Times New Roman" w:hAnsi="Times New Roman"/>
                <w:color w:val="000000"/>
                <w:sz w:val="24"/>
                <w:szCs w:val="24"/>
              </w:rPr>
              <w:t xml:space="preserve"> competent authorit</w:t>
            </w:r>
            <w:r w:rsidR="093415AD" w:rsidRPr="00C93C3F">
              <w:rPr>
                <w:rFonts w:ascii="Times New Roman" w:hAnsi="Times New Roman"/>
                <w:color w:val="000000"/>
                <w:sz w:val="24"/>
                <w:szCs w:val="24"/>
              </w:rPr>
              <w:t>ies</w:t>
            </w:r>
            <w:r w:rsidR="4C08EC81" w:rsidRPr="00C93C3F">
              <w:rPr>
                <w:rFonts w:ascii="Times New Roman" w:hAnsi="Times New Roman"/>
                <w:color w:val="000000"/>
                <w:sz w:val="24"/>
                <w:szCs w:val="24"/>
              </w:rPr>
              <w:t xml:space="preserve"> and relevant authorities as to the number and details of settlement fails and any other relevant information, including the measures envisaged by the CSD</w:t>
            </w:r>
            <w:r w:rsidR="719EA9C6" w:rsidRPr="00C93C3F">
              <w:rPr>
                <w:rFonts w:ascii="Times New Roman" w:hAnsi="Times New Roman"/>
                <w:color w:val="000000"/>
                <w:sz w:val="24"/>
                <w:szCs w:val="24"/>
              </w:rPr>
              <w:t>s</w:t>
            </w:r>
            <w:r w:rsidR="4C08EC81" w:rsidRPr="00C93C3F">
              <w:rPr>
                <w:rFonts w:ascii="Times New Roman" w:hAnsi="Times New Roman"/>
                <w:color w:val="000000"/>
                <w:sz w:val="24"/>
                <w:szCs w:val="24"/>
              </w:rPr>
              <w:t xml:space="preserve"> and </w:t>
            </w:r>
            <w:r w:rsidR="18AEDBFC" w:rsidRPr="00C93C3F">
              <w:rPr>
                <w:rFonts w:ascii="Times New Roman" w:hAnsi="Times New Roman"/>
                <w:color w:val="000000"/>
                <w:sz w:val="24"/>
                <w:szCs w:val="24"/>
              </w:rPr>
              <w:t xml:space="preserve">their </w:t>
            </w:r>
            <w:r w:rsidR="4C08EC81" w:rsidRPr="00C93C3F">
              <w:rPr>
                <w:rFonts w:ascii="Times New Roman" w:hAnsi="Times New Roman"/>
                <w:color w:val="000000"/>
                <w:sz w:val="24"/>
                <w:szCs w:val="24"/>
              </w:rPr>
              <w:t xml:space="preserve">participants to improve settlement efficiency. </w:t>
            </w:r>
            <w:r w:rsidR="0206785A" w:rsidRPr="00C93C3F">
              <w:rPr>
                <w:rFonts w:ascii="Times New Roman" w:hAnsi="Times New Roman"/>
                <w:color w:val="000000"/>
                <w:sz w:val="24"/>
                <w:szCs w:val="24"/>
              </w:rPr>
              <w:t xml:space="preserve">These reports are, inter alia, shared with ESMA. Based on this </w:t>
            </w:r>
            <w:r w:rsidR="1AC18CE6" w:rsidRPr="00C93C3F">
              <w:rPr>
                <w:rFonts w:ascii="Times New Roman" w:hAnsi="Times New Roman"/>
                <w:color w:val="000000"/>
                <w:sz w:val="24"/>
                <w:szCs w:val="24"/>
              </w:rPr>
              <w:t xml:space="preserve">comprehensive set of indicators </w:t>
            </w:r>
            <w:r w:rsidR="1D139B79" w:rsidRPr="00C93C3F">
              <w:rPr>
                <w:rFonts w:ascii="Times New Roman" w:hAnsi="Times New Roman"/>
                <w:color w:val="000000"/>
                <w:sz w:val="24"/>
                <w:szCs w:val="24"/>
              </w:rPr>
              <w:t>and data</w:t>
            </w:r>
            <w:r w:rsidR="5D118B09" w:rsidRPr="00C93C3F">
              <w:rPr>
                <w:rFonts w:ascii="Times New Roman" w:hAnsi="Times New Roman"/>
                <w:color w:val="000000"/>
                <w:sz w:val="24"/>
                <w:szCs w:val="24"/>
              </w:rPr>
              <w:t>, ESMA publishes regular reports on the evolution of cash penalties on the EU capital market</w:t>
            </w:r>
            <w:r w:rsidR="09A244D0" w:rsidRPr="00C93C3F">
              <w:rPr>
                <w:rFonts w:ascii="Times New Roman" w:hAnsi="Times New Roman"/>
                <w:color w:val="000000"/>
                <w:sz w:val="24"/>
                <w:szCs w:val="24"/>
              </w:rPr>
              <w:t xml:space="preserve"> (Art</w:t>
            </w:r>
            <w:r w:rsidR="0100CDCD" w:rsidRPr="00C93C3F">
              <w:rPr>
                <w:rFonts w:ascii="Times New Roman" w:hAnsi="Times New Roman"/>
                <w:color w:val="000000"/>
                <w:sz w:val="24"/>
                <w:szCs w:val="24"/>
              </w:rPr>
              <w:t xml:space="preserve">icle </w:t>
            </w:r>
            <w:r w:rsidR="09A244D0" w:rsidRPr="00C93C3F">
              <w:rPr>
                <w:rFonts w:ascii="Times New Roman" w:hAnsi="Times New Roman"/>
                <w:color w:val="000000"/>
                <w:sz w:val="24"/>
                <w:szCs w:val="24"/>
              </w:rPr>
              <w:t>6</w:t>
            </w:r>
            <w:r w:rsidR="598124C2" w:rsidRPr="00C93C3F">
              <w:rPr>
                <w:rFonts w:ascii="Times New Roman" w:hAnsi="Times New Roman"/>
                <w:color w:val="000000"/>
                <w:sz w:val="24"/>
                <w:szCs w:val="24"/>
              </w:rPr>
              <w:t>7 (</w:t>
            </w:r>
            <w:r w:rsidR="09A244D0" w:rsidRPr="00C93C3F">
              <w:rPr>
                <w:rFonts w:ascii="Times New Roman" w:hAnsi="Times New Roman"/>
                <w:color w:val="000000"/>
                <w:sz w:val="24"/>
                <w:szCs w:val="24"/>
              </w:rPr>
              <w:t>1</w:t>
            </w:r>
            <w:r w:rsidR="27556B0C" w:rsidRPr="00C93C3F">
              <w:rPr>
                <w:rFonts w:ascii="Times New Roman" w:hAnsi="Times New Roman"/>
                <w:color w:val="000000"/>
                <w:sz w:val="24"/>
                <w:szCs w:val="24"/>
              </w:rPr>
              <w:t>)</w:t>
            </w:r>
            <w:r w:rsidR="62FAE6FF" w:rsidRPr="00C93C3F">
              <w:rPr>
                <w:rFonts w:ascii="Times New Roman" w:hAnsi="Times New Roman"/>
                <w:color w:val="000000"/>
                <w:sz w:val="24"/>
                <w:szCs w:val="24"/>
              </w:rPr>
              <w:t>, points</w:t>
            </w:r>
            <w:r w:rsidR="2B396C67" w:rsidRPr="00C93C3F">
              <w:rPr>
                <w:rFonts w:ascii="Times New Roman" w:hAnsi="Times New Roman"/>
                <w:color w:val="000000"/>
                <w:sz w:val="24"/>
                <w:szCs w:val="24"/>
              </w:rPr>
              <w:t xml:space="preserve"> (</w:t>
            </w:r>
            <w:r w:rsidR="09A244D0" w:rsidRPr="00C93C3F">
              <w:rPr>
                <w:rFonts w:ascii="Times New Roman" w:hAnsi="Times New Roman"/>
                <w:color w:val="000000"/>
                <w:sz w:val="24"/>
                <w:szCs w:val="24"/>
              </w:rPr>
              <w:t>a)</w:t>
            </w:r>
            <w:r w:rsidR="7AB3315C" w:rsidRPr="00C93C3F">
              <w:rPr>
                <w:rFonts w:ascii="Times New Roman" w:hAnsi="Times New Roman"/>
                <w:color w:val="000000"/>
                <w:sz w:val="24"/>
                <w:szCs w:val="24"/>
              </w:rPr>
              <w:t>, (aa)</w:t>
            </w:r>
            <w:r w:rsidR="09A244D0" w:rsidRPr="00C93C3F">
              <w:rPr>
                <w:rFonts w:ascii="Times New Roman" w:hAnsi="Times New Roman"/>
                <w:color w:val="000000"/>
                <w:sz w:val="24"/>
                <w:szCs w:val="24"/>
              </w:rPr>
              <w:t xml:space="preserve"> </w:t>
            </w:r>
            <w:r w:rsidR="15B2AD46" w:rsidRPr="00C93C3F">
              <w:rPr>
                <w:rFonts w:ascii="Times New Roman" w:hAnsi="Times New Roman"/>
                <w:color w:val="000000"/>
                <w:sz w:val="24"/>
                <w:szCs w:val="24"/>
              </w:rPr>
              <w:t>and (b)</w:t>
            </w:r>
            <w:r w:rsidR="00770681" w:rsidRPr="00C93C3F">
              <w:rPr>
                <w:rFonts w:ascii="Times New Roman" w:hAnsi="Times New Roman"/>
                <w:color w:val="000000"/>
                <w:sz w:val="24"/>
                <w:szCs w:val="24"/>
              </w:rPr>
              <w:t xml:space="preserve"> </w:t>
            </w:r>
            <w:r w:rsidR="08BDD4D3" w:rsidRPr="00C93C3F">
              <w:rPr>
                <w:rFonts w:ascii="Times New Roman" w:hAnsi="Times New Roman"/>
                <w:color w:val="000000"/>
                <w:sz w:val="24"/>
                <w:szCs w:val="24"/>
              </w:rPr>
              <w:t>of the CSDR</w:t>
            </w:r>
            <w:r w:rsidR="15B2AD46" w:rsidRPr="00C93C3F">
              <w:rPr>
                <w:rFonts w:ascii="Times New Roman" w:hAnsi="Times New Roman"/>
                <w:color w:val="000000"/>
                <w:sz w:val="24"/>
                <w:szCs w:val="24"/>
              </w:rPr>
              <w:t>)</w:t>
            </w:r>
            <w:r w:rsidR="1AC18CE6" w:rsidRPr="00C93C3F">
              <w:rPr>
                <w:rFonts w:ascii="Times New Roman" w:hAnsi="Times New Roman"/>
                <w:color w:val="000000"/>
                <w:sz w:val="24"/>
                <w:szCs w:val="24"/>
              </w:rPr>
              <w:t xml:space="preserve">. </w:t>
            </w:r>
            <w:r w:rsidR="0532A661" w:rsidRPr="00C93C3F">
              <w:rPr>
                <w:rFonts w:ascii="Times New Roman" w:hAnsi="Times New Roman"/>
                <w:color w:val="000000"/>
                <w:sz w:val="24"/>
                <w:szCs w:val="24"/>
              </w:rPr>
              <w:t>a general decrease</w:t>
            </w:r>
            <w:r w:rsidR="20A186BE" w:rsidRPr="00C93C3F">
              <w:rPr>
                <w:rFonts w:ascii="Times New Roman" w:hAnsi="Times New Roman"/>
                <w:color w:val="000000"/>
                <w:sz w:val="24"/>
                <w:szCs w:val="24"/>
              </w:rPr>
              <w:t xml:space="preserve"> in</w:t>
            </w:r>
            <w:r w:rsidR="0532A661" w:rsidRPr="00C93C3F">
              <w:rPr>
                <w:rFonts w:ascii="Times New Roman" w:hAnsi="Times New Roman"/>
                <w:color w:val="000000"/>
                <w:sz w:val="24"/>
                <w:szCs w:val="24"/>
              </w:rPr>
              <w:t xml:space="preserve"> settlement fails, both in value and volume</w:t>
            </w:r>
            <w:r w:rsidRPr="00C93C3F">
              <w:rPr>
                <w:rStyle w:val="FootnoteReference"/>
                <w:rFonts w:ascii="Times New Roman" w:hAnsi="Times New Roman"/>
                <w:color w:val="000000"/>
                <w:sz w:val="24"/>
                <w:szCs w:val="24"/>
              </w:rPr>
              <w:footnoteReference w:id="5"/>
            </w:r>
            <w:r w:rsidR="0532A661" w:rsidRPr="00C93C3F">
              <w:rPr>
                <w:rFonts w:ascii="Times New Roman" w:hAnsi="Times New Roman"/>
                <w:color w:val="000000"/>
                <w:sz w:val="24"/>
                <w:szCs w:val="24"/>
              </w:rPr>
              <w:t>.</w:t>
            </w:r>
          </w:p>
        </w:tc>
      </w:tr>
    </w:tbl>
    <w:p w14:paraId="6AF07B14" w14:textId="26AEAB66" w:rsidR="004F6117" w:rsidRPr="00C93C3F" w:rsidRDefault="004F6117" w:rsidP="002E67B0">
      <w:pPr>
        <w:spacing w:after="0" w:line="240" w:lineRule="auto"/>
        <w:ind w:left="-284"/>
        <w:rPr>
          <w:rFonts w:ascii="Times New Roman" w:hAnsi="Times New Roman"/>
          <w:bCs/>
          <w:sz w:val="16"/>
          <w:szCs w:val="16"/>
        </w:rPr>
      </w:pPr>
    </w:p>
    <w:sectPr w:rsidR="004F6117" w:rsidRPr="00C93C3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722D4" w14:textId="77777777" w:rsidR="00F669E1" w:rsidRDefault="00F669E1" w:rsidP="00FF63EA">
      <w:pPr>
        <w:spacing w:after="0" w:line="240" w:lineRule="auto"/>
      </w:pPr>
      <w:r>
        <w:separator/>
      </w:r>
    </w:p>
  </w:endnote>
  <w:endnote w:type="continuationSeparator" w:id="0">
    <w:p w14:paraId="2B978017" w14:textId="77777777" w:rsidR="00F669E1" w:rsidRDefault="00F669E1" w:rsidP="00FF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96576" w14:textId="77777777" w:rsidR="00F669E1" w:rsidRDefault="00F669E1" w:rsidP="00FF63EA">
      <w:pPr>
        <w:spacing w:after="0" w:line="240" w:lineRule="auto"/>
      </w:pPr>
      <w:r>
        <w:separator/>
      </w:r>
    </w:p>
  </w:footnote>
  <w:footnote w:type="continuationSeparator" w:id="0">
    <w:p w14:paraId="419FFA49" w14:textId="77777777" w:rsidR="00F669E1" w:rsidRDefault="00F669E1" w:rsidP="00FF63EA">
      <w:pPr>
        <w:spacing w:after="0" w:line="240" w:lineRule="auto"/>
      </w:pPr>
      <w:r>
        <w:continuationSeparator/>
      </w:r>
    </w:p>
  </w:footnote>
  <w:footnote w:id="1">
    <w:p w14:paraId="63535F30" w14:textId="69DCD4CB" w:rsidR="00CD25CE" w:rsidRPr="00D45E5C" w:rsidRDefault="00CD25CE" w:rsidP="002E67B0">
      <w:pPr>
        <w:pStyle w:val="FootnoteText"/>
        <w:widowControl w:val="0"/>
        <w:spacing w:line="240" w:lineRule="auto"/>
        <w:ind w:left="142" w:right="-142" w:hanging="284"/>
        <w:jc w:val="both"/>
        <w:rPr>
          <w:rFonts w:ascii="Times New Roman" w:hAnsi="Times New Roman"/>
        </w:rPr>
      </w:pPr>
      <w:r>
        <w:rPr>
          <w:rStyle w:val="FootnoteReference"/>
        </w:rPr>
        <w:footnoteRef/>
      </w:r>
      <w:r>
        <w:t xml:space="preserve"> </w:t>
      </w:r>
      <w:r>
        <w:tab/>
      </w:r>
      <w:r w:rsidRPr="00D45E5C">
        <w:rPr>
          <w:rFonts w:ascii="Times New Roman" w:hAnsi="Times New Roman"/>
        </w:rPr>
        <w:t>Regulation (EU) No 909/2014 of the European Parliament and of the Council of 23 July 2014 on improving securities settlement in the European Union and on central securities depositories and amending Directives 98/26/EC and 2014/65/EU and Regulation (EU) No 236/2012 (</w:t>
      </w:r>
      <w:hyperlink r:id="rId1" w:tooltip="Gives access to this document through its ELI URI." w:history="1">
        <w:r w:rsidRPr="00D45E5C">
          <w:rPr>
            <w:rStyle w:val="Hyperlink"/>
            <w:rFonts w:ascii="Times New Roman" w:hAnsi="Times New Roman"/>
          </w:rPr>
          <w:t>http://data.europa.eu/eli/reg/2014/909/oj</w:t>
        </w:r>
      </w:hyperlink>
      <w:r w:rsidRPr="00D45E5C">
        <w:rPr>
          <w:rFonts w:ascii="Times New Roman" w:hAnsi="Times New Roman"/>
        </w:rPr>
        <w:t>).</w:t>
      </w:r>
    </w:p>
  </w:footnote>
  <w:footnote w:id="2">
    <w:p w14:paraId="7E026881" w14:textId="05DAC9B8" w:rsidR="00F86D99" w:rsidRPr="00D45E5C" w:rsidRDefault="00F86D99" w:rsidP="002E67B0">
      <w:pPr>
        <w:pStyle w:val="FootnoteText"/>
        <w:widowControl w:val="0"/>
        <w:spacing w:line="240" w:lineRule="auto"/>
        <w:ind w:left="142" w:right="-142" w:hanging="284"/>
        <w:jc w:val="both"/>
        <w:rPr>
          <w:rFonts w:ascii="Times New Roman" w:hAnsi="Times New Roman"/>
        </w:rPr>
      </w:pPr>
      <w:r w:rsidRPr="00D45E5C">
        <w:rPr>
          <w:rStyle w:val="FootnoteReference"/>
          <w:rFonts w:ascii="Times New Roman" w:hAnsi="Times New Roman"/>
        </w:rPr>
        <w:footnoteRef/>
      </w:r>
      <w:r w:rsidRPr="00D45E5C">
        <w:rPr>
          <w:rFonts w:ascii="Times New Roman" w:hAnsi="Times New Roman"/>
        </w:rPr>
        <w:t xml:space="preserve"> </w:t>
      </w:r>
      <w:r w:rsidRPr="00D45E5C">
        <w:rPr>
          <w:rFonts w:ascii="Times New Roman" w:hAnsi="Times New Roman"/>
        </w:rPr>
        <w:tab/>
        <w:t>Regulation (EU) 2023/2845 of the European Parliament and of the Council of 13 December 2023 amending Regulation (EU) No 909/2014 as regards settlement discipline, cross-border provision of services, supervisory cooperation, provision of banking-type ancillary services and requirements for third-country central securities depositories and amending Regulation (EU) No 236/2012 (</w:t>
      </w:r>
      <w:hyperlink r:id="rId2" w:tooltip="Gives access to this document through its ELI URI." w:history="1">
        <w:r w:rsidRPr="00D45E5C">
          <w:rPr>
            <w:rStyle w:val="Hyperlink"/>
            <w:rFonts w:ascii="Times New Roman" w:hAnsi="Times New Roman"/>
          </w:rPr>
          <w:t>http://data.europa.eu/eli/reg/2023/2845/oj</w:t>
        </w:r>
      </w:hyperlink>
      <w:r w:rsidRPr="00D45E5C">
        <w:rPr>
          <w:rFonts w:ascii="Times New Roman" w:hAnsi="Times New Roman"/>
        </w:rPr>
        <w:t>).</w:t>
      </w:r>
    </w:p>
  </w:footnote>
  <w:footnote w:id="3">
    <w:p w14:paraId="0E82483B" w14:textId="0B086B2D" w:rsidR="00F86D99" w:rsidRPr="00D45E5C" w:rsidRDefault="00F86D99" w:rsidP="002E67B0">
      <w:pPr>
        <w:pStyle w:val="FootnoteText"/>
        <w:widowControl w:val="0"/>
        <w:spacing w:line="240" w:lineRule="auto"/>
        <w:ind w:left="142" w:right="-284" w:hanging="284"/>
        <w:jc w:val="both"/>
        <w:rPr>
          <w:rFonts w:ascii="Times New Roman" w:hAnsi="Times New Roman"/>
        </w:rPr>
      </w:pPr>
      <w:r w:rsidRPr="00D45E5C">
        <w:rPr>
          <w:rStyle w:val="FootnoteReference"/>
          <w:rFonts w:ascii="Times New Roman" w:hAnsi="Times New Roman"/>
        </w:rPr>
        <w:footnoteRef/>
      </w:r>
      <w:r w:rsidRPr="00D45E5C">
        <w:rPr>
          <w:rFonts w:ascii="Times New Roman" w:hAnsi="Times New Roman"/>
        </w:rPr>
        <w:t xml:space="preserve"> </w:t>
      </w:r>
      <w:r w:rsidRPr="00D45E5C">
        <w:rPr>
          <w:rFonts w:ascii="Times New Roman" w:hAnsi="Times New Roman"/>
        </w:rPr>
        <w:tab/>
      </w:r>
      <w:r w:rsidRPr="00D45E5C">
        <w:rPr>
          <w:rFonts w:ascii="Times New Roman" w:eastAsia="Times New Roman" w:hAnsi="Times New Roman"/>
          <w:color w:val="000000"/>
        </w:rPr>
        <w:t xml:space="preserve">see </w:t>
      </w:r>
      <w:hyperlink r:id="rId3">
        <w:r w:rsidRPr="00D45E5C">
          <w:rPr>
            <w:rStyle w:val="Hyperlink"/>
            <w:rFonts w:ascii="Times New Roman" w:eastAsia="Times New Roman" w:hAnsi="Times New Roman"/>
          </w:rPr>
          <w:t>here</w:t>
        </w:r>
      </w:hyperlink>
      <w:r w:rsidRPr="00D45E5C">
        <w:rPr>
          <w:rFonts w:ascii="Times New Roman" w:eastAsia="Times New Roman" w:hAnsi="Times New Roman"/>
          <w:color w:val="000000"/>
        </w:rPr>
        <w:t xml:space="preserve"> for more details</w:t>
      </w:r>
      <w:r w:rsidR="00624FA8" w:rsidRPr="00624FA8">
        <w:rPr>
          <w:rFonts w:ascii="Times New Roman" w:eastAsia="Times New Roman" w:hAnsi="Times New Roman"/>
          <w:color w:val="000000"/>
        </w:rPr>
        <w:t>.</w:t>
      </w:r>
    </w:p>
  </w:footnote>
  <w:footnote w:id="4">
    <w:p w14:paraId="6AD3A95C" w14:textId="000CE53E" w:rsidR="00F86D99" w:rsidRPr="00D45E5C" w:rsidRDefault="00F86D99" w:rsidP="002E67B0">
      <w:pPr>
        <w:pStyle w:val="FootnoteText"/>
        <w:widowControl w:val="0"/>
        <w:spacing w:line="240" w:lineRule="auto"/>
        <w:ind w:left="142" w:right="-284" w:hanging="284"/>
        <w:jc w:val="both"/>
        <w:rPr>
          <w:rFonts w:ascii="Times New Roman" w:hAnsi="Times New Roman"/>
        </w:rPr>
      </w:pPr>
      <w:r w:rsidRPr="00D45E5C">
        <w:rPr>
          <w:rStyle w:val="FootnoteReference"/>
          <w:rFonts w:ascii="Times New Roman" w:hAnsi="Times New Roman"/>
        </w:rPr>
        <w:footnoteRef/>
      </w:r>
      <w:r w:rsidRPr="00D45E5C">
        <w:rPr>
          <w:rFonts w:ascii="Times New Roman" w:hAnsi="Times New Roman"/>
        </w:rPr>
        <w:t xml:space="preserve"> </w:t>
      </w:r>
      <w:r w:rsidRPr="00D45E5C">
        <w:rPr>
          <w:rFonts w:ascii="Times New Roman" w:hAnsi="Times New Roman"/>
        </w:rPr>
        <w:tab/>
      </w:r>
      <w:r w:rsidRPr="00D45E5C">
        <w:rPr>
          <w:rFonts w:ascii="Times New Roman" w:eastAsia="Times New Roman" w:hAnsi="Times New Roman"/>
          <w:color w:val="000000"/>
        </w:rPr>
        <w:t xml:space="preserve">The composition of the T+1 Industry Committee is available </w:t>
      </w:r>
      <w:hyperlink r:id="rId4">
        <w:r w:rsidRPr="00D45E5C">
          <w:rPr>
            <w:rStyle w:val="Hyperlink"/>
            <w:rFonts w:ascii="Times New Roman" w:eastAsia="Times New Roman" w:hAnsi="Times New Roman"/>
          </w:rPr>
          <w:t>here</w:t>
        </w:r>
      </w:hyperlink>
      <w:r w:rsidRPr="00D45E5C">
        <w:rPr>
          <w:rFonts w:ascii="Times New Roman" w:eastAsia="Times New Roman" w:hAnsi="Times New Roman"/>
          <w:color w:val="000000"/>
        </w:rPr>
        <w:t>.</w:t>
      </w:r>
    </w:p>
  </w:footnote>
  <w:footnote w:id="5">
    <w:p w14:paraId="0F31A54E" w14:textId="741135D1" w:rsidR="5BFCC8C6" w:rsidRPr="00D45E5C" w:rsidRDefault="5BFCC8C6" w:rsidP="002E67B0">
      <w:pPr>
        <w:pStyle w:val="FootnoteText"/>
        <w:widowControl w:val="0"/>
        <w:spacing w:line="240" w:lineRule="auto"/>
        <w:ind w:left="142" w:right="-284" w:hanging="284"/>
        <w:jc w:val="both"/>
        <w:rPr>
          <w:rFonts w:ascii="Times New Roman" w:hAnsi="Times New Roman"/>
        </w:rPr>
      </w:pPr>
      <w:r w:rsidRPr="00D45E5C">
        <w:rPr>
          <w:rStyle w:val="FootnoteReference"/>
          <w:rFonts w:ascii="Times New Roman" w:hAnsi="Times New Roman"/>
        </w:rPr>
        <w:footnoteRef/>
      </w:r>
      <w:r w:rsidRPr="00D45E5C">
        <w:rPr>
          <w:rFonts w:ascii="Times New Roman" w:hAnsi="Times New Roman"/>
        </w:rPr>
        <w:t xml:space="preserve"> </w:t>
      </w:r>
      <w:r w:rsidR="00F86D99" w:rsidRPr="00D45E5C">
        <w:rPr>
          <w:rFonts w:ascii="Times New Roman" w:hAnsi="Times New Roman"/>
        </w:rPr>
        <w:tab/>
      </w:r>
      <w:r w:rsidR="00624FA8" w:rsidRPr="00624FA8">
        <w:rPr>
          <w:rFonts w:ascii="Times New Roman" w:hAnsi="Times New Roman"/>
        </w:rPr>
        <w:t>ʻ</w:t>
      </w:r>
      <w:r w:rsidRPr="00D45E5C">
        <w:rPr>
          <w:rFonts w:ascii="Times New Roman" w:hAnsi="Times New Roman"/>
        </w:rPr>
        <w:t>Report on trends, risks and vulnerabilities</w:t>
      </w:r>
      <w:r w:rsidR="00624FA8" w:rsidRPr="00624FA8">
        <w:rPr>
          <w:rFonts w:ascii="Times New Roman" w:hAnsi="Times New Roman"/>
        </w:rPr>
        <w:t>’</w:t>
      </w:r>
      <w:r w:rsidRPr="00D45E5C">
        <w:rPr>
          <w:rFonts w:ascii="Times New Roman" w:hAnsi="Times New Roman"/>
        </w:rPr>
        <w:t>, European Securities and Markets Authority, ESMA50-524821-3584, 13</w:t>
      </w:r>
      <w:r w:rsidR="00624FA8" w:rsidRPr="00624FA8">
        <w:rPr>
          <w:rFonts w:ascii="Times New Roman" w:hAnsi="Times New Roman"/>
        </w:rPr>
        <w:t> </w:t>
      </w:r>
      <w:r w:rsidRPr="00D45E5C">
        <w:rPr>
          <w:rFonts w:ascii="Times New Roman" w:hAnsi="Times New Roman"/>
        </w:rPr>
        <w:t xml:space="preserve">February 2025. See chapter on </w:t>
      </w:r>
      <w:r w:rsidR="00624FA8" w:rsidRPr="00624FA8">
        <w:rPr>
          <w:rFonts w:ascii="Times New Roman" w:hAnsi="Times New Roman"/>
        </w:rPr>
        <w:t>ʻ</w:t>
      </w:r>
      <w:r w:rsidRPr="00D45E5C">
        <w:rPr>
          <w:rFonts w:ascii="Times New Roman" w:hAnsi="Times New Roman"/>
        </w:rPr>
        <w:t>Infrastructures and services</w:t>
      </w:r>
      <w:r w:rsidR="00624FA8" w:rsidRPr="00624FA8">
        <w:rPr>
          <w:rFonts w:ascii="Times New Roman" w:hAnsi="Times New Roman"/>
        </w:rPr>
        <w:t>’</w:t>
      </w:r>
      <w:r w:rsidRPr="00D45E5C">
        <w:rPr>
          <w:rFonts w:ascii="Times New Roman" w:hAnsi="Times New Roman"/>
        </w:rPr>
        <w:t xml:space="preserve">, p.24. </w:t>
      </w:r>
      <w:r w:rsidR="00624FA8" w:rsidRPr="00D45E5C">
        <w:rPr>
          <w:rFonts w:ascii="Times New Roman" w:hAnsi="Times New Roman"/>
        </w:rPr>
        <w:t>(</w:t>
      </w:r>
      <w:hyperlink r:id="rId5" w:history="1">
        <w:r w:rsidR="00624FA8" w:rsidRPr="00D45E5C">
          <w:rPr>
            <w:rStyle w:val="Hyperlink"/>
            <w:rFonts w:ascii="Times New Roman" w:hAnsi="Times New Roman"/>
          </w:rPr>
          <w:t>Report on trends, risks and vulnerabilities No. 1, 2024</w:t>
        </w:r>
      </w:hyperlink>
      <w:r w:rsidR="00624FA8" w:rsidRPr="00D45E5C">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3F49"/>
    <w:multiLevelType w:val="hybridMultilevel"/>
    <w:tmpl w:val="35847BF4"/>
    <w:lvl w:ilvl="0" w:tplc="B624FEA6">
      <w:start w:val="1"/>
      <w:numFmt w:val="bullet"/>
      <w:lvlText w:val=""/>
      <w:lvlJc w:val="left"/>
      <w:pPr>
        <w:ind w:left="720" w:hanging="360"/>
      </w:pPr>
      <w:rPr>
        <w:rFonts w:ascii="Symbol" w:hAnsi="Symbol" w:hint="default"/>
      </w:rPr>
    </w:lvl>
    <w:lvl w:ilvl="1" w:tplc="DC9040D8">
      <w:start w:val="1"/>
      <w:numFmt w:val="bullet"/>
      <w:lvlText w:val="o"/>
      <w:lvlJc w:val="left"/>
      <w:pPr>
        <w:ind w:left="1440" w:hanging="360"/>
      </w:pPr>
      <w:rPr>
        <w:rFonts w:ascii="Courier New" w:hAnsi="Courier New" w:hint="default"/>
      </w:rPr>
    </w:lvl>
    <w:lvl w:ilvl="2" w:tplc="22F8C8A6">
      <w:start w:val="1"/>
      <w:numFmt w:val="bullet"/>
      <w:lvlText w:val=""/>
      <w:lvlJc w:val="left"/>
      <w:pPr>
        <w:ind w:left="2160" w:hanging="360"/>
      </w:pPr>
      <w:rPr>
        <w:rFonts w:ascii="Wingdings" w:hAnsi="Wingdings" w:hint="default"/>
      </w:rPr>
    </w:lvl>
    <w:lvl w:ilvl="3" w:tplc="3EE09AB0">
      <w:start w:val="1"/>
      <w:numFmt w:val="bullet"/>
      <w:lvlText w:val=""/>
      <w:lvlJc w:val="left"/>
      <w:pPr>
        <w:ind w:left="2880" w:hanging="360"/>
      </w:pPr>
      <w:rPr>
        <w:rFonts w:ascii="Symbol" w:hAnsi="Symbol" w:hint="default"/>
      </w:rPr>
    </w:lvl>
    <w:lvl w:ilvl="4" w:tplc="DD1AEF98">
      <w:start w:val="1"/>
      <w:numFmt w:val="bullet"/>
      <w:lvlText w:val="o"/>
      <w:lvlJc w:val="left"/>
      <w:pPr>
        <w:ind w:left="3600" w:hanging="360"/>
      </w:pPr>
      <w:rPr>
        <w:rFonts w:ascii="Courier New" w:hAnsi="Courier New" w:hint="default"/>
      </w:rPr>
    </w:lvl>
    <w:lvl w:ilvl="5" w:tplc="248C5E28">
      <w:start w:val="1"/>
      <w:numFmt w:val="bullet"/>
      <w:lvlText w:val=""/>
      <w:lvlJc w:val="left"/>
      <w:pPr>
        <w:ind w:left="4320" w:hanging="360"/>
      </w:pPr>
      <w:rPr>
        <w:rFonts w:ascii="Wingdings" w:hAnsi="Wingdings" w:hint="default"/>
      </w:rPr>
    </w:lvl>
    <w:lvl w:ilvl="6" w:tplc="AE50ADDC">
      <w:start w:val="1"/>
      <w:numFmt w:val="bullet"/>
      <w:lvlText w:val=""/>
      <w:lvlJc w:val="left"/>
      <w:pPr>
        <w:ind w:left="5040" w:hanging="360"/>
      </w:pPr>
      <w:rPr>
        <w:rFonts w:ascii="Symbol" w:hAnsi="Symbol" w:hint="default"/>
      </w:rPr>
    </w:lvl>
    <w:lvl w:ilvl="7" w:tplc="581695E6">
      <w:start w:val="1"/>
      <w:numFmt w:val="bullet"/>
      <w:lvlText w:val="o"/>
      <w:lvlJc w:val="left"/>
      <w:pPr>
        <w:ind w:left="5760" w:hanging="360"/>
      </w:pPr>
      <w:rPr>
        <w:rFonts w:ascii="Courier New" w:hAnsi="Courier New" w:hint="default"/>
      </w:rPr>
    </w:lvl>
    <w:lvl w:ilvl="8" w:tplc="1662F1A8">
      <w:start w:val="1"/>
      <w:numFmt w:val="bullet"/>
      <w:lvlText w:val=""/>
      <w:lvlJc w:val="left"/>
      <w:pPr>
        <w:ind w:left="6480" w:hanging="360"/>
      </w:pPr>
      <w:rPr>
        <w:rFonts w:ascii="Wingdings" w:hAnsi="Wingdings" w:hint="default"/>
      </w:rPr>
    </w:lvl>
  </w:abstractNum>
  <w:abstractNum w:abstractNumId="1" w15:restartNumberingAfterBreak="0">
    <w:nsid w:val="2F32A761"/>
    <w:multiLevelType w:val="hybridMultilevel"/>
    <w:tmpl w:val="768C5E98"/>
    <w:lvl w:ilvl="0" w:tplc="8B1E73DE">
      <w:start w:val="1"/>
      <w:numFmt w:val="bullet"/>
      <w:lvlText w:val="·"/>
      <w:lvlJc w:val="left"/>
      <w:pPr>
        <w:ind w:left="720" w:hanging="360"/>
      </w:pPr>
      <w:rPr>
        <w:rFonts w:ascii="Symbol" w:hAnsi="Symbol" w:hint="default"/>
      </w:rPr>
    </w:lvl>
    <w:lvl w:ilvl="1" w:tplc="A97CAE26">
      <w:start w:val="1"/>
      <w:numFmt w:val="bullet"/>
      <w:lvlText w:val="o"/>
      <w:lvlJc w:val="left"/>
      <w:pPr>
        <w:ind w:left="1440" w:hanging="360"/>
      </w:pPr>
      <w:rPr>
        <w:rFonts w:ascii="Courier New" w:hAnsi="Courier New" w:hint="default"/>
      </w:rPr>
    </w:lvl>
    <w:lvl w:ilvl="2" w:tplc="91F03C1C">
      <w:start w:val="1"/>
      <w:numFmt w:val="bullet"/>
      <w:lvlText w:val=""/>
      <w:lvlJc w:val="left"/>
      <w:pPr>
        <w:ind w:left="2160" w:hanging="360"/>
      </w:pPr>
      <w:rPr>
        <w:rFonts w:ascii="Wingdings" w:hAnsi="Wingdings" w:hint="default"/>
      </w:rPr>
    </w:lvl>
    <w:lvl w:ilvl="3" w:tplc="8EC825C2">
      <w:start w:val="1"/>
      <w:numFmt w:val="bullet"/>
      <w:lvlText w:val=""/>
      <w:lvlJc w:val="left"/>
      <w:pPr>
        <w:ind w:left="2880" w:hanging="360"/>
      </w:pPr>
      <w:rPr>
        <w:rFonts w:ascii="Symbol" w:hAnsi="Symbol" w:hint="default"/>
      </w:rPr>
    </w:lvl>
    <w:lvl w:ilvl="4" w:tplc="F506B250">
      <w:start w:val="1"/>
      <w:numFmt w:val="bullet"/>
      <w:lvlText w:val="o"/>
      <w:lvlJc w:val="left"/>
      <w:pPr>
        <w:ind w:left="3600" w:hanging="360"/>
      </w:pPr>
      <w:rPr>
        <w:rFonts w:ascii="Courier New" w:hAnsi="Courier New" w:hint="default"/>
      </w:rPr>
    </w:lvl>
    <w:lvl w:ilvl="5" w:tplc="2320D1D6">
      <w:start w:val="1"/>
      <w:numFmt w:val="bullet"/>
      <w:lvlText w:val=""/>
      <w:lvlJc w:val="left"/>
      <w:pPr>
        <w:ind w:left="4320" w:hanging="360"/>
      </w:pPr>
      <w:rPr>
        <w:rFonts w:ascii="Wingdings" w:hAnsi="Wingdings" w:hint="default"/>
      </w:rPr>
    </w:lvl>
    <w:lvl w:ilvl="6" w:tplc="957E960E">
      <w:start w:val="1"/>
      <w:numFmt w:val="bullet"/>
      <w:lvlText w:val=""/>
      <w:lvlJc w:val="left"/>
      <w:pPr>
        <w:ind w:left="5040" w:hanging="360"/>
      </w:pPr>
      <w:rPr>
        <w:rFonts w:ascii="Symbol" w:hAnsi="Symbol" w:hint="default"/>
      </w:rPr>
    </w:lvl>
    <w:lvl w:ilvl="7" w:tplc="3E9EB572">
      <w:start w:val="1"/>
      <w:numFmt w:val="bullet"/>
      <w:lvlText w:val="o"/>
      <w:lvlJc w:val="left"/>
      <w:pPr>
        <w:ind w:left="5760" w:hanging="360"/>
      </w:pPr>
      <w:rPr>
        <w:rFonts w:ascii="Courier New" w:hAnsi="Courier New" w:hint="default"/>
      </w:rPr>
    </w:lvl>
    <w:lvl w:ilvl="8" w:tplc="66EA92C4">
      <w:start w:val="1"/>
      <w:numFmt w:val="bullet"/>
      <w:lvlText w:val=""/>
      <w:lvlJc w:val="left"/>
      <w:pPr>
        <w:ind w:left="6480" w:hanging="360"/>
      </w:pPr>
      <w:rPr>
        <w:rFonts w:ascii="Wingdings" w:hAnsi="Wingdings" w:hint="default"/>
      </w:rPr>
    </w:lvl>
  </w:abstractNum>
  <w:num w:numId="1" w16cid:durableId="175928224">
    <w:abstractNumId w:val="1"/>
  </w:num>
  <w:num w:numId="2" w16cid:durableId="469320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12A37"/>
    <w:rsid w:val="00030E17"/>
    <w:rsid w:val="00046B15"/>
    <w:rsid w:val="000502AC"/>
    <w:rsid w:val="00050DC7"/>
    <w:rsid w:val="00076109"/>
    <w:rsid w:val="00077C4F"/>
    <w:rsid w:val="000908C1"/>
    <w:rsid w:val="000A0838"/>
    <w:rsid w:val="000F5FD8"/>
    <w:rsid w:val="001167C0"/>
    <w:rsid w:val="00135C2A"/>
    <w:rsid w:val="00136041"/>
    <w:rsid w:val="00142E28"/>
    <w:rsid w:val="001B0E0B"/>
    <w:rsid w:val="001B7667"/>
    <w:rsid w:val="001C2385"/>
    <w:rsid w:val="001C4138"/>
    <w:rsid w:val="001D1702"/>
    <w:rsid w:val="001F2EC6"/>
    <w:rsid w:val="001F65D0"/>
    <w:rsid w:val="00217E59"/>
    <w:rsid w:val="002E67B0"/>
    <w:rsid w:val="002F03FA"/>
    <w:rsid w:val="003004D2"/>
    <w:rsid w:val="003349A3"/>
    <w:rsid w:val="00364839"/>
    <w:rsid w:val="00377967"/>
    <w:rsid w:val="00386143"/>
    <w:rsid w:val="003B58DC"/>
    <w:rsid w:val="003E2F9E"/>
    <w:rsid w:val="003F5614"/>
    <w:rsid w:val="003F686E"/>
    <w:rsid w:val="0041367B"/>
    <w:rsid w:val="00442552"/>
    <w:rsid w:val="00446111"/>
    <w:rsid w:val="00452690"/>
    <w:rsid w:val="00455A1C"/>
    <w:rsid w:val="004675B5"/>
    <w:rsid w:val="004770D6"/>
    <w:rsid w:val="0049246C"/>
    <w:rsid w:val="004A57F6"/>
    <w:rsid w:val="004F6117"/>
    <w:rsid w:val="004F63F1"/>
    <w:rsid w:val="004F651E"/>
    <w:rsid w:val="0052596B"/>
    <w:rsid w:val="00547B35"/>
    <w:rsid w:val="00554D8D"/>
    <w:rsid w:val="005602C9"/>
    <w:rsid w:val="005661BE"/>
    <w:rsid w:val="00573835"/>
    <w:rsid w:val="00581306"/>
    <w:rsid w:val="005AFB60"/>
    <w:rsid w:val="005C2FB7"/>
    <w:rsid w:val="005C3105"/>
    <w:rsid w:val="005D746B"/>
    <w:rsid w:val="00624FA8"/>
    <w:rsid w:val="00644CAA"/>
    <w:rsid w:val="00647C72"/>
    <w:rsid w:val="00677561"/>
    <w:rsid w:val="00692C2F"/>
    <w:rsid w:val="00695797"/>
    <w:rsid w:val="00696A5E"/>
    <w:rsid w:val="006B3B69"/>
    <w:rsid w:val="006F1951"/>
    <w:rsid w:val="00734613"/>
    <w:rsid w:val="00751910"/>
    <w:rsid w:val="00751E60"/>
    <w:rsid w:val="007547B5"/>
    <w:rsid w:val="00770681"/>
    <w:rsid w:val="00772905"/>
    <w:rsid w:val="00795A9E"/>
    <w:rsid w:val="007A606D"/>
    <w:rsid w:val="007C2214"/>
    <w:rsid w:val="007C4A3F"/>
    <w:rsid w:val="007F7911"/>
    <w:rsid w:val="00807B48"/>
    <w:rsid w:val="008135CA"/>
    <w:rsid w:val="0081584F"/>
    <w:rsid w:val="00825AB2"/>
    <w:rsid w:val="00854D41"/>
    <w:rsid w:val="008703BF"/>
    <w:rsid w:val="008925CE"/>
    <w:rsid w:val="008C4D41"/>
    <w:rsid w:val="0091361F"/>
    <w:rsid w:val="00931E64"/>
    <w:rsid w:val="00954BB7"/>
    <w:rsid w:val="00981F45"/>
    <w:rsid w:val="00994D12"/>
    <w:rsid w:val="009B128B"/>
    <w:rsid w:val="009B5974"/>
    <w:rsid w:val="00A11F18"/>
    <w:rsid w:val="00A16F07"/>
    <w:rsid w:val="00A62C7B"/>
    <w:rsid w:val="00A66590"/>
    <w:rsid w:val="00A7709A"/>
    <w:rsid w:val="00A97648"/>
    <w:rsid w:val="00AC281A"/>
    <w:rsid w:val="00AE1842"/>
    <w:rsid w:val="00AE3C7C"/>
    <w:rsid w:val="00B31306"/>
    <w:rsid w:val="00B42814"/>
    <w:rsid w:val="00B47622"/>
    <w:rsid w:val="00B83936"/>
    <w:rsid w:val="00BA5EE1"/>
    <w:rsid w:val="00BD6EB7"/>
    <w:rsid w:val="00C008C0"/>
    <w:rsid w:val="00C32593"/>
    <w:rsid w:val="00C54D27"/>
    <w:rsid w:val="00C76EEB"/>
    <w:rsid w:val="00C93C3F"/>
    <w:rsid w:val="00CD25CE"/>
    <w:rsid w:val="00CF61F8"/>
    <w:rsid w:val="00D01F5A"/>
    <w:rsid w:val="00D12A87"/>
    <w:rsid w:val="00D1716E"/>
    <w:rsid w:val="00D358FF"/>
    <w:rsid w:val="00D45E5C"/>
    <w:rsid w:val="00D64E05"/>
    <w:rsid w:val="00D92FD3"/>
    <w:rsid w:val="00D94C78"/>
    <w:rsid w:val="00DA3B6E"/>
    <w:rsid w:val="00DB7581"/>
    <w:rsid w:val="00DC70C1"/>
    <w:rsid w:val="00DE5C4A"/>
    <w:rsid w:val="00E37AA3"/>
    <w:rsid w:val="00E6436F"/>
    <w:rsid w:val="00E83C12"/>
    <w:rsid w:val="00E86420"/>
    <w:rsid w:val="00E870A6"/>
    <w:rsid w:val="00E904C8"/>
    <w:rsid w:val="00EA1BBF"/>
    <w:rsid w:val="00EB1331"/>
    <w:rsid w:val="00EB29A9"/>
    <w:rsid w:val="00EB77D2"/>
    <w:rsid w:val="00ED3896"/>
    <w:rsid w:val="00EE4523"/>
    <w:rsid w:val="00EF720D"/>
    <w:rsid w:val="00F316C8"/>
    <w:rsid w:val="00F632DE"/>
    <w:rsid w:val="00F669E1"/>
    <w:rsid w:val="00F735E4"/>
    <w:rsid w:val="00F86D99"/>
    <w:rsid w:val="00F9329B"/>
    <w:rsid w:val="00FB7834"/>
    <w:rsid w:val="00FC31C3"/>
    <w:rsid w:val="00FC3E60"/>
    <w:rsid w:val="00FD4B6A"/>
    <w:rsid w:val="00FE61D5"/>
    <w:rsid w:val="00FF03A8"/>
    <w:rsid w:val="00FF63EA"/>
    <w:rsid w:val="0100CDCD"/>
    <w:rsid w:val="01EDAF2B"/>
    <w:rsid w:val="0206785A"/>
    <w:rsid w:val="020898FA"/>
    <w:rsid w:val="02B694F2"/>
    <w:rsid w:val="032E7A7F"/>
    <w:rsid w:val="03BD44E6"/>
    <w:rsid w:val="0532A661"/>
    <w:rsid w:val="05FD31D8"/>
    <w:rsid w:val="063F91FC"/>
    <w:rsid w:val="078ADAE0"/>
    <w:rsid w:val="08BDD4D3"/>
    <w:rsid w:val="0931DC2A"/>
    <w:rsid w:val="093415AD"/>
    <w:rsid w:val="09A244D0"/>
    <w:rsid w:val="09E74379"/>
    <w:rsid w:val="0A538DB3"/>
    <w:rsid w:val="0BC6E585"/>
    <w:rsid w:val="0C39B16F"/>
    <w:rsid w:val="0F12B426"/>
    <w:rsid w:val="100F41EA"/>
    <w:rsid w:val="10319C25"/>
    <w:rsid w:val="10AC34CB"/>
    <w:rsid w:val="127B29A4"/>
    <w:rsid w:val="12960741"/>
    <w:rsid w:val="12D1A546"/>
    <w:rsid w:val="142CAB27"/>
    <w:rsid w:val="14AC0B6C"/>
    <w:rsid w:val="14E0F29C"/>
    <w:rsid w:val="15ABEABA"/>
    <w:rsid w:val="15B2AD46"/>
    <w:rsid w:val="16200ECF"/>
    <w:rsid w:val="16CE3F1D"/>
    <w:rsid w:val="17E6BAA9"/>
    <w:rsid w:val="185864DE"/>
    <w:rsid w:val="18AEDBFC"/>
    <w:rsid w:val="1A86C22D"/>
    <w:rsid w:val="1AC18CE6"/>
    <w:rsid w:val="1B36D258"/>
    <w:rsid w:val="1C09E56F"/>
    <w:rsid w:val="1C288E86"/>
    <w:rsid w:val="1C584B7A"/>
    <w:rsid w:val="1CDA6B7F"/>
    <w:rsid w:val="1D139B79"/>
    <w:rsid w:val="1D66D88A"/>
    <w:rsid w:val="1DE06029"/>
    <w:rsid w:val="1E03E125"/>
    <w:rsid w:val="20245636"/>
    <w:rsid w:val="20A186BE"/>
    <w:rsid w:val="2139C3DF"/>
    <w:rsid w:val="2154AB0F"/>
    <w:rsid w:val="239FC6F1"/>
    <w:rsid w:val="23C5A9C2"/>
    <w:rsid w:val="249AD07E"/>
    <w:rsid w:val="24F3C408"/>
    <w:rsid w:val="2500F4C7"/>
    <w:rsid w:val="2609F81D"/>
    <w:rsid w:val="26319C1E"/>
    <w:rsid w:val="263C0D37"/>
    <w:rsid w:val="27343653"/>
    <w:rsid w:val="27556B0C"/>
    <w:rsid w:val="2757A014"/>
    <w:rsid w:val="2808DCDC"/>
    <w:rsid w:val="28AB5AB7"/>
    <w:rsid w:val="28C88A38"/>
    <w:rsid w:val="292A590D"/>
    <w:rsid w:val="29B1A4F1"/>
    <w:rsid w:val="29CD38CE"/>
    <w:rsid w:val="2B396C67"/>
    <w:rsid w:val="2BC0E9B1"/>
    <w:rsid w:val="2C1F61EB"/>
    <w:rsid w:val="2C47567E"/>
    <w:rsid w:val="2D0DE666"/>
    <w:rsid w:val="2F3B3821"/>
    <w:rsid w:val="2FAF42F2"/>
    <w:rsid w:val="3070D31A"/>
    <w:rsid w:val="32A77C9C"/>
    <w:rsid w:val="3308D7C7"/>
    <w:rsid w:val="35884548"/>
    <w:rsid w:val="36C39778"/>
    <w:rsid w:val="37004F5E"/>
    <w:rsid w:val="39AAB70C"/>
    <w:rsid w:val="3AA415F6"/>
    <w:rsid w:val="3B2EFAF2"/>
    <w:rsid w:val="3BD0A1B0"/>
    <w:rsid w:val="3E4342FF"/>
    <w:rsid w:val="3FAAF150"/>
    <w:rsid w:val="40FA614E"/>
    <w:rsid w:val="41711C33"/>
    <w:rsid w:val="42CD7597"/>
    <w:rsid w:val="42E11592"/>
    <w:rsid w:val="43154FBC"/>
    <w:rsid w:val="43BAB628"/>
    <w:rsid w:val="43FFDCD1"/>
    <w:rsid w:val="44A66EFA"/>
    <w:rsid w:val="44FBDD55"/>
    <w:rsid w:val="451EFC29"/>
    <w:rsid w:val="45E224BB"/>
    <w:rsid w:val="46C4B91D"/>
    <w:rsid w:val="46C8D3AA"/>
    <w:rsid w:val="46E5AC6B"/>
    <w:rsid w:val="46E99E9C"/>
    <w:rsid w:val="4722D23C"/>
    <w:rsid w:val="47969E8D"/>
    <w:rsid w:val="47AF53EE"/>
    <w:rsid w:val="47B01272"/>
    <w:rsid w:val="487020C1"/>
    <w:rsid w:val="4872AAE1"/>
    <w:rsid w:val="4A26097C"/>
    <w:rsid w:val="4B418915"/>
    <w:rsid w:val="4BFEC4EE"/>
    <w:rsid w:val="4C08EC81"/>
    <w:rsid w:val="4C543988"/>
    <w:rsid w:val="4D2F7816"/>
    <w:rsid w:val="4D35BBD2"/>
    <w:rsid w:val="4D651C42"/>
    <w:rsid w:val="4DEC0F3E"/>
    <w:rsid w:val="4E10FE38"/>
    <w:rsid w:val="4E56DF15"/>
    <w:rsid w:val="4F569C6B"/>
    <w:rsid w:val="5028D077"/>
    <w:rsid w:val="5138A518"/>
    <w:rsid w:val="51D5AFEB"/>
    <w:rsid w:val="52A04ECF"/>
    <w:rsid w:val="54442CE6"/>
    <w:rsid w:val="558A1543"/>
    <w:rsid w:val="55F1F2EC"/>
    <w:rsid w:val="560D53E4"/>
    <w:rsid w:val="564FCC38"/>
    <w:rsid w:val="569B8D23"/>
    <w:rsid w:val="570570EC"/>
    <w:rsid w:val="578FA01E"/>
    <w:rsid w:val="592A41AF"/>
    <w:rsid w:val="596272AF"/>
    <w:rsid w:val="598124C2"/>
    <w:rsid w:val="5BF51AF2"/>
    <w:rsid w:val="5BFCC8C6"/>
    <w:rsid w:val="5C1397D6"/>
    <w:rsid w:val="5C886320"/>
    <w:rsid w:val="5D118B09"/>
    <w:rsid w:val="5D3CCF0C"/>
    <w:rsid w:val="5D6147DA"/>
    <w:rsid w:val="5F5711E9"/>
    <w:rsid w:val="5F8F00F2"/>
    <w:rsid w:val="5FE76002"/>
    <w:rsid w:val="6005F7A4"/>
    <w:rsid w:val="604CAA60"/>
    <w:rsid w:val="607BA280"/>
    <w:rsid w:val="62400F6B"/>
    <w:rsid w:val="62FAE6FF"/>
    <w:rsid w:val="63BD4248"/>
    <w:rsid w:val="646B5D55"/>
    <w:rsid w:val="66314AA7"/>
    <w:rsid w:val="6747F32E"/>
    <w:rsid w:val="678E7ED6"/>
    <w:rsid w:val="68E04442"/>
    <w:rsid w:val="6955207C"/>
    <w:rsid w:val="6A86DB51"/>
    <w:rsid w:val="6D1912F8"/>
    <w:rsid w:val="6D9B442B"/>
    <w:rsid w:val="6F983759"/>
    <w:rsid w:val="6FBBAE04"/>
    <w:rsid w:val="6FCD4494"/>
    <w:rsid w:val="719EA9C6"/>
    <w:rsid w:val="71EBA737"/>
    <w:rsid w:val="74352068"/>
    <w:rsid w:val="74DF4A49"/>
    <w:rsid w:val="74E518A0"/>
    <w:rsid w:val="75591CC3"/>
    <w:rsid w:val="756FC6F2"/>
    <w:rsid w:val="764D1EF7"/>
    <w:rsid w:val="76980261"/>
    <w:rsid w:val="76C44279"/>
    <w:rsid w:val="76F65A8A"/>
    <w:rsid w:val="77B626BF"/>
    <w:rsid w:val="78A36716"/>
    <w:rsid w:val="78ECD093"/>
    <w:rsid w:val="7A1B2E22"/>
    <w:rsid w:val="7A4ACEC1"/>
    <w:rsid w:val="7AB3315C"/>
    <w:rsid w:val="7B095D86"/>
    <w:rsid w:val="7BA658F4"/>
    <w:rsid w:val="7BB0BAED"/>
    <w:rsid w:val="7BC0666B"/>
    <w:rsid w:val="7D436100"/>
    <w:rsid w:val="7D5125F3"/>
    <w:rsid w:val="7D6DCD28"/>
    <w:rsid w:val="7D77FE59"/>
    <w:rsid w:val="7E05DC02"/>
    <w:rsid w:val="7ED9D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8250BCC8-4D0F-43C9-A9FB-5B735BFF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5884548"/>
    <w:pPr>
      <w:ind w:left="720"/>
      <w:contextualSpacing/>
    </w:pPr>
  </w:style>
  <w:style w:type="character" w:styleId="Hyperlink">
    <w:name w:val="Hyperlink"/>
    <w:uiPriority w:val="99"/>
    <w:unhideWhenUsed/>
    <w:rsid w:val="35884548"/>
    <w:rPr>
      <w:color w:val="0563C1"/>
      <w:u w:val="single"/>
    </w:rPr>
  </w:style>
  <w:style w:type="paragraph" w:styleId="Revision">
    <w:name w:val="Revision"/>
    <w:hidden/>
    <w:uiPriority w:val="99"/>
    <w:semiHidden/>
    <w:rsid w:val="00E37AA3"/>
    <w:rPr>
      <w:sz w:val="22"/>
      <w:szCs w:val="22"/>
      <w:lang w:val="en-GB" w:eastAsia="en-US"/>
    </w:rPr>
  </w:style>
  <w:style w:type="character" w:styleId="CommentReference">
    <w:name w:val="annotation reference"/>
    <w:uiPriority w:val="99"/>
    <w:semiHidden/>
    <w:unhideWhenUsed/>
    <w:rsid w:val="00E37AA3"/>
    <w:rPr>
      <w:sz w:val="16"/>
      <w:szCs w:val="16"/>
    </w:rPr>
  </w:style>
  <w:style w:type="paragraph" w:styleId="CommentText">
    <w:name w:val="annotation text"/>
    <w:basedOn w:val="Normal"/>
    <w:link w:val="CommentTextChar"/>
    <w:uiPriority w:val="99"/>
    <w:unhideWhenUsed/>
    <w:rsid w:val="00E37AA3"/>
    <w:rPr>
      <w:sz w:val="20"/>
      <w:szCs w:val="20"/>
    </w:rPr>
  </w:style>
  <w:style w:type="character" w:customStyle="1" w:styleId="CommentTextChar">
    <w:name w:val="Comment Text Char"/>
    <w:link w:val="CommentText"/>
    <w:uiPriority w:val="99"/>
    <w:rsid w:val="00E37AA3"/>
    <w:rPr>
      <w:lang w:val="en-GB" w:eastAsia="en-US"/>
    </w:rPr>
  </w:style>
  <w:style w:type="paragraph" w:styleId="CommentSubject">
    <w:name w:val="annotation subject"/>
    <w:basedOn w:val="CommentText"/>
    <w:next w:val="CommentText"/>
    <w:link w:val="CommentSubjectChar"/>
    <w:uiPriority w:val="99"/>
    <w:semiHidden/>
    <w:unhideWhenUsed/>
    <w:rsid w:val="00E37AA3"/>
    <w:rPr>
      <w:b/>
      <w:bCs/>
    </w:rPr>
  </w:style>
  <w:style w:type="character" w:customStyle="1" w:styleId="CommentSubjectChar">
    <w:name w:val="Comment Subject Char"/>
    <w:link w:val="CommentSubject"/>
    <w:uiPriority w:val="99"/>
    <w:semiHidden/>
    <w:rsid w:val="00E37AA3"/>
    <w:rPr>
      <w:b/>
      <w:bCs/>
      <w:lang w:val="en-GB" w:eastAsia="en-US"/>
    </w:rPr>
  </w:style>
  <w:style w:type="paragraph" w:styleId="FootnoteText">
    <w:name w:val="footnote text"/>
    <w:basedOn w:val="Normal"/>
    <w:uiPriority w:val="99"/>
    <w:semiHidden/>
    <w:unhideWhenUsed/>
    <w:rsid w:val="5BFCC8C6"/>
    <w:pPr>
      <w:spacing w:after="0"/>
    </w:pPr>
    <w:rPr>
      <w:sz w:val="20"/>
      <w:szCs w:val="20"/>
    </w:rPr>
  </w:style>
  <w:style w:type="character" w:styleId="FootnoteReference">
    <w:name w:val="footnote reference"/>
    <w:uiPriority w:val="99"/>
    <w:semiHidden/>
    <w:unhideWhenUsed/>
    <w:rPr>
      <w:vertAlign w:val="superscript"/>
    </w:rPr>
  </w:style>
  <w:style w:type="character" w:styleId="UnresolvedMention">
    <w:name w:val="Unresolved Mention"/>
    <w:uiPriority w:val="99"/>
    <w:semiHidden/>
    <w:unhideWhenUsed/>
    <w:rsid w:val="00CD25CE"/>
    <w:rPr>
      <w:color w:val="605E5C"/>
      <w:shd w:val="clear" w:color="auto" w:fill="E1DFDD"/>
    </w:rPr>
  </w:style>
  <w:style w:type="character" w:styleId="FollowedHyperlink">
    <w:name w:val="FollowedHyperlink"/>
    <w:uiPriority w:val="99"/>
    <w:semiHidden/>
    <w:unhideWhenUsed/>
    <w:rsid w:val="00F86D9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859596">
      <w:bodyDiv w:val="1"/>
      <w:marLeft w:val="0"/>
      <w:marRight w:val="0"/>
      <w:marTop w:val="0"/>
      <w:marBottom w:val="0"/>
      <w:divBdr>
        <w:top w:val="none" w:sz="0" w:space="0" w:color="auto"/>
        <w:left w:val="none" w:sz="0" w:space="0" w:color="auto"/>
        <w:bottom w:val="none" w:sz="0" w:space="0" w:color="auto"/>
        <w:right w:val="none" w:sz="0" w:space="0" w:color="auto"/>
      </w:divBdr>
      <w:divsChild>
        <w:div w:id="171381287">
          <w:marLeft w:val="0"/>
          <w:marRight w:val="0"/>
          <w:marTop w:val="0"/>
          <w:marBottom w:val="0"/>
          <w:divBdr>
            <w:top w:val="none" w:sz="0" w:space="0" w:color="auto"/>
            <w:left w:val="none" w:sz="0" w:space="0" w:color="auto"/>
            <w:bottom w:val="none" w:sz="0" w:space="0" w:color="auto"/>
            <w:right w:val="none" w:sz="0" w:space="0" w:color="auto"/>
          </w:divBdr>
          <w:divsChild>
            <w:div w:id="1070153082">
              <w:marLeft w:val="0"/>
              <w:marRight w:val="0"/>
              <w:marTop w:val="0"/>
              <w:marBottom w:val="0"/>
              <w:divBdr>
                <w:top w:val="none" w:sz="0" w:space="0" w:color="auto"/>
                <w:left w:val="none" w:sz="0" w:space="0" w:color="auto"/>
                <w:bottom w:val="none" w:sz="0" w:space="0" w:color="auto"/>
                <w:right w:val="none" w:sz="0" w:space="0" w:color="auto"/>
              </w:divBdr>
              <w:divsChild>
                <w:div w:id="432240489">
                  <w:marLeft w:val="0"/>
                  <w:marRight w:val="0"/>
                  <w:marTop w:val="0"/>
                  <w:marBottom w:val="0"/>
                  <w:divBdr>
                    <w:top w:val="none" w:sz="0" w:space="0" w:color="auto"/>
                    <w:left w:val="none" w:sz="0" w:space="0" w:color="auto"/>
                    <w:bottom w:val="none" w:sz="0" w:space="0" w:color="auto"/>
                    <w:right w:val="none" w:sz="0" w:space="0" w:color="auto"/>
                  </w:divBdr>
                </w:div>
                <w:div w:id="51642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7028">
          <w:marLeft w:val="0"/>
          <w:marRight w:val="0"/>
          <w:marTop w:val="0"/>
          <w:marBottom w:val="0"/>
          <w:divBdr>
            <w:top w:val="none" w:sz="0" w:space="0" w:color="auto"/>
            <w:left w:val="none" w:sz="0" w:space="0" w:color="auto"/>
            <w:bottom w:val="none" w:sz="0" w:space="0" w:color="auto"/>
            <w:right w:val="none" w:sz="0" w:space="0" w:color="auto"/>
          </w:divBdr>
        </w:div>
        <w:div w:id="1351644753">
          <w:marLeft w:val="0"/>
          <w:marRight w:val="0"/>
          <w:marTop w:val="0"/>
          <w:marBottom w:val="0"/>
          <w:divBdr>
            <w:top w:val="none" w:sz="0" w:space="0" w:color="auto"/>
            <w:left w:val="none" w:sz="0" w:space="0" w:color="auto"/>
            <w:bottom w:val="none" w:sz="0" w:space="0" w:color="auto"/>
            <w:right w:val="none" w:sz="0" w:space="0" w:color="auto"/>
          </w:divBdr>
        </w:div>
      </w:divsChild>
    </w:div>
    <w:div w:id="2056192173">
      <w:bodyDiv w:val="1"/>
      <w:marLeft w:val="0"/>
      <w:marRight w:val="0"/>
      <w:marTop w:val="0"/>
      <w:marBottom w:val="0"/>
      <w:divBdr>
        <w:top w:val="none" w:sz="0" w:space="0" w:color="auto"/>
        <w:left w:val="none" w:sz="0" w:space="0" w:color="auto"/>
        <w:bottom w:val="none" w:sz="0" w:space="0" w:color="auto"/>
        <w:right w:val="none" w:sz="0" w:space="0" w:color="auto"/>
      </w:divBdr>
      <w:divsChild>
        <w:div w:id="1467165573">
          <w:marLeft w:val="0"/>
          <w:marRight w:val="0"/>
          <w:marTop w:val="0"/>
          <w:marBottom w:val="0"/>
          <w:divBdr>
            <w:top w:val="none" w:sz="0" w:space="0" w:color="auto"/>
            <w:left w:val="none" w:sz="0" w:space="0" w:color="auto"/>
            <w:bottom w:val="none" w:sz="0" w:space="0" w:color="auto"/>
            <w:right w:val="none" w:sz="0" w:space="0" w:color="auto"/>
          </w:divBdr>
          <w:divsChild>
            <w:div w:id="1065294769">
              <w:marLeft w:val="0"/>
              <w:marRight w:val="0"/>
              <w:marTop w:val="0"/>
              <w:marBottom w:val="0"/>
              <w:divBdr>
                <w:top w:val="none" w:sz="0" w:space="0" w:color="auto"/>
                <w:left w:val="none" w:sz="0" w:space="0" w:color="auto"/>
                <w:bottom w:val="none" w:sz="0" w:space="0" w:color="auto"/>
                <w:right w:val="none" w:sz="0" w:space="0" w:color="auto"/>
              </w:divBdr>
              <w:divsChild>
                <w:div w:id="3017916">
                  <w:marLeft w:val="0"/>
                  <w:marRight w:val="0"/>
                  <w:marTop w:val="0"/>
                  <w:marBottom w:val="0"/>
                  <w:divBdr>
                    <w:top w:val="none" w:sz="0" w:space="0" w:color="auto"/>
                    <w:left w:val="none" w:sz="0" w:space="0" w:color="auto"/>
                    <w:bottom w:val="none" w:sz="0" w:space="0" w:color="auto"/>
                    <w:right w:val="none" w:sz="0" w:space="0" w:color="auto"/>
                  </w:divBdr>
                </w:div>
                <w:div w:id="44527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257116">
          <w:marLeft w:val="0"/>
          <w:marRight w:val="0"/>
          <w:marTop w:val="0"/>
          <w:marBottom w:val="0"/>
          <w:divBdr>
            <w:top w:val="none" w:sz="0" w:space="0" w:color="auto"/>
            <w:left w:val="none" w:sz="0" w:space="0" w:color="auto"/>
            <w:bottom w:val="none" w:sz="0" w:space="0" w:color="auto"/>
            <w:right w:val="none" w:sz="0" w:space="0" w:color="auto"/>
          </w:divBdr>
        </w:div>
        <w:div w:id="1880390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esma.europa.eu/esmas-activities/markets-and-infrastructure/shortening-settlement-cycle-t1-eu" TargetMode="External"/><Relationship Id="rId2" Type="http://schemas.openxmlformats.org/officeDocument/2006/relationships/hyperlink" Target="http://data.europa.eu/eli/reg/2023/2845/oj" TargetMode="External"/><Relationship Id="rId1" Type="http://schemas.openxmlformats.org/officeDocument/2006/relationships/hyperlink" Target="http://data.europa.eu/eli/reg/2014/909/oj" TargetMode="External"/><Relationship Id="rId5" Type="http://schemas.openxmlformats.org/officeDocument/2006/relationships/hyperlink" Target="https://www.esma.europa.eu/document/report-trends-risks-and-vulnerabilities-no-1-2024" TargetMode="External"/><Relationship Id="rId4" Type="http://schemas.openxmlformats.org/officeDocument/2006/relationships/hyperlink" Target="https://www.esma.europa.eu/sites/default/files/2025-02/EU_T_1_Industry_Committee_-_Composi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a51f69-7225-48da-b2ba-9ca8ae9a172d">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3c265319-02e8-4fe4-8852-dddc633064b9" xsi:nil="true"/>
    <EC_ARES_TRANSFERRED_BY xmlns="3c265319-02e8-4fe4-8852-dddc633064b9" xsi:nil="true"/>
    <EC_ARES_NUMBER xmlns="3c265319-02e8-4fe4-8852-dddc633064b9">
      <Url xsi:nil="true"/>
      <Description xsi:nil="true"/>
    </EC_ARES_NUMBER>
    <EC_ARES_DATE_TRANSFERRED xmlns="3c265319-02e8-4fe4-8852-dddc633064b9" xsi:nil="true"/>
    <Docstatus xmlns="f5a51f69-7225-48da-b2ba-9ca8ae9a172d">Draft</Doc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4EC8B1AAB1AF4CBC83EADDB4207A90" ma:contentTypeVersion="17" ma:contentTypeDescription="Create a new document." ma:contentTypeScope="" ma:versionID="686af7c7c64ec08d437a66cb541730f5">
  <xsd:schema xmlns:xsd="http://www.w3.org/2001/XMLSchema" xmlns:xs="http://www.w3.org/2001/XMLSchema" xmlns:p="http://schemas.microsoft.com/office/2006/metadata/properties" xmlns:ns2="f5a51f69-7225-48da-b2ba-9ca8ae9a172d" xmlns:ns3="3c265319-02e8-4fe4-8852-dddc633064b9" targetNamespace="http://schemas.microsoft.com/office/2006/metadata/properties" ma:root="true" ma:fieldsID="20adfadac472c75f2979959a8fe6605b" ns2:_="" ns3:_="">
    <xsd:import namespace="f5a51f69-7225-48da-b2ba-9ca8ae9a172d"/>
    <xsd:import namespace="3c265319-02e8-4fe4-8852-dddc633064b9"/>
    <xsd:element name="properties">
      <xsd:complexType>
        <xsd:sequence>
          <xsd:element name="documentManagement">
            <xsd:complexType>
              <xsd:all>
                <xsd:element ref="ns2:Docstatus"/>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3:EC_ARES_NUMBER" minOccurs="0"/>
                <xsd:element ref="ns3:EC_ARES_DATE_TRANSFERRED" minOccurs="0"/>
                <xsd:element ref="ns3:EC_ARES_TRANSFERRED_BY"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51f69-7225-48da-b2ba-9ca8ae9a172d" elementFormDefault="qualified">
    <xsd:import namespace="http://schemas.microsoft.com/office/2006/documentManagement/types"/>
    <xsd:import namespace="http://schemas.microsoft.com/office/infopath/2007/PartnerControls"/>
    <xsd:element name="Docstatus" ma:index="8" ma:displayName="Doc status" ma:default="Draft" ma:format="Dropdown" ma:internalName="Docstatus">
      <xsd:simpleType>
        <xsd:restriction base="dms:Choice">
          <xsd:enumeration value="Draft"/>
          <xsd:enumeration value="Final"/>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265319-02e8-4fe4-8852-dddc633064b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EC_ARES_NUMBER" ma:index="15" nillable="true" ma:displayName="Ares Number" ma:format="Hyperlink" ma:internalName="EC_ARES_NUMBER"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6" nillable="true" ma:displayName="Transferred to Ares" ma:format="DateTime" ma:internalName="EC_ARES_DATE_TRANSFERRED" ma:readOnly="false">
      <xsd:simpleType>
        <xsd:restriction base="dms:DateTime"/>
      </xsd:simpleType>
    </xsd:element>
    <xsd:element name="EC_ARES_TRANSFERRED_BY" ma:index="17" nillable="true" ma:displayName="Transferred By" ma:internalName="EC_ARES_TRANSFERRED_BY" ma:readOnly="false">
      <xsd:simpleType>
        <xsd:restriction base="dms:Text"/>
      </xsd:simpleType>
    </xsd:element>
    <xsd:element name="TaxCatchAll" ma:index="20" nillable="true" ma:displayName="Taxonomy Catch All Column" ma:hidden="true" ma:list="{c7650257-cd07-43db-add9-ab4008458abe}" ma:internalName="TaxCatchAll" ma:showField="CatchAllData" ma:web="3c265319-02e8-4fe4-8852-dddc633064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4454A8-1492-4567-822C-22068F36BC44}">
  <ds:schemaRefs>
    <ds:schemaRef ds:uri="http://schemas.openxmlformats.org/officeDocument/2006/bibliography"/>
  </ds:schemaRefs>
</ds:datastoreItem>
</file>

<file path=customXml/itemProps2.xml><?xml version="1.0" encoding="utf-8"?>
<ds:datastoreItem xmlns:ds="http://schemas.openxmlformats.org/officeDocument/2006/customXml" ds:itemID="{3CE4942F-A7A6-4180-ADF5-4A689809947A}">
  <ds:schemaRefs>
    <ds:schemaRef ds:uri="http://schemas.microsoft.com/office/2006/metadata/properties"/>
    <ds:schemaRef ds:uri="http://schemas.microsoft.com/office/infopath/2007/PartnerControls"/>
    <ds:schemaRef ds:uri="f5a51f69-7225-48da-b2ba-9ca8ae9a172d"/>
    <ds:schemaRef ds:uri="3c265319-02e8-4fe4-8852-dddc633064b9"/>
  </ds:schemaRefs>
</ds:datastoreItem>
</file>

<file path=customXml/itemProps3.xml><?xml version="1.0" encoding="utf-8"?>
<ds:datastoreItem xmlns:ds="http://schemas.openxmlformats.org/officeDocument/2006/customXml" ds:itemID="{9843C12D-DB50-44FB-BC6F-5604DB3A4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51f69-7225-48da-b2ba-9ca8ae9a172d"/>
    <ds:schemaRef ds:uri="3c265319-02e8-4fe4-8852-dddc633064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7C37F6-01EC-404D-AA9D-78B0A8EA0A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734</Words>
  <Characters>4019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STEPIEN Beata (SG)</cp:lastModifiedBy>
  <cp:revision>2</cp:revision>
  <cp:lastPrinted>2013-02-27T18:02:00Z</cp:lastPrinted>
  <dcterms:created xsi:type="dcterms:W3CDTF">2025-10-17T10:07:00Z</dcterms:created>
  <dcterms:modified xsi:type="dcterms:W3CDTF">2025-10-17T10:07:00Z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0x010100894EC8B1AAB1AF4CBC83EADDB4207A90</vt:lpwstr>
  </property>
  <property fmtid="{D5CDD505-2E9C-101B-9397-08002B2CF9AE}" pid="10" name="MediaServiceImageTags">
    <vt:lpwstr/>
  </property>
</Properties>
</file>