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0714E8" w:rsidRPr="00442552" w14:paraId="34222E23" w14:textId="77777777" w:rsidTr="00DC3049">
        <w:trPr>
          <w:jc w:val="center"/>
        </w:trPr>
        <w:tc>
          <w:tcPr>
            <w:tcW w:w="10296" w:type="dxa"/>
          </w:tcPr>
          <w:p w14:paraId="01A50E4C" w14:textId="5A0CEC2C" w:rsidR="000714E8" w:rsidRPr="000714E8" w:rsidRDefault="000714E8" w:rsidP="00505552">
            <w:pPr>
              <w:spacing w:before="120" w:after="120"/>
              <w:ind w:left="78"/>
              <w:rPr>
                <w:rFonts w:ascii="Times New Roman" w:hAnsi="Times New Roman"/>
                <w:b/>
                <w:sz w:val="24"/>
                <w:szCs w:val="24"/>
              </w:rPr>
            </w:pPr>
            <w:r w:rsidRPr="000714E8">
              <w:rPr>
                <w:rFonts w:ascii="Times New Roman" w:hAnsi="Times New Roman"/>
                <w:b/>
                <w:sz w:val="24"/>
                <w:szCs w:val="24"/>
              </w:rPr>
              <w:t xml:space="preserve">Health and safety at work – current and future challenges </w:t>
            </w:r>
            <w:proofErr w:type="gramStart"/>
            <w:r w:rsidRPr="000714E8">
              <w:rPr>
                <w:rFonts w:ascii="Times New Roman" w:hAnsi="Times New Roman"/>
                <w:b/>
                <w:sz w:val="24"/>
                <w:szCs w:val="24"/>
              </w:rPr>
              <w:t>in light of</w:t>
            </w:r>
            <w:proofErr w:type="gramEnd"/>
            <w:r w:rsidRPr="000714E8">
              <w:rPr>
                <w:rFonts w:ascii="Times New Roman" w:hAnsi="Times New Roman"/>
                <w:b/>
                <w:sz w:val="24"/>
                <w:szCs w:val="24"/>
              </w:rPr>
              <w:t xml:space="preserve"> traditional and new technologies, with a focus on AI</w:t>
            </w:r>
            <w:r w:rsidR="00DC3049">
              <w:rPr>
                <w:rFonts w:ascii="Times New Roman" w:hAnsi="Times New Roman"/>
                <w:b/>
                <w:sz w:val="24"/>
                <w:szCs w:val="24"/>
              </w:rPr>
              <w:br/>
            </w:r>
            <w:r w:rsidRPr="000714E8">
              <w:rPr>
                <w:rFonts w:ascii="Times New Roman" w:hAnsi="Times New Roman"/>
                <w:b/>
                <w:sz w:val="24"/>
                <w:szCs w:val="24"/>
              </w:rPr>
              <w:t>(exploratory opinion requested by the Polish Presidency of the Council of the EU)</w:t>
            </w:r>
            <w:r w:rsidRPr="000714E8">
              <w:rPr>
                <w:rFonts w:ascii="Times New Roman" w:hAnsi="Times New Roman"/>
                <w:b/>
                <w:sz w:val="24"/>
                <w:szCs w:val="24"/>
                <w:lang w:val="en-IE"/>
              </w:rPr>
              <w:br/>
              <w:t xml:space="preserve">EESC-2024-03858 </w:t>
            </w:r>
            <w:r w:rsidRPr="000714E8">
              <w:rPr>
                <w:rFonts w:ascii="Times New Roman" w:hAnsi="Times New Roman"/>
                <w:b/>
                <w:sz w:val="24"/>
                <w:szCs w:val="24"/>
              </w:rPr>
              <w:t>‒ SOC/818</w:t>
            </w:r>
            <w:r w:rsidRPr="000714E8">
              <w:rPr>
                <w:rFonts w:ascii="Times New Roman" w:hAnsi="Times New Roman"/>
                <w:b/>
                <w:sz w:val="24"/>
                <w:szCs w:val="24"/>
              </w:rPr>
              <w:br/>
              <w:t>595</w:t>
            </w:r>
            <w:r w:rsidRPr="000714E8">
              <w:rPr>
                <w:rFonts w:ascii="Times New Roman" w:hAnsi="Times New Roman"/>
                <w:b/>
                <w:sz w:val="24"/>
                <w:szCs w:val="24"/>
                <w:vertAlign w:val="superscript"/>
                <w:lang w:val="en-IE"/>
              </w:rPr>
              <w:t>th</w:t>
            </w:r>
            <w:r w:rsidRPr="000714E8">
              <w:rPr>
                <w:rFonts w:ascii="Times New Roman" w:hAnsi="Times New Roman"/>
                <w:b/>
                <w:sz w:val="24"/>
                <w:szCs w:val="24"/>
                <w:lang w:val="en-IE"/>
              </w:rPr>
              <w:t xml:space="preserve"> </w:t>
            </w:r>
            <w:r w:rsidRPr="000714E8">
              <w:rPr>
                <w:rFonts w:ascii="Times New Roman" w:hAnsi="Times New Roman"/>
                <w:b/>
                <w:sz w:val="24"/>
                <w:szCs w:val="24"/>
              </w:rPr>
              <w:t>Plenary Session – March 2025</w:t>
            </w:r>
            <w:r w:rsidRPr="000714E8">
              <w:rPr>
                <w:rFonts w:ascii="Times New Roman" w:hAnsi="Times New Roman"/>
                <w:b/>
                <w:sz w:val="24"/>
                <w:szCs w:val="24"/>
              </w:rPr>
              <w:br/>
              <w:t xml:space="preserve">Rapporteur: Carlos Manuel </w:t>
            </w:r>
            <w:r w:rsidR="00DC3049" w:rsidRPr="000714E8">
              <w:rPr>
                <w:rFonts w:ascii="Times New Roman" w:hAnsi="Times New Roman"/>
                <w:b/>
                <w:sz w:val="24"/>
                <w:szCs w:val="24"/>
              </w:rPr>
              <w:t>TRINDADE</w:t>
            </w:r>
            <w:r w:rsidRPr="000714E8">
              <w:rPr>
                <w:rFonts w:ascii="Times New Roman" w:hAnsi="Times New Roman"/>
                <w:b/>
                <w:sz w:val="24"/>
                <w:szCs w:val="24"/>
              </w:rPr>
              <w:t xml:space="preserve"> (PT-II)</w:t>
            </w:r>
            <w:r w:rsidRPr="000714E8">
              <w:rPr>
                <w:rFonts w:ascii="Times New Roman" w:hAnsi="Times New Roman"/>
                <w:b/>
                <w:sz w:val="24"/>
                <w:szCs w:val="24"/>
              </w:rPr>
              <w:br/>
              <w:t xml:space="preserve">DG EMPL – </w:t>
            </w:r>
            <w:r w:rsidR="00DC3049">
              <w:rPr>
                <w:rFonts w:ascii="Times New Roman" w:hAnsi="Times New Roman"/>
                <w:b/>
                <w:sz w:val="24"/>
                <w:szCs w:val="24"/>
              </w:rPr>
              <w:t xml:space="preserve">Executive Vice-President </w:t>
            </w:r>
            <w:r w:rsidRPr="000714E8">
              <w:rPr>
                <w:rFonts w:ascii="Times New Roman" w:hAnsi="Times New Roman"/>
                <w:b/>
                <w:sz w:val="24"/>
                <w:szCs w:val="24"/>
              </w:rPr>
              <w:t>MÎNZATU</w:t>
            </w:r>
          </w:p>
        </w:tc>
      </w:tr>
      <w:tr w:rsidR="00734613" w:rsidRPr="00442552" w14:paraId="1937071F" w14:textId="77777777" w:rsidTr="00DC3049">
        <w:trPr>
          <w:jc w:val="center"/>
        </w:trPr>
        <w:tc>
          <w:tcPr>
            <w:tcW w:w="10296" w:type="dxa"/>
          </w:tcPr>
          <w:p w14:paraId="1E50B4DB" w14:textId="5B2E2A85"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DC3049">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066AD8" w:rsidRPr="004F6117" w14:paraId="4A45011F" w14:textId="77777777" w:rsidTr="00DC3049">
        <w:trPr>
          <w:jc w:val="center"/>
        </w:trPr>
        <w:tc>
          <w:tcPr>
            <w:tcW w:w="10296" w:type="dxa"/>
            <w:shd w:val="clear" w:color="auto" w:fill="auto"/>
          </w:tcPr>
          <w:p w14:paraId="27507418" w14:textId="001ED0F5" w:rsidR="00066AD8" w:rsidRPr="00C25868" w:rsidRDefault="00066AD8" w:rsidP="00505552">
            <w:pPr>
              <w:widowControl w:val="0"/>
              <w:spacing w:before="120" w:after="120"/>
              <w:jc w:val="both"/>
              <w:rPr>
                <w:rFonts w:ascii="Times New Roman" w:hAnsi="Times New Roman"/>
                <w:bCs/>
                <w:sz w:val="24"/>
                <w:szCs w:val="24"/>
                <w:u w:val="single"/>
                <w:lang w:val="en-US"/>
              </w:rPr>
            </w:pPr>
            <w:r w:rsidRPr="00C25868">
              <w:rPr>
                <w:rFonts w:ascii="Times New Roman" w:hAnsi="Times New Roman"/>
                <w:bCs/>
                <w:sz w:val="24"/>
                <w:szCs w:val="24"/>
                <w:u w:val="single"/>
                <w:lang w:val="en-US"/>
              </w:rPr>
              <w:t>Point 1.7</w:t>
            </w:r>
            <w:r w:rsidR="00E8208A" w:rsidRPr="00C25868">
              <w:rPr>
                <w:rFonts w:ascii="Times New Roman" w:hAnsi="Times New Roman"/>
                <w:bCs/>
                <w:sz w:val="24"/>
                <w:szCs w:val="24"/>
                <w:u w:val="single"/>
                <w:lang w:val="en-US"/>
              </w:rPr>
              <w:t>.:</w:t>
            </w:r>
          </w:p>
          <w:p w14:paraId="005DFA69" w14:textId="77777777" w:rsidR="00066AD8" w:rsidRDefault="00066AD8"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lang w:val="en-US"/>
              </w:rPr>
              <w:t xml:space="preserve">The Commission </w:t>
            </w:r>
            <w:r w:rsidR="001017C7" w:rsidRPr="009E1510">
              <w:rPr>
                <w:rFonts w:ascii="Times New Roman" w:hAnsi="Times New Roman"/>
                <w:bCs/>
                <w:sz w:val="24"/>
                <w:szCs w:val="24"/>
                <w:lang w:val="en-US"/>
              </w:rPr>
              <w:t xml:space="preserve">would like to draw </w:t>
            </w:r>
            <w:r w:rsidRPr="009E1510">
              <w:rPr>
                <w:rFonts w:ascii="Times New Roman" w:hAnsi="Times New Roman"/>
                <w:bCs/>
                <w:sz w:val="24"/>
                <w:szCs w:val="24"/>
                <w:lang w:val="en-US"/>
              </w:rPr>
              <w:t>the attention of the Committee to Directive</w:t>
            </w:r>
            <w:r w:rsidR="009921DF" w:rsidRPr="009E1510">
              <w:rPr>
                <w:rFonts w:ascii="Times New Roman" w:hAnsi="Times New Roman"/>
                <w:bCs/>
                <w:sz w:val="24"/>
                <w:szCs w:val="24"/>
                <w:lang w:val="en-US"/>
              </w:rPr>
              <w:t xml:space="preserve"> on improving the working conditions in platform work</w:t>
            </w:r>
            <w:r w:rsidR="009921DF" w:rsidRPr="009E1510">
              <w:rPr>
                <w:rStyle w:val="FootnoteReference"/>
                <w:rFonts w:ascii="Times New Roman" w:hAnsi="Times New Roman"/>
                <w:bCs/>
                <w:szCs w:val="24"/>
                <w:lang w:val="en-US"/>
              </w:rPr>
              <w:footnoteReference w:id="1"/>
            </w:r>
            <w:r w:rsidRPr="009E1510">
              <w:rPr>
                <w:rFonts w:ascii="Times New Roman" w:hAnsi="Times New Roman"/>
                <w:bCs/>
                <w:sz w:val="24"/>
                <w:szCs w:val="24"/>
                <w:lang w:val="en-US"/>
              </w:rPr>
              <w:t xml:space="preserve">, through which the Commission has adopted policies regarding human oversight and information and consultation rights related to </w:t>
            </w:r>
            <w:r w:rsidRPr="009E1510">
              <w:rPr>
                <w:rFonts w:ascii="Times New Roman" w:hAnsi="Times New Roman"/>
                <w:bCs/>
                <w:sz w:val="24"/>
                <w:szCs w:val="24"/>
              </w:rPr>
              <w:t>automated monitoring systems or automated decision-making systems. Members States have until 2 December 2026, to transpose the Directive in their national legal frameworks.</w:t>
            </w:r>
          </w:p>
          <w:p w14:paraId="28A3936C" w14:textId="77777777" w:rsidR="009E1510" w:rsidRPr="00C25868" w:rsidRDefault="009E1510" w:rsidP="00505552">
            <w:pPr>
              <w:widowControl w:val="0"/>
              <w:spacing w:before="120" w:after="120"/>
              <w:jc w:val="both"/>
              <w:rPr>
                <w:rFonts w:ascii="Times New Roman" w:hAnsi="Times New Roman"/>
                <w:sz w:val="24"/>
                <w:szCs w:val="24"/>
                <w:u w:val="single"/>
              </w:rPr>
            </w:pPr>
            <w:r w:rsidRPr="00C25868">
              <w:rPr>
                <w:rFonts w:ascii="Times New Roman" w:hAnsi="Times New Roman"/>
                <w:sz w:val="24"/>
                <w:szCs w:val="24"/>
                <w:u w:val="single"/>
              </w:rPr>
              <w:t>Points 1.13. and Point 2.11.:</w:t>
            </w:r>
          </w:p>
          <w:p w14:paraId="265B6D3A" w14:textId="77777777" w:rsidR="009E1510" w:rsidRPr="009E1510" w:rsidRDefault="009E1510" w:rsidP="00505552">
            <w:pPr>
              <w:widowControl w:val="0"/>
              <w:spacing w:before="120" w:after="120"/>
              <w:jc w:val="both"/>
              <w:rPr>
                <w:rFonts w:ascii="Times New Roman" w:hAnsi="Times New Roman"/>
                <w:sz w:val="24"/>
                <w:szCs w:val="24"/>
              </w:rPr>
            </w:pPr>
            <w:r w:rsidRPr="009E1510">
              <w:rPr>
                <w:rFonts w:ascii="Times New Roman" w:hAnsi="Times New Roman"/>
                <w:sz w:val="24"/>
                <w:szCs w:val="24"/>
              </w:rPr>
              <w:t xml:space="preserve">The Commission, in cooperation with relevant Member State authorities, continuously works on improving its data collections on work accidents, work-related health problems and occupational diseases. In these works, major new developments in occupational safety and health (OSH) are </w:t>
            </w:r>
            <w:proofErr w:type="gramStart"/>
            <w:r w:rsidRPr="009E1510">
              <w:rPr>
                <w:rFonts w:ascii="Times New Roman" w:hAnsi="Times New Roman"/>
                <w:sz w:val="24"/>
                <w:szCs w:val="24"/>
              </w:rPr>
              <w:t>taken into account</w:t>
            </w:r>
            <w:proofErr w:type="gramEnd"/>
            <w:r w:rsidRPr="009E1510">
              <w:rPr>
                <w:rFonts w:ascii="Times New Roman" w:hAnsi="Times New Roman"/>
                <w:sz w:val="24"/>
                <w:szCs w:val="24"/>
              </w:rPr>
              <w:t>.</w:t>
            </w:r>
          </w:p>
          <w:p w14:paraId="1C7A1F7E" w14:textId="77777777" w:rsidR="009E1510" w:rsidRPr="009E1510" w:rsidRDefault="009E1510" w:rsidP="00505552">
            <w:pPr>
              <w:widowControl w:val="0"/>
              <w:spacing w:before="120" w:after="120"/>
              <w:jc w:val="both"/>
              <w:rPr>
                <w:rFonts w:ascii="Times New Roman" w:hAnsi="Times New Roman"/>
                <w:sz w:val="24"/>
                <w:szCs w:val="24"/>
              </w:rPr>
            </w:pPr>
            <w:r w:rsidRPr="009E1510">
              <w:rPr>
                <w:rFonts w:ascii="Times New Roman" w:hAnsi="Times New Roman"/>
                <w:sz w:val="24"/>
                <w:szCs w:val="24"/>
              </w:rPr>
              <w:t xml:space="preserve">Furthermore, the Commission and the </w:t>
            </w:r>
            <w:r w:rsidRPr="009E1510">
              <w:rPr>
                <w:rFonts w:ascii="Times New Roman" w:hAnsi="Times New Roman"/>
                <w:bCs/>
                <w:sz w:val="24"/>
                <w:szCs w:val="24"/>
              </w:rPr>
              <w:t xml:space="preserve">European Agency for Safety and Health at Work (EU-OSHA) </w:t>
            </w:r>
            <w:r w:rsidRPr="009E1510">
              <w:rPr>
                <w:rFonts w:ascii="Times New Roman" w:hAnsi="Times New Roman"/>
                <w:sz w:val="24"/>
                <w:szCs w:val="24"/>
              </w:rPr>
              <w:t>conduct significant analytical work, as well as work on guides and practical tools, to help employers and workers fulfil their roles under the applicable legislation and prevent accidents and illness at work.</w:t>
            </w:r>
          </w:p>
          <w:p w14:paraId="5DD587DD" w14:textId="1416DAF3" w:rsidR="009E1510" w:rsidRDefault="009E1510" w:rsidP="00505552">
            <w:pPr>
              <w:widowControl w:val="0"/>
              <w:spacing w:before="120" w:after="120"/>
              <w:jc w:val="both"/>
              <w:rPr>
                <w:rFonts w:ascii="Times New Roman" w:hAnsi="Times New Roman"/>
                <w:sz w:val="24"/>
                <w:szCs w:val="24"/>
              </w:rPr>
            </w:pPr>
            <w:r w:rsidRPr="009E1510">
              <w:rPr>
                <w:rFonts w:ascii="Times New Roman" w:hAnsi="Times New Roman"/>
                <w:sz w:val="24"/>
                <w:szCs w:val="24"/>
              </w:rPr>
              <w:t>Regarding challenges and opportunities presented by digitalisation and artificial intelligence (AI), the EU-OSHA has carried out a foresight study on digitalisation and OSH. In addition, a major overview has taken place to provide information in the context of OSH focusing on advanced robotics and artificial intelligence, workers management through AI, digital platform work, smart digital systems and remote work.</w:t>
            </w:r>
            <w:r w:rsidRPr="009E1510">
              <w:rPr>
                <w:rStyle w:val="FootnoteReference"/>
                <w:rFonts w:ascii="Times New Roman" w:hAnsi="Times New Roman"/>
                <w:szCs w:val="24"/>
              </w:rPr>
              <w:footnoteReference w:id="2"/>
            </w:r>
            <w:r w:rsidRPr="009E1510">
              <w:rPr>
                <w:rFonts w:ascii="Times New Roman" w:hAnsi="Times New Roman"/>
                <w:sz w:val="24"/>
                <w:szCs w:val="24"/>
              </w:rPr>
              <w:t xml:space="preserve"> The EU-OSHA also launched the EU-wide Healthy Workplaces Campaign on digitalization, helping to raise awareness of risks and opportunities.</w:t>
            </w:r>
            <w:r w:rsidRPr="009E1510">
              <w:rPr>
                <w:rStyle w:val="FootnoteReference"/>
                <w:rFonts w:ascii="Times New Roman" w:hAnsi="Times New Roman"/>
                <w:szCs w:val="24"/>
              </w:rPr>
              <w:footnoteReference w:id="3"/>
            </w:r>
          </w:p>
          <w:p w14:paraId="269514E7" w14:textId="77777777" w:rsidR="009E1510" w:rsidRPr="00C25868" w:rsidRDefault="009E1510" w:rsidP="00505552">
            <w:pPr>
              <w:widowControl w:val="0"/>
              <w:spacing w:before="120" w:after="120"/>
              <w:jc w:val="both"/>
              <w:rPr>
                <w:rFonts w:ascii="Times New Roman" w:hAnsi="Times New Roman"/>
                <w:bCs/>
                <w:sz w:val="24"/>
                <w:szCs w:val="24"/>
                <w:u w:val="single"/>
              </w:rPr>
            </w:pPr>
            <w:r w:rsidRPr="00C25868">
              <w:rPr>
                <w:rFonts w:ascii="Times New Roman" w:hAnsi="Times New Roman"/>
                <w:bCs/>
                <w:sz w:val="24"/>
                <w:szCs w:val="24"/>
                <w:u w:val="single"/>
              </w:rPr>
              <w:t>Point 1.14.:</w:t>
            </w:r>
          </w:p>
          <w:p w14:paraId="2B884A3F" w14:textId="404F965E" w:rsid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The implementation of the 2020 Framework Agreement on Digitalisation is monitored by the European cross-industry social partners. The Social Dialogue Committee prepared and adopted already three yearly tables summarising the implementation of the agreement. A full report on the implementation actions is currently being finalised by social partners.</w:t>
            </w:r>
          </w:p>
          <w:p w14:paraId="5EDD61B1" w14:textId="77777777" w:rsidR="009E1510" w:rsidRPr="00C25868" w:rsidRDefault="009E1510" w:rsidP="00505552">
            <w:pPr>
              <w:widowControl w:val="0"/>
              <w:spacing w:before="120" w:after="120"/>
              <w:jc w:val="both"/>
              <w:rPr>
                <w:rFonts w:ascii="Times New Roman" w:hAnsi="Times New Roman"/>
                <w:bCs/>
                <w:sz w:val="24"/>
                <w:szCs w:val="24"/>
                <w:u w:val="single"/>
              </w:rPr>
            </w:pPr>
            <w:r w:rsidRPr="00C25868">
              <w:rPr>
                <w:rFonts w:ascii="Times New Roman" w:hAnsi="Times New Roman"/>
                <w:bCs/>
                <w:sz w:val="24"/>
                <w:szCs w:val="24"/>
                <w:u w:val="single"/>
              </w:rPr>
              <w:lastRenderedPageBreak/>
              <w:t>Point 1.19.:</w:t>
            </w:r>
          </w:p>
          <w:p w14:paraId="1E8ACAC1" w14:textId="1BF1810C" w:rsidR="009E1510" w:rsidRDefault="009E1510" w:rsidP="00505552">
            <w:pPr>
              <w:widowControl w:val="0"/>
              <w:spacing w:before="120" w:after="120"/>
              <w:jc w:val="both"/>
              <w:rPr>
                <w:rFonts w:ascii="Times New Roman" w:hAnsi="Times New Roman"/>
                <w:sz w:val="24"/>
                <w:szCs w:val="24"/>
              </w:rPr>
            </w:pPr>
            <w:r w:rsidRPr="009E1510">
              <w:rPr>
                <w:rFonts w:ascii="Times New Roman" w:hAnsi="Times New Roman"/>
                <w:bCs/>
                <w:sz w:val="24"/>
                <w:szCs w:val="24"/>
              </w:rPr>
              <w:t>The Commission supports the work of the cross-industry Social Dialogue Committee and the 44 Sectoral Social Dialogue Committees by providing financial support to European and national social partners, including from candidate countries, through its annual calls for proposals related to social dialogue as well as to the two European trade union institutes. Challenges related to digitalisation and AI feature in the work programmes of many Committees and are addressed in many of the projects for which social partners receive project funding.</w:t>
            </w:r>
          </w:p>
          <w:p w14:paraId="024E9EEE" w14:textId="77777777" w:rsidR="009E1510" w:rsidRPr="00C25868" w:rsidRDefault="009E1510" w:rsidP="00505552">
            <w:pPr>
              <w:widowControl w:val="0"/>
              <w:spacing w:before="120" w:after="120"/>
              <w:jc w:val="both"/>
              <w:rPr>
                <w:rFonts w:ascii="Times New Roman" w:hAnsi="Times New Roman"/>
                <w:bCs/>
                <w:sz w:val="24"/>
                <w:szCs w:val="24"/>
                <w:u w:val="single"/>
              </w:rPr>
            </w:pPr>
            <w:r w:rsidRPr="00C25868">
              <w:rPr>
                <w:rFonts w:ascii="Times New Roman" w:hAnsi="Times New Roman"/>
                <w:bCs/>
                <w:sz w:val="24"/>
                <w:szCs w:val="24"/>
                <w:u w:val="single"/>
              </w:rPr>
              <w:t>Point 2.11. and Point 3.2.:</w:t>
            </w:r>
          </w:p>
          <w:p w14:paraId="1D33BB53" w14:textId="77777777" w:rsidR="009E1510" w:rsidRP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Concerning the legislation in the context of OSH risks, the Framework Directive on Safety and Health at Work</w:t>
            </w:r>
            <w:r w:rsidRPr="009E1510">
              <w:rPr>
                <w:rStyle w:val="FootnoteReference"/>
                <w:rFonts w:ascii="Times New Roman" w:hAnsi="Times New Roman"/>
                <w:bCs/>
                <w:szCs w:val="24"/>
              </w:rPr>
              <w:footnoteReference w:id="4"/>
            </w:r>
            <w:r w:rsidRPr="009E1510">
              <w:rPr>
                <w:rFonts w:ascii="Times New Roman" w:hAnsi="Times New Roman"/>
                <w:bCs/>
                <w:sz w:val="24"/>
                <w:szCs w:val="24"/>
              </w:rPr>
              <w:t xml:space="preserve"> is an example of a legislative act that, by virtue of its open and flexible character and its goal-oriented approach, maintains fully its relevance and effectiveness. The said Directive, together with the individual and related directives that constitute the EU acquis </w:t>
            </w:r>
            <w:proofErr w:type="gramStart"/>
            <w:r w:rsidRPr="009E1510">
              <w:rPr>
                <w:rFonts w:ascii="Times New Roman" w:hAnsi="Times New Roman"/>
                <w:bCs/>
                <w:sz w:val="24"/>
                <w:szCs w:val="24"/>
              </w:rPr>
              <w:t>in the area of</w:t>
            </w:r>
            <w:proofErr w:type="gramEnd"/>
            <w:r w:rsidRPr="009E1510">
              <w:rPr>
                <w:rFonts w:ascii="Times New Roman" w:hAnsi="Times New Roman"/>
                <w:bCs/>
                <w:sz w:val="24"/>
                <w:szCs w:val="24"/>
              </w:rPr>
              <w:t xml:space="preserve"> OSH, provide solid and comprehensive protection of workers against all risks, physical and psychosocial, to their occupational safety and health. </w:t>
            </w:r>
          </w:p>
          <w:p w14:paraId="64A60EBB" w14:textId="77777777" w:rsid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In view of this, there are currently no plans to amend the Framework Directive. However, the upcoming national implementation reports for the reporting period 2018-2022 and the Commission’s review of the practical implementation of, among others, the Framework Directive during that period will provide further input to re-assess this matter if needed.</w:t>
            </w:r>
          </w:p>
          <w:p w14:paraId="7B61B7B2" w14:textId="77777777" w:rsidR="009E1510" w:rsidRP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As provided by Article 17(a) of the of the Framework Directive on Safety and Health at Work 89/391/EEC and other relevant legislative provisions</w:t>
            </w:r>
            <w:r w:rsidRPr="009E1510">
              <w:rPr>
                <w:rStyle w:val="FootnoteReference"/>
                <w:rFonts w:ascii="Times New Roman" w:hAnsi="Times New Roman"/>
                <w:bCs/>
                <w:szCs w:val="24"/>
              </w:rPr>
              <w:footnoteReference w:id="5"/>
            </w:r>
            <w:r w:rsidRPr="009E1510">
              <w:rPr>
                <w:rFonts w:ascii="Times New Roman" w:hAnsi="Times New Roman"/>
                <w:bCs/>
                <w:sz w:val="24"/>
                <w:szCs w:val="24"/>
              </w:rPr>
              <w:t>, every five years, the Member States must submit a report to the Commission on the practical implementation of 24 OSH directives, indicating the points of view of the social partners. The report must assess the various points related to the practical implementation of the directives and, where appropriate and available, provide data disaggregated by gender. The ongoing such exercise will cover the period 2018-2022.</w:t>
            </w:r>
          </w:p>
          <w:p w14:paraId="6ED12D7C" w14:textId="77777777" w:rsidR="009E1510" w:rsidRP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The Commission, using the above national implementation reports as a basis among other elements, will review the practical implementation of the 24 directives in terms of their relevance, of research and of new scientific knowledge in the various fields in question, and inform the European Parliament, the Council, the European Economic and Social Committee and the Advisory Committee on Safety and Health at Work (ACSH) of the results of this review and, if necessary, of any initiatives to improve the operation of the regulatory framework.</w:t>
            </w:r>
          </w:p>
          <w:p w14:paraId="0D406B51" w14:textId="69CAD7C5" w:rsidR="009E1510" w:rsidRDefault="009E1510" w:rsidP="00505552">
            <w:pPr>
              <w:widowControl w:val="0"/>
              <w:spacing w:before="120" w:after="120"/>
              <w:jc w:val="both"/>
              <w:rPr>
                <w:rFonts w:ascii="Times New Roman" w:hAnsi="Times New Roman"/>
                <w:sz w:val="24"/>
                <w:szCs w:val="24"/>
                <w:lang w:val="en-US"/>
              </w:rPr>
            </w:pPr>
            <w:r w:rsidRPr="009E1510">
              <w:rPr>
                <w:rFonts w:ascii="Times New Roman" w:hAnsi="Times New Roman"/>
                <w:bCs/>
                <w:sz w:val="24"/>
                <w:szCs w:val="24"/>
              </w:rPr>
              <w:t xml:space="preserve">As regards the question of guidance, besides the work of the EU-OSHA </w:t>
            </w:r>
            <w:r w:rsidRPr="009E1510">
              <w:rPr>
                <w:rFonts w:ascii="Times New Roman" w:hAnsi="Times New Roman"/>
                <w:bCs/>
                <w:i/>
                <w:iCs/>
                <w:sz w:val="24"/>
                <w:szCs w:val="24"/>
              </w:rPr>
              <w:t xml:space="preserve">(see the reply to point 1.13) </w:t>
            </w:r>
            <w:r w:rsidRPr="009E1510">
              <w:rPr>
                <w:rFonts w:ascii="Times New Roman" w:hAnsi="Times New Roman"/>
                <w:bCs/>
                <w:sz w:val="24"/>
                <w:szCs w:val="24"/>
                <w:lang w:val="en-US"/>
              </w:rPr>
              <w:t xml:space="preserve">the </w:t>
            </w:r>
            <w:r w:rsidRPr="009E1510">
              <w:rPr>
                <w:rFonts w:ascii="Times New Roman" w:hAnsi="Times New Roman"/>
                <w:sz w:val="24"/>
                <w:szCs w:val="24"/>
                <w:lang w:val="en-US"/>
              </w:rPr>
              <w:t xml:space="preserve">Senior Labour Inspectors’ Committee (SLIC) contributes to promoting equivalent and effective enforcement of national legislation transposing the EU OSH directives across the EU. </w:t>
            </w:r>
            <w:proofErr w:type="gramStart"/>
            <w:r w:rsidRPr="009E1510">
              <w:rPr>
                <w:rFonts w:ascii="Times New Roman" w:hAnsi="Times New Roman"/>
                <w:sz w:val="24"/>
                <w:szCs w:val="24"/>
                <w:lang w:val="en-US"/>
              </w:rPr>
              <w:t>In particular, as</w:t>
            </w:r>
            <w:proofErr w:type="gramEnd"/>
            <w:r w:rsidRPr="009E1510">
              <w:rPr>
                <w:rFonts w:ascii="Times New Roman" w:hAnsi="Times New Roman"/>
                <w:sz w:val="24"/>
                <w:szCs w:val="24"/>
                <w:lang w:val="en-US"/>
              </w:rPr>
              <w:t xml:space="preserve"> </w:t>
            </w:r>
            <w:r w:rsidRPr="009E1510">
              <w:rPr>
                <w:rFonts w:ascii="Times New Roman" w:hAnsi="Times New Roman"/>
                <w:sz w:val="24"/>
                <w:szCs w:val="24"/>
                <w:lang w:val="en-US"/>
              </w:rPr>
              <w:lastRenderedPageBreak/>
              <w:t>referred by the Committee, the SLIC sub-group on robotics and digitalisation has prepared a paper to support labour inspectors as regards OSH enforcement on digitalisation and the use of machinery and robotics using artificial intelligence, including case studies, and is preparing further guidelines.</w:t>
            </w:r>
          </w:p>
          <w:p w14:paraId="77AA2FCA" w14:textId="77777777" w:rsidR="009E1510" w:rsidRPr="00C25868" w:rsidRDefault="009E1510" w:rsidP="00505552">
            <w:pPr>
              <w:widowControl w:val="0"/>
              <w:spacing w:before="120" w:after="120"/>
              <w:jc w:val="both"/>
              <w:rPr>
                <w:rFonts w:ascii="Times New Roman" w:hAnsi="Times New Roman"/>
                <w:bCs/>
                <w:sz w:val="24"/>
                <w:szCs w:val="24"/>
                <w:u w:val="single"/>
              </w:rPr>
            </w:pPr>
            <w:r w:rsidRPr="00C25868">
              <w:rPr>
                <w:rFonts w:ascii="Times New Roman" w:hAnsi="Times New Roman"/>
                <w:bCs/>
                <w:sz w:val="24"/>
                <w:szCs w:val="24"/>
                <w:u w:val="single"/>
              </w:rPr>
              <w:t>Point 3.10.:</w:t>
            </w:r>
          </w:p>
          <w:p w14:paraId="60DE4FE9" w14:textId="2ED1F8DB" w:rsid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Mental health, including at work, is high on the Commission’s agenda and part of the European Commission President’s Political Guidelines 2024-2029. Several work strands are currently underway. First, the outcomes of the peer review on legislative and enforcement approaches to address psychosocial risks at work by the Member States</w:t>
            </w:r>
            <w:r w:rsidRPr="009E1510">
              <w:rPr>
                <w:rStyle w:val="FootnoteReference"/>
                <w:rFonts w:ascii="Times New Roman" w:hAnsi="Times New Roman"/>
                <w:bCs/>
                <w:szCs w:val="24"/>
              </w:rPr>
              <w:footnoteReference w:id="6"/>
            </w:r>
            <w:r w:rsidRPr="009E1510">
              <w:rPr>
                <w:rFonts w:ascii="Times New Roman" w:hAnsi="Times New Roman"/>
                <w:bCs/>
                <w:sz w:val="24"/>
                <w:szCs w:val="24"/>
              </w:rPr>
              <w:t xml:space="preserve"> carried out in 2024 will be considered. Second, discussions will take place at tripartite level at the Advisory Committee on Safety and Health at Work, where the Working Party on mental health and psychosocial risks at work was set up in early 2025 involving representatives of workers, employers and governments. In this topic, this tripartite approach is essential. Furthermore, EU-OSHA will carry out a Healthy Workplaces Campaign on Mental Health at Work between 2026-2028</w:t>
            </w:r>
            <w:r w:rsidRPr="009E1510">
              <w:rPr>
                <w:rStyle w:val="FootnoteReference"/>
                <w:rFonts w:ascii="Times New Roman" w:hAnsi="Times New Roman"/>
                <w:bCs/>
                <w:szCs w:val="24"/>
              </w:rPr>
              <w:footnoteReference w:id="7"/>
            </w:r>
            <w:r w:rsidRPr="009E1510">
              <w:rPr>
                <w:rFonts w:ascii="Times New Roman" w:hAnsi="Times New Roman"/>
                <w:bCs/>
                <w:sz w:val="24"/>
                <w:szCs w:val="24"/>
              </w:rPr>
              <w:t xml:space="preserve"> and the Commission will work closely with them. Finally, the Commission is considering </w:t>
            </w:r>
            <w:r w:rsidR="00486DAE">
              <w:rPr>
                <w:rFonts w:ascii="Times New Roman" w:hAnsi="Times New Roman"/>
                <w:bCs/>
                <w:sz w:val="24"/>
                <w:szCs w:val="24"/>
              </w:rPr>
              <w:t xml:space="preserve">to further </w:t>
            </w:r>
            <w:r w:rsidRPr="009E1510">
              <w:rPr>
                <w:rFonts w:ascii="Times New Roman" w:hAnsi="Times New Roman"/>
                <w:bCs/>
                <w:sz w:val="24"/>
                <w:szCs w:val="24"/>
              </w:rPr>
              <w:t>address psychosocial risks at work in the context of the review of the Directive on the minimum safety and health requirements for the workplace</w:t>
            </w:r>
            <w:r w:rsidRPr="009E1510">
              <w:rPr>
                <w:rStyle w:val="FootnoteReference"/>
                <w:rFonts w:ascii="Times New Roman" w:hAnsi="Times New Roman"/>
                <w:bCs/>
                <w:szCs w:val="24"/>
              </w:rPr>
              <w:footnoteReference w:id="8"/>
            </w:r>
            <w:r w:rsidRPr="009E1510">
              <w:rPr>
                <w:rFonts w:ascii="Times New Roman" w:hAnsi="Times New Roman"/>
                <w:bCs/>
                <w:sz w:val="24"/>
                <w:szCs w:val="24"/>
              </w:rPr>
              <w:t>.</w:t>
            </w:r>
          </w:p>
          <w:p w14:paraId="4E798B60" w14:textId="77777777" w:rsidR="009E1510" w:rsidRPr="00C25868" w:rsidRDefault="009E1510" w:rsidP="00505552">
            <w:pPr>
              <w:widowControl w:val="0"/>
              <w:spacing w:before="120" w:after="120"/>
              <w:jc w:val="both"/>
              <w:rPr>
                <w:rFonts w:ascii="Times New Roman" w:hAnsi="Times New Roman"/>
                <w:bCs/>
                <w:sz w:val="24"/>
                <w:szCs w:val="24"/>
                <w:u w:val="single"/>
              </w:rPr>
            </w:pPr>
            <w:r w:rsidRPr="00C25868">
              <w:rPr>
                <w:rFonts w:ascii="Times New Roman" w:hAnsi="Times New Roman"/>
                <w:bCs/>
                <w:sz w:val="24"/>
                <w:szCs w:val="24"/>
                <w:u w:val="single"/>
              </w:rPr>
              <w:t>Point 3.20.:</w:t>
            </w:r>
          </w:p>
          <w:p w14:paraId="27E4B57F" w14:textId="714988CD" w:rsidR="009E1510" w:rsidRP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The Commission draws the attention of the Committee to the ongoing revi</w:t>
            </w:r>
            <w:r w:rsidR="00486DAE">
              <w:rPr>
                <w:rFonts w:ascii="Times New Roman" w:hAnsi="Times New Roman"/>
                <w:bCs/>
                <w:sz w:val="24"/>
                <w:szCs w:val="24"/>
              </w:rPr>
              <w:t>ews</w:t>
            </w:r>
            <w:r w:rsidRPr="009E1510">
              <w:rPr>
                <w:rFonts w:ascii="Times New Roman" w:hAnsi="Times New Roman"/>
                <w:bCs/>
                <w:sz w:val="24"/>
                <w:szCs w:val="24"/>
              </w:rPr>
              <w:t xml:space="preserve"> of Directives on the minimum safety and health requirements for work with display screen equipment</w:t>
            </w:r>
            <w:r w:rsidRPr="00C46B79">
              <w:rPr>
                <w:rFonts w:ascii="Times New Roman" w:hAnsi="Times New Roman"/>
                <w:sz w:val="24"/>
                <w:szCs w:val="24"/>
                <w:vertAlign w:val="superscript"/>
              </w:rPr>
              <w:footnoteReference w:id="9"/>
            </w:r>
            <w:r w:rsidRPr="009E1510">
              <w:rPr>
                <w:rFonts w:ascii="Times New Roman" w:hAnsi="Times New Roman"/>
                <w:bCs/>
                <w:sz w:val="24"/>
                <w:szCs w:val="24"/>
              </w:rPr>
              <w:t xml:space="preserve"> and on the minimum safety and health requirements for the workplace</w:t>
            </w:r>
            <w:r w:rsidRPr="00C46B79">
              <w:rPr>
                <w:rFonts w:ascii="Times New Roman" w:hAnsi="Times New Roman"/>
                <w:sz w:val="24"/>
                <w:szCs w:val="24"/>
                <w:vertAlign w:val="superscript"/>
              </w:rPr>
              <w:footnoteReference w:id="10"/>
            </w:r>
            <w:r w:rsidRPr="009E1510">
              <w:rPr>
                <w:rFonts w:ascii="Times New Roman" w:hAnsi="Times New Roman"/>
                <w:bCs/>
                <w:sz w:val="24"/>
                <w:szCs w:val="24"/>
              </w:rPr>
              <w:t xml:space="preserve"> as included in the EU strategic framework on health and safety at work 2021-2027.</w:t>
            </w:r>
          </w:p>
          <w:p w14:paraId="564FB0F8" w14:textId="2D1201A8" w:rsidR="009E1510" w:rsidRPr="009E1510" w:rsidRDefault="009E1510" w:rsidP="00505552">
            <w:pPr>
              <w:widowControl w:val="0"/>
              <w:spacing w:before="120" w:after="120"/>
              <w:jc w:val="both"/>
              <w:rPr>
                <w:rFonts w:ascii="Times New Roman" w:hAnsi="Times New Roman"/>
                <w:bCs/>
                <w:sz w:val="24"/>
                <w:szCs w:val="24"/>
              </w:rPr>
            </w:pPr>
            <w:r w:rsidRPr="009E1510">
              <w:rPr>
                <w:rFonts w:ascii="Times New Roman" w:hAnsi="Times New Roman"/>
                <w:bCs/>
                <w:sz w:val="24"/>
                <w:szCs w:val="24"/>
              </w:rPr>
              <w:t>Psychosocial and ergonomic risks are considered in the ongoing review of the Workplace Directive 89/654/EEC. Furthermore, the Senior Labour Inspector Committee is currently updating its Guide to support Labour Inspectors with regard to the prevention of psychosocial risks.</w:t>
            </w:r>
          </w:p>
        </w:tc>
      </w:tr>
    </w:tbl>
    <w:p w14:paraId="6AF07B14" w14:textId="26AEAB66" w:rsidR="004F6117" w:rsidRPr="000714E8" w:rsidRDefault="004F6117" w:rsidP="000714E8">
      <w:pPr>
        <w:ind w:left="-567"/>
        <w:rPr>
          <w:rFonts w:ascii="Times New Roman" w:hAnsi="Times New Roman"/>
          <w:bCs/>
          <w:sz w:val="16"/>
          <w:szCs w:val="16"/>
        </w:rPr>
      </w:pPr>
    </w:p>
    <w:sectPr w:rsidR="004F6117" w:rsidRPr="000714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31AF" w14:textId="77777777" w:rsidR="00E409BD" w:rsidRDefault="00E409BD" w:rsidP="00FF63EA">
      <w:pPr>
        <w:spacing w:after="0" w:line="240" w:lineRule="auto"/>
      </w:pPr>
      <w:r>
        <w:separator/>
      </w:r>
    </w:p>
  </w:endnote>
  <w:endnote w:type="continuationSeparator" w:id="0">
    <w:p w14:paraId="62A19CF9" w14:textId="77777777" w:rsidR="00E409BD" w:rsidRDefault="00E409BD"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520C" w14:textId="77777777" w:rsidR="00E409BD" w:rsidRDefault="00E409BD" w:rsidP="00FF63EA">
      <w:pPr>
        <w:spacing w:after="0" w:line="240" w:lineRule="auto"/>
      </w:pPr>
      <w:r>
        <w:separator/>
      </w:r>
    </w:p>
  </w:footnote>
  <w:footnote w:type="continuationSeparator" w:id="0">
    <w:p w14:paraId="22C4B219" w14:textId="77777777" w:rsidR="00E409BD" w:rsidRDefault="00E409BD" w:rsidP="00FF63EA">
      <w:pPr>
        <w:spacing w:after="0" w:line="240" w:lineRule="auto"/>
      </w:pPr>
      <w:r>
        <w:continuationSeparator/>
      </w:r>
    </w:p>
  </w:footnote>
  <w:footnote w:id="1">
    <w:p w14:paraId="3899F691" w14:textId="51492820" w:rsidR="009921DF" w:rsidRPr="00C25868" w:rsidRDefault="009921DF" w:rsidP="00C25868">
      <w:pPr>
        <w:pStyle w:val="FootnoteText"/>
        <w:widowControl w:val="0"/>
        <w:spacing w:after="0" w:line="240" w:lineRule="auto"/>
        <w:ind w:left="-141" w:right="-426" w:hanging="284"/>
        <w:jc w:val="both"/>
        <w:rPr>
          <w:rFonts w:ascii="Times New Roman" w:hAnsi="Times New Roman"/>
        </w:rPr>
      </w:pPr>
      <w:r w:rsidRPr="00C25868">
        <w:rPr>
          <w:rStyle w:val="FootnoteReference"/>
          <w:rFonts w:ascii="Times New Roman" w:hAnsi="Times New Roman"/>
          <w:sz w:val="20"/>
        </w:rPr>
        <w:footnoteRef/>
      </w:r>
      <w:r w:rsidRPr="00C25868">
        <w:rPr>
          <w:rFonts w:ascii="Times New Roman" w:hAnsi="Times New Roman"/>
        </w:rPr>
        <w:t xml:space="preserve"> </w:t>
      </w:r>
      <w:r w:rsidRPr="00C25868">
        <w:rPr>
          <w:rFonts w:ascii="Times New Roman" w:hAnsi="Times New Roman"/>
        </w:rPr>
        <w:tab/>
        <w:t>Directive (EU) 2024/2831 of the European Parliament and of the Council of 23 October 2024 on improving working conditions in platform work (</w:t>
      </w:r>
      <w:hyperlink r:id="rId1" w:history="1">
        <w:r w:rsidRPr="00C25868">
          <w:rPr>
            <w:rStyle w:val="Hyperlink"/>
            <w:rFonts w:ascii="Times New Roman" w:hAnsi="Times New Roman"/>
          </w:rPr>
          <w:t>https://eur-lex.europa.eu/eli/dir/2024/2831/oj/eng</w:t>
        </w:r>
      </w:hyperlink>
      <w:r w:rsidRPr="00C25868">
        <w:rPr>
          <w:rFonts w:ascii="Times New Roman" w:hAnsi="Times New Roman"/>
        </w:rPr>
        <w:t>).</w:t>
      </w:r>
    </w:p>
  </w:footnote>
  <w:footnote w:id="2">
    <w:p w14:paraId="4BDA5C44" w14:textId="77777777" w:rsidR="009E1510" w:rsidRPr="00C25868" w:rsidRDefault="009E1510" w:rsidP="00C25868">
      <w:pPr>
        <w:pStyle w:val="FootnoteText"/>
        <w:widowControl w:val="0"/>
        <w:spacing w:after="0" w:line="240" w:lineRule="auto"/>
        <w:ind w:left="-141" w:right="-426" w:hanging="284"/>
        <w:jc w:val="both"/>
        <w:rPr>
          <w:rFonts w:ascii="Times New Roman" w:hAnsi="Times New Roman"/>
        </w:rPr>
      </w:pPr>
      <w:r w:rsidRPr="00C25868">
        <w:rPr>
          <w:rStyle w:val="FootnoteReference"/>
          <w:rFonts w:ascii="Times New Roman" w:hAnsi="Times New Roman"/>
          <w:sz w:val="20"/>
        </w:rPr>
        <w:footnoteRef/>
      </w:r>
      <w:r w:rsidRPr="00C25868">
        <w:rPr>
          <w:rFonts w:ascii="Times New Roman" w:hAnsi="Times New Roman"/>
        </w:rPr>
        <w:t xml:space="preserve"> </w:t>
      </w:r>
      <w:r w:rsidRPr="00C25868">
        <w:rPr>
          <w:rFonts w:ascii="Times New Roman" w:hAnsi="Times New Roman"/>
        </w:rPr>
        <w:tab/>
      </w:r>
      <w:hyperlink r:id="rId2" w:history="1">
        <w:r w:rsidRPr="00C25868">
          <w:rPr>
            <w:rStyle w:val="Hyperlink"/>
            <w:rFonts w:ascii="Times New Roman" w:hAnsi="Times New Roman"/>
          </w:rPr>
          <w:t>https://osha.europa.eu/en/themes/digitalisation-work</w:t>
        </w:r>
      </w:hyperlink>
      <w:r w:rsidRPr="00C25868">
        <w:rPr>
          <w:rFonts w:ascii="Times New Roman" w:hAnsi="Times New Roman"/>
        </w:rPr>
        <w:t>.</w:t>
      </w:r>
    </w:p>
  </w:footnote>
  <w:footnote w:id="3">
    <w:p w14:paraId="13127B31" w14:textId="77777777" w:rsidR="009E1510" w:rsidRPr="00C25868" w:rsidRDefault="009E1510" w:rsidP="00C25868">
      <w:pPr>
        <w:pStyle w:val="FootnoteText"/>
        <w:widowControl w:val="0"/>
        <w:spacing w:after="0" w:line="240" w:lineRule="auto"/>
        <w:ind w:left="-141" w:right="-426" w:hanging="284"/>
        <w:jc w:val="both"/>
        <w:rPr>
          <w:rFonts w:ascii="Times New Roman" w:hAnsi="Times New Roman"/>
          <w:lang w:val="en-IE"/>
        </w:rPr>
      </w:pPr>
      <w:r w:rsidRPr="00C25868">
        <w:rPr>
          <w:rStyle w:val="FootnoteReference"/>
          <w:rFonts w:ascii="Times New Roman" w:hAnsi="Times New Roman"/>
          <w:sz w:val="20"/>
        </w:rPr>
        <w:footnoteRef/>
      </w:r>
      <w:r w:rsidRPr="00C25868">
        <w:rPr>
          <w:rFonts w:ascii="Times New Roman" w:hAnsi="Times New Roman"/>
        </w:rPr>
        <w:t xml:space="preserve"> </w:t>
      </w:r>
      <w:r w:rsidRPr="00C25868">
        <w:rPr>
          <w:rFonts w:ascii="Times New Roman" w:hAnsi="Times New Roman"/>
        </w:rPr>
        <w:tab/>
      </w:r>
      <w:hyperlink r:id="rId3" w:history="1">
        <w:r w:rsidRPr="00C25868">
          <w:rPr>
            <w:rStyle w:val="Hyperlink"/>
            <w:rFonts w:ascii="Times New Roman" w:hAnsi="Times New Roman"/>
          </w:rPr>
          <w:t>https://osha.europa.eu/en/campaigns-and-awards/healthy-workplaces-campaigns</w:t>
        </w:r>
      </w:hyperlink>
      <w:r w:rsidRPr="00C25868">
        <w:rPr>
          <w:rFonts w:ascii="Times New Roman" w:hAnsi="Times New Roman"/>
        </w:rPr>
        <w:t xml:space="preserve"> </w:t>
      </w:r>
    </w:p>
  </w:footnote>
  <w:footnote w:id="4">
    <w:p w14:paraId="519019E3" w14:textId="77777777" w:rsidR="009E1510" w:rsidRPr="00C25868" w:rsidRDefault="009E1510" w:rsidP="00C25868">
      <w:pPr>
        <w:pStyle w:val="FootnoteText"/>
        <w:widowControl w:val="0"/>
        <w:spacing w:after="0" w:line="240" w:lineRule="auto"/>
        <w:ind w:left="-141" w:right="-426" w:hanging="284"/>
        <w:jc w:val="both"/>
        <w:rPr>
          <w:rFonts w:ascii="Times New Roman" w:hAnsi="Times New Roman"/>
        </w:rPr>
      </w:pPr>
      <w:r w:rsidRPr="00C25868">
        <w:rPr>
          <w:rStyle w:val="FootnoteReference"/>
          <w:rFonts w:ascii="Times New Roman" w:hAnsi="Times New Roman"/>
          <w:sz w:val="20"/>
        </w:rPr>
        <w:footnoteRef/>
      </w:r>
      <w:r w:rsidRPr="00C25868">
        <w:rPr>
          <w:rFonts w:ascii="Times New Roman" w:hAnsi="Times New Roman"/>
        </w:rPr>
        <w:t xml:space="preserve"> </w:t>
      </w:r>
      <w:r w:rsidRPr="00C25868">
        <w:rPr>
          <w:rFonts w:ascii="Times New Roman" w:hAnsi="Times New Roman"/>
        </w:rPr>
        <w:tab/>
        <w:t>Council Directive 89/391/EEC of 12 June 1989 on the introduction of measures to encourage improvements in the safety and health of workers at work (</w:t>
      </w:r>
      <w:hyperlink r:id="rId4" w:history="1">
        <w:r w:rsidRPr="00C25868">
          <w:rPr>
            <w:rStyle w:val="Hyperlink"/>
            <w:rFonts w:ascii="Times New Roman" w:hAnsi="Times New Roman"/>
          </w:rPr>
          <w:t>https://eur-lex.europa.eu/eli/dir/1989/391</w:t>
        </w:r>
      </w:hyperlink>
      <w:r w:rsidRPr="00C25868">
        <w:rPr>
          <w:rFonts w:ascii="Times New Roman" w:hAnsi="Times New Roman"/>
        </w:rPr>
        <w:t>)</w:t>
      </w:r>
    </w:p>
  </w:footnote>
  <w:footnote w:id="5">
    <w:p w14:paraId="25C485CC" w14:textId="4086AC26" w:rsidR="009E1510" w:rsidRPr="00C25868" w:rsidRDefault="009E1510" w:rsidP="00C25868">
      <w:pPr>
        <w:pStyle w:val="FootnoteText"/>
        <w:widowControl w:val="0"/>
        <w:spacing w:after="0" w:line="240" w:lineRule="auto"/>
        <w:ind w:left="-141" w:right="-426" w:hanging="284"/>
        <w:jc w:val="both"/>
        <w:rPr>
          <w:rFonts w:ascii="Times New Roman" w:hAnsi="Times New Roman"/>
        </w:rPr>
      </w:pPr>
      <w:r w:rsidRPr="00C25868">
        <w:rPr>
          <w:rStyle w:val="FootnoteReference"/>
          <w:rFonts w:ascii="Times New Roman" w:hAnsi="Times New Roman"/>
          <w:sz w:val="20"/>
        </w:rPr>
        <w:footnoteRef/>
      </w:r>
      <w:r w:rsidRPr="00C25868">
        <w:rPr>
          <w:rFonts w:ascii="Times New Roman" w:hAnsi="Times New Roman"/>
        </w:rPr>
        <w:t xml:space="preserve"> </w:t>
      </w:r>
      <w:r w:rsidRPr="00C25868">
        <w:rPr>
          <w:rFonts w:ascii="Times New Roman" w:hAnsi="Times New Roman"/>
        </w:rPr>
        <w:tab/>
        <w:t>Article 22 of Directive 2009/148/EC (</w:t>
      </w:r>
      <w:hyperlink r:id="rId5" w:history="1">
        <w:r w:rsidRPr="00C25868">
          <w:rPr>
            <w:rStyle w:val="Hyperlink"/>
            <w:rFonts w:ascii="Times New Roman" w:hAnsi="Times New Roman"/>
          </w:rPr>
          <w:t>https://eur-lex.europa.eu/legal-content/EN/TXT/?uri=CELEX%3A02009L0148-20231220</w:t>
        </w:r>
      </w:hyperlink>
      <w:r w:rsidRPr="00C25868">
        <w:rPr>
          <w:rFonts w:ascii="Times New Roman" w:hAnsi="Times New Roman"/>
        </w:rPr>
        <w:t xml:space="preserve">); </w:t>
      </w:r>
      <w:r w:rsidRPr="00C25868">
        <w:rPr>
          <w:rFonts w:ascii="Times New Roman" w:hAnsi="Times New Roman"/>
        </w:rPr>
        <w:br/>
        <w:t>Article 10a of Directive 91/383/EEC (</w:t>
      </w:r>
      <w:hyperlink r:id="rId6" w:history="1">
        <w:r w:rsidRPr="00C25868">
          <w:rPr>
            <w:rStyle w:val="Hyperlink"/>
            <w:rFonts w:ascii="Times New Roman" w:hAnsi="Times New Roman"/>
          </w:rPr>
          <w:t>https://eur-lex.europa.eu/legal-content/EN/TXT/?uri=CELEX%3A01991L0383-20070628</w:t>
        </w:r>
      </w:hyperlink>
      <w:r w:rsidRPr="00C25868">
        <w:rPr>
          <w:rFonts w:ascii="Times New Roman" w:hAnsi="Times New Roman"/>
        </w:rPr>
        <w:t xml:space="preserve">); </w:t>
      </w:r>
      <w:r w:rsidRPr="00C25868">
        <w:rPr>
          <w:rFonts w:ascii="Times New Roman" w:hAnsi="Times New Roman"/>
        </w:rPr>
        <w:br/>
        <w:t>Article 9a of Directive 92/29/EEC (</w:t>
      </w:r>
      <w:hyperlink r:id="rId7" w:history="1">
        <w:r w:rsidRPr="00C25868">
          <w:rPr>
            <w:rStyle w:val="Hyperlink"/>
            <w:rFonts w:ascii="Times New Roman" w:hAnsi="Times New Roman"/>
          </w:rPr>
          <w:t>https://eur-lex.europa.eu/legal-content/EN/TXT/?uri=CELEX%3A01992L0029-20191120</w:t>
        </w:r>
      </w:hyperlink>
      <w:r w:rsidRPr="00C25868">
        <w:rPr>
          <w:rFonts w:ascii="Times New Roman" w:hAnsi="Times New Roman"/>
        </w:rPr>
        <w:t xml:space="preserve">; </w:t>
      </w:r>
      <w:r w:rsidRPr="00C25868">
        <w:rPr>
          <w:rFonts w:ascii="Times New Roman" w:hAnsi="Times New Roman"/>
        </w:rPr>
        <w:br/>
        <w:t>Article 17a of Directive 94/33/EC (</w:t>
      </w:r>
      <w:hyperlink r:id="rId8" w:history="1">
        <w:r w:rsidRPr="00C25868">
          <w:rPr>
            <w:rStyle w:val="Hyperlink"/>
            <w:rFonts w:ascii="Times New Roman" w:hAnsi="Times New Roman"/>
          </w:rPr>
          <w:t>https://eur-lex.europa.eu/legal-content/EN/TXT/?uri=CELEX%3A01994L0033-20190726</w:t>
        </w:r>
      </w:hyperlink>
      <w:r w:rsidRPr="00C25868">
        <w:rPr>
          <w:rFonts w:ascii="Times New Roman" w:hAnsi="Times New Roman"/>
        </w:rPr>
        <w:t>).</w:t>
      </w:r>
    </w:p>
  </w:footnote>
  <w:footnote w:id="6">
    <w:p w14:paraId="119356FF" w14:textId="374D6B19" w:rsidR="009E1510" w:rsidRPr="00C25868" w:rsidRDefault="009E1510" w:rsidP="00C25868">
      <w:pPr>
        <w:pStyle w:val="FootnoteText"/>
        <w:spacing w:after="0" w:line="240" w:lineRule="auto"/>
        <w:ind w:left="-142" w:right="-426" w:hanging="425"/>
        <w:jc w:val="both"/>
        <w:rPr>
          <w:rFonts w:ascii="Times New Roman" w:hAnsi="Times New Roman"/>
          <w:lang w:val="en-IE"/>
        </w:rPr>
      </w:pPr>
      <w:r w:rsidRPr="00C25868">
        <w:rPr>
          <w:rFonts w:ascii="Times New Roman" w:hAnsi="Times New Roman"/>
          <w:vertAlign w:val="superscript"/>
        </w:rPr>
        <w:footnoteRef/>
      </w:r>
      <w:r w:rsidRPr="00C25868">
        <w:rPr>
          <w:rFonts w:ascii="Times New Roman" w:hAnsi="Times New Roman"/>
        </w:rPr>
        <w:t xml:space="preserve"> </w:t>
      </w:r>
      <w:r w:rsidR="0031206D" w:rsidRPr="00C25868">
        <w:rPr>
          <w:rFonts w:ascii="Times New Roman" w:hAnsi="Times New Roman"/>
        </w:rPr>
        <w:tab/>
      </w:r>
      <w:hyperlink r:id="rId9" w:history="1">
        <w:r w:rsidR="0031206D" w:rsidRPr="00C25868">
          <w:rPr>
            <w:rStyle w:val="Hyperlink"/>
            <w:rFonts w:ascii="Times New Roman" w:hAnsi="Times New Roman"/>
          </w:rPr>
          <w:t>https://employment-social-affairs.ec.europa.eu/peer-review-legislative-and-enforcement-approaches-address-psychosocial-risks-work-member-states_en</w:t>
        </w:r>
      </w:hyperlink>
    </w:p>
  </w:footnote>
  <w:footnote w:id="7">
    <w:p w14:paraId="5C7D3320" w14:textId="0AE7E8C3" w:rsidR="009E1510" w:rsidRPr="00C25868" w:rsidRDefault="009E1510" w:rsidP="00C25868">
      <w:pPr>
        <w:pStyle w:val="FootnoteText"/>
        <w:spacing w:after="0" w:line="240" w:lineRule="auto"/>
        <w:ind w:left="-142" w:right="-426" w:hanging="425"/>
        <w:jc w:val="both"/>
        <w:rPr>
          <w:rFonts w:ascii="Times New Roman" w:hAnsi="Times New Roman"/>
        </w:rPr>
      </w:pPr>
      <w:r w:rsidRPr="00C25868">
        <w:rPr>
          <w:rFonts w:ascii="Times New Roman" w:hAnsi="Times New Roman"/>
          <w:vertAlign w:val="superscript"/>
        </w:rPr>
        <w:footnoteRef/>
      </w:r>
      <w:r w:rsidRPr="00C25868">
        <w:rPr>
          <w:rFonts w:ascii="Times New Roman" w:hAnsi="Times New Roman"/>
        </w:rPr>
        <w:t xml:space="preserve"> </w:t>
      </w:r>
      <w:r w:rsidR="0031206D" w:rsidRPr="00C25868">
        <w:rPr>
          <w:rFonts w:ascii="Times New Roman" w:hAnsi="Times New Roman"/>
        </w:rPr>
        <w:tab/>
      </w:r>
      <w:hyperlink r:id="rId10" w:history="1">
        <w:r w:rsidR="0031206D" w:rsidRPr="00C25868">
          <w:rPr>
            <w:rStyle w:val="Hyperlink"/>
            <w:rFonts w:ascii="Times New Roman" w:hAnsi="Times New Roman"/>
          </w:rPr>
          <w:t>https://osha.europa.eu/sites/default/files/documents/Final%20EU-OSHA%20SPD%202025-2027_en.pdf</w:t>
        </w:r>
      </w:hyperlink>
    </w:p>
  </w:footnote>
  <w:footnote w:id="8">
    <w:p w14:paraId="4A1F3F32" w14:textId="00301B8D" w:rsidR="009E1510" w:rsidRPr="00C25868" w:rsidRDefault="009E1510" w:rsidP="00C25868">
      <w:pPr>
        <w:pStyle w:val="FootnoteText"/>
        <w:spacing w:after="0" w:line="240" w:lineRule="auto"/>
        <w:ind w:left="-142" w:right="-426" w:hanging="425"/>
        <w:jc w:val="both"/>
        <w:rPr>
          <w:rFonts w:ascii="Times New Roman" w:hAnsi="Times New Roman"/>
          <w:lang w:val="en-IE"/>
        </w:rPr>
      </w:pPr>
      <w:r w:rsidRPr="00C25868">
        <w:rPr>
          <w:rFonts w:ascii="Times New Roman" w:hAnsi="Times New Roman"/>
          <w:vertAlign w:val="superscript"/>
        </w:rPr>
        <w:footnoteRef/>
      </w:r>
      <w:r w:rsidRPr="00C25868">
        <w:rPr>
          <w:rFonts w:ascii="Times New Roman" w:hAnsi="Times New Roman"/>
        </w:rPr>
        <w:t xml:space="preserve"> </w:t>
      </w:r>
      <w:r w:rsidR="0031206D" w:rsidRPr="00C25868">
        <w:rPr>
          <w:rFonts w:ascii="Times New Roman" w:hAnsi="Times New Roman"/>
        </w:rPr>
        <w:tab/>
      </w:r>
      <w:r w:rsidRPr="00C25868">
        <w:rPr>
          <w:rFonts w:ascii="Times New Roman" w:hAnsi="Times New Roman"/>
        </w:rPr>
        <w:t>Council Directive 89/654/EEC of 30 November 1989 concerning the minimum safety and health requirements for the workplace (first individual directive within the meaning of Article 16 (1) of Directive 89/391/EEC) (</w:t>
      </w:r>
      <w:hyperlink r:id="rId11" w:history="1">
        <w:r w:rsidRPr="00C25868">
          <w:rPr>
            <w:rStyle w:val="Hyperlink"/>
            <w:rFonts w:ascii="Times New Roman" w:hAnsi="Times New Roman"/>
          </w:rPr>
          <w:t>https://eur-lex.europa.eu/eli/dir/1989/654/oj</w:t>
        </w:r>
      </w:hyperlink>
      <w:r w:rsidRPr="00C25868">
        <w:rPr>
          <w:rFonts w:ascii="Times New Roman" w:hAnsi="Times New Roman"/>
        </w:rPr>
        <w:t>).</w:t>
      </w:r>
    </w:p>
  </w:footnote>
  <w:footnote w:id="9">
    <w:p w14:paraId="0C1397E4" w14:textId="77777777" w:rsidR="009E1510" w:rsidRPr="00C25868" w:rsidRDefault="009E1510" w:rsidP="00C25868">
      <w:pPr>
        <w:pStyle w:val="FootnoteText"/>
        <w:widowControl w:val="0"/>
        <w:spacing w:after="0" w:line="240" w:lineRule="auto"/>
        <w:ind w:left="-142" w:right="-426" w:hanging="425"/>
        <w:jc w:val="both"/>
        <w:rPr>
          <w:rFonts w:ascii="Times New Roman" w:hAnsi="Times New Roman"/>
          <w:lang w:val="en-IE"/>
        </w:rPr>
      </w:pPr>
      <w:r w:rsidRPr="00C25868">
        <w:rPr>
          <w:rStyle w:val="FootnoteReference"/>
          <w:rFonts w:ascii="Times New Roman" w:hAnsi="Times New Roman"/>
          <w:sz w:val="20"/>
        </w:rPr>
        <w:footnoteRef/>
      </w:r>
      <w:r w:rsidRPr="00C25868">
        <w:rPr>
          <w:rFonts w:ascii="Times New Roman" w:hAnsi="Times New Roman"/>
        </w:rPr>
        <w:t xml:space="preserve"> </w:t>
      </w:r>
      <w:r w:rsidRPr="00C25868">
        <w:rPr>
          <w:rFonts w:ascii="Times New Roman" w:hAnsi="Times New Roman"/>
          <w:lang w:val="en-IE"/>
        </w:rPr>
        <w:tab/>
      </w:r>
      <w:r w:rsidRPr="00C25868">
        <w:rPr>
          <w:rFonts w:ascii="Times New Roman" w:hAnsi="Times New Roman"/>
        </w:rPr>
        <w:t>Council Directive 90/270/EEC of 29 May 1990 on the minimum safety and health requirements for work with display screen equipment (</w:t>
      </w:r>
      <w:hyperlink r:id="rId12" w:tooltip="Gives access to this document through its ELI URI." w:history="1">
        <w:r w:rsidRPr="00C25868">
          <w:rPr>
            <w:rStyle w:val="Hyperlink"/>
            <w:rFonts w:ascii="Times New Roman" w:hAnsi="Times New Roman"/>
          </w:rPr>
          <w:t>http://data.europa.eu/eli/dir/1990/270/oj</w:t>
        </w:r>
      </w:hyperlink>
      <w:r w:rsidRPr="00C25868">
        <w:rPr>
          <w:rFonts w:ascii="Times New Roman" w:hAnsi="Times New Roman"/>
        </w:rPr>
        <w:t>).</w:t>
      </w:r>
    </w:p>
  </w:footnote>
  <w:footnote w:id="10">
    <w:p w14:paraId="66B6B5A1" w14:textId="77777777" w:rsidR="009E1510" w:rsidRPr="00C25868" w:rsidRDefault="009E1510" w:rsidP="00C25868">
      <w:pPr>
        <w:pStyle w:val="FootnoteText"/>
        <w:widowControl w:val="0"/>
        <w:spacing w:after="0" w:line="240" w:lineRule="auto"/>
        <w:ind w:left="-142" w:right="-426" w:hanging="425"/>
        <w:jc w:val="both"/>
        <w:rPr>
          <w:rFonts w:ascii="Times New Roman" w:hAnsi="Times New Roman"/>
          <w:lang w:val="en-IE"/>
        </w:rPr>
      </w:pPr>
      <w:r w:rsidRPr="00C25868">
        <w:rPr>
          <w:rStyle w:val="FootnoteReference"/>
          <w:rFonts w:ascii="Times New Roman" w:hAnsi="Times New Roman"/>
          <w:sz w:val="20"/>
        </w:rPr>
        <w:footnoteRef/>
      </w:r>
      <w:r w:rsidRPr="00C25868">
        <w:rPr>
          <w:rFonts w:ascii="Times New Roman" w:hAnsi="Times New Roman"/>
        </w:rPr>
        <w:t xml:space="preserve"> </w:t>
      </w:r>
      <w:r w:rsidRPr="00C25868">
        <w:rPr>
          <w:rFonts w:ascii="Times New Roman" w:hAnsi="Times New Roman"/>
          <w:lang w:val="en-IE"/>
        </w:rPr>
        <w:tab/>
      </w:r>
      <w:r w:rsidRPr="00C25868">
        <w:rPr>
          <w:rFonts w:ascii="Times New Roman" w:hAnsi="Times New Roman"/>
        </w:rPr>
        <w:t>Council Directive 89/654/EEC of 30 November 1989 concerning the minimum safety and health requirements for the workplace (first individual directive within the meaning of Article 16 (1) of Directive 89/391/EEC) (</w:t>
      </w:r>
      <w:hyperlink r:id="rId13" w:tooltip="Gives access to this document through its ELI URI." w:history="1">
        <w:r w:rsidRPr="00C25868">
          <w:rPr>
            <w:rStyle w:val="Hyperlink"/>
            <w:rFonts w:ascii="Times New Roman" w:hAnsi="Times New Roman"/>
          </w:rPr>
          <w:t>http://data.europa.eu/eli/dir/1989/654/oj</w:t>
        </w:r>
      </w:hyperlink>
      <w:r w:rsidRPr="00C2586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pPr>
        <w:ind w:left="0" w:firstLine="0"/>
      </w:pPr>
      <w:rPr>
        <w:b w:val="0"/>
      </w:r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1" w15:restartNumberingAfterBreak="0">
    <w:nsid w:val="03B73CEC"/>
    <w:multiLevelType w:val="multilevel"/>
    <w:tmpl w:val="B1A6A4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45256"/>
    <w:multiLevelType w:val="hybridMultilevel"/>
    <w:tmpl w:val="E442602C"/>
    <w:lvl w:ilvl="0" w:tplc="05445204">
      <w:start w:val="1"/>
      <w:numFmt w:val="decimal"/>
      <w:lvlText w:val="%1)"/>
      <w:lvlJc w:val="left"/>
      <w:pPr>
        <w:ind w:left="720" w:hanging="360"/>
      </w:pPr>
    </w:lvl>
    <w:lvl w:ilvl="1" w:tplc="CAC21742">
      <w:start w:val="1"/>
      <w:numFmt w:val="decimal"/>
      <w:lvlText w:val="%2)"/>
      <w:lvlJc w:val="left"/>
      <w:pPr>
        <w:ind w:left="720" w:hanging="360"/>
      </w:pPr>
    </w:lvl>
    <w:lvl w:ilvl="2" w:tplc="A9F6CD08">
      <w:start w:val="1"/>
      <w:numFmt w:val="decimal"/>
      <w:lvlText w:val="%3)"/>
      <w:lvlJc w:val="left"/>
      <w:pPr>
        <w:ind w:left="720" w:hanging="360"/>
      </w:pPr>
    </w:lvl>
    <w:lvl w:ilvl="3" w:tplc="345863F2">
      <w:start w:val="1"/>
      <w:numFmt w:val="decimal"/>
      <w:lvlText w:val="%4)"/>
      <w:lvlJc w:val="left"/>
      <w:pPr>
        <w:ind w:left="720" w:hanging="360"/>
      </w:pPr>
    </w:lvl>
    <w:lvl w:ilvl="4" w:tplc="C88C5754">
      <w:start w:val="1"/>
      <w:numFmt w:val="decimal"/>
      <w:lvlText w:val="%5)"/>
      <w:lvlJc w:val="left"/>
      <w:pPr>
        <w:ind w:left="720" w:hanging="360"/>
      </w:pPr>
    </w:lvl>
    <w:lvl w:ilvl="5" w:tplc="A854428A">
      <w:start w:val="1"/>
      <w:numFmt w:val="decimal"/>
      <w:lvlText w:val="%6)"/>
      <w:lvlJc w:val="left"/>
      <w:pPr>
        <w:ind w:left="720" w:hanging="360"/>
      </w:pPr>
    </w:lvl>
    <w:lvl w:ilvl="6" w:tplc="0BF2B8B8">
      <w:start w:val="1"/>
      <w:numFmt w:val="decimal"/>
      <w:lvlText w:val="%7)"/>
      <w:lvlJc w:val="left"/>
      <w:pPr>
        <w:ind w:left="720" w:hanging="360"/>
      </w:pPr>
    </w:lvl>
    <w:lvl w:ilvl="7" w:tplc="EE20067A">
      <w:start w:val="1"/>
      <w:numFmt w:val="decimal"/>
      <w:lvlText w:val="%8)"/>
      <w:lvlJc w:val="left"/>
      <w:pPr>
        <w:ind w:left="720" w:hanging="360"/>
      </w:pPr>
    </w:lvl>
    <w:lvl w:ilvl="8" w:tplc="DFBA914E">
      <w:start w:val="1"/>
      <w:numFmt w:val="decimal"/>
      <w:lvlText w:val="%9)"/>
      <w:lvlJc w:val="left"/>
      <w:pPr>
        <w:ind w:left="720" w:hanging="360"/>
      </w:pPr>
    </w:lvl>
  </w:abstractNum>
  <w:num w:numId="1" w16cid:durableId="20782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129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44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0243"/>
    <w:rsid w:val="00012A37"/>
    <w:rsid w:val="0002797F"/>
    <w:rsid w:val="00046B15"/>
    <w:rsid w:val="00050DC7"/>
    <w:rsid w:val="00066421"/>
    <w:rsid w:val="00066AD8"/>
    <w:rsid w:val="000714E8"/>
    <w:rsid w:val="00076109"/>
    <w:rsid w:val="000765A8"/>
    <w:rsid w:val="00077C4F"/>
    <w:rsid w:val="00097E22"/>
    <w:rsid w:val="000B7305"/>
    <w:rsid w:val="000C53B6"/>
    <w:rsid w:val="000E3555"/>
    <w:rsid w:val="000F5FD8"/>
    <w:rsid w:val="000F709F"/>
    <w:rsid w:val="001017C7"/>
    <w:rsid w:val="00106E93"/>
    <w:rsid w:val="001167C0"/>
    <w:rsid w:val="00135C2A"/>
    <w:rsid w:val="00150A2C"/>
    <w:rsid w:val="00153A7C"/>
    <w:rsid w:val="0017658A"/>
    <w:rsid w:val="00193DD5"/>
    <w:rsid w:val="001B0E0B"/>
    <w:rsid w:val="001B11D2"/>
    <w:rsid w:val="001C454C"/>
    <w:rsid w:val="001E32CE"/>
    <w:rsid w:val="001E4E37"/>
    <w:rsid w:val="001F1538"/>
    <w:rsid w:val="001F2EC6"/>
    <w:rsid w:val="001F65D0"/>
    <w:rsid w:val="001F7F69"/>
    <w:rsid w:val="00217E59"/>
    <w:rsid w:val="0022783A"/>
    <w:rsid w:val="0023084B"/>
    <w:rsid w:val="002464D7"/>
    <w:rsid w:val="0027054D"/>
    <w:rsid w:val="00281E13"/>
    <w:rsid w:val="00292A79"/>
    <w:rsid w:val="002C469E"/>
    <w:rsid w:val="002C5A3B"/>
    <w:rsid w:val="002E58E5"/>
    <w:rsid w:val="002F03FA"/>
    <w:rsid w:val="003004D2"/>
    <w:rsid w:val="0031206D"/>
    <w:rsid w:val="00324F34"/>
    <w:rsid w:val="00325D2A"/>
    <w:rsid w:val="00326330"/>
    <w:rsid w:val="00326FD4"/>
    <w:rsid w:val="003303D3"/>
    <w:rsid w:val="003349A3"/>
    <w:rsid w:val="00355AB1"/>
    <w:rsid w:val="00373E96"/>
    <w:rsid w:val="00377967"/>
    <w:rsid w:val="00386143"/>
    <w:rsid w:val="00392526"/>
    <w:rsid w:val="003B58DC"/>
    <w:rsid w:val="003D49B4"/>
    <w:rsid w:val="003F686E"/>
    <w:rsid w:val="004234F5"/>
    <w:rsid w:val="00434D51"/>
    <w:rsid w:val="00442552"/>
    <w:rsid w:val="00455A1C"/>
    <w:rsid w:val="004675B5"/>
    <w:rsid w:val="004770D6"/>
    <w:rsid w:val="00486DAE"/>
    <w:rsid w:val="0049246C"/>
    <w:rsid w:val="004A446F"/>
    <w:rsid w:val="004B15E5"/>
    <w:rsid w:val="004B20F7"/>
    <w:rsid w:val="004D3D30"/>
    <w:rsid w:val="004E69F8"/>
    <w:rsid w:val="004F3210"/>
    <w:rsid w:val="004F6117"/>
    <w:rsid w:val="004F63F1"/>
    <w:rsid w:val="004F651E"/>
    <w:rsid w:val="00504C07"/>
    <w:rsid w:val="00505552"/>
    <w:rsid w:val="00515A82"/>
    <w:rsid w:val="0052596B"/>
    <w:rsid w:val="00546922"/>
    <w:rsid w:val="00554D8D"/>
    <w:rsid w:val="0055505D"/>
    <w:rsid w:val="0057268F"/>
    <w:rsid w:val="00572BBF"/>
    <w:rsid w:val="00573835"/>
    <w:rsid w:val="00581306"/>
    <w:rsid w:val="005866EF"/>
    <w:rsid w:val="005947DA"/>
    <w:rsid w:val="005B1A95"/>
    <w:rsid w:val="005C3105"/>
    <w:rsid w:val="005D5FBB"/>
    <w:rsid w:val="005E79F2"/>
    <w:rsid w:val="005F2573"/>
    <w:rsid w:val="0060129E"/>
    <w:rsid w:val="00604DF1"/>
    <w:rsid w:val="006650DA"/>
    <w:rsid w:val="00684B14"/>
    <w:rsid w:val="00687438"/>
    <w:rsid w:val="00692C2F"/>
    <w:rsid w:val="00695797"/>
    <w:rsid w:val="00696A5E"/>
    <w:rsid w:val="006A0D5C"/>
    <w:rsid w:val="006A47E6"/>
    <w:rsid w:val="006A7533"/>
    <w:rsid w:val="006B3B69"/>
    <w:rsid w:val="0070180B"/>
    <w:rsid w:val="007165AB"/>
    <w:rsid w:val="00734613"/>
    <w:rsid w:val="007371CA"/>
    <w:rsid w:val="00751910"/>
    <w:rsid w:val="00751E60"/>
    <w:rsid w:val="007547B5"/>
    <w:rsid w:val="00795A9E"/>
    <w:rsid w:val="007A606D"/>
    <w:rsid w:val="007B7421"/>
    <w:rsid w:val="007C2214"/>
    <w:rsid w:val="007D0C98"/>
    <w:rsid w:val="007D1BEC"/>
    <w:rsid w:val="00802007"/>
    <w:rsid w:val="00807B48"/>
    <w:rsid w:val="008135CA"/>
    <w:rsid w:val="0081584F"/>
    <w:rsid w:val="008703BF"/>
    <w:rsid w:val="008925CE"/>
    <w:rsid w:val="0089602D"/>
    <w:rsid w:val="008B3284"/>
    <w:rsid w:val="008C4D41"/>
    <w:rsid w:val="008F792D"/>
    <w:rsid w:val="00901C47"/>
    <w:rsid w:val="00906EDA"/>
    <w:rsid w:val="00916680"/>
    <w:rsid w:val="00932210"/>
    <w:rsid w:val="00981F45"/>
    <w:rsid w:val="009921DF"/>
    <w:rsid w:val="00994D12"/>
    <w:rsid w:val="00997E07"/>
    <w:rsid w:val="009B128B"/>
    <w:rsid w:val="009E1510"/>
    <w:rsid w:val="009E79B9"/>
    <w:rsid w:val="00A16F07"/>
    <w:rsid w:val="00A209AE"/>
    <w:rsid w:val="00A5616D"/>
    <w:rsid w:val="00A62C7B"/>
    <w:rsid w:val="00A7045D"/>
    <w:rsid w:val="00A7709A"/>
    <w:rsid w:val="00AD7496"/>
    <w:rsid w:val="00AE1842"/>
    <w:rsid w:val="00AE3C7C"/>
    <w:rsid w:val="00AF15B9"/>
    <w:rsid w:val="00AF2BBA"/>
    <w:rsid w:val="00B1142D"/>
    <w:rsid w:val="00B12833"/>
    <w:rsid w:val="00B13F55"/>
    <w:rsid w:val="00B25ED9"/>
    <w:rsid w:val="00B31306"/>
    <w:rsid w:val="00B42814"/>
    <w:rsid w:val="00B42AF7"/>
    <w:rsid w:val="00B77D10"/>
    <w:rsid w:val="00B83936"/>
    <w:rsid w:val="00B83E25"/>
    <w:rsid w:val="00B85717"/>
    <w:rsid w:val="00BD6EB7"/>
    <w:rsid w:val="00BE1262"/>
    <w:rsid w:val="00BF3624"/>
    <w:rsid w:val="00BF4B3A"/>
    <w:rsid w:val="00C04E0E"/>
    <w:rsid w:val="00C25868"/>
    <w:rsid w:val="00C46B79"/>
    <w:rsid w:val="00C54D27"/>
    <w:rsid w:val="00C60C24"/>
    <w:rsid w:val="00C721A1"/>
    <w:rsid w:val="00C76EEB"/>
    <w:rsid w:val="00C91B8D"/>
    <w:rsid w:val="00C970D2"/>
    <w:rsid w:val="00CE368F"/>
    <w:rsid w:val="00CF17DB"/>
    <w:rsid w:val="00D01F5A"/>
    <w:rsid w:val="00D1716E"/>
    <w:rsid w:val="00D64E05"/>
    <w:rsid w:val="00D92FD3"/>
    <w:rsid w:val="00DA3B6E"/>
    <w:rsid w:val="00DA774B"/>
    <w:rsid w:val="00DB2EA1"/>
    <w:rsid w:val="00DB7581"/>
    <w:rsid w:val="00DC3049"/>
    <w:rsid w:val="00DC70C1"/>
    <w:rsid w:val="00DE3576"/>
    <w:rsid w:val="00E25E4B"/>
    <w:rsid w:val="00E32CCA"/>
    <w:rsid w:val="00E409BD"/>
    <w:rsid w:val="00E51571"/>
    <w:rsid w:val="00E8208A"/>
    <w:rsid w:val="00E83C12"/>
    <w:rsid w:val="00E904C8"/>
    <w:rsid w:val="00EA1BBF"/>
    <w:rsid w:val="00EA406B"/>
    <w:rsid w:val="00EB29A9"/>
    <w:rsid w:val="00EB77D2"/>
    <w:rsid w:val="00EE41CB"/>
    <w:rsid w:val="00F24B37"/>
    <w:rsid w:val="00F316C8"/>
    <w:rsid w:val="00F632DE"/>
    <w:rsid w:val="00F735E4"/>
    <w:rsid w:val="00F865F8"/>
    <w:rsid w:val="00F93285"/>
    <w:rsid w:val="00FB7834"/>
    <w:rsid w:val="00FC4D2F"/>
    <w:rsid w:val="00FD4B6A"/>
    <w:rsid w:val="00FE775A"/>
    <w:rsid w:val="00FF03A8"/>
    <w:rsid w:val="00FF3FD3"/>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ECCAEFDB-18B8-4E17-B3E9-A89F6BB8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1B11D2"/>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unhideWhenUsed/>
    <w:qFormat/>
    <w:rsid w:val="001B11D2"/>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semiHidden/>
    <w:unhideWhenUsed/>
    <w:qFormat/>
    <w:rsid w:val="001B11D2"/>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semiHidden/>
    <w:unhideWhenUsed/>
    <w:qFormat/>
    <w:rsid w:val="001B11D2"/>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semiHidden/>
    <w:unhideWhenUsed/>
    <w:qFormat/>
    <w:rsid w:val="001B11D2"/>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semiHidden/>
    <w:unhideWhenUsed/>
    <w:qFormat/>
    <w:rsid w:val="001B11D2"/>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semiHidden/>
    <w:unhideWhenUsed/>
    <w:qFormat/>
    <w:rsid w:val="001B11D2"/>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semiHidden/>
    <w:unhideWhenUsed/>
    <w:qFormat/>
    <w:rsid w:val="001B11D2"/>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semiHidden/>
    <w:unhideWhenUsed/>
    <w:qFormat/>
    <w:rsid w:val="001B11D2"/>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1D2"/>
    <w:rPr>
      <w:rFonts w:ascii="Times New Roman" w:eastAsia="Times New Roman" w:hAnsi="Times New Roman"/>
      <w:kern w:val="28"/>
      <w:sz w:val="22"/>
      <w:szCs w:val="22"/>
      <w:lang w:val="en-US" w:eastAsia="en-US"/>
    </w:rPr>
  </w:style>
  <w:style w:type="character" w:customStyle="1" w:styleId="Heading2Char">
    <w:name w:val="Heading 2 Char"/>
    <w:link w:val="Heading2"/>
    <w:rsid w:val="001B11D2"/>
    <w:rPr>
      <w:rFonts w:ascii="Times New Roman" w:eastAsia="Times New Roman" w:hAnsi="Times New Roman"/>
      <w:sz w:val="22"/>
      <w:szCs w:val="22"/>
      <w:lang w:val="en-US" w:eastAsia="en-US"/>
    </w:rPr>
  </w:style>
  <w:style w:type="character" w:customStyle="1" w:styleId="Heading3Char">
    <w:name w:val="Heading 3 Char"/>
    <w:link w:val="Heading3"/>
    <w:semiHidden/>
    <w:rsid w:val="001B11D2"/>
    <w:rPr>
      <w:rFonts w:ascii="Times New Roman" w:eastAsia="Times New Roman" w:hAnsi="Times New Roman"/>
      <w:sz w:val="22"/>
      <w:szCs w:val="22"/>
      <w:lang w:val="en-US" w:eastAsia="en-US"/>
    </w:rPr>
  </w:style>
  <w:style w:type="character" w:customStyle="1" w:styleId="Heading4Char">
    <w:name w:val="Heading 4 Char"/>
    <w:link w:val="Heading4"/>
    <w:semiHidden/>
    <w:rsid w:val="001B11D2"/>
    <w:rPr>
      <w:rFonts w:ascii="Times New Roman" w:eastAsia="Times New Roman" w:hAnsi="Times New Roman"/>
      <w:sz w:val="22"/>
      <w:szCs w:val="22"/>
      <w:lang w:val="en-US" w:eastAsia="en-US"/>
    </w:rPr>
  </w:style>
  <w:style w:type="character" w:customStyle="1" w:styleId="Heading5Char">
    <w:name w:val="Heading 5 Char"/>
    <w:link w:val="Heading5"/>
    <w:semiHidden/>
    <w:rsid w:val="001B11D2"/>
    <w:rPr>
      <w:rFonts w:ascii="Times New Roman" w:eastAsia="Times New Roman" w:hAnsi="Times New Roman"/>
      <w:sz w:val="22"/>
      <w:szCs w:val="22"/>
      <w:lang w:val="en-US" w:eastAsia="en-US"/>
    </w:rPr>
  </w:style>
  <w:style w:type="character" w:customStyle="1" w:styleId="Heading6Char">
    <w:name w:val="Heading 6 Char"/>
    <w:link w:val="Heading6"/>
    <w:semiHidden/>
    <w:rsid w:val="001B11D2"/>
    <w:rPr>
      <w:rFonts w:ascii="Times New Roman" w:eastAsia="Times New Roman" w:hAnsi="Times New Roman"/>
      <w:sz w:val="22"/>
      <w:szCs w:val="22"/>
      <w:lang w:val="en-US" w:eastAsia="en-US"/>
    </w:rPr>
  </w:style>
  <w:style w:type="character" w:customStyle="1" w:styleId="Heading7Char">
    <w:name w:val="Heading 7 Char"/>
    <w:link w:val="Heading7"/>
    <w:semiHidden/>
    <w:rsid w:val="001B11D2"/>
    <w:rPr>
      <w:rFonts w:ascii="Times New Roman" w:eastAsia="Times New Roman" w:hAnsi="Times New Roman"/>
      <w:sz w:val="22"/>
      <w:szCs w:val="22"/>
      <w:lang w:val="en-US" w:eastAsia="en-US"/>
    </w:rPr>
  </w:style>
  <w:style w:type="character" w:customStyle="1" w:styleId="Heading8Char">
    <w:name w:val="Heading 8 Char"/>
    <w:link w:val="Heading8"/>
    <w:semiHidden/>
    <w:rsid w:val="001B11D2"/>
    <w:rPr>
      <w:rFonts w:ascii="Times New Roman" w:eastAsia="Times New Roman" w:hAnsi="Times New Roman"/>
      <w:sz w:val="22"/>
      <w:szCs w:val="22"/>
      <w:lang w:val="en-US" w:eastAsia="en-US"/>
    </w:rPr>
  </w:style>
  <w:style w:type="character" w:customStyle="1" w:styleId="Heading9Char">
    <w:name w:val="Heading 9 Char"/>
    <w:link w:val="Heading9"/>
    <w:semiHidden/>
    <w:rsid w:val="001B11D2"/>
    <w:rPr>
      <w:rFonts w:ascii="Times New Roman" w:eastAsia="Times New Roman" w:hAnsi="Times New Roman"/>
      <w:sz w:val="22"/>
      <w:szCs w:val="22"/>
      <w:lang w:val="en-US" w:eastAsia="en-US"/>
    </w:rPr>
  </w:style>
  <w:style w:type="paragraph" w:styleId="FootnoteText">
    <w:name w:val="footnote text"/>
    <w:basedOn w:val="Normal"/>
    <w:link w:val="FootnoteTextChar"/>
    <w:unhideWhenUsed/>
    <w:qFormat/>
    <w:rsid w:val="001B11D2"/>
    <w:rPr>
      <w:sz w:val="20"/>
      <w:szCs w:val="20"/>
    </w:rPr>
  </w:style>
  <w:style w:type="character" w:customStyle="1" w:styleId="FootnoteTextChar">
    <w:name w:val="Footnote Text Char"/>
    <w:link w:val="FootnoteText"/>
    <w:qFormat/>
    <w:rsid w:val="001B11D2"/>
    <w:rPr>
      <w:lang w:eastAsia="en-US"/>
    </w:rPr>
  </w:style>
  <w:style w:type="character" w:styleId="Hyperlink">
    <w:name w:val="Hyperlink"/>
    <w:unhideWhenUsed/>
    <w:rsid w:val="001B11D2"/>
    <w:rPr>
      <w:color w:val="0000FF"/>
      <w:u w:val="single"/>
    </w:rPr>
  </w:style>
  <w:style w:type="character" w:styleId="FootnoteReference">
    <w:name w:val="footnote reference"/>
    <w:aliases w:val="Footnote symbol"/>
    <w:unhideWhenUsed/>
    <w:qFormat/>
    <w:rsid w:val="001B11D2"/>
    <w:rPr>
      <w:sz w:val="24"/>
      <w:vertAlign w:val="superscript"/>
    </w:rPr>
  </w:style>
  <w:style w:type="paragraph" w:styleId="CommentText">
    <w:name w:val="annotation text"/>
    <w:basedOn w:val="Normal"/>
    <w:link w:val="CommentTextChar"/>
    <w:unhideWhenUsed/>
    <w:rsid w:val="001B11D2"/>
    <w:pPr>
      <w:spacing w:after="0" w:line="240" w:lineRule="auto"/>
      <w:jc w:val="both"/>
    </w:pPr>
    <w:rPr>
      <w:rFonts w:ascii="Times New Roman" w:eastAsia="Times New Roman" w:hAnsi="Times New Roman"/>
      <w:sz w:val="20"/>
      <w:szCs w:val="20"/>
      <w:lang w:val="en-US"/>
    </w:rPr>
  </w:style>
  <w:style w:type="character" w:customStyle="1" w:styleId="CommentTextChar">
    <w:name w:val="Comment Text Char"/>
    <w:link w:val="CommentText"/>
    <w:rsid w:val="001B11D2"/>
    <w:rPr>
      <w:rFonts w:ascii="Times New Roman" w:eastAsia="Times New Roman" w:hAnsi="Times New Roman"/>
      <w:lang w:val="en-US" w:eastAsia="en-US"/>
    </w:rPr>
  </w:style>
  <w:style w:type="character" w:styleId="CommentReference">
    <w:name w:val="annotation reference"/>
    <w:uiPriority w:val="99"/>
    <w:semiHidden/>
    <w:unhideWhenUsed/>
    <w:rsid w:val="001B11D2"/>
    <w:rPr>
      <w:sz w:val="16"/>
      <w:szCs w:val="16"/>
    </w:rPr>
  </w:style>
  <w:style w:type="character" w:styleId="UnresolvedMention">
    <w:name w:val="Unresolved Mention"/>
    <w:uiPriority w:val="99"/>
    <w:semiHidden/>
    <w:unhideWhenUsed/>
    <w:rsid w:val="002C469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2783A"/>
    <w:pPr>
      <w:spacing w:after="200" w:line="276" w:lineRule="auto"/>
      <w:jc w:val="left"/>
    </w:pPr>
    <w:rPr>
      <w:rFonts w:ascii="Calibri" w:eastAsia="Calibri" w:hAnsi="Calibri"/>
      <w:b/>
      <w:bCs/>
      <w:lang w:val="en-GB"/>
    </w:rPr>
  </w:style>
  <w:style w:type="character" w:customStyle="1" w:styleId="CommentSubjectChar">
    <w:name w:val="Comment Subject Char"/>
    <w:link w:val="CommentSubject"/>
    <w:uiPriority w:val="99"/>
    <w:semiHidden/>
    <w:rsid w:val="0022783A"/>
    <w:rPr>
      <w:rFonts w:ascii="Times New Roman" w:eastAsia="Times New Roman" w:hAnsi="Times New Roman"/>
      <w:b/>
      <w:bCs/>
      <w:lang w:val="en-US" w:eastAsia="en-US"/>
    </w:rPr>
  </w:style>
  <w:style w:type="paragraph" w:styleId="Revision">
    <w:name w:val="Revision"/>
    <w:hidden/>
    <w:uiPriority w:val="99"/>
    <w:semiHidden/>
    <w:rsid w:val="00DC3049"/>
    <w:rPr>
      <w:sz w:val="22"/>
      <w:szCs w:val="22"/>
      <w:lang w:val="en-GB" w:eastAsia="en-US"/>
    </w:rPr>
  </w:style>
  <w:style w:type="character" w:styleId="FollowedHyperlink">
    <w:name w:val="FollowedHyperlink"/>
    <w:uiPriority w:val="99"/>
    <w:semiHidden/>
    <w:unhideWhenUsed/>
    <w:rsid w:val="00E820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6431">
      <w:bodyDiv w:val="1"/>
      <w:marLeft w:val="0"/>
      <w:marRight w:val="0"/>
      <w:marTop w:val="0"/>
      <w:marBottom w:val="0"/>
      <w:divBdr>
        <w:top w:val="none" w:sz="0" w:space="0" w:color="auto"/>
        <w:left w:val="none" w:sz="0" w:space="0" w:color="auto"/>
        <w:bottom w:val="none" w:sz="0" w:space="0" w:color="auto"/>
        <w:right w:val="none" w:sz="0" w:space="0" w:color="auto"/>
      </w:divBdr>
    </w:div>
    <w:div w:id="126821046">
      <w:bodyDiv w:val="1"/>
      <w:marLeft w:val="0"/>
      <w:marRight w:val="0"/>
      <w:marTop w:val="0"/>
      <w:marBottom w:val="0"/>
      <w:divBdr>
        <w:top w:val="none" w:sz="0" w:space="0" w:color="auto"/>
        <w:left w:val="none" w:sz="0" w:space="0" w:color="auto"/>
        <w:bottom w:val="none" w:sz="0" w:space="0" w:color="auto"/>
        <w:right w:val="none" w:sz="0" w:space="0" w:color="auto"/>
      </w:divBdr>
    </w:div>
    <w:div w:id="240531864">
      <w:bodyDiv w:val="1"/>
      <w:marLeft w:val="0"/>
      <w:marRight w:val="0"/>
      <w:marTop w:val="0"/>
      <w:marBottom w:val="0"/>
      <w:divBdr>
        <w:top w:val="none" w:sz="0" w:space="0" w:color="auto"/>
        <w:left w:val="none" w:sz="0" w:space="0" w:color="auto"/>
        <w:bottom w:val="none" w:sz="0" w:space="0" w:color="auto"/>
        <w:right w:val="none" w:sz="0" w:space="0" w:color="auto"/>
      </w:divBdr>
    </w:div>
    <w:div w:id="319192178">
      <w:bodyDiv w:val="1"/>
      <w:marLeft w:val="0"/>
      <w:marRight w:val="0"/>
      <w:marTop w:val="0"/>
      <w:marBottom w:val="0"/>
      <w:divBdr>
        <w:top w:val="none" w:sz="0" w:space="0" w:color="auto"/>
        <w:left w:val="none" w:sz="0" w:space="0" w:color="auto"/>
        <w:bottom w:val="none" w:sz="0" w:space="0" w:color="auto"/>
        <w:right w:val="none" w:sz="0" w:space="0" w:color="auto"/>
      </w:divBdr>
    </w:div>
    <w:div w:id="329450599">
      <w:bodyDiv w:val="1"/>
      <w:marLeft w:val="0"/>
      <w:marRight w:val="0"/>
      <w:marTop w:val="0"/>
      <w:marBottom w:val="0"/>
      <w:divBdr>
        <w:top w:val="none" w:sz="0" w:space="0" w:color="auto"/>
        <w:left w:val="none" w:sz="0" w:space="0" w:color="auto"/>
        <w:bottom w:val="none" w:sz="0" w:space="0" w:color="auto"/>
        <w:right w:val="none" w:sz="0" w:space="0" w:color="auto"/>
      </w:divBdr>
    </w:div>
    <w:div w:id="359354050">
      <w:bodyDiv w:val="1"/>
      <w:marLeft w:val="0"/>
      <w:marRight w:val="0"/>
      <w:marTop w:val="0"/>
      <w:marBottom w:val="0"/>
      <w:divBdr>
        <w:top w:val="none" w:sz="0" w:space="0" w:color="auto"/>
        <w:left w:val="none" w:sz="0" w:space="0" w:color="auto"/>
        <w:bottom w:val="none" w:sz="0" w:space="0" w:color="auto"/>
        <w:right w:val="none" w:sz="0" w:space="0" w:color="auto"/>
      </w:divBdr>
    </w:div>
    <w:div w:id="363678847">
      <w:bodyDiv w:val="1"/>
      <w:marLeft w:val="0"/>
      <w:marRight w:val="0"/>
      <w:marTop w:val="0"/>
      <w:marBottom w:val="0"/>
      <w:divBdr>
        <w:top w:val="none" w:sz="0" w:space="0" w:color="auto"/>
        <w:left w:val="none" w:sz="0" w:space="0" w:color="auto"/>
        <w:bottom w:val="none" w:sz="0" w:space="0" w:color="auto"/>
        <w:right w:val="none" w:sz="0" w:space="0" w:color="auto"/>
      </w:divBdr>
    </w:div>
    <w:div w:id="381170846">
      <w:bodyDiv w:val="1"/>
      <w:marLeft w:val="0"/>
      <w:marRight w:val="0"/>
      <w:marTop w:val="0"/>
      <w:marBottom w:val="0"/>
      <w:divBdr>
        <w:top w:val="none" w:sz="0" w:space="0" w:color="auto"/>
        <w:left w:val="none" w:sz="0" w:space="0" w:color="auto"/>
        <w:bottom w:val="none" w:sz="0" w:space="0" w:color="auto"/>
        <w:right w:val="none" w:sz="0" w:space="0" w:color="auto"/>
      </w:divBdr>
    </w:div>
    <w:div w:id="447816210">
      <w:bodyDiv w:val="1"/>
      <w:marLeft w:val="0"/>
      <w:marRight w:val="0"/>
      <w:marTop w:val="0"/>
      <w:marBottom w:val="0"/>
      <w:divBdr>
        <w:top w:val="none" w:sz="0" w:space="0" w:color="auto"/>
        <w:left w:val="none" w:sz="0" w:space="0" w:color="auto"/>
        <w:bottom w:val="none" w:sz="0" w:space="0" w:color="auto"/>
        <w:right w:val="none" w:sz="0" w:space="0" w:color="auto"/>
      </w:divBdr>
    </w:div>
    <w:div w:id="537938091">
      <w:bodyDiv w:val="1"/>
      <w:marLeft w:val="0"/>
      <w:marRight w:val="0"/>
      <w:marTop w:val="0"/>
      <w:marBottom w:val="0"/>
      <w:divBdr>
        <w:top w:val="none" w:sz="0" w:space="0" w:color="auto"/>
        <w:left w:val="none" w:sz="0" w:space="0" w:color="auto"/>
        <w:bottom w:val="none" w:sz="0" w:space="0" w:color="auto"/>
        <w:right w:val="none" w:sz="0" w:space="0" w:color="auto"/>
      </w:divBdr>
    </w:div>
    <w:div w:id="651832798">
      <w:bodyDiv w:val="1"/>
      <w:marLeft w:val="0"/>
      <w:marRight w:val="0"/>
      <w:marTop w:val="0"/>
      <w:marBottom w:val="0"/>
      <w:divBdr>
        <w:top w:val="none" w:sz="0" w:space="0" w:color="auto"/>
        <w:left w:val="none" w:sz="0" w:space="0" w:color="auto"/>
        <w:bottom w:val="none" w:sz="0" w:space="0" w:color="auto"/>
        <w:right w:val="none" w:sz="0" w:space="0" w:color="auto"/>
      </w:divBdr>
    </w:div>
    <w:div w:id="654577342">
      <w:bodyDiv w:val="1"/>
      <w:marLeft w:val="0"/>
      <w:marRight w:val="0"/>
      <w:marTop w:val="0"/>
      <w:marBottom w:val="0"/>
      <w:divBdr>
        <w:top w:val="none" w:sz="0" w:space="0" w:color="auto"/>
        <w:left w:val="none" w:sz="0" w:space="0" w:color="auto"/>
        <w:bottom w:val="none" w:sz="0" w:space="0" w:color="auto"/>
        <w:right w:val="none" w:sz="0" w:space="0" w:color="auto"/>
      </w:divBdr>
    </w:div>
    <w:div w:id="668408695">
      <w:bodyDiv w:val="1"/>
      <w:marLeft w:val="0"/>
      <w:marRight w:val="0"/>
      <w:marTop w:val="0"/>
      <w:marBottom w:val="0"/>
      <w:divBdr>
        <w:top w:val="none" w:sz="0" w:space="0" w:color="auto"/>
        <w:left w:val="none" w:sz="0" w:space="0" w:color="auto"/>
        <w:bottom w:val="none" w:sz="0" w:space="0" w:color="auto"/>
        <w:right w:val="none" w:sz="0" w:space="0" w:color="auto"/>
      </w:divBdr>
    </w:div>
    <w:div w:id="675110548">
      <w:bodyDiv w:val="1"/>
      <w:marLeft w:val="0"/>
      <w:marRight w:val="0"/>
      <w:marTop w:val="0"/>
      <w:marBottom w:val="0"/>
      <w:divBdr>
        <w:top w:val="none" w:sz="0" w:space="0" w:color="auto"/>
        <w:left w:val="none" w:sz="0" w:space="0" w:color="auto"/>
        <w:bottom w:val="none" w:sz="0" w:space="0" w:color="auto"/>
        <w:right w:val="none" w:sz="0" w:space="0" w:color="auto"/>
      </w:divBdr>
    </w:div>
    <w:div w:id="694042058">
      <w:bodyDiv w:val="1"/>
      <w:marLeft w:val="0"/>
      <w:marRight w:val="0"/>
      <w:marTop w:val="0"/>
      <w:marBottom w:val="0"/>
      <w:divBdr>
        <w:top w:val="none" w:sz="0" w:space="0" w:color="auto"/>
        <w:left w:val="none" w:sz="0" w:space="0" w:color="auto"/>
        <w:bottom w:val="none" w:sz="0" w:space="0" w:color="auto"/>
        <w:right w:val="none" w:sz="0" w:space="0" w:color="auto"/>
      </w:divBdr>
    </w:div>
    <w:div w:id="742144413">
      <w:bodyDiv w:val="1"/>
      <w:marLeft w:val="0"/>
      <w:marRight w:val="0"/>
      <w:marTop w:val="0"/>
      <w:marBottom w:val="0"/>
      <w:divBdr>
        <w:top w:val="none" w:sz="0" w:space="0" w:color="auto"/>
        <w:left w:val="none" w:sz="0" w:space="0" w:color="auto"/>
        <w:bottom w:val="none" w:sz="0" w:space="0" w:color="auto"/>
        <w:right w:val="none" w:sz="0" w:space="0" w:color="auto"/>
      </w:divBdr>
    </w:div>
    <w:div w:id="808864729">
      <w:bodyDiv w:val="1"/>
      <w:marLeft w:val="0"/>
      <w:marRight w:val="0"/>
      <w:marTop w:val="0"/>
      <w:marBottom w:val="0"/>
      <w:divBdr>
        <w:top w:val="none" w:sz="0" w:space="0" w:color="auto"/>
        <w:left w:val="none" w:sz="0" w:space="0" w:color="auto"/>
        <w:bottom w:val="none" w:sz="0" w:space="0" w:color="auto"/>
        <w:right w:val="none" w:sz="0" w:space="0" w:color="auto"/>
      </w:divBdr>
    </w:div>
    <w:div w:id="834951102">
      <w:bodyDiv w:val="1"/>
      <w:marLeft w:val="0"/>
      <w:marRight w:val="0"/>
      <w:marTop w:val="0"/>
      <w:marBottom w:val="0"/>
      <w:divBdr>
        <w:top w:val="none" w:sz="0" w:space="0" w:color="auto"/>
        <w:left w:val="none" w:sz="0" w:space="0" w:color="auto"/>
        <w:bottom w:val="none" w:sz="0" w:space="0" w:color="auto"/>
        <w:right w:val="none" w:sz="0" w:space="0" w:color="auto"/>
      </w:divBdr>
    </w:div>
    <w:div w:id="869994924">
      <w:bodyDiv w:val="1"/>
      <w:marLeft w:val="0"/>
      <w:marRight w:val="0"/>
      <w:marTop w:val="0"/>
      <w:marBottom w:val="0"/>
      <w:divBdr>
        <w:top w:val="none" w:sz="0" w:space="0" w:color="auto"/>
        <w:left w:val="none" w:sz="0" w:space="0" w:color="auto"/>
        <w:bottom w:val="none" w:sz="0" w:space="0" w:color="auto"/>
        <w:right w:val="none" w:sz="0" w:space="0" w:color="auto"/>
      </w:divBdr>
    </w:div>
    <w:div w:id="903568085">
      <w:bodyDiv w:val="1"/>
      <w:marLeft w:val="0"/>
      <w:marRight w:val="0"/>
      <w:marTop w:val="0"/>
      <w:marBottom w:val="0"/>
      <w:divBdr>
        <w:top w:val="none" w:sz="0" w:space="0" w:color="auto"/>
        <w:left w:val="none" w:sz="0" w:space="0" w:color="auto"/>
        <w:bottom w:val="none" w:sz="0" w:space="0" w:color="auto"/>
        <w:right w:val="none" w:sz="0" w:space="0" w:color="auto"/>
      </w:divBdr>
    </w:div>
    <w:div w:id="909803373">
      <w:bodyDiv w:val="1"/>
      <w:marLeft w:val="0"/>
      <w:marRight w:val="0"/>
      <w:marTop w:val="0"/>
      <w:marBottom w:val="0"/>
      <w:divBdr>
        <w:top w:val="none" w:sz="0" w:space="0" w:color="auto"/>
        <w:left w:val="none" w:sz="0" w:space="0" w:color="auto"/>
        <w:bottom w:val="none" w:sz="0" w:space="0" w:color="auto"/>
        <w:right w:val="none" w:sz="0" w:space="0" w:color="auto"/>
      </w:divBdr>
    </w:div>
    <w:div w:id="949120749">
      <w:bodyDiv w:val="1"/>
      <w:marLeft w:val="0"/>
      <w:marRight w:val="0"/>
      <w:marTop w:val="0"/>
      <w:marBottom w:val="0"/>
      <w:divBdr>
        <w:top w:val="none" w:sz="0" w:space="0" w:color="auto"/>
        <w:left w:val="none" w:sz="0" w:space="0" w:color="auto"/>
        <w:bottom w:val="none" w:sz="0" w:space="0" w:color="auto"/>
        <w:right w:val="none" w:sz="0" w:space="0" w:color="auto"/>
      </w:divBdr>
    </w:div>
    <w:div w:id="967736904">
      <w:bodyDiv w:val="1"/>
      <w:marLeft w:val="0"/>
      <w:marRight w:val="0"/>
      <w:marTop w:val="0"/>
      <w:marBottom w:val="0"/>
      <w:divBdr>
        <w:top w:val="none" w:sz="0" w:space="0" w:color="auto"/>
        <w:left w:val="none" w:sz="0" w:space="0" w:color="auto"/>
        <w:bottom w:val="none" w:sz="0" w:space="0" w:color="auto"/>
        <w:right w:val="none" w:sz="0" w:space="0" w:color="auto"/>
      </w:divBdr>
    </w:div>
    <w:div w:id="1020667451">
      <w:bodyDiv w:val="1"/>
      <w:marLeft w:val="0"/>
      <w:marRight w:val="0"/>
      <w:marTop w:val="0"/>
      <w:marBottom w:val="0"/>
      <w:divBdr>
        <w:top w:val="none" w:sz="0" w:space="0" w:color="auto"/>
        <w:left w:val="none" w:sz="0" w:space="0" w:color="auto"/>
        <w:bottom w:val="none" w:sz="0" w:space="0" w:color="auto"/>
        <w:right w:val="none" w:sz="0" w:space="0" w:color="auto"/>
      </w:divBdr>
    </w:div>
    <w:div w:id="1087968811">
      <w:bodyDiv w:val="1"/>
      <w:marLeft w:val="0"/>
      <w:marRight w:val="0"/>
      <w:marTop w:val="0"/>
      <w:marBottom w:val="0"/>
      <w:divBdr>
        <w:top w:val="none" w:sz="0" w:space="0" w:color="auto"/>
        <w:left w:val="none" w:sz="0" w:space="0" w:color="auto"/>
        <w:bottom w:val="none" w:sz="0" w:space="0" w:color="auto"/>
        <w:right w:val="none" w:sz="0" w:space="0" w:color="auto"/>
      </w:divBdr>
    </w:div>
    <w:div w:id="1193031753">
      <w:bodyDiv w:val="1"/>
      <w:marLeft w:val="0"/>
      <w:marRight w:val="0"/>
      <w:marTop w:val="0"/>
      <w:marBottom w:val="0"/>
      <w:divBdr>
        <w:top w:val="none" w:sz="0" w:space="0" w:color="auto"/>
        <w:left w:val="none" w:sz="0" w:space="0" w:color="auto"/>
        <w:bottom w:val="none" w:sz="0" w:space="0" w:color="auto"/>
        <w:right w:val="none" w:sz="0" w:space="0" w:color="auto"/>
      </w:divBdr>
    </w:div>
    <w:div w:id="1235047713">
      <w:bodyDiv w:val="1"/>
      <w:marLeft w:val="0"/>
      <w:marRight w:val="0"/>
      <w:marTop w:val="0"/>
      <w:marBottom w:val="0"/>
      <w:divBdr>
        <w:top w:val="none" w:sz="0" w:space="0" w:color="auto"/>
        <w:left w:val="none" w:sz="0" w:space="0" w:color="auto"/>
        <w:bottom w:val="none" w:sz="0" w:space="0" w:color="auto"/>
        <w:right w:val="none" w:sz="0" w:space="0" w:color="auto"/>
      </w:divBdr>
    </w:div>
    <w:div w:id="1295140541">
      <w:bodyDiv w:val="1"/>
      <w:marLeft w:val="0"/>
      <w:marRight w:val="0"/>
      <w:marTop w:val="0"/>
      <w:marBottom w:val="0"/>
      <w:divBdr>
        <w:top w:val="none" w:sz="0" w:space="0" w:color="auto"/>
        <w:left w:val="none" w:sz="0" w:space="0" w:color="auto"/>
        <w:bottom w:val="none" w:sz="0" w:space="0" w:color="auto"/>
        <w:right w:val="none" w:sz="0" w:space="0" w:color="auto"/>
      </w:divBdr>
    </w:div>
    <w:div w:id="1332368339">
      <w:bodyDiv w:val="1"/>
      <w:marLeft w:val="0"/>
      <w:marRight w:val="0"/>
      <w:marTop w:val="0"/>
      <w:marBottom w:val="0"/>
      <w:divBdr>
        <w:top w:val="none" w:sz="0" w:space="0" w:color="auto"/>
        <w:left w:val="none" w:sz="0" w:space="0" w:color="auto"/>
        <w:bottom w:val="none" w:sz="0" w:space="0" w:color="auto"/>
        <w:right w:val="none" w:sz="0" w:space="0" w:color="auto"/>
      </w:divBdr>
    </w:div>
    <w:div w:id="1348480460">
      <w:bodyDiv w:val="1"/>
      <w:marLeft w:val="0"/>
      <w:marRight w:val="0"/>
      <w:marTop w:val="0"/>
      <w:marBottom w:val="0"/>
      <w:divBdr>
        <w:top w:val="none" w:sz="0" w:space="0" w:color="auto"/>
        <w:left w:val="none" w:sz="0" w:space="0" w:color="auto"/>
        <w:bottom w:val="none" w:sz="0" w:space="0" w:color="auto"/>
        <w:right w:val="none" w:sz="0" w:space="0" w:color="auto"/>
      </w:divBdr>
    </w:div>
    <w:div w:id="1565143623">
      <w:bodyDiv w:val="1"/>
      <w:marLeft w:val="0"/>
      <w:marRight w:val="0"/>
      <w:marTop w:val="0"/>
      <w:marBottom w:val="0"/>
      <w:divBdr>
        <w:top w:val="none" w:sz="0" w:space="0" w:color="auto"/>
        <w:left w:val="none" w:sz="0" w:space="0" w:color="auto"/>
        <w:bottom w:val="none" w:sz="0" w:space="0" w:color="auto"/>
        <w:right w:val="none" w:sz="0" w:space="0" w:color="auto"/>
      </w:divBdr>
    </w:div>
    <w:div w:id="1577588071">
      <w:bodyDiv w:val="1"/>
      <w:marLeft w:val="0"/>
      <w:marRight w:val="0"/>
      <w:marTop w:val="0"/>
      <w:marBottom w:val="0"/>
      <w:divBdr>
        <w:top w:val="none" w:sz="0" w:space="0" w:color="auto"/>
        <w:left w:val="none" w:sz="0" w:space="0" w:color="auto"/>
        <w:bottom w:val="none" w:sz="0" w:space="0" w:color="auto"/>
        <w:right w:val="none" w:sz="0" w:space="0" w:color="auto"/>
      </w:divBdr>
    </w:div>
    <w:div w:id="1584533449">
      <w:bodyDiv w:val="1"/>
      <w:marLeft w:val="0"/>
      <w:marRight w:val="0"/>
      <w:marTop w:val="0"/>
      <w:marBottom w:val="0"/>
      <w:divBdr>
        <w:top w:val="none" w:sz="0" w:space="0" w:color="auto"/>
        <w:left w:val="none" w:sz="0" w:space="0" w:color="auto"/>
        <w:bottom w:val="none" w:sz="0" w:space="0" w:color="auto"/>
        <w:right w:val="none" w:sz="0" w:space="0" w:color="auto"/>
      </w:divBdr>
    </w:div>
    <w:div w:id="1599751976">
      <w:bodyDiv w:val="1"/>
      <w:marLeft w:val="0"/>
      <w:marRight w:val="0"/>
      <w:marTop w:val="0"/>
      <w:marBottom w:val="0"/>
      <w:divBdr>
        <w:top w:val="none" w:sz="0" w:space="0" w:color="auto"/>
        <w:left w:val="none" w:sz="0" w:space="0" w:color="auto"/>
        <w:bottom w:val="none" w:sz="0" w:space="0" w:color="auto"/>
        <w:right w:val="none" w:sz="0" w:space="0" w:color="auto"/>
      </w:divBdr>
    </w:div>
    <w:div w:id="1774327035">
      <w:bodyDiv w:val="1"/>
      <w:marLeft w:val="0"/>
      <w:marRight w:val="0"/>
      <w:marTop w:val="0"/>
      <w:marBottom w:val="0"/>
      <w:divBdr>
        <w:top w:val="none" w:sz="0" w:space="0" w:color="auto"/>
        <w:left w:val="none" w:sz="0" w:space="0" w:color="auto"/>
        <w:bottom w:val="none" w:sz="0" w:space="0" w:color="auto"/>
        <w:right w:val="none" w:sz="0" w:space="0" w:color="auto"/>
      </w:divBdr>
    </w:div>
    <w:div w:id="1855991093">
      <w:bodyDiv w:val="1"/>
      <w:marLeft w:val="0"/>
      <w:marRight w:val="0"/>
      <w:marTop w:val="0"/>
      <w:marBottom w:val="0"/>
      <w:divBdr>
        <w:top w:val="none" w:sz="0" w:space="0" w:color="auto"/>
        <w:left w:val="none" w:sz="0" w:space="0" w:color="auto"/>
        <w:bottom w:val="none" w:sz="0" w:space="0" w:color="auto"/>
        <w:right w:val="none" w:sz="0" w:space="0" w:color="auto"/>
      </w:divBdr>
    </w:div>
    <w:div w:id="1994528020">
      <w:bodyDiv w:val="1"/>
      <w:marLeft w:val="0"/>
      <w:marRight w:val="0"/>
      <w:marTop w:val="0"/>
      <w:marBottom w:val="0"/>
      <w:divBdr>
        <w:top w:val="none" w:sz="0" w:space="0" w:color="auto"/>
        <w:left w:val="none" w:sz="0" w:space="0" w:color="auto"/>
        <w:bottom w:val="none" w:sz="0" w:space="0" w:color="auto"/>
        <w:right w:val="none" w:sz="0" w:space="0" w:color="auto"/>
      </w:divBdr>
    </w:div>
    <w:div w:id="2011373639">
      <w:bodyDiv w:val="1"/>
      <w:marLeft w:val="0"/>
      <w:marRight w:val="0"/>
      <w:marTop w:val="0"/>
      <w:marBottom w:val="0"/>
      <w:divBdr>
        <w:top w:val="none" w:sz="0" w:space="0" w:color="auto"/>
        <w:left w:val="none" w:sz="0" w:space="0" w:color="auto"/>
        <w:bottom w:val="none" w:sz="0" w:space="0" w:color="auto"/>
        <w:right w:val="none" w:sz="0" w:space="0" w:color="auto"/>
      </w:divBdr>
    </w:div>
    <w:div w:id="2018657912">
      <w:bodyDiv w:val="1"/>
      <w:marLeft w:val="0"/>
      <w:marRight w:val="0"/>
      <w:marTop w:val="0"/>
      <w:marBottom w:val="0"/>
      <w:divBdr>
        <w:top w:val="none" w:sz="0" w:space="0" w:color="auto"/>
        <w:left w:val="none" w:sz="0" w:space="0" w:color="auto"/>
        <w:bottom w:val="none" w:sz="0" w:space="0" w:color="auto"/>
        <w:right w:val="none" w:sz="0" w:space="0" w:color="auto"/>
      </w:divBdr>
    </w:div>
    <w:div w:id="20870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01994L0033-20190726" TargetMode="External"/><Relationship Id="rId13" Type="http://schemas.openxmlformats.org/officeDocument/2006/relationships/hyperlink" Target="http://data.europa.eu/eli/dir/1989/654/oj" TargetMode="External"/><Relationship Id="rId3" Type="http://schemas.openxmlformats.org/officeDocument/2006/relationships/hyperlink" Target="https://osha.europa.eu/en/campaigns-and-awards/healthy-workplaces-campaigns" TargetMode="External"/><Relationship Id="rId7" Type="http://schemas.openxmlformats.org/officeDocument/2006/relationships/hyperlink" Target="https://eur-lex.europa.eu/legal-content/EN/TXT/?uri=CELEX%3A01992L0029-20191120" TargetMode="External"/><Relationship Id="rId12" Type="http://schemas.openxmlformats.org/officeDocument/2006/relationships/hyperlink" Target="http://data.europa.eu/eli/dir/1990/270/oj" TargetMode="External"/><Relationship Id="rId2" Type="http://schemas.openxmlformats.org/officeDocument/2006/relationships/hyperlink" Target="https://osha.europa.eu/en/themes/digitalisation-work" TargetMode="External"/><Relationship Id="rId1" Type="http://schemas.openxmlformats.org/officeDocument/2006/relationships/hyperlink" Target="https://eur-lex.europa.eu/eli/dir/2024/2831/oj/eng" TargetMode="External"/><Relationship Id="rId6" Type="http://schemas.openxmlformats.org/officeDocument/2006/relationships/hyperlink" Target="https://eur-lex.europa.eu/legal-content/EN/TXT/?uri=CELEX%3A01991L0383-20070628" TargetMode="External"/><Relationship Id="rId11" Type="http://schemas.openxmlformats.org/officeDocument/2006/relationships/hyperlink" Target="https://eur-lex.europa.eu/eli/dir/1989/654/oj" TargetMode="External"/><Relationship Id="rId5" Type="http://schemas.openxmlformats.org/officeDocument/2006/relationships/hyperlink" Target="https://eur-lex.europa.eu/legal-content/EN/TXT/?uri=CELEX%3A02009L0148-20231220" TargetMode="External"/><Relationship Id="rId10" Type="http://schemas.openxmlformats.org/officeDocument/2006/relationships/hyperlink" Target="https://osha.europa.eu/sites/default/files/documents/Final%20EU-OSHA%20SPD%202025-2027_en.pdf" TargetMode="External"/><Relationship Id="rId4" Type="http://schemas.openxmlformats.org/officeDocument/2006/relationships/hyperlink" Target="https://eur-lex.europa.eu/eli/dir/1989/391" TargetMode="External"/><Relationship Id="rId9" Type="http://schemas.openxmlformats.org/officeDocument/2006/relationships/hyperlink" Target="https://employment-social-affairs.ec.europa.eu/peer-review-legislative-and-enforcement-approaches-address-psychosocial-risks-work-member-stat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FC15C3EB267B243896DD18D3394AAF30042EBFDDDC8151A49B219EE185FEEDBA3" ma:contentTypeVersion="27" ma:contentTypeDescription="Create a new document in this library." ma:contentTypeScope="" ma:versionID="0ea310145ef285e292575f1ccac95f47">
  <xsd:schema xmlns:xsd="http://www.w3.org/2001/XMLSchema" xmlns:xs="http://www.w3.org/2001/XMLSchema" xmlns:p="http://schemas.microsoft.com/office/2006/metadata/properties" xmlns:ns2="http://schemas.microsoft.com/sharepoint/v3/fields" xmlns:ns3="22ee0535-c74f-4e20-993e-fbce5d54a3a0" xmlns:ns4="e78fa126-9701-4318-bbce-edf13152f9fc" targetNamespace="http://schemas.microsoft.com/office/2006/metadata/properties" ma:root="true" ma:fieldsID="074500bd0fa41f5da751f6ec587e9fff" ns2:_="" ns3:_="" ns4:_="">
    <xsd:import namespace="http://schemas.microsoft.com/sharepoint/v3/fields"/>
    <xsd:import namespace="22ee0535-c74f-4e20-993e-fbce5d54a3a0"/>
    <xsd:import namespace="e78fa126-9701-4318-bbce-edf13152f9fc"/>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AuthorId" minOccurs="0"/>
                <xsd:element ref="ns4:AuthorName" minOccurs="0"/>
                <xsd:element ref="ns4:DocumentId" minOccurs="0"/>
                <xsd:element ref="ns4:DocumentTitle" minOccurs="0"/>
                <xsd:element ref="ns4:FileId" minOccurs="0"/>
                <xsd:element ref="ns4:FileTitle" minOccurs="0"/>
                <xsd:element ref="ns4:FileType" minOccurs="0"/>
                <xsd:element ref="ns4:LeadDG" minOccurs="0"/>
                <xsd:element ref="ns4:Reque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2ee0535-c74f-4e20-993e-fbce5d54a3a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e78fa126-9701-4318-bbce-edf13152f9fc" elementFormDefault="qualified">
    <xsd:import namespace="http://schemas.microsoft.com/office/2006/documentManagement/types"/>
    <xsd:import namespace="http://schemas.microsoft.com/office/infopath/2007/PartnerControls"/>
    <xsd:element name="AuthorId" ma:index="16" nillable="true" ma:displayName="AuthorId" ma:internalName="AuthorId" ma:readOnly="false" ma:percentage="FALSE">
      <xsd:simpleType>
        <xsd:restriction base="dms:Number"/>
      </xsd:simpleType>
    </xsd:element>
    <xsd:element name="AuthorName" ma:index="17" nillable="true" ma:displayName="AuthorName" ma:internalName="AuthorName" ma:readOnly="false">
      <xsd:simpleType>
        <xsd:restriction base="dms:Text">
          <xsd:maxLength value="255"/>
        </xsd:restriction>
      </xsd:simpleType>
    </xsd:element>
    <xsd:element name="DocumentId" ma:index="18" nillable="true" ma:displayName="DocumentId" ma:internalName="DocumentId" ma:readOnly="false">
      <xsd:simpleType>
        <xsd:restriction base="dms:Text">
          <xsd:maxLength value="255"/>
        </xsd:restriction>
      </xsd:simpleType>
    </xsd:element>
    <xsd:element name="DocumentTitle" ma:index="19" nillable="true" ma:displayName="DocumentTitle" ma:internalName="DocumentTitle" ma:readOnly="false">
      <xsd:simpleType>
        <xsd:restriction base="dms:Text">
          <xsd:maxLength value="255"/>
        </xsd:restriction>
      </xsd:simpleType>
    </xsd:element>
    <xsd:element name="FileId" ma:index="20" nillable="true" ma:displayName="FileId" ma:internalName="FileId" ma:readOnly="false">
      <xsd:simpleType>
        <xsd:restriction base="dms:Text">
          <xsd:maxLength value="255"/>
        </xsd:restriction>
      </xsd:simpleType>
    </xsd:element>
    <xsd:element name="FileTitle" ma:index="21" nillable="true" ma:displayName="FileTitle" ma:internalName="FileTitle" ma:readOnly="false">
      <xsd:simpleType>
        <xsd:restriction base="dms:Text">
          <xsd:maxLength value="255"/>
        </xsd:restriction>
      </xsd:simpleType>
    </xsd:element>
    <xsd:element name="FileType" ma:index="22" nillable="true" ma:displayName="FileType" ma:internalName="FileType" ma:readOnly="false">
      <xsd:simpleType>
        <xsd:restriction base="dms:Text">
          <xsd:maxLength value="255"/>
        </xsd:restriction>
      </xsd:simpleType>
    </xsd:element>
    <xsd:element name="LeadDG" ma:index="23" nillable="true" ma:displayName="LeadDG" ma:internalName="LeadDG" ma:readOnly="false">
      <xsd:simpleType>
        <xsd:restriction base="dms:Text">
          <xsd:maxLength value="255"/>
        </xsd:restriction>
      </xsd:simpleType>
    </xsd:element>
    <xsd:element name="RequestID" ma:index="24" nillable="true" ma:displayName="RequestID" ma:internalName="RequestID"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itle xmlns="e78fa126-9701-4318-bbce-edf13152f9fc">Follow-up fiche for the EESC opinion on Health and safety at work – focus on AI (SOC/818)</DocumentTitle>
    <RequestID xmlns="e78fa126-9701-4318-bbce-edf13152f9fc">EMPL/2949</RequestID>
    <EC_Collab_DocumentLanguage xmlns="22ee0535-c74f-4e20-993e-fbce5d54a3a0">EN</EC_Collab_DocumentLanguage>
    <_Status xmlns="http://schemas.microsoft.com/sharepoint/v3/fields">Not Started</_Status>
    <AuthorId xmlns="e78fa126-9701-4318-bbce-edf13152f9fc" xsi:nil="true"/>
    <FileId xmlns="e78fa126-9701-4318-bbce-edf13152f9fc">1522710</FileId>
    <LeadDG xmlns="e78fa126-9701-4318-bbce-edf13152f9fc">EMPL</LeadDG>
    <DocumentId xmlns="e78fa126-9701-4318-bbce-edf13152f9fc">737358</DocumentId>
    <EC_Collab_Reference xmlns="22ee0535-c74f-4e20-993e-fbce5d54a3a0" xsi:nil="true"/>
    <FileTitle xmlns="e78fa126-9701-4318-bbce-edf13152f9fc">Follow-up fiche for the EESC opinion on Health and safety at work – focus on AI (SOC/818)</FileTitle>
    <EC_Collab_Status xmlns="22ee0535-c74f-4e20-993e-fbce5d54a3a0">Not Started</EC_Collab_Status>
    <AuthorName xmlns="e78fa126-9701-4318-bbce-edf13152f9fc" xsi:nil="true"/>
    <FileType xmlns="e78fa126-9701-4318-bbce-edf13152f9fc">Follow-up fiche</FileType>
  </documentManagement>
</p:properties>
</file>

<file path=customXml/itemProps1.xml><?xml version="1.0" encoding="utf-8"?>
<ds:datastoreItem xmlns:ds="http://schemas.openxmlformats.org/officeDocument/2006/customXml" ds:itemID="{E5D6D262-2060-4ACD-85F4-CC29DC4F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2ee0535-c74f-4e20-993e-fbce5d54a3a0"/>
    <ds:schemaRef ds:uri="e78fa126-9701-4318-bbce-edf13152f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4917C-E033-4EA1-BA10-8A4F45EAEEF8}">
  <ds:schemaRefs>
    <ds:schemaRef ds:uri="http://schemas.openxmlformats.org/officeDocument/2006/bibliography"/>
  </ds:schemaRefs>
</ds:datastoreItem>
</file>

<file path=customXml/itemProps3.xml><?xml version="1.0" encoding="utf-8"?>
<ds:datastoreItem xmlns:ds="http://schemas.openxmlformats.org/officeDocument/2006/customXml" ds:itemID="{44C3F608-2BE3-4821-B452-CC18FB5E4F04}">
  <ds:schemaRefs>
    <ds:schemaRef ds:uri="http://schemas.microsoft.com/sharepoint/v3/contenttype/forms"/>
  </ds:schemaRefs>
</ds:datastoreItem>
</file>

<file path=customXml/itemProps4.xml><?xml version="1.0" encoding="utf-8"?>
<ds:datastoreItem xmlns:ds="http://schemas.openxmlformats.org/officeDocument/2006/customXml" ds:itemID="{CC63F70D-BF28-42A7-B376-BA2CE81CEB99}">
  <ds:schemaRefs>
    <ds:schemaRef ds:uri="http://schemas.microsoft.com/office/2006/metadata/properties"/>
    <ds:schemaRef ds:uri="http://schemas.microsoft.com/office/infopath/2007/PartnerControls"/>
    <ds:schemaRef ds:uri="e78fa126-9701-4318-bbce-edf13152f9fc"/>
    <ds:schemaRef ds:uri="22ee0535-c74f-4e20-993e-fbce5d54a3a0"/>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1096</Words>
  <Characters>6259</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dc:description/>
  <cp:lastModifiedBy>STEPIEN Beata (SG)</cp:lastModifiedBy>
  <cp:revision>3</cp:revision>
  <cp:lastPrinted>2013-02-27T18:02:00Z</cp:lastPrinted>
  <dcterms:created xsi:type="dcterms:W3CDTF">2025-10-23T07:18:00Z</dcterms:created>
  <dcterms:modified xsi:type="dcterms:W3CDTF">2025-10-23T07:21:00Z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0x010100BFC15C3EB267B243896DD18D3394AAF30042EBFDDDC8151A49B219EE185FEEDBA3</vt:lpwstr>
  </property>
</Properties>
</file>