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746284D5" w:rsidR="004D7AC0" w:rsidRDefault="00AE58F6" w:rsidP="00D20AB4">
      <w:pPr>
        <w:jc w:val="center"/>
      </w:pPr>
      <w:r>
        <w:rPr>
          <w:noProof/>
        </w:rPr>
        <w:drawing>
          <wp:inline distT="0" distB="0" distL="0" distR="0" wp14:anchorId="39DB81FC" wp14:editId="4A45D754">
            <wp:extent cx="1792605" cy="1239520"/>
            <wp:effectExtent l="0" t="0" r="0" b="0"/>
            <wp:docPr id="1" name="Picture 1" title="EESCLogo_FR"/>
            <wp:cNvGraphicFramePr/>
            <a:graphic xmlns:a="http://schemas.openxmlformats.org/drawingml/2006/main">
              <a:graphicData uri="http://schemas.openxmlformats.org/drawingml/2006/picture">
                <pic:pic xmlns:pic="http://schemas.openxmlformats.org/drawingml/2006/picture">
                  <pic:nvPicPr>
                    <pic:cNvPr id="1" name="Picture 1" title="EESCLogo_F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16256" behindDoc="1" locked="0" layoutInCell="0" allowOverlap="1" wp14:anchorId="4982DE48" wp14:editId="028EDE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FR</w:t>
                      </w:r>
                    </w:p>
                  </w:txbxContent>
                </v:textbox>
                <w10:wrap anchorx="page" anchory="page"/>
              </v:shape>
            </w:pict>
          </mc:Fallback>
        </mc:AlternateContent>
      </w:r>
    </w:p>
    <w:p w14:paraId="4982DD4E" w14:textId="77777777" w:rsidR="004D7AC0" w:rsidRDefault="004D7AC0" w:rsidP="00D20AB4"/>
    <w:p w14:paraId="4982DD4F" w14:textId="4F8DA7E3" w:rsidR="004D7AC0" w:rsidRDefault="004D7AC0" w:rsidP="00D20AB4">
      <w:pPr>
        <w:jc w:val="right"/>
      </w:pPr>
      <w:r>
        <w:t>Bruxelles, le 14 octobre 2025</w:t>
      </w:r>
    </w:p>
    <w:p w14:paraId="4982DD50" w14:textId="77777777" w:rsidR="004D7AC0" w:rsidRDefault="004D7AC0" w:rsidP="00D20AB4"/>
    <w:p w14:paraId="4982DD51" w14:textId="77777777" w:rsidR="004D7AC0" w:rsidRDefault="004D7AC0" w:rsidP="00D20AB4"/>
    <w:p w14:paraId="4982DD52" w14:textId="77777777" w:rsidR="004D7AC0" w:rsidRDefault="004D7AC0" w:rsidP="00D20AB4"/>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086EA123" w:rsidR="003066BE" w:rsidRDefault="00A554F2" w:rsidP="00D20AB4">
            <w:pPr>
              <w:snapToGrid w:val="0"/>
              <w:jc w:val="center"/>
              <w:rPr>
                <w:b/>
                <w:sz w:val="32"/>
                <w:szCs w:val="32"/>
              </w:rPr>
            </w:pPr>
            <w:r>
              <w:rPr>
                <w:b/>
                <w:sz w:val="32"/>
              </w:rPr>
              <w:t>599</w:t>
            </w:r>
            <w:r>
              <w:rPr>
                <w:b/>
                <w:sz w:val="32"/>
                <w:vertAlign w:val="superscript"/>
              </w:rPr>
              <w:t>e</w:t>
            </w:r>
            <w:r>
              <w:rPr>
                <w:b/>
                <w:sz w:val="32"/>
              </w:rPr>
              <w:t> SESSION PLÉNIÈRE</w:t>
            </w:r>
          </w:p>
          <w:p w14:paraId="4982DD54" w14:textId="77777777" w:rsidR="003066BE" w:rsidRDefault="003066BE" w:rsidP="00D20AB4">
            <w:pPr>
              <w:snapToGrid w:val="0"/>
              <w:jc w:val="center"/>
              <w:rPr>
                <w:b/>
                <w:sz w:val="32"/>
                <w:szCs w:val="32"/>
              </w:rPr>
            </w:pPr>
          </w:p>
          <w:p w14:paraId="4982DD55" w14:textId="47B07A9A" w:rsidR="003066BE" w:rsidRDefault="00A554F2" w:rsidP="00D20AB4">
            <w:pPr>
              <w:snapToGrid w:val="0"/>
              <w:jc w:val="center"/>
              <w:rPr>
                <w:b/>
                <w:sz w:val="32"/>
                <w:szCs w:val="32"/>
              </w:rPr>
            </w:pPr>
            <w:r>
              <w:rPr>
                <w:b/>
                <w:sz w:val="32"/>
              </w:rPr>
              <w:t>17 et 18 septembre 2025</w:t>
            </w:r>
          </w:p>
          <w:p w14:paraId="4982DD56" w14:textId="77777777" w:rsidR="003066BE" w:rsidRDefault="003066BE" w:rsidP="00D20AB4">
            <w:pPr>
              <w:snapToGrid w:val="0"/>
              <w:jc w:val="center"/>
              <w:rPr>
                <w:b/>
                <w:sz w:val="32"/>
                <w:szCs w:val="32"/>
              </w:rPr>
            </w:pPr>
          </w:p>
          <w:p w14:paraId="4982DD57" w14:textId="5A35E792" w:rsidR="004D7AC0" w:rsidRPr="0081153B" w:rsidRDefault="00754027" w:rsidP="00D20AB4">
            <w:pPr>
              <w:snapToGrid w:val="0"/>
              <w:jc w:val="center"/>
              <w:rPr>
                <w:rFonts w:eastAsia="MS Mincho"/>
                <w:b/>
                <w:sz w:val="32"/>
                <w:szCs w:val="32"/>
              </w:rPr>
            </w:pPr>
            <w:r>
              <w:rPr>
                <w:b/>
                <w:sz w:val="32"/>
              </w:rPr>
              <w:t>SYNTHÈSE DES AVIS, RÉSOLUTIONS ET RAPPORTS D’INFORMATION/D’ÉVALUATION ADOPTÉS</w:t>
            </w:r>
          </w:p>
          <w:p w14:paraId="4982DD58" w14:textId="77777777" w:rsidR="004D7AC0" w:rsidRDefault="004D7AC0" w:rsidP="00D20AB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D20AB4">
            <w:pPr>
              <w:snapToGrid w:val="0"/>
              <w:jc w:val="center"/>
            </w:pPr>
            <w:r>
              <w:t xml:space="preserve">Ce document est disponible dans toutes les langues officielles de l’Union européenne </w:t>
            </w:r>
            <w:r>
              <w:br/>
              <w:t xml:space="preserve">sur le site internet du CESE à l’adresse </w:t>
            </w:r>
            <w:proofErr w:type="gramStart"/>
            <w:r>
              <w:t>suivante:</w:t>
            </w:r>
            <w:proofErr w:type="gramEnd"/>
            <w:r>
              <w:br/>
            </w:r>
            <w:r>
              <w:br/>
            </w:r>
            <w:hyperlink r:id="rId13" w:history="1">
              <w:r>
                <w:rPr>
                  <w:rStyle w:val="Hyperlink"/>
                </w:rPr>
                <w:t>https://www.eesc.europa.eu/fr/our-work/opinions-information-reports/plenary-session-summaries</w:t>
              </w:r>
            </w:hyperlink>
          </w:p>
          <w:p w14:paraId="4982DD5B" w14:textId="77777777" w:rsidR="004D7AC0" w:rsidRPr="0081153B" w:rsidRDefault="004D7AC0" w:rsidP="00D20AB4">
            <w:pPr>
              <w:snapToGrid w:val="0"/>
              <w:jc w:val="center"/>
            </w:pPr>
          </w:p>
          <w:p w14:paraId="4982DD5C" w14:textId="77777777" w:rsidR="004D7AC0" w:rsidRPr="0081153B" w:rsidRDefault="004D7AC0" w:rsidP="00D20AB4">
            <w:pPr>
              <w:snapToGrid w:val="0"/>
              <w:jc w:val="center"/>
              <w:rPr>
                <w:rFonts w:eastAsia="SimSun"/>
              </w:rPr>
            </w:pPr>
          </w:p>
          <w:p w14:paraId="4982DD5D" w14:textId="77777777" w:rsidR="004D7AC0" w:rsidRPr="00044561" w:rsidRDefault="004D7AC0" w:rsidP="00D20AB4">
            <w:pPr>
              <w:snapToGrid w:val="0"/>
              <w:jc w:val="center"/>
            </w:pPr>
            <w:r>
              <w:t xml:space="preserve">Les avis mentionnés peuvent être consultés en ligne au moyen du moteur de recherche du </w:t>
            </w:r>
            <w:proofErr w:type="gramStart"/>
            <w:r>
              <w:t>CESE:</w:t>
            </w:r>
            <w:proofErr w:type="gramEnd"/>
            <w:r>
              <w:br/>
            </w:r>
            <w:r>
              <w:br/>
            </w:r>
            <w:hyperlink r:id="rId14" w:history="1">
              <w:r>
                <w:rPr>
                  <w:rStyle w:val="Hyperlink"/>
                </w:rPr>
                <w:t>https://dmsearch.eesc.europa.eu/search/opinion</w:t>
              </w:r>
            </w:hyperlink>
          </w:p>
          <w:p w14:paraId="4982DD5E" w14:textId="77777777" w:rsidR="004D7AC0" w:rsidRPr="00044561" w:rsidRDefault="004D7AC0" w:rsidP="00D20AB4">
            <w:pPr>
              <w:snapToGrid w:val="0"/>
              <w:jc w:val="center"/>
            </w:pPr>
          </w:p>
        </w:tc>
      </w:tr>
    </w:tbl>
    <w:p w14:paraId="4982DD60" w14:textId="77777777" w:rsidR="004D7AC0" w:rsidRDefault="004D7AC0" w:rsidP="00D20AB4"/>
    <w:p w14:paraId="4982DD61" w14:textId="77777777" w:rsidR="004D7AC0" w:rsidRDefault="004D7AC0" w:rsidP="00D20AB4"/>
    <w:p w14:paraId="4982DD62" w14:textId="77777777" w:rsidR="004D7AC0" w:rsidRDefault="004D7AC0" w:rsidP="00D20AB4">
      <w:pPr>
        <w:sectPr w:rsidR="004D7AC0" w:rsidSect="00055407">
          <w:footerReference w:type="default" r:id="rId15"/>
          <w:pgSz w:w="11907" w:h="16839"/>
          <w:pgMar w:top="1417" w:right="1417" w:bottom="1417" w:left="1417" w:header="709" w:footer="709" w:gutter="0"/>
          <w:pgNumType w:start="1"/>
          <w:cols w:space="708"/>
          <w:docGrid w:linePitch="360"/>
        </w:sectPr>
      </w:pPr>
    </w:p>
    <w:p w14:paraId="2CFAE86A" w14:textId="49111B10" w:rsidR="00F31327" w:rsidRPr="00A81AFE" w:rsidRDefault="004D7AC0" w:rsidP="00F31327">
      <w:pPr>
        <w:spacing w:before="120"/>
        <w:rPr>
          <w:b/>
        </w:rPr>
      </w:pPr>
      <w:r>
        <w:rPr>
          <w:b/>
        </w:rPr>
        <w:lastRenderedPageBreak/>
        <w:t>Table des matières</w:t>
      </w:r>
    </w:p>
    <w:sdt>
      <w:sdtPr>
        <w:rPr>
          <w:rFonts w:ascii="Times New Roman" w:eastAsia="Times New Roman" w:hAnsi="Times New Roman" w:cs="Times New Roman"/>
          <w:color w:val="auto"/>
          <w:sz w:val="22"/>
          <w:szCs w:val="22"/>
        </w:rPr>
        <w:id w:val="865486656"/>
        <w:docPartObj>
          <w:docPartGallery w:val="Table of Contents"/>
          <w:docPartUnique/>
        </w:docPartObj>
      </w:sdtPr>
      <w:sdtEndPr>
        <w:rPr>
          <w:b/>
          <w:bCs/>
          <w:noProof/>
        </w:rPr>
      </w:sdtEndPr>
      <w:sdtContent>
        <w:p w14:paraId="4234EC5E" w14:textId="3047FE2B" w:rsidR="00804978" w:rsidRDefault="00804978">
          <w:pPr>
            <w:pStyle w:val="TOCHeading"/>
          </w:pPr>
        </w:p>
        <w:p w14:paraId="7F399281" w14:textId="39EEB192" w:rsidR="00585C80" w:rsidRDefault="00804978">
          <w:pPr>
            <w:pStyle w:val="TOC1"/>
            <w:rPr>
              <w:rFonts w:asciiTheme="minorHAnsi" w:eastAsiaTheme="minorEastAsia" w:hAnsiTheme="minorHAnsi" w:cstheme="minorBidi"/>
              <w:noProof/>
              <w:lang w:val="fr-BE" w:eastAsia="fr-BE"/>
            </w:rPr>
          </w:pPr>
          <w:r>
            <w:fldChar w:fldCharType="begin"/>
          </w:r>
          <w:r>
            <w:instrText xml:space="preserve"> TOC \o "1-3" \h \z \u </w:instrText>
          </w:r>
          <w:r>
            <w:fldChar w:fldCharType="separate"/>
          </w:r>
          <w:hyperlink w:anchor="_Toc211333639" w:history="1">
            <w:r w:rsidR="00585C80" w:rsidRPr="002E18E1">
              <w:rPr>
                <w:rStyle w:val="Hyperlink"/>
                <w:bCs/>
                <w:noProof/>
              </w:rPr>
              <w:t>1.</w:t>
            </w:r>
            <w:r w:rsidR="00585C80">
              <w:rPr>
                <w:rFonts w:asciiTheme="minorHAnsi" w:eastAsiaTheme="minorEastAsia" w:hAnsiTheme="minorHAnsi" w:cstheme="minorBidi"/>
                <w:noProof/>
                <w:lang w:val="fr-BE" w:eastAsia="fr-BE"/>
              </w:rPr>
              <w:tab/>
            </w:r>
            <w:r w:rsidR="00585C80" w:rsidRPr="002E18E1">
              <w:rPr>
                <w:rStyle w:val="Hyperlink"/>
                <w:b/>
                <w:noProof/>
              </w:rPr>
              <w:t>RÉSOLUTION</w:t>
            </w:r>
            <w:r w:rsidR="00585C80">
              <w:rPr>
                <w:noProof/>
                <w:webHidden/>
              </w:rPr>
              <w:tab/>
            </w:r>
            <w:r w:rsidR="00585C80">
              <w:rPr>
                <w:noProof/>
                <w:webHidden/>
              </w:rPr>
              <w:fldChar w:fldCharType="begin"/>
            </w:r>
            <w:r w:rsidR="00585C80">
              <w:rPr>
                <w:noProof/>
                <w:webHidden/>
              </w:rPr>
              <w:instrText xml:space="preserve"> PAGEREF _Toc211333639 \h </w:instrText>
            </w:r>
            <w:r w:rsidR="00585C80">
              <w:rPr>
                <w:noProof/>
                <w:webHidden/>
              </w:rPr>
            </w:r>
            <w:r w:rsidR="00585C80">
              <w:rPr>
                <w:noProof/>
                <w:webHidden/>
              </w:rPr>
              <w:fldChar w:fldCharType="separate"/>
            </w:r>
            <w:r w:rsidR="00585C80">
              <w:rPr>
                <w:noProof/>
                <w:webHidden/>
              </w:rPr>
              <w:t>8</w:t>
            </w:r>
            <w:r w:rsidR="00585C80">
              <w:rPr>
                <w:noProof/>
                <w:webHidden/>
              </w:rPr>
              <w:fldChar w:fldCharType="end"/>
            </w:r>
          </w:hyperlink>
        </w:p>
        <w:p w14:paraId="4EC9212C" w14:textId="70367CB6" w:rsidR="00585C80" w:rsidRDefault="00CB508B" w:rsidP="00585C80">
          <w:pPr>
            <w:pStyle w:val="TOC1"/>
            <w:rPr>
              <w:rFonts w:asciiTheme="minorHAnsi" w:eastAsiaTheme="minorEastAsia" w:hAnsiTheme="minorHAnsi" w:cstheme="minorBidi"/>
              <w:noProof/>
              <w:lang w:val="fr-BE" w:eastAsia="fr-BE"/>
            </w:rPr>
          </w:pPr>
          <w:hyperlink w:anchor="_Toc211333640" w:history="1">
            <w:r w:rsidR="00585C80" w:rsidRPr="002E18E1">
              <w:rPr>
                <w:rStyle w:val="Hyperlink"/>
                <w:bCs/>
                <w:noProof/>
              </w:rPr>
              <w:t>2.</w:t>
            </w:r>
            <w:r w:rsidR="00585C80">
              <w:rPr>
                <w:rFonts w:asciiTheme="minorHAnsi" w:eastAsiaTheme="minorEastAsia" w:hAnsiTheme="minorHAnsi" w:cstheme="minorBidi"/>
                <w:noProof/>
                <w:lang w:val="fr-BE" w:eastAsia="fr-BE"/>
              </w:rPr>
              <w:tab/>
            </w:r>
            <w:r w:rsidR="00585C80" w:rsidRPr="002E18E1">
              <w:rPr>
                <w:rStyle w:val="Hyperlink"/>
                <w:b/>
                <w:noProof/>
              </w:rPr>
              <w:t>UNION ÉCONOMIQUE ET MONÉTAIRE ET COHÉSION ÉCONOMIQUE ET SOCIALE</w:t>
            </w:r>
            <w:r w:rsidR="00585C80">
              <w:rPr>
                <w:noProof/>
                <w:webHidden/>
              </w:rPr>
              <w:tab/>
            </w:r>
            <w:r w:rsidR="00585C80">
              <w:rPr>
                <w:noProof/>
                <w:webHidden/>
              </w:rPr>
              <w:fldChar w:fldCharType="begin"/>
            </w:r>
            <w:r w:rsidR="00585C80">
              <w:rPr>
                <w:noProof/>
                <w:webHidden/>
              </w:rPr>
              <w:instrText xml:space="preserve"> PAGEREF _Toc211333640 \h </w:instrText>
            </w:r>
            <w:r w:rsidR="00585C80">
              <w:rPr>
                <w:noProof/>
                <w:webHidden/>
              </w:rPr>
            </w:r>
            <w:r w:rsidR="00585C80">
              <w:rPr>
                <w:noProof/>
                <w:webHidden/>
              </w:rPr>
              <w:fldChar w:fldCharType="separate"/>
            </w:r>
            <w:r w:rsidR="00585C80">
              <w:rPr>
                <w:noProof/>
                <w:webHidden/>
              </w:rPr>
              <w:t>10</w:t>
            </w:r>
            <w:r w:rsidR="00585C80">
              <w:rPr>
                <w:noProof/>
                <w:webHidden/>
              </w:rPr>
              <w:fldChar w:fldCharType="end"/>
            </w:r>
          </w:hyperlink>
        </w:p>
        <w:p w14:paraId="16AFBA7E" w14:textId="1E65E20F" w:rsidR="00585C80" w:rsidRDefault="00CB508B" w:rsidP="00585C80">
          <w:pPr>
            <w:pStyle w:val="TOC1"/>
            <w:rPr>
              <w:rFonts w:asciiTheme="minorHAnsi" w:eastAsiaTheme="minorEastAsia" w:hAnsiTheme="minorHAnsi" w:cstheme="minorBidi"/>
              <w:noProof/>
              <w:lang w:val="fr-BE" w:eastAsia="fr-BE"/>
            </w:rPr>
          </w:pPr>
          <w:hyperlink w:anchor="_Toc211333668" w:history="1">
            <w:r w:rsidR="00585C80" w:rsidRPr="002E18E1">
              <w:rPr>
                <w:rStyle w:val="Hyperlink"/>
                <w:bCs/>
                <w:noProof/>
              </w:rPr>
              <w:t>3.</w:t>
            </w:r>
            <w:r w:rsidR="00585C80">
              <w:rPr>
                <w:rFonts w:asciiTheme="minorHAnsi" w:eastAsiaTheme="minorEastAsia" w:hAnsiTheme="minorHAnsi" w:cstheme="minorBidi"/>
                <w:noProof/>
                <w:lang w:val="fr-BE" w:eastAsia="fr-BE"/>
              </w:rPr>
              <w:tab/>
            </w:r>
            <w:r w:rsidR="00585C80" w:rsidRPr="002E18E1">
              <w:rPr>
                <w:rStyle w:val="Hyperlink"/>
                <w:b/>
                <w:noProof/>
              </w:rPr>
              <w:t>EMPLOI, AFFAIRES SOCIALES ET CITOYENNETÉ</w:t>
            </w:r>
            <w:r w:rsidR="00585C80">
              <w:rPr>
                <w:noProof/>
                <w:webHidden/>
              </w:rPr>
              <w:tab/>
            </w:r>
            <w:r w:rsidR="00585C80">
              <w:rPr>
                <w:noProof/>
                <w:webHidden/>
              </w:rPr>
              <w:fldChar w:fldCharType="begin"/>
            </w:r>
            <w:r w:rsidR="00585C80">
              <w:rPr>
                <w:noProof/>
                <w:webHidden/>
              </w:rPr>
              <w:instrText xml:space="preserve"> PAGEREF _Toc211333668 \h </w:instrText>
            </w:r>
            <w:r w:rsidR="00585C80">
              <w:rPr>
                <w:noProof/>
                <w:webHidden/>
              </w:rPr>
            </w:r>
            <w:r w:rsidR="00585C80">
              <w:rPr>
                <w:noProof/>
                <w:webHidden/>
              </w:rPr>
              <w:fldChar w:fldCharType="separate"/>
            </w:r>
            <w:r w:rsidR="00585C80">
              <w:rPr>
                <w:noProof/>
                <w:webHidden/>
              </w:rPr>
              <w:t>21</w:t>
            </w:r>
            <w:r w:rsidR="00585C80">
              <w:rPr>
                <w:noProof/>
                <w:webHidden/>
              </w:rPr>
              <w:fldChar w:fldCharType="end"/>
            </w:r>
          </w:hyperlink>
        </w:p>
        <w:p w14:paraId="6E922706" w14:textId="19C79CAD" w:rsidR="00585C80" w:rsidRDefault="00CB508B">
          <w:pPr>
            <w:pStyle w:val="TOC1"/>
            <w:rPr>
              <w:rFonts w:asciiTheme="minorHAnsi" w:eastAsiaTheme="minorEastAsia" w:hAnsiTheme="minorHAnsi" w:cstheme="minorBidi"/>
              <w:noProof/>
              <w:lang w:val="fr-BE" w:eastAsia="fr-BE"/>
            </w:rPr>
          </w:pPr>
          <w:hyperlink w:anchor="_Toc211333695" w:history="1">
            <w:r w:rsidR="00585C80" w:rsidRPr="002E18E1">
              <w:rPr>
                <w:rStyle w:val="Hyperlink"/>
                <w:bCs/>
                <w:noProof/>
              </w:rPr>
              <w:t>4.</w:t>
            </w:r>
            <w:r w:rsidR="00585C80">
              <w:rPr>
                <w:rFonts w:asciiTheme="minorHAnsi" w:eastAsiaTheme="minorEastAsia" w:hAnsiTheme="minorHAnsi" w:cstheme="minorBidi"/>
                <w:noProof/>
                <w:lang w:val="fr-BE" w:eastAsia="fr-BE"/>
              </w:rPr>
              <w:tab/>
            </w:r>
            <w:r w:rsidR="00585C80" w:rsidRPr="002E18E1">
              <w:rPr>
                <w:rStyle w:val="Hyperlink"/>
                <w:b/>
                <w:noProof/>
              </w:rPr>
              <w:t>TRANSPORTS, ÉNERGIE, INFRASTRUCTURES ET SOCIÉTÉ DE L’INFORMATION</w:t>
            </w:r>
            <w:r w:rsidR="00585C80">
              <w:rPr>
                <w:noProof/>
                <w:webHidden/>
              </w:rPr>
              <w:tab/>
            </w:r>
            <w:r w:rsidR="00585C80">
              <w:rPr>
                <w:noProof/>
                <w:webHidden/>
              </w:rPr>
              <w:fldChar w:fldCharType="begin"/>
            </w:r>
            <w:r w:rsidR="00585C80">
              <w:rPr>
                <w:noProof/>
                <w:webHidden/>
              </w:rPr>
              <w:instrText xml:space="preserve"> PAGEREF _Toc211333695 \h </w:instrText>
            </w:r>
            <w:r w:rsidR="00585C80">
              <w:rPr>
                <w:noProof/>
                <w:webHidden/>
              </w:rPr>
            </w:r>
            <w:r w:rsidR="00585C80">
              <w:rPr>
                <w:noProof/>
                <w:webHidden/>
              </w:rPr>
              <w:fldChar w:fldCharType="separate"/>
            </w:r>
            <w:r w:rsidR="00585C80">
              <w:rPr>
                <w:noProof/>
                <w:webHidden/>
              </w:rPr>
              <w:t>33</w:t>
            </w:r>
            <w:r w:rsidR="00585C80">
              <w:rPr>
                <w:noProof/>
                <w:webHidden/>
              </w:rPr>
              <w:fldChar w:fldCharType="end"/>
            </w:r>
          </w:hyperlink>
        </w:p>
        <w:p w14:paraId="77EFF44F" w14:textId="5A6AE6CB" w:rsidR="00585C80" w:rsidRDefault="00CB508B">
          <w:pPr>
            <w:pStyle w:val="TOC1"/>
            <w:rPr>
              <w:rFonts w:asciiTheme="minorHAnsi" w:eastAsiaTheme="minorEastAsia" w:hAnsiTheme="minorHAnsi" w:cstheme="minorBidi"/>
              <w:noProof/>
              <w:lang w:val="fr-BE" w:eastAsia="fr-BE"/>
            </w:rPr>
          </w:pPr>
          <w:hyperlink w:anchor="_Toc211333696" w:history="1">
            <w:r w:rsidR="00585C80" w:rsidRPr="002E18E1">
              <w:rPr>
                <w:rStyle w:val="Hyperlink"/>
                <w:bCs/>
                <w:noProof/>
              </w:rPr>
              <w:t>5.</w:t>
            </w:r>
            <w:r w:rsidR="00585C80">
              <w:rPr>
                <w:rFonts w:asciiTheme="minorHAnsi" w:eastAsiaTheme="minorEastAsia" w:hAnsiTheme="minorHAnsi" w:cstheme="minorBidi"/>
                <w:noProof/>
                <w:lang w:val="fr-BE" w:eastAsia="fr-BE"/>
              </w:rPr>
              <w:tab/>
            </w:r>
            <w:r w:rsidR="00585C80" w:rsidRPr="002E18E1">
              <w:rPr>
                <w:rStyle w:val="Hyperlink"/>
                <w:b/>
                <w:noProof/>
              </w:rPr>
              <w:t>MARCHÉ UNIQUE, PRODUCTION ET CONSOMMATION</w:t>
            </w:r>
            <w:r w:rsidR="00585C80">
              <w:rPr>
                <w:noProof/>
                <w:webHidden/>
              </w:rPr>
              <w:tab/>
            </w:r>
            <w:r w:rsidR="00585C80">
              <w:rPr>
                <w:noProof/>
                <w:webHidden/>
              </w:rPr>
              <w:fldChar w:fldCharType="begin"/>
            </w:r>
            <w:r w:rsidR="00585C80">
              <w:rPr>
                <w:noProof/>
                <w:webHidden/>
              </w:rPr>
              <w:instrText xml:space="preserve"> PAGEREF _Toc211333696 \h </w:instrText>
            </w:r>
            <w:r w:rsidR="00585C80">
              <w:rPr>
                <w:noProof/>
                <w:webHidden/>
              </w:rPr>
            </w:r>
            <w:r w:rsidR="00585C80">
              <w:rPr>
                <w:noProof/>
                <w:webHidden/>
              </w:rPr>
              <w:fldChar w:fldCharType="separate"/>
            </w:r>
            <w:r w:rsidR="00585C80">
              <w:rPr>
                <w:noProof/>
                <w:webHidden/>
              </w:rPr>
              <w:t>38</w:t>
            </w:r>
            <w:r w:rsidR="00585C80">
              <w:rPr>
                <w:noProof/>
                <w:webHidden/>
              </w:rPr>
              <w:fldChar w:fldCharType="end"/>
            </w:r>
          </w:hyperlink>
        </w:p>
        <w:p w14:paraId="4417645C" w14:textId="3B7D9D22" w:rsidR="00585C80" w:rsidRDefault="00CB508B" w:rsidP="00585C80">
          <w:pPr>
            <w:pStyle w:val="TOC1"/>
            <w:rPr>
              <w:rFonts w:asciiTheme="minorHAnsi" w:eastAsiaTheme="minorEastAsia" w:hAnsiTheme="minorHAnsi" w:cstheme="minorBidi"/>
              <w:noProof/>
              <w:lang w:val="fr-BE" w:eastAsia="fr-BE"/>
            </w:rPr>
          </w:pPr>
          <w:hyperlink w:anchor="_Toc211333697" w:history="1">
            <w:r w:rsidR="00585C80" w:rsidRPr="002E18E1">
              <w:rPr>
                <w:rStyle w:val="Hyperlink"/>
                <w:bCs/>
                <w:noProof/>
              </w:rPr>
              <w:t>6.</w:t>
            </w:r>
            <w:r w:rsidR="00585C80">
              <w:rPr>
                <w:rFonts w:asciiTheme="minorHAnsi" w:eastAsiaTheme="minorEastAsia" w:hAnsiTheme="minorHAnsi" w:cstheme="minorBidi"/>
                <w:noProof/>
                <w:lang w:val="fr-BE" w:eastAsia="fr-BE"/>
              </w:rPr>
              <w:tab/>
            </w:r>
            <w:r w:rsidR="00585C80" w:rsidRPr="002E18E1">
              <w:rPr>
                <w:rStyle w:val="Hyperlink"/>
                <w:b/>
                <w:noProof/>
              </w:rPr>
              <w:t>AGRICULTURE, DÉVELOPPEMENT RURAL ET ENVIRONNEMENT</w:t>
            </w:r>
            <w:r w:rsidR="00585C80">
              <w:rPr>
                <w:noProof/>
                <w:webHidden/>
              </w:rPr>
              <w:tab/>
            </w:r>
            <w:r w:rsidR="00585C80">
              <w:rPr>
                <w:noProof/>
                <w:webHidden/>
              </w:rPr>
              <w:fldChar w:fldCharType="begin"/>
            </w:r>
            <w:r w:rsidR="00585C80">
              <w:rPr>
                <w:noProof/>
                <w:webHidden/>
              </w:rPr>
              <w:instrText xml:space="preserve"> PAGEREF _Toc211333697 \h </w:instrText>
            </w:r>
            <w:r w:rsidR="00585C80">
              <w:rPr>
                <w:noProof/>
                <w:webHidden/>
              </w:rPr>
            </w:r>
            <w:r w:rsidR="00585C80">
              <w:rPr>
                <w:noProof/>
                <w:webHidden/>
              </w:rPr>
              <w:fldChar w:fldCharType="separate"/>
            </w:r>
            <w:r w:rsidR="00585C80">
              <w:rPr>
                <w:noProof/>
                <w:webHidden/>
              </w:rPr>
              <w:t>47</w:t>
            </w:r>
            <w:r w:rsidR="00585C80">
              <w:rPr>
                <w:noProof/>
                <w:webHidden/>
              </w:rPr>
              <w:fldChar w:fldCharType="end"/>
            </w:r>
          </w:hyperlink>
        </w:p>
        <w:p w14:paraId="5071FDEE" w14:textId="654E6AE0" w:rsidR="00585C80" w:rsidRDefault="00CB508B">
          <w:pPr>
            <w:pStyle w:val="TOC1"/>
            <w:rPr>
              <w:rFonts w:asciiTheme="minorHAnsi" w:eastAsiaTheme="minorEastAsia" w:hAnsiTheme="minorHAnsi" w:cstheme="minorBidi"/>
              <w:noProof/>
              <w:lang w:val="fr-BE" w:eastAsia="fr-BE"/>
            </w:rPr>
          </w:pPr>
          <w:hyperlink w:anchor="_Toc211333716" w:history="1">
            <w:r w:rsidR="00585C80" w:rsidRPr="002E18E1">
              <w:rPr>
                <w:rStyle w:val="Hyperlink"/>
                <w:bCs/>
                <w:noProof/>
              </w:rPr>
              <w:t>7.</w:t>
            </w:r>
            <w:r w:rsidR="00585C80">
              <w:rPr>
                <w:rFonts w:asciiTheme="minorHAnsi" w:eastAsiaTheme="minorEastAsia" w:hAnsiTheme="minorHAnsi" w:cstheme="minorBidi"/>
                <w:noProof/>
                <w:lang w:val="fr-BE" w:eastAsia="fr-BE"/>
              </w:rPr>
              <w:tab/>
            </w:r>
            <w:r w:rsidR="00585C80" w:rsidRPr="002E18E1">
              <w:rPr>
                <w:rStyle w:val="Hyperlink"/>
                <w:b/>
                <w:noProof/>
              </w:rPr>
              <w:t>RELATIONS EXTÉRIEURES</w:t>
            </w:r>
            <w:r w:rsidR="00585C80">
              <w:rPr>
                <w:noProof/>
                <w:webHidden/>
              </w:rPr>
              <w:tab/>
            </w:r>
            <w:r w:rsidR="00585C80">
              <w:rPr>
                <w:noProof/>
                <w:webHidden/>
              </w:rPr>
              <w:fldChar w:fldCharType="begin"/>
            </w:r>
            <w:r w:rsidR="00585C80">
              <w:rPr>
                <w:noProof/>
                <w:webHidden/>
              </w:rPr>
              <w:instrText xml:space="preserve"> PAGEREF _Toc211333716 \h </w:instrText>
            </w:r>
            <w:r w:rsidR="00585C80">
              <w:rPr>
                <w:noProof/>
                <w:webHidden/>
              </w:rPr>
            </w:r>
            <w:r w:rsidR="00585C80">
              <w:rPr>
                <w:noProof/>
                <w:webHidden/>
              </w:rPr>
              <w:fldChar w:fldCharType="separate"/>
            </w:r>
            <w:r w:rsidR="00585C80">
              <w:rPr>
                <w:noProof/>
                <w:webHidden/>
              </w:rPr>
              <w:t>54</w:t>
            </w:r>
            <w:r w:rsidR="00585C80">
              <w:rPr>
                <w:noProof/>
                <w:webHidden/>
              </w:rPr>
              <w:fldChar w:fldCharType="end"/>
            </w:r>
          </w:hyperlink>
        </w:p>
        <w:p w14:paraId="40276B81" w14:textId="1E30572A" w:rsidR="00585C80" w:rsidRDefault="00CB508B">
          <w:pPr>
            <w:pStyle w:val="TOC1"/>
            <w:rPr>
              <w:rFonts w:asciiTheme="minorHAnsi" w:eastAsiaTheme="minorEastAsia" w:hAnsiTheme="minorHAnsi" w:cstheme="minorBidi"/>
              <w:noProof/>
              <w:lang w:val="fr-BE" w:eastAsia="fr-BE"/>
            </w:rPr>
          </w:pPr>
          <w:hyperlink w:anchor="_Toc211333717" w:history="1">
            <w:r w:rsidR="00585C80" w:rsidRPr="002E18E1">
              <w:rPr>
                <w:rStyle w:val="Hyperlink"/>
                <w:bCs/>
                <w:noProof/>
                <w:lang w:val="en-GB"/>
              </w:rPr>
              <w:t>8.</w:t>
            </w:r>
            <w:r w:rsidR="00585C80">
              <w:rPr>
                <w:rFonts w:asciiTheme="minorHAnsi" w:eastAsiaTheme="minorEastAsia" w:hAnsiTheme="minorHAnsi" w:cstheme="minorBidi"/>
                <w:noProof/>
                <w:lang w:val="fr-BE" w:eastAsia="fr-BE"/>
              </w:rPr>
              <w:tab/>
            </w:r>
            <w:r w:rsidR="00585C80" w:rsidRPr="002E18E1">
              <w:rPr>
                <w:rStyle w:val="Hyperlink"/>
                <w:b/>
                <w:noProof/>
                <w:lang w:val="en-GB"/>
              </w:rPr>
              <w:t>COMMISSION CONSULTATIVE DES MUTATIONS INDUSTRIELLES</w:t>
            </w:r>
            <w:r w:rsidR="00585C80">
              <w:rPr>
                <w:noProof/>
                <w:webHidden/>
              </w:rPr>
              <w:tab/>
            </w:r>
            <w:r w:rsidR="00585C80">
              <w:rPr>
                <w:noProof/>
                <w:webHidden/>
              </w:rPr>
              <w:fldChar w:fldCharType="begin"/>
            </w:r>
            <w:r w:rsidR="00585C80">
              <w:rPr>
                <w:noProof/>
                <w:webHidden/>
              </w:rPr>
              <w:instrText xml:space="preserve"> PAGEREF _Toc211333717 \h </w:instrText>
            </w:r>
            <w:r w:rsidR="00585C80">
              <w:rPr>
                <w:noProof/>
                <w:webHidden/>
              </w:rPr>
            </w:r>
            <w:r w:rsidR="00585C80">
              <w:rPr>
                <w:noProof/>
                <w:webHidden/>
              </w:rPr>
              <w:fldChar w:fldCharType="separate"/>
            </w:r>
            <w:r w:rsidR="00585C80">
              <w:rPr>
                <w:noProof/>
                <w:webHidden/>
              </w:rPr>
              <w:t>59</w:t>
            </w:r>
            <w:r w:rsidR="00585C80">
              <w:rPr>
                <w:noProof/>
                <w:webHidden/>
              </w:rPr>
              <w:fldChar w:fldCharType="end"/>
            </w:r>
          </w:hyperlink>
        </w:p>
        <w:p w14:paraId="4353F7C0" w14:textId="0CC66AB3" w:rsidR="00585C80" w:rsidRDefault="00CB508B">
          <w:pPr>
            <w:pStyle w:val="TOC1"/>
            <w:rPr>
              <w:rFonts w:asciiTheme="minorHAnsi" w:eastAsiaTheme="minorEastAsia" w:hAnsiTheme="minorHAnsi" w:cstheme="minorBidi"/>
              <w:noProof/>
              <w:lang w:val="fr-BE" w:eastAsia="fr-BE"/>
            </w:rPr>
          </w:pPr>
          <w:hyperlink w:anchor="_Toc211333718" w:history="1">
            <w:r w:rsidR="00585C80" w:rsidRPr="002E18E1">
              <w:rPr>
                <w:rStyle w:val="Hyperlink"/>
                <w:bCs/>
                <w:noProof/>
                <w:lang w:val="en-GB"/>
              </w:rPr>
              <w:t>9.</w:t>
            </w:r>
            <w:r w:rsidR="00585C80">
              <w:rPr>
                <w:rFonts w:asciiTheme="minorHAnsi" w:eastAsiaTheme="minorEastAsia" w:hAnsiTheme="minorHAnsi" w:cstheme="minorBidi"/>
                <w:noProof/>
                <w:lang w:val="fr-BE" w:eastAsia="fr-BE"/>
              </w:rPr>
              <w:tab/>
            </w:r>
            <w:r w:rsidR="00585C80" w:rsidRPr="002E18E1">
              <w:rPr>
                <w:rStyle w:val="Hyperlink"/>
                <w:b/>
                <w:noProof/>
                <w:lang w:val="en-GB"/>
              </w:rPr>
              <w:t>STRATÉGIE EUROPÉENNE POUR UNE UNION DE LA PRÉPARATION</w:t>
            </w:r>
            <w:r w:rsidR="00585C80">
              <w:rPr>
                <w:noProof/>
                <w:webHidden/>
              </w:rPr>
              <w:tab/>
            </w:r>
            <w:r w:rsidR="00585C80">
              <w:rPr>
                <w:noProof/>
                <w:webHidden/>
              </w:rPr>
              <w:fldChar w:fldCharType="begin"/>
            </w:r>
            <w:r w:rsidR="00585C80">
              <w:rPr>
                <w:noProof/>
                <w:webHidden/>
              </w:rPr>
              <w:instrText xml:space="preserve"> PAGEREF _Toc211333718 \h </w:instrText>
            </w:r>
            <w:r w:rsidR="00585C80">
              <w:rPr>
                <w:noProof/>
                <w:webHidden/>
              </w:rPr>
            </w:r>
            <w:r w:rsidR="00585C80">
              <w:rPr>
                <w:noProof/>
                <w:webHidden/>
              </w:rPr>
              <w:fldChar w:fldCharType="separate"/>
            </w:r>
            <w:r w:rsidR="00585C80">
              <w:rPr>
                <w:noProof/>
                <w:webHidden/>
              </w:rPr>
              <w:t>66</w:t>
            </w:r>
            <w:r w:rsidR="00585C80">
              <w:rPr>
                <w:noProof/>
                <w:webHidden/>
              </w:rPr>
              <w:fldChar w:fldCharType="end"/>
            </w:r>
          </w:hyperlink>
        </w:p>
        <w:p w14:paraId="035CB582" w14:textId="075449F5" w:rsidR="00804978" w:rsidRDefault="00804978">
          <w:r>
            <w:rPr>
              <w:b/>
              <w:bCs/>
              <w:noProof/>
            </w:rPr>
            <w:fldChar w:fldCharType="end"/>
          </w:r>
        </w:p>
      </w:sdtContent>
    </w:sdt>
    <w:p w14:paraId="756C57FF" w14:textId="77777777" w:rsidR="00F31327" w:rsidRDefault="00F31327" w:rsidP="00F31327">
      <w:pPr>
        <w:spacing w:before="120"/>
      </w:pPr>
    </w:p>
    <w:p w14:paraId="5878D1D6" w14:textId="77777777" w:rsidR="00F31327" w:rsidRDefault="00F31327" w:rsidP="00F31327">
      <w:pPr>
        <w:jc w:val="left"/>
      </w:pPr>
      <w:r>
        <w:br w:type="page"/>
      </w:r>
    </w:p>
    <w:p w14:paraId="2E16F6DB" w14:textId="34435F51" w:rsidR="00F31327" w:rsidRPr="00EA2195" w:rsidRDefault="00F31327" w:rsidP="00F31327">
      <w:pPr>
        <w:pStyle w:val="Heading1"/>
        <w:ind w:left="567" w:hanging="567"/>
        <w:rPr>
          <w:b/>
        </w:rPr>
      </w:pPr>
      <w:bookmarkStart w:id="0" w:name="_Toc211333639"/>
      <w:r w:rsidRPr="00EA2195">
        <w:rPr>
          <w:b/>
        </w:rPr>
        <w:lastRenderedPageBreak/>
        <w:t>R</w:t>
      </w:r>
      <w:r w:rsidR="00E82016">
        <w:rPr>
          <w:b/>
        </w:rPr>
        <w:t>É</w:t>
      </w:r>
      <w:r w:rsidRPr="00EA2195">
        <w:rPr>
          <w:b/>
        </w:rPr>
        <w:t>SOLUTION</w:t>
      </w:r>
      <w:bookmarkEnd w:id="0"/>
    </w:p>
    <w:p w14:paraId="4208E98E" w14:textId="77777777" w:rsidR="00F31327" w:rsidRDefault="00F31327" w:rsidP="00F31327"/>
    <w:p w14:paraId="78F58595" w14:textId="77777777" w:rsidR="002717BA" w:rsidRPr="009A030C" w:rsidRDefault="002717BA" w:rsidP="002717BA">
      <w:pPr>
        <w:widowControl w:val="0"/>
        <w:numPr>
          <w:ilvl w:val="0"/>
          <w:numId w:val="2"/>
        </w:numPr>
        <w:overflowPunct w:val="0"/>
        <w:autoSpaceDE w:val="0"/>
        <w:autoSpaceDN w:val="0"/>
        <w:adjustRightInd w:val="0"/>
        <w:ind w:left="567" w:hanging="567"/>
        <w:textAlignment w:val="baseline"/>
        <w:rPr>
          <w:b/>
          <w:bCs/>
          <w:i/>
          <w:iCs/>
          <w:sz w:val="28"/>
          <w:szCs w:val="28"/>
        </w:rPr>
      </w:pPr>
      <w:r>
        <w:rPr>
          <w:b/>
          <w:i/>
          <w:sz w:val="28"/>
        </w:rPr>
        <w:t xml:space="preserve">Résolution </w:t>
      </w:r>
      <w:r>
        <w:rPr>
          <w:b/>
          <w:sz w:val="28"/>
        </w:rPr>
        <w:t>—</w:t>
      </w:r>
      <w:r>
        <w:t xml:space="preserve"> </w:t>
      </w:r>
      <w:hyperlink r:id="rId16" w:history="1">
        <w:r>
          <w:rPr>
            <w:rStyle w:val="Hyperlink"/>
            <w:b/>
            <w:i/>
            <w:sz w:val="28"/>
          </w:rPr>
          <w:t>Défendre les valeurs de l’Union européenne et conforter son avenir au sein du nouvel ordre géopolitique</w:t>
        </w:r>
      </w:hyperlink>
    </w:p>
    <w:p w14:paraId="7E128D6D" w14:textId="77777777" w:rsidR="002717BA" w:rsidRPr="009A030C" w:rsidRDefault="002717BA" w:rsidP="002717BA">
      <w:pPr>
        <w:widowControl w:val="0"/>
        <w:ind w:left="266"/>
        <w:rPr>
          <w:bCs/>
          <w:lang w:val="en-IE"/>
        </w:rPr>
      </w:pPr>
    </w:p>
    <w:tbl>
      <w:tblPr>
        <w:tblStyle w:val="TableGrid"/>
        <w:tblW w:w="52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8079"/>
      </w:tblGrid>
      <w:tr w:rsidR="002717BA" w:rsidRPr="009A030C" w14:paraId="08CC0CBD" w14:textId="77777777" w:rsidTr="00ED4804">
        <w:tc>
          <w:tcPr>
            <w:tcW w:w="915" w:type="pct"/>
          </w:tcPr>
          <w:p w14:paraId="28C888CF" w14:textId="77777777" w:rsidR="002717BA" w:rsidRPr="009A030C" w:rsidRDefault="002717BA" w:rsidP="00C93F66">
            <w:pPr>
              <w:tabs>
                <w:tab w:val="center" w:pos="284"/>
              </w:tabs>
              <w:ind w:left="266" w:hanging="266"/>
              <w:rPr>
                <w:b/>
              </w:rPr>
            </w:pPr>
            <w:r>
              <w:rPr>
                <w:b/>
              </w:rPr>
              <w:t>Rapporteurs</w:t>
            </w:r>
          </w:p>
        </w:tc>
        <w:tc>
          <w:tcPr>
            <w:tcW w:w="4085" w:type="pct"/>
          </w:tcPr>
          <w:p w14:paraId="30352A91" w14:textId="77777777" w:rsidR="002717BA" w:rsidRPr="009A030C" w:rsidRDefault="002717BA" w:rsidP="00C93F66">
            <w:pPr>
              <w:jc w:val="left"/>
              <w:rPr>
                <w:sz w:val="24"/>
              </w:rPr>
            </w:pPr>
            <w:r>
              <w:t>Elena-Alexandra CALISTRU (groupe des organisations de la société civile — RO)</w:t>
            </w:r>
          </w:p>
          <w:p w14:paraId="02AECD74" w14:textId="77777777" w:rsidR="002717BA" w:rsidRPr="009A030C" w:rsidRDefault="002717BA" w:rsidP="00C93F66">
            <w:pPr>
              <w:jc w:val="left"/>
            </w:pPr>
            <w:proofErr w:type="spellStart"/>
            <w:r>
              <w:t>Antje</w:t>
            </w:r>
            <w:proofErr w:type="spellEnd"/>
            <w:r>
              <w:t> GERSTEIN (groupe des employeurs — DE)</w:t>
            </w:r>
          </w:p>
          <w:p w14:paraId="070C8747" w14:textId="77777777" w:rsidR="002717BA" w:rsidRPr="009A030C" w:rsidRDefault="002717BA" w:rsidP="00C93F66">
            <w:pPr>
              <w:jc w:val="left"/>
              <w:rPr>
                <w:sz w:val="24"/>
              </w:rPr>
            </w:pPr>
            <w:r>
              <w:t>Luca JAHIER (groupe des organisations de la société civile — IT)</w:t>
            </w:r>
          </w:p>
          <w:p w14:paraId="06AE61C0" w14:textId="77777777" w:rsidR="002717BA" w:rsidRPr="009A030C" w:rsidRDefault="002717BA" w:rsidP="00C93F66">
            <w:pPr>
              <w:jc w:val="left"/>
              <w:rPr>
                <w:sz w:val="24"/>
              </w:rPr>
            </w:pPr>
            <w:proofErr w:type="spellStart"/>
            <w:r>
              <w:t>Winand</w:t>
            </w:r>
            <w:proofErr w:type="spellEnd"/>
            <w:r>
              <w:t> QUAEDVLIEG (groupe des employeurs — NL)</w:t>
            </w:r>
          </w:p>
          <w:p w14:paraId="6AE8BAA3" w14:textId="77777777" w:rsidR="002717BA" w:rsidRPr="009A030C" w:rsidRDefault="002717BA" w:rsidP="00C93F66">
            <w:pPr>
              <w:jc w:val="left"/>
              <w:rPr>
                <w:sz w:val="24"/>
              </w:rPr>
            </w:pPr>
            <w:r>
              <w:t>Sophia REISECKER (groupe des travailleurs — AT)</w:t>
            </w:r>
          </w:p>
          <w:p w14:paraId="7D4CDD20" w14:textId="77777777" w:rsidR="002717BA" w:rsidRPr="009A030C" w:rsidRDefault="002717BA" w:rsidP="00C93F66">
            <w:pPr>
              <w:tabs>
                <w:tab w:val="center" w:pos="284"/>
              </w:tabs>
              <w:ind w:left="266" w:hanging="266"/>
            </w:pPr>
            <w:r>
              <w:t>Peter SCHMIDT (groupe des travailleurs — DE)</w:t>
            </w:r>
          </w:p>
        </w:tc>
      </w:tr>
      <w:tr w:rsidR="002717BA" w:rsidRPr="009A030C" w14:paraId="173FD7BC" w14:textId="77777777" w:rsidTr="00ED4804">
        <w:tc>
          <w:tcPr>
            <w:tcW w:w="915" w:type="pct"/>
          </w:tcPr>
          <w:p w14:paraId="171168BB" w14:textId="77777777" w:rsidR="002717BA" w:rsidRPr="009A030C" w:rsidRDefault="002717BA" w:rsidP="00C93F66">
            <w:pPr>
              <w:tabs>
                <w:tab w:val="center" w:pos="284"/>
              </w:tabs>
              <w:ind w:left="266" w:hanging="266"/>
              <w:rPr>
                <w:b/>
              </w:rPr>
            </w:pPr>
            <w:r>
              <w:rPr>
                <w:b/>
              </w:rPr>
              <w:t>Référence</w:t>
            </w:r>
          </w:p>
        </w:tc>
        <w:tc>
          <w:tcPr>
            <w:tcW w:w="4085" w:type="pct"/>
          </w:tcPr>
          <w:p w14:paraId="11EB9F02" w14:textId="77777777" w:rsidR="002717BA" w:rsidRPr="009A030C" w:rsidRDefault="002717BA" w:rsidP="00C93F66">
            <w:pPr>
              <w:tabs>
                <w:tab w:val="center" w:pos="284"/>
              </w:tabs>
              <w:ind w:left="266" w:hanging="266"/>
            </w:pPr>
            <w:r>
              <w:t>EESC-2025-02268-00-00-RES</w:t>
            </w:r>
          </w:p>
        </w:tc>
      </w:tr>
    </w:tbl>
    <w:p w14:paraId="07441022" w14:textId="77777777" w:rsidR="002717BA" w:rsidRPr="009A030C" w:rsidRDefault="002717BA" w:rsidP="002717BA">
      <w:pPr>
        <w:keepNext/>
        <w:keepLines/>
        <w:tabs>
          <w:tab w:val="center" w:pos="284"/>
        </w:tabs>
        <w:ind w:left="266" w:hanging="266"/>
        <w:rPr>
          <w:b/>
          <w:lang w:val="en-IE"/>
        </w:rPr>
      </w:pPr>
    </w:p>
    <w:p w14:paraId="4E1C5A8C" w14:textId="77777777" w:rsidR="00ED4804" w:rsidRPr="00A6689B" w:rsidRDefault="00ED4804" w:rsidP="00ED4804">
      <w:pPr>
        <w:keepNext/>
        <w:keepLines/>
        <w:tabs>
          <w:tab w:val="center" w:pos="284"/>
        </w:tabs>
        <w:ind w:left="266" w:hanging="266"/>
        <w:rPr>
          <w:b/>
        </w:rPr>
      </w:pPr>
      <w:r>
        <w:rPr>
          <w:b/>
        </w:rPr>
        <w:t>Points clés</w:t>
      </w:r>
    </w:p>
    <w:p w14:paraId="30CA7E9B" w14:textId="77777777" w:rsidR="00ED4804" w:rsidRPr="00A6689B" w:rsidRDefault="00ED4804" w:rsidP="00ED4804">
      <w:pPr>
        <w:keepNext/>
        <w:keepLines/>
        <w:tabs>
          <w:tab w:val="center" w:pos="284"/>
        </w:tabs>
        <w:ind w:left="266" w:hanging="266"/>
        <w:rPr>
          <w:b/>
        </w:rPr>
      </w:pPr>
    </w:p>
    <w:p w14:paraId="15897896" w14:textId="2322CA3A" w:rsidR="002717BA" w:rsidRPr="00757D1D" w:rsidRDefault="00ED4804" w:rsidP="00ED4804">
      <w:pPr>
        <w:rPr>
          <w:bCs/>
          <w:iCs/>
        </w:rPr>
      </w:pPr>
      <w:r>
        <w:t xml:space="preserve">Le </w:t>
      </w:r>
      <w:proofErr w:type="gramStart"/>
      <w:r>
        <w:t>CESE:</w:t>
      </w:r>
      <w:proofErr w:type="gramEnd"/>
    </w:p>
    <w:p w14:paraId="2275BB7F" w14:textId="1A0CC714" w:rsidR="002717BA" w:rsidRPr="00ED4804" w:rsidRDefault="002717BA" w:rsidP="002717BA">
      <w:pPr>
        <w:widowControl w:val="0"/>
        <w:numPr>
          <w:ilvl w:val="0"/>
          <w:numId w:val="4"/>
        </w:numPr>
        <w:overflowPunct w:val="0"/>
        <w:autoSpaceDE w:val="0"/>
        <w:autoSpaceDN w:val="0"/>
        <w:adjustRightInd w:val="0"/>
        <w:textAlignment w:val="baseline"/>
        <w:rPr>
          <w:bCs/>
          <w:iCs/>
        </w:rPr>
      </w:pPr>
      <w:proofErr w:type="gramStart"/>
      <w:r>
        <w:t>souligne</w:t>
      </w:r>
      <w:proofErr w:type="gramEnd"/>
      <w:r>
        <w:t xml:space="preserve"> que la guerre menée par la Russie contre l’Ukraine ainsi que les évolutions que connaît l’administration américaine symbolisent une nouvelle réalité géopolitique marquée par le nationalisme et l’autoritarisme et sonnent le glas de l’ère du commerce mondial et de l’ouverture des marchés;</w:t>
      </w:r>
    </w:p>
    <w:p w14:paraId="2A4536B3" w14:textId="29106AE7" w:rsidR="002717BA" w:rsidRPr="00ED4804" w:rsidRDefault="002717BA" w:rsidP="002717BA">
      <w:pPr>
        <w:widowControl w:val="0"/>
        <w:numPr>
          <w:ilvl w:val="0"/>
          <w:numId w:val="4"/>
        </w:numPr>
        <w:overflowPunct w:val="0"/>
        <w:autoSpaceDE w:val="0"/>
        <w:autoSpaceDN w:val="0"/>
        <w:adjustRightInd w:val="0"/>
        <w:textAlignment w:val="baseline"/>
        <w:rPr>
          <w:bCs/>
          <w:iCs/>
        </w:rPr>
      </w:pPr>
      <w:proofErr w:type="gramStart"/>
      <w:r>
        <w:t>préconise</w:t>
      </w:r>
      <w:proofErr w:type="gramEnd"/>
      <w:r>
        <w:t xml:space="preserve"> que l’UE se transforme en une union de la sécurité, parvienne à une autonomie stratégique résiliente et renforce la compétitivité de son économie à l’échelle mondiale. Cet objectif doit être poursuivi tout en garantissant la simplicité de la réglementation, en améliorant la cohésion sociale et en répartissant équitablement les </w:t>
      </w:r>
      <w:proofErr w:type="gramStart"/>
      <w:r>
        <w:t>richesses;</w:t>
      </w:r>
      <w:proofErr w:type="gramEnd"/>
    </w:p>
    <w:p w14:paraId="6D5DEEF3" w14:textId="00B59C56" w:rsidR="002717BA" w:rsidRPr="00ED4804" w:rsidRDefault="002717BA" w:rsidP="002717BA">
      <w:pPr>
        <w:widowControl w:val="0"/>
        <w:numPr>
          <w:ilvl w:val="0"/>
          <w:numId w:val="4"/>
        </w:numPr>
        <w:overflowPunct w:val="0"/>
        <w:autoSpaceDE w:val="0"/>
        <w:autoSpaceDN w:val="0"/>
        <w:adjustRightInd w:val="0"/>
        <w:textAlignment w:val="baseline"/>
        <w:rPr>
          <w:bCs/>
          <w:iCs/>
        </w:rPr>
      </w:pPr>
      <w:proofErr w:type="gramStart"/>
      <w:r>
        <w:t>invite</w:t>
      </w:r>
      <w:proofErr w:type="gramEnd"/>
      <w:r>
        <w:t xml:space="preserve"> les États membres à renouveler leur engagement en faveur du multilatéralisme. L’utilisation croissante du commerce comme outil de coercition, en particulier depuis l’introduction des droits de douane par les États-Unis en avril 2025, requiert que l’Union fasse preuve de résilience et mette à nouveau l’accent sur les partenariats </w:t>
      </w:r>
      <w:proofErr w:type="gramStart"/>
      <w:r>
        <w:t>bilatéraux;</w:t>
      </w:r>
      <w:proofErr w:type="gramEnd"/>
    </w:p>
    <w:p w14:paraId="1A0B4E9B" w14:textId="1B50487E" w:rsidR="002717BA" w:rsidRPr="00ED4804" w:rsidRDefault="002717BA" w:rsidP="002717BA">
      <w:pPr>
        <w:widowControl w:val="0"/>
        <w:numPr>
          <w:ilvl w:val="0"/>
          <w:numId w:val="4"/>
        </w:numPr>
        <w:overflowPunct w:val="0"/>
        <w:autoSpaceDE w:val="0"/>
        <w:autoSpaceDN w:val="0"/>
        <w:adjustRightInd w:val="0"/>
        <w:textAlignment w:val="baseline"/>
        <w:rPr>
          <w:bCs/>
          <w:iCs/>
        </w:rPr>
      </w:pPr>
      <w:proofErr w:type="gramStart"/>
      <w:r>
        <w:t>souligne</w:t>
      </w:r>
      <w:proofErr w:type="gramEnd"/>
      <w:r>
        <w:t xml:space="preserve"> que ces défis ne marquent pas des points de départ, mais plutôt des prolongations urgentes de la mission fondatrice de l’Europe. L’UE, qui a débuté comme le plus grand projet de paix après la Seconde Guerre mondiale, peut devenir le point d’ancrage mondial de la stabilité, de la démocratie et de l’état de droit. Il est primordial de réagir avec détermination et d’avoir foi en l’évolution </w:t>
      </w:r>
      <w:proofErr w:type="gramStart"/>
      <w:r>
        <w:t>européenne;</w:t>
      </w:r>
      <w:proofErr w:type="gramEnd"/>
    </w:p>
    <w:p w14:paraId="4A3563AF" w14:textId="43582AED" w:rsidR="002717BA" w:rsidRPr="00ED4804" w:rsidRDefault="002717BA" w:rsidP="002717BA">
      <w:pPr>
        <w:widowControl w:val="0"/>
        <w:numPr>
          <w:ilvl w:val="0"/>
          <w:numId w:val="4"/>
        </w:numPr>
        <w:overflowPunct w:val="0"/>
        <w:autoSpaceDE w:val="0"/>
        <w:autoSpaceDN w:val="0"/>
        <w:adjustRightInd w:val="0"/>
        <w:textAlignment w:val="baseline"/>
        <w:rPr>
          <w:bCs/>
          <w:iCs/>
        </w:rPr>
      </w:pPr>
      <w:proofErr w:type="gramStart"/>
      <w:r>
        <w:t>affirme</w:t>
      </w:r>
      <w:proofErr w:type="gramEnd"/>
      <w:r>
        <w:t xml:space="preserve"> que la force de l’Union réside dans ses valeurs démocratiques et libérales, à savoir les droits de l’homme, les libertés civiles, une gouvernance responsable et une société civile dynamique, qui doivent rester au cœur de la position de l’Europe vis-à-vis de l’extérieur;</w:t>
      </w:r>
    </w:p>
    <w:p w14:paraId="4E2B4CD0" w14:textId="3E194D62" w:rsidR="002717BA" w:rsidRPr="00ED4804" w:rsidRDefault="002717BA" w:rsidP="002717BA">
      <w:pPr>
        <w:widowControl w:val="0"/>
        <w:numPr>
          <w:ilvl w:val="0"/>
          <w:numId w:val="4"/>
        </w:numPr>
        <w:overflowPunct w:val="0"/>
        <w:autoSpaceDE w:val="0"/>
        <w:autoSpaceDN w:val="0"/>
        <w:adjustRightInd w:val="0"/>
        <w:textAlignment w:val="baseline"/>
        <w:rPr>
          <w:bCs/>
          <w:iCs/>
        </w:rPr>
      </w:pPr>
      <w:proofErr w:type="gramStart"/>
      <w:r>
        <w:t>fait</w:t>
      </w:r>
      <w:proofErr w:type="gramEnd"/>
      <w:r>
        <w:t xml:space="preserve"> observer que la société civile joue un rôle essentiel. Le CESE s’engage à jouer un rôle de gardien et de modérateur, en veillant à ce que les institutions de l’Union restent fondées sur des principes démocratiques afin qu’elle puisse suivre sa voie dans ce nouvel ordre </w:t>
      </w:r>
      <w:proofErr w:type="gramStart"/>
      <w:r>
        <w:t>géopolitique;</w:t>
      </w:r>
      <w:proofErr w:type="gramEnd"/>
    </w:p>
    <w:p w14:paraId="6E2E994F" w14:textId="77777777" w:rsidR="002717BA" w:rsidRPr="00757D1D" w:rsidRDefault="002717BA" w:rsidP="002717BA">
      <w:pPr>
        <w:widowControl w:val="0"/>
        <w:numPr>
          <w:ilvl w:val="0"/>
          <w:numId w:val="4"/>
        </w:numPr>
        <w:overflowPunct w:val="0"/>
        <w:autoSpaceDE w:val="0"/>
        <w:autoSpaceDN w:val="0"/>
        <w:adjustRightInd w:val="0"/>
        <w:textAlignment w:val="baseline"/>
        <w:rPr>
          <w:bCs/>
          <w:iCs/>
        </w:rPr>
      </w:pPr>
      <w:proofErr w:type="gramStart"/>
      <w:r>
        <w:t>affirme</w:t>
      </w:r>
      <w:proofErr w:type="gramEnd"/>
      <w:r>
        <w:t xml:space="preserve"> que la démocratie doit reposer sur des principes fondamentaux:</w:t>
      </w:r>
    </w:p>
    <w:p w14:paraId="0CBC4C0F" w14:textId="77777777" w:rsidR="002717BA" w:rsidRPr="00757D1D" w:rsidRDefault="002717BA" w:rsidP="002717BA">
      <w:pPr>
        <w:widowControl w:val="0"/>
        <w:numPr>
          <w:ilvl w:val="1"/>
          <w:numId w:val="4"/>
        </w:numPr>
        <w:overflowPunct w:val="0"/>
        <w:autoSpaceDE w:val="0"/>
        <w:autoSpaceDN w:val="0"/>
        <w:adjustRightInd w:val="0"/>
        <w:textAlignment w:val="baseline"/>
        <w:rPr>
          <w:bCs/>
          <w:iCs/>
        </w:rPr>
      </w:pPr>
      <w:proofErr w:type="gramStart"/>
      <w:r>
        <w:t>toutes</w:t>
      </w:r>
      <w:proofErr w:type="gramEnd"/>
      <w:r>
        <w:t xml:space="preserve"> les personnes et entités doivent jouir de l’égalité d’accès à la justice et de leurs droits. Les communautés marginalisées peuvent avoir besoin d’une attention </w:t>
      </w:r>
      <w:proofErr w:type="gramStart"/>
      <w:r>
        <w:t>particulière;</w:t>
      </w:r>
      <w:proofErr w:type="gramEnd"/>
      <w:r>
        <w:t xml:space="preserve"> le bon fonctionnement et l’indépendance des tribunaux ne sont pas négociables;</w:t>
      </w:r>
    </w:p>
    <w:p w14:paraId="2EBEA5B4" w14:textId="77777777" w:rsidR="002717BA" w:rsidRPr="00757D1D" w:rsidRDefault="002717BA" w:rsidP="002717BA">
      <w:pPr>
        <w:widowControl w:val="0"/>
        <w:numPr>
          <w:ilvl w:val="1"/>
          <w:numId w:val="4"/>
        </w:numPr>
        <w:overflowPunct w:val="0"/>
        <w:autoSpaceDE w:val="0"/>
        <w:autoSpaceDN w:val="0"/>
        <w:adjustRightInd w:val="0"/>
        <w:textAlignment w:val="baseline"/>
        <w:rPr>
          <w:bCs/>
          <w:iCs/>
        </w:rPr>
      </w:pPr>
      <w:proofErr w:type="gramStart"/>
      <w:r>
        <w:t>l’économie</w:t>
      </w:r>
      <w:proofErr w:type="gramEnd"/>
      <w:r>
        <w:t xml:space="preserve"> sociale de marché devrait parvenir à un équilibre entre l’innovation </w:t>
      </w:r>
      <w:r>
        <w:lastRenderedPageBreak/>
        <w:t>compétitive et la protection sociale, en s’appuyant sur un dialogue social et un partage équitable du pouvoir;</w:t>
      </w:r>
    </w:p>
    <w:p w14:paraId="62E7C474" w14:textId="77777777" w:rsidR="002717BA" w:rsidRPr="00757D1D" w:rsidRDefault="002717BA" w:rsidP="002717BA">
      <w:pPr>
        <w:widowControl w:val="0"/>
        <w:numPr>
          <w:ilvl w:val="1"/>
          <w:numId w:val="4"/>
        </w:numPr>
        <w:overflowPunct w:val="0"/>
        <w:autoSpaceDE w:val="0"/>
        <w:autoSpaceDN w:val="0"/>
        <w:adjustRightInd w:val="0"/>
        <w:textAlignment w:val="baseline"/>
        <w:rPr>
          <w:bCs/>
          <w:iCs/>
        </w:rPr>
      </w:pPr>
      <w:proofErr w:type="gramStart"/>
      <w:r>
        <w:t>les</w:t>
      </w:r>
      <w:proofErr w:type="gramEnd"/>
      <w:r>
        <w:t xml:space="preserve"> libertés civiques, y compris la liberté d’expression et l’existence d’une société civile dynamique, doivent être préservées. Cependant, le CESE plaide aussi en faveur d’une action ferme contre la désinformation et les discours de haine dans le domaine </w:t>
      </w:r>
      <w:proofErr w:type="gramStart"/>
      <w:r>
        <w:t>numérique;</w:t>
      </w:r>
      <w:proofErr w:type="gramEnd"/>
    </w:p>
    <w:p w14:paraId="70687CB7" w14:textId="77777777" w:rsidR="002717BA" w:rsidRPr="00757D1D" w:rsidRDefault="002717BA" w:rsidP="002717BA">
      <w:pPr>
        <w:widowControl w:val="0"/>
        <w:numPr>
          <w:ilvl w:val="1"/>
          <w:numId w:val="4"/>
        </w:numPr>
        <w:overflowPunct w:val="0"/>
        <w:autoSpaceDE w:val="0"/>
        <w:autoSpaceDN w:val="0"/>
        <w:adjustRightInd w:val="0"/>
        <w:textAlignment w:val="baseline"/>
        <w:rPr>
          <w:bCs/>
          <w:iCs/>
        </w:rPr>
      </w:pPr>
      <w:proofErr w:type="gramStart"/>
      <w:r>
        <w:t>la</w:t>
      </w:r>
      <w:proofErr w:type="gramEnd"/>
      <w:r>
        <w:t xml:space="preserve"> coopération au sein de l’Union doit être placée sous l’égide du multilatéralisme, et non pas du nationalisme. Une collaboration internationale est vitale pour surmonter les problèmes planétaires tels que la guerre, le changement climatique et la sécurité </w:t>
      </w:r>
      <w:proofErr w:type="gramStart"/>
      <w:r>
        <w:t>alimentaire;</w:t>
      </w:r>
      <w:proofErr w:type="gramEnd"/>
    </w:p>
    <w:p w14:paraId="6088195C" w14:textId="581D7008" w:rsidR="002717BA" w:rsidRPr="00ED4804" w:rsidRDefault="002717BA" w:rsidP="002717BA">
      <w:pPr>
        <w:widowControl w:val="0"/>
        <w:numPr>
          <w:ilvl w:val="1"/>
          <w:numId w:val="4"/>
        </w:numPr>
        <w:overflowPunct w:val="0"/>
        <w:autoSpaceDE w:val="0"/>
        <w:autoSpaceDN w:val="0"/>
        <w:adjustRightInd w:val="0"/>
        <w:textAlignment w:val="baseline"/>
        <w:rPr>
          <w:bCs/>
          <w:iCs/>
        </w:rPr>
      </w:pPr>
      <w:proofErr w:type="gramStart"/>
      <w:r>
        <w:t>les</w:t>
      </w:r>
      <w:proofErr w:type="gramEnd"/>
      <w:r>
        <w:t xml:space="preserve"> processus démocratiques doivent être inclusifs et participatifs. Un dialogue et des solutions devraient aboutir à la prise de décision tout en veillant à ce que les besoins d’aucune partie prenante ne soient négligés ou </w:t>
      </w:r>
      <w:proofErr w:type="gramStart"/>
      <w:r>
        <w:t>sacrifiés;</w:t>
      </w:r>
      <w:proofErr w:type="gramEnd"/>
    </w:p>
    <w:p w14:paraId="6041C60C" w14:textId="77777777" w:rsidR="002717BA" w:rsidRPr="00757D1D" w:rsidRDefault="002717BA" w:rsidP="002717BA">
      <w:pPr>
        <w:widowControl w:val="0"/>
        <w:numPr>
          <w:ilvl w:val="0"/>
          <w:numId w:val="4"/>
        </w:numPr>
        <w:overflowPunct w:val="0"/>
        <w:autoSpaceDE w:val="0"/>
        <w:autoSpaceDN w:val="0"/>
        <w:adjustRightInd w:val="0"/>
        <w:textAlignment w:val="baseline"/>
        <w:rPr>
          <w:bCs/>
          <w:iCs/>
        </w:rPr>
      </w:pPr>
      <w:proofErr w:type="gramStart"/>
      <w:r>
        <w:t>reconnaît</w:t>
      </w:r>
      <w:proofErr w:type="gramEnd"/>
      <w:r>
        <w:t xml:space="preserve"> l’ampleur des difficultés actuelles, mais reste optimiste. Grâce à la volonté politique et à l’engagement résolu de la société civile, l’UE peut devenir plus indépendante, économiquement plus solide et plus pacifique sur le plan social. Le CESE est prêt à faire entendre la voix de la société civile pour façonner l’avenir de l’Europe.</w:t>
      </w:r>
    </w:p>
    <w:p w14:paraId="56579C37" w14:textId="77777777" w:rsidR="002717BA" w:rsidRPr="00757D1D" w:rsidRDefault="002717BA" w:rsidP="002717BA">
      <w:pPr>
        <w:widowControl w:val="0"/>
        <w:ind w:left="644"/>
        <w:rPr>
          <w:bCs/>
          <w:iCs/>
        </w:rPr>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2717BA" w:rsidRPr="009A030C" w14:paraId="5C997E4A" w14:textId="77777777" w:rsidTr="00C93F66">
        <w:tc>
          <w:tcPr>
            <w:tcW w:w="1556" w:type="pct"/>
          </w:tcPr>
          <w:p w14:paraId="7A10CC5C" w14:textId="229589BF" w:rsidR="002717BA" w:rsidRPr="009A030C" w:rsidRDefault="002717BA" w:rsidP="00C93F66">
            <w:pPr>
              <w:rPr>
                <w:i/>
              </w:rPr>
            </w:pPr>
            <w:r>
              <w:rPr>
                <w:b/>
                <w:i/>
              </w:rPr>
              <w:t>Contact</w:t>
            </w:r>
            <w:r w:rsidR="006031D5">
              <w:rPr>
                <w:b/>
                <w:i/>
              </w:rPr>
              <w:t> </w:t>
            </w:r>
            <w:r>
              <w:rPr>
                <w:b/>
                <w:i/>
              </w:rPr>
              <w:t>1</w:t>
            </w:r>
          </w:p>
        </w:tc>
        <w:tc>
          <w:tcPr>
            <w:tcW w:w="3444" w:type="pct"/>
          </w:tcPr>
          <w:p w14:paraId="717CD237" w14:textId="02B2F338" w:rsidR="002717BA" w:rsidRPr="009A030C" w:rsidRDefault="002717BA" w:rsidP="00C93F66">
            <w:pPr>
              <w:rPr>
                <w:i/>
              </w:rPr>
            </w:pPr>
            <w:r>
              <w:rPr>
                <w:i/>
              </w:rPr>
              <w:t>Pierluigi</w:t>
            </w:r>
            <w:r w:rsidR="00ED4804">
              <w:rPr>
                <w:i/>
              </w:rPr>
              <w:t> </w:t>
            </w:r>
            <w:r>
              <w:rPr>
                <w:i/>
              </w:rPr>
              <w:t>BROMBO</w:t>
            </w:r>
          </w:p>
        </w:tc>
      </w:tr>
      <w:tr w:rsidR="002717BA" w:rsidRPr="009A030C" w14:paraId="453BABA5" w14:textId="77777777" w:rsidTr="00C93F66">
        <w:tc>
          <w:tcPr>
            <w:tcW w:w="1556" w:type="pct"/>
          </w:tcPr>
          <w:p w14:paraId="078ED5E5" w14:textId="77777777" w:rsidR="002717BA" w:rsidRPr="009A030C" w:rsidRDefault="002717BA" w:rsidP="00C93F66">
            <w:pPr>
              <w:rPr>
                <w:i/>
              </w:rPr>
            </w:pPr>
            <w:r>
              <w:rPr>
                <w:i/>
              </w:rPr>
              <w:t>Tél.</w:t>
            </w:r>
          </w:p>
        </w:tc>
        <w:tc>
          <w:tcPr>
            <w:tcW w:w="3444" w:type="pct"/>
          </w:tcPr>
          <w:p w14:paraId="0DB07315" w14:textId="77777777" w:rsidR="002717BA" w:rsidRPr="009A030C" w:rsidRDefault="002717BA" w:rsidP="00C93F66">
            <w:pPr>
              <w:rPr>
                <w:i/>
              </w:rPr>
            </w:pPr>
            <w:r>
              <w:rPr>
                <w:i/>
              </w:rPr>
              <w:t>+32 25469718</w:t>
            </w:r>
          </w:p>
        </w:tc>
      </w:tr>
      <w:tr w:rsidR="002717BA" w:rsidRPr="009A030C" w14:paraId="7B95B35A" w14:textId="77777777" w:rsidTr="00C93F66">
        <w:tc>
          <w:tcPr>
            <w:tcW w:w="1556" w:type="pct"/>
          </w:tcPr>
          <w:p w14:paraId="1D34A991" w14:textId="77777777" w:rsidR="002717BA" w:rsidRPr="009A030C" w:rsidRDefault="002717BA" w:rsidP="00C93F66">
            <w:pPr>
              <w:rPr>
                <w:i/>
              </w:rPr>
            </w:pPr>
            <w:r>
              <w:rPr>
                <w:i/>
              </w:rPr>
              <w:t>Courriel</w:t>
            </w:r>
          </w:p>
        </w:tc>
        <w:tc>
          <w:tcPr>
            <w:tcW w:w="3444" w:type="pct"/>
          </w:tcPr>
          <w:p w14:paraId="0859E43D" w14:textId="77777777" w:rsidR="002717BA" w:rsidRPr="009A030C" w:rsidRDefault="00CB508B" w:rsidP="00C93F66">
            <w:pPr>
              <w:rPr>
                <w:i/>
              </w:rPr>
            </w:pPr>
            <w:hyperlink r:id="rId17" w:history="1">
              <w:r w:rsidR="002717BA">
                <w:rPr>
                  <w:rStyle w:val="Hyperlink"/>
                  <w:i/>
                </w:rPr>
                <w:t>Pierluigi.Brombo@eesc.europa.eu</w:t>
              </w:r>
            </w:hyperlink>
          </w:p>
        </w:tc>
      </w:tr>
      <w:tr w:rsidR="002717BA" w:rsidRPr="009A030C" w14:paraId="1D41128B" w14:textId="77777777" w:rsidTr="00C93F66">
        <w:tc>
          <w:tcPr>
            <w:tcW w:w="1556" w:type="pct"/>
          </w:tcPr>
          <w:p w14:paraId="390E7091" w14:textId="6442B8E8" w:rsidR="002717BA" w:rsidRPr="009A030C" w:rsidRDefault="002717BA" w:rsidP="00C93F66">
            <w:pPr>
              <w:rPr>
                <w:i/>
              </w:rPr>
            </w:pPr>
            <w:r>
              <w:rPr>
                <w:b/>
                <w:i/>
              </w:rPr>
              <w:t>Contact</w:t>
            </w:r>
            <w:r w:rsidR="006031D5">
              <w:rPr>
                <w:b/>
                <w:i/>
              </w:rPr>
              <w:t> </w:t>
            </w:r>
            <w:r>
              <w:rPr>
                <w:b/>
                <w:i/>
              </w:rPr>
              <w:t>2</w:t>
            </w:r>
          </w:p>
        </w:tc>
        <w:tc>
          <w:tcPr>
            <w:tcW w:w="3444" w:type="pct"/>
          </w:tcPr>
          <w:p w14:paraId="7A0141AA" w14:textId="19199325" w:rsidR="002717BA" w:rsidRPr="00AF7579" w:rsidRDefault="002717BA" w:rsidP="00C93F66">
            <w:pPr>
              <w:rPr>
                <w:i/>
              </w:rPr>
            </w:pPr>
            <w:proofErr w:type="spellStart"/>
            <w:r>
              <w:rPr>
                <w:i/>
              </w:rPr>
              <w:t>Lilla</w:t>
            </w:r>
            <w:proofErr w:type="spellEnd"/>
            <w:r w:rsidR="00ED4804">
              <w:rPr>
                <w:i/>
              </w:rPr>
              <w:t> </w:t>
            </w:r>
            <w:r>
              <w:rPr>
                <w:i/>
              </w:rPr>
              <w:t>SZABÓ</w:t>
            </w:r>
          </w:p>
        </w:tc>
      </w:tr>
      <w:tr w:rsidR="002717BA" w:rsidRPr="009A030C" w14:paraId="748E6270" w14:textId="77777777" w:rsidTr="00C93F66">
        <w:tc>
          <w:tcPr>
            <w:tcW w:w="1556" w:type="pct"/>
          </w:tcPr>
          <w:p w14:paraId="647114AB" w14:textId="77777777" w:rsidR="002717BA" w:rsidRPr="009A030C" w:rsidRDefault="002717BA" w:rsidP="00C93F66">
            <w:pPr>
              <w:rPr>
                <w:i/>
              </w:rPr>
            </w:pPr>
            <w:r>
              <w:rPr>
                <w:i/>
              </w:rPr>
              <w:t>Tél.</w:t>
            </w:r>
          </w:p>
        </w:tc>
        <w:tc>
          <w:tcPr>
            <w:tcW w:w="3444" w:type="pct"/>
          </w:tcPr>
          <w:p w14:paraId="6132CA79" w14:textId="77777777" w:rsidR="002717BA" w:rsidRPr="009A030C" w:rsidRDefault="002717BA" w:rsidP="00C93F66">
            <w:pPr>
              <w:rPr>
                <w:i/>
              </w:rPr>
            </w:pPr>
            <w:r>
              <w:rPr>
                <w:i/>
              </w:rPr>
              <w:t>+32 25468397</w:t>
            </w:r>
          </w:p>
        </w:tc>
      </w:tr>
      <w:tr w:rsidR="002717BA" w:rsidRPr="009A030C" w14:paraId="01DBDD29" w14:textId="77777777" w:rsidTr="00C93F66">
        <w:tc>
          <w:tcPr>
            <w:tcW w:w="1556" w:type="pct"/>
          </w:tcPr>
          <w:p w14:paraId="156364C4" w14:textId="77777777" w:rsidR="002717BA" w:rsidRPr="009A030C" w:rsidRDefault="002717BA" w:rsidP="00C93F66">
            <w:pPr>
              <w:rPr>
                <w:i/>
              </w:rPr>
            </w:pPr>
            <w:r>
              <w:rPr>
                <w:i/>
              </w:rPr>
              <w:t>Courriel</w:t>
            </w:r>
          </w:p>
        </w:tc>
        <w:tc>
          <w:tcPr>
            <w:tcW w:w="3444" w:type="pct"/>
          </w:tcPr>
          <w:p w14:paraId="211D7345" w14:textId="77777777" w:rsidR="002717BA" w:rsidRPr="009A030C" w:rsidRDefault="00CB508B" w:rsidP="00C93F66">
            <w:pPr>
              <w:rPr>
                <w:i/>
              </w:rPr>
            </w:pPr>
            <w:hyperlink r:id="rId18" w:history="1">
              <w:r w:rsidR="002717BA">
                <w:rPr>
                  <w:rStyle w:val="Hyperlink"/>
                  <w:i/>
                </w:rPr>
                <w:t>Lilla.Szabo@eesc.europa.eu</w:t>
              </w:r>
            </w:hyperlink>
          </w:p>
        </w:tc>
      </w:tr>
    </w:tbl>
    <w:p w14:paraId="72C0EDED" w14:textId="77777777" w:rsidR="00F31327" w:rsidRDefault="00F31327" w:rsidP="00F31327">
      <w:pPr>
        <w:jc w:val="left"/>
        <w:rPr>
          <w:lang w:val="en-GB"/>
        </w:rPr>
      </w:pPr>
      <w:r>
        <w:rPr>
          <w:lang w:val="en-GB"/>
        </w:rPr>
        <w:br w:type="page"/>
      </w:r>
    </w:p>
    <w:p w14:paraId="6E749AE6" w14:textId="33BE76A7" w:rsidR="00F31327" w:rsidRPr="000B46A5" w:rsidRDefault="00DC02CE" w:rsidP="00F31327">
      <w:pPr>
        <w:pStyle w:val="Heading1"/>
        <w:ind w:left="567" w:hanging="567"/>
        <w:rPr>
          <w:b/>
        </w:rPr>
      </w:pPr>
      <w:bookmarkStart w:id="1" w:name="_Toc211333640"/>
      <w:r w:rsidRPr="00DC02CE">
        <w:rPr>
          <w:b/>
        </w:rPr>
        <w:lastRenderedPageBreak/>
        <w:t>UNION ÉCONOMIQUE ET MONÉTAIRE ET COHÉSION ÉCONOMIQUE ET SOCIALE</w:t>
      </w:r>
      <w:bookmarkEnd w:id="1"/>
    </w:p>
    <w:p w14:paraId="0A6768DD" w14:textId="77777777" w:rsidR="00F31327" w:rsidRDefault="00F31327" w:rsidP="00F31327"/>
    <w:p w14:paraId="7ADABFE9" w14:textId="6EC4AD39" w:rsidR="00293905" w:rsidRPr="0003586F" w:rsidRDefault="00CB508B" w:rsidP="00293905">
      <w:pPr>
        <w:widowControl w:val="0"/>
        <w:numPr>
          <w:ilvl w:val="0"/>
          <w:numId w:val="19"/>
        </w:numPr>
        <w:overflowPunct w:val="0"/>
        <w:autoSpaceDE w:val="0"/>
        <w:autoSpaceDN w:val="0"/>
        <w:adjustRightInd w:val="0"/>
        <w:ind w:hanging="567"/>
        <w:textAlignment w:val="baseline"/>
        <w:rPr>
          <w:sz w:val="20"/>
        </w:rPr>
      </w:pPr>
      <w:hyperlink r:id="rId19" w:history="1">
        <w:r w:rsidR="00293905">
          <w:rPr>
            <w:rStyle w:val="Hyperlink"/>
            <w:b/>
            <w:i/>
            <w:sz w:val="28"/>
          </w:rPr>
          <w:t>Considérations supplémentaires sur la politique économique de la zone euro (2025)</w:t>
        </w:r>
      </w:hyperlink>
    </w:p>
    <w:p w14:paraId="35014887" w14:textId="77777777" w:rsidR="00293905" w:rsidRPr="00A6689B" w:rsidRDefault="00293905" w:rsidP="00293905">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293905" w:rsidRPr="00A6689B" w14:paraId="4FB60A71" w14:textId="77777777" w:rsidTr="00C93F66">
        <w:tc>
          <w:tcPr>
            <w:tcW w:w="1077" w:type="pct"/>
          </w:tcPr>
          <w:p w14:paraId="0D4838B0" w14:textId="77777777" w:rsidR="00293905" w:rsidRPr="00A6689B" w:rsidRDefault="00293905" w:rsidP="00C93F66">
            <w:pPr>
              <w:tabs>
                <w:tab w:val="center" w:pos="284"/>
              </w:tabs>
              <w:ind w:left="266" w:hanging="266"/>
              <w:rPr>
                <w:b/>
              </w:rPr>
            </w:pPr>
            <w:r>
              <w:rPr>
                <w:b/>
              </w:rPr>
              <w:t>Rapporteur</w:t>
            </w:r>
          </w:p>
        </w:tc>
        <w:tc>
          <w:tcPr>
            <w:tcW w:w="3923" w:type="pct"/>
          </w:tcPr>
          <w:p w14:paraId="26B38304" w14:textId="640350D5" w:rsidR="00293905" w:rsidRPr="00A6689B" w:rsidRDefault="00293905" w:rsidP="00C93F66">
            <w:pPr>
              <w:tabs>
                <w:tab w:val="center" w:pos="284"/>
              </w:tabs>
              <w:ind w:left="266" w:right="-3091" w:hanging="266"/>
            </w:pPr>
            <w:proofErr w:type="spellStart"/>
            <w:r>
              <w:t>Juraj</w:t>
            </w:r>
            <w:proofErr w:type="spellEnd"/>
            <w:r w:rsidR="00ED4804">
              <w:t> </w:t>
            </w:r>
            <w:r>
              <w:t xml:space="preserve">SIPKO (groupe des organisations de la société civile — </w:t>
            </w:r>
            <w:r w:rsidR="00ED4804">
              <w:t>SK</w:t>
            </w:r>
            <w:r>
              <w:t>)</w:t>
            </w:r>
          </w:p>
        </w:tc>
      </w:tr>
      <w:tr w:rsidR="00293905" w:rsidRPr="00A6689B" w14:paraId="232FA779" w14:textId="77777777" w:rsidTr="00C93F66">
        <w:tc>
          <w:tcPr>
            <w:tcW w:w="1077" w:type="pct"/>
          </w:tcPr>
          <w:p w14:paraId="15BB70AA" w14:textId="77777777" w:rsidR="00293905" w:rsidRPr="00A6689B" w:rsidRDefault="00293905" w:rsidP="00C93F66">
            <w:pPr>
              <w:tabs>
                <w:tab w:val="center" w:pos="284"/>
              </w:tabs>
              <w:ind w:left="266" w:hanging="266"/>
              <w:rPr>
                <w:b/>
                <w:lang w:val="en-US"/>
              </w:rPr>
            </w:pPr>
          </w:p>
        </w:tc>
        <w:tc>
          <w:tcPr>
            <w:tcW w:w="3923" w:type="pct"/>
          </w:tcPr>
          <w:p w14:paraId="52DDD48B" w14:textId="77777777" w:rsidR="00293905" w:rsidRPr="00A6689B" w:rsidRDefault="00293905" w:rsidP="00C93F66">
            <w:pPr>
              <w:tabs>
                <w:tab w:val="center" w:pos="284"/>
              </w:tabs>
              <w:ind w:left="266" w:right="-3091" w:hanging="266"/>
              <w:rPr>
                <w:lang w:val="en-US"/>
              </w:rPr>
            </w:pPr>
          </w:p>
        </w:tc>
      </w:tr>
      <w:tr w:rsidR="00293905" w:rsidRPr="00A6689B" w14:paraId="4FAB847B" w14:textId="77777777" w:rsidTr="00C93F66">
        <w:tc>
          <w:tcPr>
            <w:tcW w:w="1077" w:type="pct"/>
          </w:tcPr>
          <w:p w14:paraId="763891AA" w14:textId="77777777" w:rsidR="00293905" w:rsidRPr="00A6689B" w:rsidRDefault="00293905" w:rsidP="00C93F66">
            <w:pPr>
              <w:tabs>
                <w:tab w:val="center" w:pos="284"/>
              </w:tabs>
              <w:ind w:left="266" w:hanging="266"/>
              <w:rPr>
                <w:b/>
              </w:rPr>
            </w:pPr>
            <w:r>
              <w:rPr>
                <w:b/>
              </w:rPr>
              <w:t>Référence</w:t>
            </w:r>
          </w:p>
        </w:tc>
        <w:tc>
          <w:tcPr>
            <w:tcW w:w="3923" w:type="pct"/>
          </w:tcPr>
          <w:p w14:paraId="73391640" w14:textId="77777777" w:rsidR="00293905" w:rsidRDefault="00293905" w:rsidP="00C93F66">
            <w:pPr>
              <w:tabs>
                <w:tab w:val="center" w:pos="284"/>
              </w:tabs>
              <w:ind w:left="266" w:right="-3091" w:hanging="266"/>
            </w:pPr>
            <w:r>
              <w:t>Avis d’initiative</w:t>
            </w:r>
          </w:p>
          <w:p w14:paraId="701779E0" w14:textId="77777777" w:rsidR="00293905" w:rsidRPr="00A6689B" w:rsidRDefault="00293905" w:rsidP="00C93F66">
            <w:pPr>
              <w:tabs>
                <w:tab w:val="center" w:pos="284"/>
              </w:tabs>
              <w:ind w:left="266" w:right="-3091" w:hanging="266"/>
            </w:pPr>
            <w:r>
              <w:t>EESC-2025-01656-00-00-AC-TRA</w:t>
            </w:r>
          </w:p>
        </w:tc>
      </w:tr>
    </w:tbl>
    <w:p w14:paraId="02063123" w14:textId="77777777" w:rsidR="00293905" w:rsidRDefault="00293905" w:rsidP="00293905">
      <w:pPr>
        <w:tabs>
          <w:tab w:val="center" w:pos="284"/>
        </w:tabs>
        <w:ind w:left="266" w:hanging="266"/>
        <w:rPr>
          <w:b/>
        </w:rPr>
      </w:pPr>
    </w:p>
    <w:p w14:paraId="4297C602" w14:textId="77777777" w:rsidR="00293905" w:rsidRPr="00A6689B" w:rsidRDefault="00293905" w:rsidP="00293905">
      <w:pPr>
        <w:keepNext/>
        <w:keepLines/>
        <w:tabs>
          <w:tab w:val="center" w:pos="284"/>
        </w:tabs>
        <w:ind w:left="266" w:hanging="266"/>
        <w:rPr>
          <w:b/>
        </w:rPr>
      </w:pPr>
      <w:r>
        <w:rPr>
          <w:b/>
        </w:rPr>
        <w:t>Points clés</w:t>
      </w:r>
    </w:p>
    <w:p w14:paraId="539420B5" w14:textId="77777777" w:rsidR="00293905" w:rsidRPr="00A6689B" w:rsidRDefault="00293905" w:rsidP="00293905">
      <w:pPr>
        <w:keepNext/>
        <w:keepLines/>
        <w:tabs>
          <w:tab w:val="center" w:pos="284"/>
        </w:tabs>
        <w:ind w:left="266" w:hanging="266"/>
        <w:rPr>
          <w:b/>
        </w:rPr>
      </w:pPr>
    </w:p>
    <w:p w14:paraId="4CA76452" w14:textId="382F8634" w:rsidR="00ED4804" w:rsidRPr="00ED4804" w:rsidRDefault="00293905" w:rsidP="00293905">
      <w:r>
        <w:t xml:space="preserve">Le </w:t>
      </w:r>
      <w:proofErr w:type="gramStart"/>
      <w:r>
        <w:t>CESE:</w:t>
      </w:r>
      <w:proofErr w:type="gramEnd"/>
    </w:p>
    <w:p w14:paraId="41783A4E" w14:textId="77777777" w:rsidR="00293905" w:rsidRPr="00E905BB" w:rsidRDefault="00293905" w:rsidP="00293905">
      <w:pPr>
        <w:widowControl w:val="0"/>
        <w:numPr>
          <w:ilvl w:val="0"/>
          <w:numId w:val="19"/>
        </w:numPr>
        <w:overflowPunct w:val="0"/>
        <w:autoSpaceDE w:val="0"/>
        <w:autoSpaceDN w:val="0"/>
        <w:adjustRightInd w:val="0"/>
        <w:ind w:hanging="567"/>
        <w:textAlignment w:val="baseline"/>
        <w:rPr>
          <w:bCs/>
          <w:iCs/>
        </w:rPr>
      </w:pPr>
      <w:proofErr w:type="gramStart"/>
      <w:r>
        <w:t>constate</w:t>
      </w:r>
      <w:proofErr w:type="gramEnd"/>
      <w:r>
        <w:t xml:space="preserve"> que les performances économiques des États membres de l’Union européenne et de la zone euro, en particulier au cours des cinq dernières années, n’ont pas été suffisantes pour permettre à l’Union de maintenir la solide position qu’elle occupait dans l’économie mondiale, avant tout par rapport aux économies américaine et chinoise;</w:t>
      </w:r>
    </w:p>
    <w:p w14:paraId="3C61A7DD" w14:textId="77777777" w:rsidR="00293905" w:rsidRPr="00CB3334" w:rsidRDefault="00293905" w:rsidP="00293905">
      <w:pPr>
        <w:pStyle w:val="ListParagraph"/>
        <w:widowControl w:val="0"/>
        <w:numPr>
          <w:ilvl w:val="0"/>
          <w:numId w:val="19"/>
        </w:numPr>
        <w:spacing w:after="200" w:line="276" w:lineRule="auto"/>
        <w:ind w:hanging="567"/>
        <w:rPr>
          <w:bCs/>
          <w:iCs/>
        </w:rPr>
      </w:pPr>
      <w:proofErr w:type="gramStart"/>
      <w:r>
        <w:t>fait</w:t>
      </w:r>
      <w:proofErr w:type="gramEnd"/>
      <w:r>
        <w:t xml:space="preserve"> observer qu’en sus d’un rythme atone de la croissance économique, l’économie de l’Union et de la zone euro a aussi été aux prises avec un taux d’inflation élevé, qui s’est accompagné d’une résilience structurelle relativement faible au regard des risques actuels touchant à la sécurité;</w:t>
      </w:r>
    </w:p>
    <w:p w14:paraId="0971A7D9" w14:textId="77777777" w:rsidR="00293905" w:rsidRDefault="00293905" w:rsidP="00293905">
      <w:pPr>
        <w:pStyle w:val="ListParagraph"/>
        <w:widowControl w:val="0"/>
        <w:numPr>
          <w:ilvl w:val="0"/>
          <w:numId w:val="19"/>
        </w:numPr>
        <w:spacing w:after="200" w:line="276" w:lineRule="auto"/>
        <w:ind w:hanging="567"/>
        <w:rPr>
          <w:bCs/>
          <w:iCs/>
        </w:rPr>
      </w:pPr>
      <w:proofErr w:type="gramStart"/>
      <w:r>
        <w:t>voit</w:t>
      </w:r>
      <w:proofErr w:type="gramEnd"/>
      <w:r>
        <w:t xml:space="preserve"> d’un œil très favorable le solde positif de la balance commerciale qu’affiche dans l’ensemble l’économie de l’Union et de la zone euro et recommande vivement que soient prises toutes les mesures nécessaires en matière de politique économique et commerciale pour faire en sorte que perdurent tant cette évolution positive du solde de la balance commerciale que l’excédent de la balance courante;</w:t>
      </w:r>
    </w:p>
    <w:p w14:paraId="6840EC26" w14:textId="77777777" w:rsidR="00293905" w:rsidRDefault="00293905" w:rsidP="00293905">
      <w:pPr>
        <w:pStyle w:val="ListParagraph"/>
        <w:widowControl w:val="0"/>
        <w:numPr>
          <w:ilvl w:val="0"/>
          <w:numId w:val="19"/>
        </w:numPr>
        <w:spacing w:after="200" w:line="276" w:lineRule="auto"/>
        <w:ind w:hanging="567"/>
        <w:rPr>
          <w:bCs/>
          <w:iCs/>
        </w:rPr>
      </w:pPr>
      <w:proofErr w:type="gramStart"/>
      <w:r>
        <w:t>recommande</w:t>
      </w:r>
      <w:proofErr w:type="gramEnd"/>
      <w:r>
        <w:t xml:space="preserve"> de concentrer l’attention sur les secteurs importants sur le plan stratégique et de garantir également des conditions procédurales et financières qui favoriseront une forte activité d’investissement;</w:t>
      </w:r>
    </w:p>
    <w:p w14:paraId="1DB0501D" w14:textId="77777777" w:rsidR="00293905" w:rsidRPr="00E905BB" w:rsidRDefault="00293905" w:rsidP="00293905">
      <w:pPr>
        <w:pStyle w:val="ListParagraph"/>
        <w:widowControl w:val="0"/>
        <w:numPr>
          <w:ilvl w:val="0"/>
          <w:numId w:val="19"/>
        </w:numPr>
        <w:spacing w:after="200" w:line="276" w:lineRule="auto"/>
        <w:ind w:hanging="567"/>
        <w:rPr>
          <w:bCs/>
          <w:iCs/>
        </w:rPr>
      </w:pPr>
      <w:proofErr w:type="gramStart"/>
      <w:r>
        <w:t>soutient</w:t>
      </w:r>
      <w:proofErr w:type="gramEnd"/>
      <w:r>
        <w:t xml:space="preserve"> les travaux de la Commission européenne sur la stratégie pour le marché unique et discerne une marge de manœuvre en vue d’un financement plus efficace grâce à l’union de l’épargne et des investissements, ainsi que par l’intermédiaire d’un marché des capitaux plus vaste et intégré;</w:t>
      </w:r>
    </w:p>
    <w:p w14:paraId="0FFE2801" w14:textId="77777777" w:rsidR="00293905" w:rsidRPr="00E905BB" w:rsidRDefault="00293905" w:rsidP="00293905">
      <w:pPr>
        <w:pStyle w:val="ListParagraph"/>
        <w:widowControl w:val="0"/>
        <w:numPr>
          <w:ilvl w:val="0"/>
          <w:numId w:val="19"/>
        </w:numPr>
        <w:spacing w:after="200" w:line="276" w:lineRule="auto"/>
        <w:ind w:hanging="567"/>
        <w:rPr>
          <w:bCs/>
          <w:iCs/>
        </w:rPr>
      </w:pPr>
      <w:proofErr w:type="gramStart"/>
      <w:r>
        <w:t>estime</w:t>
      </w:r>
      <w:proofErr w:type="gramEnd"/>
      <w:r>
        <w:t xml:space="preserve"> nécessaire d’adopter et de mettre en œuvre une politique ciblée visant à favoriser l’entrée d’entreprises performantes et ambitieuses sur le marché mondial et souligne la nécessité de créer à cette fin un espace suffisant pour les talents les plus pointus en matière de postes de travail dans le domaine de la technologie et de l’innovation en Europe, y compris dans le cadre de l’initiative «</w:t>
      </w:r>
      <w:proofErr w:type="spellStart"/>
      <w:r>
        <w:t>Choose</w:t>
      </w:r>
      <w:proofErr w:type="spellEnd"/>
      <w:r>
        <w:t xml:space="preserve"> Europe» (Choisir l’Europe) déjà lancée;</w:t>
      </w:r>
    </w:p>
    <w:p w14:paraId="24515C12" w14:textId="77777777" w:rsidR="00293905" w:rsidRPr="00E905BB" w:rsidRDefault="00293905" w:rsidP="00293905">
      <w:pPr>
        <w:pStyle w:val="ListParagraph"/>
        <w:widowControl w:val="0"/>
        <w:numPr>
          <w:ilvl w:val="0"/>
          <w:numId w:val="19"/>
        </w:numPr>
        <w:spacing w:after="200" w:line="276" w:lineRule="auto"/>
        <w:ind w:hanging="567"/>
        <w:rPr>
          <w:bCs/>
          <w:iCs/>
        </w:rPr>
      </w:pPr>
      <w:proofErr w:type="gramStart"/>
      <w:r>
        <w:t>se</w:t>
      </w:r>
      <w:proofErr w:type="gramEnd"/>
      <w:r>
        <w:t xml:space="preserve"> félicite du processus en cours de simplification des procédures et fait valoir qu’il s’impose de ne pas porter atteinte aux normes de protection sociale et environnementale;</w:t>
      </w:r>
    </w:p>
    <w:p w14:paraId="6045F0BC" w14:textId="77777777" w:rsidR="00293905" w:rsidRPr="00E905BB" w:rsidRDefault="00293905" w:rsidP="00293905">
      <w:pPr>
        <w:pStyle w:val="ListParagraph"/>
        <w:widowControl w:val="0"/>
        <w:numPr>
          <w:ilvl w:val="0"/>
          <w:numId w:val="19"/>
        </w:numPr>
        <w:spacing w:after="200" w:line="276" w:lineRule="auto"/>
        <w:ind w:hanging="567"/>
        <w:rPr>
          <w:bCs/>
          <w:iCs/>
        </w:rPr>
      </w:pPr>
      <w:proofErr w:type="gramStart"/>
      <w:r>
        <w:t>soutient</w:t>
      </w:r>
      <w:proofErr w:type="gramEnd"/>
      <w:r>
        <w:t xml:space="preserve"> les démarches entreprises en vue de créer une marge de manœuvre budgétaire au moyen d’une révision ciblée des règles budgétaires européennes et de la mise en œuvre d’une capacité d’investissement de l’Union afin de financer des investissements propices à la croissance qui présentent un intérêt stratégique pour le marché unique;</w:t>
      </w:r>
    </w:p>
    <w:p w14:paraId="76314019" w14:textId="77777777" w:rsidR="00293905" w:rsidRPr="00E905BB" w:rsidRDefault="00293905" w:rsidP="00293905">
      <w:pPr>
        <w:pStyle w:val="ListParagraph"/>
        <w:widowControl w:val="0"/>
        <w:numPr>
          <w:ilvl w:val="0"/>
          <w:numId w:val="19"/>
        </w:numPr>
        <w:spacing w:line="276" w:lineRule="auto"/>
        <w:ind w:hanging="567"/>
        <w:rPr>
          <w:bCs/>
          <w:iCs/>
        </w:rPr>
      </w:pPr>
      <w:proofErr w:type="gramStart"/>
      <w:r>
        <w:t>recommande</w:t>
      </w:r>
      <w:proofErr w:type="gramEnd"/>
      <w:r>
        <w:t xml:space="preserve"> dès lors à la Commission européenne de presser le pas afin de conclure des accords commerciaux bilatéraux avec tous les pays qui constituent les plus importantes destinations de </w:t>
      </w:r>
      <w:r>
        <w:lastRenderedPageBreak/>
        <w:t>son commerce extérieur et de poursuivre les actions qu’elle mène à son échelle afin de relancer le processus du multilatéralisme et d’engager sans délai des réformes au sein de l’Organisation mondiale du commerce (OMC).</w:t>
      </w:r>
    </w:p>
    <w:p w14:paraId="5A74FD2F" w14:textId="77777777" w:rsidR="00293905" w:rsidRPr="000624A9" w:rsidRDefault="00293905" w:rsidP="00293905">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293905" w:rsidRPr="00A6689B" w14:paraId="68FFE43D" w14:textId="77777777" w:rsidTr="00C93F66">
        <w:tc>
          <w:tcPr>
            <w:tcW w:w="1077" w:type="pct"/>
          </w:tcPr>
          <w:p w14:paraId="5521E8E3" w14:textId="77777777" w:rsidR="00293905" w:rsidRPr="00A6689B" w:rsidRDefault="00293905" w:rsidP="00C93F66">
            <w:pPr>
              <w:rPr>
                <w:i/>
              </w:rPr>
            </w:pPr>
            <w:r>
              <w:rPr>
                <w:b/>
                <w:i/>
              </w:rPr>
              <w:t>Contact</w:t>
            </w:r>
          </w:p>
        </w:tc>
        <w:tc>
          <w:tcPr>
            <w:tcW w:w="3923" w:type="pct"/>
          </w:tcPr>
          <w:p w14:paraId="10F02D20" w14:textId="0E0DB4EC" w:rsidR="00293905" w:rsidRPr="00A6689B" w:rsidRDefault="00293905" w:rsidP="00C93F66">
            <w:pPr>
              <w:rPr>
                <w:i/>
              </w:rPr>
            </w:pPr>
            <w:r>
              <w:rPr>
                <w:i/>
              </w:rPr>
              <w:t>Omar</w:t>
            </w:r>
            <w:r w:rsidR="00ED4804">
              <w:rPr>
                <w:i/>
              </w:rPr>
              <w:t> </w:t>
            </w:r>
            <w:r>
              <w:rPr>
                <w:i/>
              </w:rPr>
              <w:t>Bello</w:t>
            </w:r>
          </w:p>
        </w:tc>
      </w:tr>
      <w:tr w:rsidR="00293905" w:rsidRPr="00A6689B" w14:paraId="2FB984F5" w14:textId="77777777" w:rsidTr="00C93F66">
        <w:tc>
          <w:tcPr>
            <w:tcW w:w="1077" w:type="pct"/>
          </w:tcPr>
          <w:p w14:paraId="3BE3DA2B" w14:textId="77777777" w:rsidR="00293905" w:rsidRPr="00A6689B" w:rsidRDefault="00293905" w:rsidP="00C93F66">
            <w:pPr>
              <w:rPr>
                <w:i/>
              </w:rPr>
            </w:pPr>
            <w:r>
              <w:rPr>
                <w:i/>
              </w:rPr>
              <w:t>Tél.</w:t>
            </w:r>
          </w:p>
        </w:tc>
        <w:tc>
          <w:tcPr>
            <w:tcW w:w="3923" w:type="pct"/>
          </w:tcPr>
          <w:p w14:paraId="2F356D94" w14:textId="77777777" w:rsidR="00293905" w:rsidRPr="00A6689B" w:rsidRDefault="00293905" w:rsidP="00C93F66">
            <w:pPr>
              <w:rPr>
                <w:i/>
              </w:rPr>
            </w:pPr>
            <w:r>
              <w:rPr>
                <w:i/>
              </w:rPr>
              <w:t>+32 2 546 8269</w:t>
            </w:r>
          </w:p>
        </w:tc>
      </w:tr>
      <w:tr w:rsidR="00293905" w:rsidRPr="00A6689B" w14:paraId="2D07DBCF" w14:textId="77777777" w:rsidTr="00C93F66">
        <w:tc>
          <w:tcPr>
            <w:tcW w:w="1077" w:type="pct"/>
          </w:tcPr>
          <w:p w14:paraId="7B2E7BB3" w14:textId="77777777" w:rsidR="00293905" w:rsidRPr="00A6689B" w:rsidRDefault="00293905" w:rsidP="00C93F66">
            <w:pPr>
              <w:rPr>
                <w:i/>
              </w:rPr>
            </w:pPr>
            <w:r>
              <w:rPr>
                <w:i/>
              </w:rPr>
              <w:t>Courriel</w:t>
            </w:r>
          </w:p>
        </w:tc>
        <w:tc>
          <w:tcPr>
            <w:tcW w:w="3923" w:type="pct"/>
          </w:tcPr>
          <w:p w14:paraId="414C73EB" w14:textId="77777777" w:rsidR="00293905" w:rsidRPr="00A6689B" w:rsidRDefault="00CB508B" w:rsidP="00C93F66">
            <w:pPr>
              <w:rPr>
                <w:i/>
              </w:rPr>
            </w:pPr>
            <w:hyperlink r:id="rId20" w:history="1">
              <w:r w:rsidR="00293905">
                <w:rPr>
                  <w:rStyle w:val="Hyperlink"/>
                  <w:i/>
                </w:rPr>
                <w:t>Omar.Bello@eesc.europa.eu</w:t>
              </w:r>
            </w:hyperlink>
          </w:p>
        </w:tc>
      </w:tr>
    </w:tbl>
    <w:p w14:paraId="60404E87" w14:textId="77777777" w:rsidR="00F31327" w:rsidRDefault="00F31327" w:rsidP="00F31327">
      <w:pPr>
        <w:jc w:val="left"/>
        <w:rPr>
          <w:lang w:val="en-GB"/>
        </w:rPr>
      </w:pPr>
    </w:p>
    <w:p w14:paraId="1E116AE2" w14:textId="77777777" w:rsidR="00F31327" w:rsidRDefault="00F31327" w:rsidP="00F31327">
      <w:pPr>
        <w:jc w:val="left"/>
        <w:rPr>
          <w:lang w:val="en-GB"/>
        </w:rPr>
      </w:pPr>
      <w:r>
        <w:rPr>
          <w:lang w:val="en-GB"/>
        </w:rPr>
        <w:br w:type="page"/>
      </w:r>
    </w:p>
    <w:p w14:paraId="708E6AC5" w14:textId="6F5AA8D2" w:rsidR="00F7475E" w:rsidRPr="005C4D5E" w:rsidRDefault="00CB508B" w:rsidP="00F7475E">
      <w:pPr>
        <w:pStyle w:val="ListParagraph"/>
        <w:widowControl w:val="0"/>
        <w:numPr>
          <w:ilvl w:val="0"/>
          <w:numId w:val="6"/>
        </w:numPr>
        <w:spacing w:after="200" w:line="240" w:lineRule="auto"/>
        <w:ind w:left="567" w:hanging="567"/>
        <w:jc w:val="left"/>
        <w:rPr>
          <w:b/>
        </w:rPr>
      </w:pPr>
      <w:hyperlink r:id="rId21" w:history="1">
        <w:r w:rsidR="00F7475E">
          <w:rPr>
            <w:rStyle w:val="Hyperlink"/>
            <w:b/>
            <w:i/>
            <w:sz w:val="28"/>
          </w:rPr>
          <w:t xml:space="preserve">Les biens publics </w:t>
        </w:r>
        <w:proofErr w:type="gramStart"/>
        <w:r w:rsidR="00F7475E">
          <w:rPr>
            <w:rStyle w:val="Hyperlink"/>
            <w:b/>
            <w:i/>
            <w:sz w:val="28"/>
          </w:rPr>
          <w:t>européens:</w:t>
        </w:r>
        <w:proofErr w:type="gramEnd"/>
        <w:r w:rsidR="00F7475E">
          <w:rPr>
            <w:rStyle w:val="Hyperlink"/>
            <w:b/>
            <w:i/>
            <w:sz w:val="28"/>
          </w:rPr>
          <w:t xml:space="preserve"> une priorité politique pour financer la croissance durable de l’UE et relever les défis mondiaux</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F7475E" w:rsidRPr="00384774" w14:paraId="6E34CFE2" w14:textId="77777777" w:rsidTr="00C93F66">
        <w:tc>
          <w:tcPr>
            <w:tcW w:w="1701" w:type="dxa"/>
          </w:tcPr>
          <w:p w14:paraId="22A2FF3B" w14:textId="77777777" w:rsidR="00F7475E" w:rsidRPr="00384774" w:rsidRDefault="00F7475E" w:rsidP="00C93F66">
            <w:pPr>
              <w:ind w:left="176" w:hanging="284"/>
              <w:rPr>
                <w:b/>
              </w:rPr>
            </w:pPr>
            <w:r>
              <w:rPr>
                <w:b/>
              </w:rPr>
              <w:t>Rapporteur</w:t>
            </w:r>
          </w:p>
        </w:tc>
        <w:tc>
          <w:tcPr>
            <w:tcW w:w="7088" w:type="dxa"/>
          </w:tcPr>
          <w:p w14:paraId="6226310E" w14:textId="47AC3AC3" w:rsidR="00F7475E" w:rsidRPr="00384774" w:rsidRDefault="00F7475E" w:rsidP="00C93F66">
            <w:pPr>
              <w:tabs>
                <w:tab w:val="center" w:pos="284"/>
              </w:tabs>
            </w:pPr>
            <w:r>
              <w:t>Stefano</w:t>
            </w:r>
            <w:r w:rsidR="00ED4804">
              <w:t> </w:t>
            </w:r>
            <w:r>
              <w:t>PALMIERI (groupe des travailleurs — IT)</w:t>
            </w:r>
          </w:p>
        </w:tc>
      </w:tr>
      <w:tr w:rsidR="00F7475E" w:rsidRPr="00384774" w14:paraId="625A51BE" w14:textId="77777777" w:rsidTr="00C93F66">
        <w:tc>
          <w:tcPr>
            <w:tcW w:w="8789" w:type="dxa"/>
            <w:gridSpan w:val="2"/>
          </w:tcPr>
          <w:p w14:paraId="7B17FD38" w14:textId="77777777" w:rsidR="00F7475E" w:rsidRPr="00384774" w:rsidRDefault="00F7475E" w:rsidP="00C93F66">
            <w:pPr>
              <w:tabs>
                <w:tab w:val="center" w:pos="284"/>
              </w:tabs>
              <w:spacing w:line="160" w:lineRule="exact"/>
              <w:ind w:left="266" w:hanging="266"/>
            </w:pPr>
          </w:p>
        </w:tc>
      </w:tr>
      <w:tr w:rsidR="00F7475E" w:rsidRPr="00384774" w14:paraId="4F3C5EF0" w14:textId="77777777" w:rsidTr="00C93F66">
        <w:tc>
          <w:tcPr>
            <w:tcW w:w="1701" w:type="dxa"/>
          </w:tcPr>
          <w:p w14:paraId="3DFEBE5D" w14:textId="77777777" w:rsidR="00F7475E" w:rsidRPr="00384774" w:rsidRDefault="00F7475E" w:rsidP="00C93F66">
            <w:pPr>
              <w:tabs>
                <w:tab w:val="center" w:pos="284"/>
              </w:tabs>
              <w:ind w:left="266" w:hanging="374"/>
              <w:rPr>
                <w:b/>
              </w:rPr>
            </w:pPr>
            <w:r>
              <w:rPr>
                <w:b/>
              </w:rPr>
              <w:t>Références</w:t>
            </w:r>
          </w:p>
        </w:tc>
        <w:tc>
          <w:tcPr>
            <w:tcW w:w="7088" w:type="dxa"/>
          </w:tcPr>
          <w:p w14:paraId="70D9D58A" w14:textId="77777777" w:rsidR="00F7475E" w:rsidRPr="00384774" w:rsidRDefault="00F7475E" w:rsidP="00C93F66">
            <w:pPr>
              <w:tabs>
                <w:tab w:val="center" w:pos="284"/>
              </w:tabs>
            </w:pPr>
            <w:r>
              <w:t>Avis d’initiative</w:t>
            </w:r>
          </w:p>
          <w:p w14:paraId="6FE21494" w14:textId="77777777" w:rsidR="00F7475E" w:rsidRPr="00384774" w:rsidRDefault="00F7475E" w:rsidP="00C93F66">
            <w:pPr>
              <w:tabs>
                <w:tab w:val="center" w:pos="284"/>
              </w:tabs>
              <w:rPr>
                <w:highlight w:val="yellow"/>
              </w:rPr>
            </w:pPr>
            <w:r>
              <w:t>EESC-2025-01686-00-00-AC</w:t>
            </w:r>
          </w:p>
        </w:tc>
      </w:tr>
    </w:tbl>
    <w:p w14:paraId="5A12E9B0" w14:textId="77777777" w:rsidR="00F7475E" w:rsidRPr="005C4D5E" w:rsidRDefault="00F7475E" w:rsidP="00F7475E">
      <w:pPr>
        <w:keepNext/>
        <w:keepLines/>
        <w:tabs>
          <w:tab w:val="center" w:pos="284"/>
        </w:tabs>
        <w:ind w:left="266" w:hanging="266"/>
        <w:rPr>
          <w:b/>
          <w:sz w:val="16"/>
          <w:szCs w:val="16"/>
        </w:rPr>
      </w:pPr>
    </w:p>
    <w:p w14:paraId="229BF03D" w14:textId="77777777" w:rsidR="00F7475E" w:rsidRPr="00384774" w:rsidRDefault="00F7475E" w:rsidP="00F7475E">
      <w:pPr>
        <w:keepNext/>
        <w:keepLines/>
        <w:tabs>
          <w:tab w:val="center" w:pos="284"/>
        </w:tabs>
        <w:ind w:left="266" w:hanging="266"/>
        <w:rPr>
          <w:b/>
        </w:rPr>
      </w:pPr>
      <w:r>
        <w:rPr>
          <w:b/>
        </w:rPr>
        <w:t>Points clés</w:t>
      </w:r>
    </w:p>
    <w:p w14:paraId="535C0BD5" w14:textId="77777777" w:rsidR="00F7475E" w:rsidRPr="005C4D5E" w:rsidRDefault="00F7475E" w:rsidP="00F7475E">
      <w:pPr>
        <w:keepNext/>
        <w:keepLines/>
        <w:tabs>
          <w:tab w:val="center" w:pos="284"/>
        </w:tabs>
        <w:ind w:left="266" w:hanging="266"/>
        <w:rPr>
          <w:b/>
          <w:sz w:val="16"/>
          <w:szCs w:val="16"/>
        </w:rPr>
      </w:pPr>
    </w:p>
    <w:p w14:paraId="0D3EC2A6" w14:textId="35572BCC" w:rsidR="00F7475E" w:rsidRDefault="00F7475E" w:rsidP="00F7475E">
      <w:pPr>
        <w:ind w:left="425" w:hanging="425"/>
      </w:pPr>
      <w:r>
        <w:t xml:space="preserve">Le </w:t>
      </w:r>
      <w:proofErr w:type="gramStart"/>
      <w:r>
        <w:t>CESE:</w:t>
      </w:r>
      <w:proofErr w:type="gramEnd"/>
    </w:p>
    <w:p w14:paraId="3BBE0CBB" w14:textId="77777777" w:rsidR="00F7475E" w:rsidRPr="00384774" w:rsidRDefault="00F7475E" w:rsidP="00F7475E">
      <w:pPr>
        <w:pStyle w:val="ListParagraph"/>
        <w:numPr>
          <w:ilvl w:val="0"/>
          <w:numId w:val="5"/>
        </w:numPr>
        <w:spacing w:after="40" w:line="276" w:lineRule="auto"/>
        <w:ind w:left="567" w:hanging="567"/>
        <w:contextualSpacing w:val="0"/>
      </w:pPr>
      <w:proofErr w:type="gramStart"/>
      <w:r>
        <w:t>se</w:t>
      </w:r>
      <w:proofErr w:type="gramEnd"/>
      <w:r>
        <w:t xml:space="preserve"> déclare convaincu de l’importance que revêt la prestation de biens publics européens pour le bien-être des citoyens, et certain qu’une attention toute particulière doit être portée à la question de leur fourniture ainsi qu’à leur inscription dans le prochain cadre financier pluriannuel (CFP) pour l’après-2027;</w:t>
      </w:r>
    </w:p>
    <w:p w14:paraId="04FB4525" w14:textId="77777777" w:rsidR="00F7475E" w:rsidRPr="00384774" w:rsidRDefault="00F7475E" w:rsidP="00F7475E">
      <w:pPr>
        <w:pStyle w:val="ListParagraph"/>
        <w:numPr>
          <w:ilvl w:val="0"/>
          <w:numId w:val="5"/>
        </w:numPr>
        <w:spacing w:after="40" w:line="276" w:lineRule="auto"/>
        <w:ind w:left="567" w:hanging="567"/>
        <w:contextualSpacing w:val="0"/>
      </w:pPr>
      <w:proofErr w:type="gramStart"/>
      <w:r>
        <w:t>attire</w:t>
      </w:r>
      <w:proofErr w:type="gramEnd"/>
      <w:r>
        <w:t xml:space="preserve"> également l’attention sur l’importance croissante qui s’attache à des biens publics d’envergure mondiale tels que la paix, la lutte contre la pauvreté, la protection de l’environnement et la stabilité financière, entre autres, et souligne qu’il est nécessaire de renforcer la gouvernance mondiale et les instances qui en ont la responsabilité (Nations unies, Organisation mondiale du commerce, Fonds monétaire international, Banque mondiale et d’autre encore);</w:t>
      </w:r>
    </w:p>
    <w:p w14:paraId="36983C70" w14:textId="77777777" w:rsidR="00F7475E" w:rsidRPr="00384774" w:rsidRDefault="00F7475E" w:rsidP="00F7475E">
      <w:pPr>
        <w:pStyle w:val="ListParagraph"/>
        <w:numPr>
          <w:ilvl w:val="0"/>
          <w:numId w:val="5"/>
        </w:numPr>
        <w:spacing w:after="40" w:line="276" w:lineRule="auto"/>
        <w:ind w:left="567" w:hanging="567"/>
        <w:contextualSpacing w:val="0"/>
      </w:pPr>
      <w:r>
        <w:t>estime qu’une attention particulière doit être accordée aux «biens publics européens fonctionnels», c’est-à-dire ceux qui découlent de l’article 3 du traité sur l’Union européenne (TUE) et qui sont de nature à garantir la bonne marche de l’Union: il s’agit en l’occurrence de l’achèvement du marché unique et de l’Union économique et monétaire; de la cohésion économique, sociale et territoriale; de l’autonomie stratégique ouverte de l’Union (en ce qui concerne par exemple sa politique commune dans le domaine de la santé, la sécurité alimentaire ou encore l’Union européenne de l’énergie); de la défense et de la sécurité; de la recherche et du développement dans l’Union; et enfin de l’état de droit;</w:t>
      </w:r>
    </w:p>
    <w:p w14:paraId="09535DAC" w14:textId="77777777" w:rsidR="00F7475E" w:rsidRPr="00384774" w:rsidRDefault="00F7475E" w:rsidP="00F7475E">
      <w:pPr>
        <w:pStyle w:val="ListParagraph"/>
        <w:numPr>
          <w:ilvl w:val="0"/>
          <w:numId w:val="5"/>
        </w:numPr>
        <w:spacing w:after="40" w:line="276" w:lineRule="auto"/>
        <w:ind w:left="567" w:hanging="567"/>
        <w:contextualSpacing w:val="0"/>
      </w:pPr>
      <w:proofErr w:type="gramStart"/>
      <w:r>
        <w:t>souligne</w:t>
      </w:r>
      <w:proofErr w:type="gramEnd"/>
      <w:r>
        <w:t xml:space="preserve"> qu’il est important de tenir compte de la valeur ajoutée européenne dans toutes les discussions portant sur les biens publics européens; Un avantage supplémentaire pourrait être débloqué par l’intermédiaire des biens publics européens. Si l’Union européenne ne pousse pas son intégration plus avant, le potentiel que représente ce PIB supplémentaire risque d’être perdu — c’est ce que l’on appelle le</w:t>
      </w:r>
      <w:proofErr w:type="gramStart"/>
      <w:r>
        <w:t xml:space="preserve"> «coût</w:t>
      </w:r>
      <w:proofErr w:type="gramEnd"/>
      <w:r>
        <w:t xml:space="preserve"> de la non-Europe»;</w:t>
      </w:r>
    </w:p>
    <w:p w14:paraId="5E3D3FD0" w14:textId="5BA809D3" w:rsidR="00F7475E" w:rsidRPr="00384774" w:rsidRDefault="00F7475E" w:rsidP="00F7475E">
      <w:pPr>
        <w:pStyle w:val="ListParagraph"/>
        <w:numPr>
          <w:ilvl w:val="0"/>
          <w:numId w:val="5"/>
        </w:numPr>
        <w:spacing w:after="40" w:line="276" w:lineRule="auto"/>
        <w:ind w:left="567" w:hanging="567"/>
        <w:contextualSpacing w:val="0"/>
      </w:pPr>
      <w:r>
        <w:t>fait observer que le cadre dans lequel s’insèrent actuellement les biens publics européens, les priorités stratégiques qui ont été fixées et les défis que pose la situation présente d’une crise polymorphe exigeront que le prochain CFP soit ambitieux, comme le CESE l’a déjà fait observer dans son avis</w:t>
      </w:r>
      <w:r w:rsidR="006031D5">
        <w:t> </w:t>
      </w:r>
      <w:r>
        <w:t>ECO/662, où il indiquait que «le niveau du prochain CFP — exprimé en pourcentage du RNB — ne doit pas diminuer en termes réels, mais au contraire augmenter de manière significative, pour pouvoir relever les défis croissants auxquels l’Union est confrontée»;</w:t>
      </w:r>
    </w:p>
    <w:p w14:paraId="6EC5EE78" w14:textId="77777777" w:rsidR="00F7475E" w:rsidRPr="00384774" w:rsidRDefault="00F7475E" w:rsidP="00F7475E">
      <w:pPr>
        <w:pStyle w:val="ListParagraph"/>
        <w:numPr>
          <w:ilvl w:val="0"/>
          <w:numId w:val="5"/>
        </w:numPr>
        <w:spacing w:after="40" w:line="276" w:lineRule="auto"/>
        <w:ind w:left="567" w:hanging="567"/>
        <w:contextualSpacing w:val="0"/>
      </w:pPr>
      <w:proofErr w:type="gramStart"/>
      <w:r>
        <w:t>estime</w:t>
      </w:r>
      <w:proofErr w:type="gramEnd"/>
      <w:r>
        <w:t xml:space="preserve"> qu’il est désormais plus important que jamais de se pencher plus en détail sur les différentes modalités qui permettront de financer des biens publics européens grâce à un volume suffisant de ressources propres de l’Union;</w:t>
      </w:r>
    </w:p>
    <w:p w14:paraId="3A5A5E9D" w14:textId="77777777" w:rsidR="00F7475E" w:rsidRPr="00384774" w:rsidRDefault="00F7475E" w:rsidP="00F7475E">
      <w:pPr>
        <w:pStyle w:val="ListParagraph"/>
        <w:numPr>
          <w:ilvl w:val="0"/>
          <w:numId w:val="5"/>
        </w:numPr>
        <w:spacing w:after="40" w:line="276" w:lineRule="auto"/>
        <w:ind w:left="567" w:hanging="567"/>
        <w:contextualSpacing w:val="0"/>
      </w:pPr>
      <w:proofErr w:type="gramStart"/>
      <w:r>
        <w:t>s’inquiète</w:t>
      </w:r>
      <w:proofErr w:type="gramEnd"/>
      <w:r>
        <w:t xml:space="preserve"> de ce que les décisions concernant les ressources propres de l’Union restent au point mort, et il adresse une mise en garde contre l’éventualité d’un blocage sur ces sujets, qui pourrait mettre en péril l’existence même de l’Union européenne.</w:t>
      </w:r>
    </w:p>
    <w:p w14:paraId="37EC91F7" w14:textId="77777777" w:rsidR="00F7475E" w:rsidRPr="005C4D5E" w:rsidRDefault="00F7475E" w:rsidP="00F7475E">
      <w:pPr>
        <w:pStyle w:val="ListParagraph"/>
        <w:spacing w:after="40"/>
        <w:ind w:left="567"/>
        <w:contextualSpacing w:val="0"/>
        <w:rPr>
          <w:sz w:val="16"/>
          <w:szCs w:val="16"/>
        </w:rPr>
      </w:pPr>
    </w:p>
    <w:tbl>
      <w:tblPr>
        <w:tblStyle w:val="TableGrid"/>
        <w:tblW w:w="5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4518"/>
      </w:tblGrid>
      <w:tr w:rsidR="00F7475E" w:rsidRPr="00384774" w14:paraId="49E93BFC" w14:textId="77777777" w:rsidTr="00C93F66">
        <w:tc>
          <w:tcPr>
            <w:tcW w:w="1173" w:type="dxa"/>
          </w:tcPr>
          <w:p w14:paraId="09A87DE9" w14:textId="77777777" w:rsidR="00F7475E" w:rsidRPr="00384774" w:rsidRDefault="00F7475E" w:rsidP="00ED4804">
            <w:pPr>
              <w:keepNext/>
              <w:rPr>
                <w:bCs/>
                <w:i/>
              </w:rPr>
            </w:pPr>
            <w:r>
              <w:rPr>
                <w:i/>
              </w:rPr>
              <w:lastRenderedPageBreak/>
              <w:t>Contact</w:t>
            </w:r>
          </w:p>
        </w:tc>
        <w:tc>
          <w:tcPr>
            <w:tcW w:w="4518" w:type="dxa"/>
          </w:tcPr>
          <w:p w14:paraId="1FF30A92" w14:textId="1244A644" w:rsidR="00F7475E" w:rsidRPr="00384774" w:rsidRDefault="00F7475E" w:rsidP="00ED4804">
            <w:pPr>
              <w:keepNext/>
              <w:rPr>
                <w:bCs/>
                <w:i/>
                <w:iCs/>
              </w:rPr>
            </w:pPr>
            <w:r>
              <w:rPr>
                <w:i/>
              </w:rPr>
              <w:t>Gerald </w:t>
            </w:r>
            <w:r w:rsidR="00ED4804">
              <w:rPr>
                <w:i/>
              </w:rPr>
              <w:t>KLEC</w:t>
            </w:r>
          </w:p>
        </w:tc>
      </w:tr>
      <w:tr w:rsidR="00F7475E" w:rsidRPr="00384774" w14:paraId="09E14AFC" w14:textId="77777777" w:rsidTr="00C93F66">
        <w:tc>
          <w:tcPr>
            <w:tcW w:w="1173" w:type="dxa"/>
          </w:tcPr>
          <w:p w14:paraId="13AF0E30" w14:textId="77777777" w:rsidR="00F7475E" w:rsidRPr="00384774" w:rsidRDefault="00F7475E" w:rsidP="00ED4804">
            <w:pPr>
              <w:keepNext/>
              <w:rPr>
                <w:i/>
              </w:rPr>
            </w:pPr>
            <w:r>
              <w:rPr>
                <w:i/>
              </w:rPr>
              <w:t>Tél.</w:t>
            </w:r>
          </w:p>
        </w:tc>
        <w:tc>
          <w:tcPr>
            <w:tcW w:w="4518" w:type="dxa"/>
          </w:tcPr>
          <w:p w14:paraId="3DC00089" w14:textId="77777777" w:rsidR="00F7475E" w:rsidRPr="00384774" w:rsidRDefault="00F7475E" w:rsidP="00ED4804">
            <w:pPr>
              <w:keepNext/>
              <w:rPr>
                <w:i/>
                <w:iCs/>
              </w:rPr>
            </w:pPr>
            <w:r>
              <w:rPr>
                <w:i/>
              </w:rPr>
              <w:t>+32 25469909</w:t>
            </w:r>
          </w:p>
        </w:tc>
      </w:tr>
      <w:tr w:rsidR="00F7475E" w:rsidRPr="00384774" w14:paraId="7B636669" w14:textId="77777777" w:rsidTr="00C93F66">
        <w:tc>
          <w:tcPr>
            <w:tcW w:w="1173" w:type="dxa"/>
          </w:tcPr>
          <w:p w14:paraId="23065667" w14:textId="77777777" w:rsidR="00F7475E" w:rsidRPr="00384774" w:rsidRDefault="00F7475E" w:rsidP="00ED4804">
            <w:pPr>
              <w:keepNext/>
              <w:rPr>
                <w:i/>
              </w:rPr>
            </w:pPr>
            <w:r>
              <w:rPr>
                <w:i/>
              </w:rPr>
              <w:t>Courriel</w:t>
            </w:r>
          </w:p>
        </w:tc>
        <w:tc>
          <w:tcPr>
            <w:tcW w:w="4518" w:type="dxa"/>
          </w:tcPr>
          <w:p w14:paraId="452D7161" w14:textId="77777777" w:rsidR="00F7475E" w:rsidRPr="00384774" w:rsidRDefault="00CB508B" w:rsidP="00ED4804">
            <w:pPr>
              <w:keepNext/>
              <w:rPr>
                <w:i/>
                <w:iCs/>
              </w:rPr>
            </w:pPr>
            <w:hyperlink r:id="rId22" w:history="1">
              <w:r w:rsidR="00F7475E">
                <w:rPr>
                  <w:rStyle w:val="Hyperlink"/>
                </w:rPr>
                <w:t>Gerald.Klec@eesc.europa.eu</w:t>
              </w:r>
            </w:hyperlink>
            <w:r w:rsidR="00F7475E">
              <w:t xml:space="preserve"> </w:t>
            </w:r>
          </w:p>
        </w:tc>
      </w:tr>
    </w:tbl>
    <w:p w14:paraId="2F5CB19F" w14:textId="77777777" w:rsidR="00F7475E" w:rsidRPr="005C4D5E" w:rsidRDefault="00F7475E" w:rsidP="00F7475E">
      <w:pPr>
        <w:jc w:val="center"/>
        <w:rPr>
          <w:sz w:val="16"/>
          <w:szCs w:val="14"/>
        </w:rPr>
      </w:pPr>
    </w:p>
    <w:p w14:paraId="6AFE791C" w14:textId="77777777" w:rsidR="00F31327" w:rsidRDefault="00F31327" w:rsidP="00F31327">
      <w:pPr>
        <w:jc w:val="left"/>
      </w:pPr>
      <w:r>
        <w:br w:type="page"/>
      </w:r>
    </w:p>
    <w:p w14:paraId="033A1740" w14:textId="6EAB2ECE" w:rsidR="00C73D71" w:rsidRDefault="00CB508B" w:rsidP="00C73D71">
      <w:pPr>
        <w:widowControl w:val="0"/>
        <w:numPr>
          <w:ilvl w:val="0"/>
          <w:numId w:val="19"/>
        </w:numPr>
        <w:overflowPunct w:val="0"/>
        <w:autoSpaceDE w:val="0"/>
        <w:autoSpaceDN w:val="0"/>
        <w:adjustRightInd w:val="0"/>
        <w:spacing w:after="120"/>
        <w:ind w:left="283"/>
        <w:textAlignment w:val="baseline"/>
        <w:rPr>
          <w:b/>
          <w:i/>
          <w:iCs/>
          <w:sz w:val="28"/>
          <w:szCs w:val="28"/>
        </w:rPr>
      </w:pPr>
      <w:hyperlink r:id="rId23" w:history="1">
        <w:r w:rsidR="00C73D71">
          <w:rPr>
            <w:rStyle w:val="Hyperlink"/>
            <w:b/>
            <w:i/>
            <w:sz w:val="28"/>
          </w:rPr>
          <w:t>Investissements liés à la défense dans le budget de l’UE</w:t>
        </w:r>
      </w:hyperlink>
    </w:p>
    <w:p w14:paraId="669AA20D" w14:textId="77777777" w:rsidR="00C73D71" w:rsidRPr="008151EF" w:rsidRDefault="00C73D71" w:rsidP="00C73D71">
      <w:pPr>
        <w:widowControl w:val="0"/>
        <w:ind w:left="284"/>
        <w:rPr>
          <w:b/>
          <w:i/>
          <w:iCs/>
          <w:sz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C73D71" w:rsidRPr="00A6689B" w14:paraId="63995A08" w14:textId="77777777" w:rsidTr="00C93F66">
        <w:tc>
          <w:tcPr>
            <w:tcW w:w="1701" w:type="dxa"/>
          </w:tcPr>
          <w:p w14:paraId="5547C895" w14:textId="77777777" w:rsidR="00C73D71" w:rsidRDefault="00C73D71" w:rsidP="00C93F66">
            <w:pPr>
              <w:tabs>
                <w:tab w:val="center" w:pos="284"/>
              </w:tabs>
              <w:ind w:left="266" w:hanging="266"/>
              <w:rPr>
                <w:b/>
              </w:rPr>
            </w:pPr>
            <w:r>
              <w:rPr>
                <w:b/>
              </w:rPr>
              <w:t>Rapporteur</w:t>
            </w:r>
          </w:p>
          <w:p w14:paraId="3DE6D046" w14:textId="77777777" w:rsidR="00C73D71" w:rsidRPr="00A6689B" w:rsidRDefault="00C73D71" w:rsidP="00C93F66">
            <w:pPr>
              <w:tabs>
                <w:tab w:val="center" w:pos="284"/>
              </w:tabs>
              <w:ind w:left="266" w:hanging="266"/>
              <w:rPr>
                <w:b/>
              </w:rPr>
            </w:pPr>
            <w:r>
              <w:rPr>
                <w:b/>
              </w:rPr>
              <w:t>Corapporteur</w:t>
            </w:r>
          </w:p>
        </w:tc>
        <w:tc>
          <w:tcPr>
            <w:tcW w:w="7621" w:type="dxa"/>
          </w:tcPr>
          <w:p w14:paraId="5AD0E698" w14:textId="77777777" w:rsidR="00C73D71" w:rsidRDefault="00C73D71" w:rsidP="00C93F66">
            <w:pPr>
              <w:tabs>
                <w:tab w:val="center" w:pos="284"/>
              </w:tabs>
              <w:ind w:left="266" w:hanging="266"/>
              <w:rPr>
                <w:bCs/>
              </w:rPr>
            </w:pPr>
            <w:r>
              <w:t>Jacek KRAWCZYK (groupe des employeurs — PL)</w:t>
            </w:r>
          </w:p>
          <w:p w14:paraId="1B2B34E8" w14:textId="77777777" w:rsidR="00C73D71" w:rsidRPr="00A37E38" w:rsidRDefault="00C73D71" w:rsidP="00C93F66">
            <w:pPr>
              <w:tabs>
                <w:tab w:val="center" w:pos="284"/>
              </w:tabs>
              <w:ind w:left="266" w:hanging="266"/>
              <w:rPr>
                <w:bCs/>
              </w:rPr>
            </w:pPr>
            <w:r>
              <w:t>Florian MARIN (groupe des travailleurs — RO)</w:t>
            </w:r>
          </w:p>
        </w:tc>
      </w:tr>
      <w:tr w:rsidR="00C73D71" w:rsidRPr="00EC0053" w14:paraId="153FEC99" w14:textId="77777777" w:rsidTr="00C93F66">
        <w:tc>
          <w:tcPr>
            <w:tcW w:w="1701" w:type="dxa"/>
          </w:tcPr>
          <w:p w14:paraId="0D1FD620" w14:textId="77777777" w:rsidR="00C73D71" w:rsidRPr="00A6689B" w:rsidRDefault="00C73D71" w:rsidP="00C93F66">
            <w:pPr>
              <w:tabs>
                <w:tab w:val="center" w:pos="284"/>
              </w:tabs>
              <w:ind w:left="266" w:hanging="266"/>
              <w:rPr>
                <w:b/>
              </w:rPr>
            </w:pPr>
            <w:r>
              <w:rPr>
                <w:b/>
              </w:rPr>
              <w:t>Références</w:t>
            </w:r>
          </w:p>
        </w:tc>
        <w:tc>
          <w:tcPr>
            <w:tcW w:w="7621" w:type="dxa"/>
          </w:tcPr>
          <w:p w14:paraId="19664EB6" w14:textId="68A5F5F6" w:rsidR="00C73D71" w:rsidRPr="00861FFD" w:rsidRDefault="00C73D71" w:rsidP="00C93F66">
            <w:pPr>
              <w:tabs>
                <w:tab w:val="center" w:pos="284"/>
              </w:tabs>
              <w:ind w:left="266" w:hanging="266"/>
            </w:pPr>
            <w:proofErr w:type="gramStart"/>
            <w:r>
              <w:t>COM(</w:t>
            </w:r>
            <w:proofErr w:type="gramEnd"/>
            <w:r>
              <w:t>2025) 188</w:t>
            </w:r>
            <w:r w:rsidR="006031D5">
              <w:t> </w:t>
            </w:r>
            <w:r>
              <w:t xml:space="preserve">final </w:t>
            </w:r>
            <w:r w:rsidR="006031D5">
              <w:rPr>
                <w:b/>
                <w:i/>
              </w:rPr>
              <w:t>—</w:t>
            </w:r>
            <w:r>
              <w:rPr>
                <w:b/>
                <w:i/>
              </w:rPr>
              <w:t xml:space="preserve"> </w:t>
            </w:r>
            <w:r>
              <w:t>2025/0103 (COD)</w:t>
            </w:r>
          </w:p>
          <w:p w14:paraId="04E661BB" w14:textId="77777777" w:rsidR="00C73D71" w:rsidRPr="00861FFD" w:rsidRDefault="00C73D71" w:rsidP="00C93F66">
            <w:pPr>
              <w:tabs>
                <w:tab w:val="center" w:pos="284"/>
              </w:tabs>
              <w:ind w:left="266" w:hanging="266"/>
            </w:pPr>
            <w:r>
              <w:t>EESC-2025-01682-00-00-AC-TRA</w:t>
            </w:r>
          </w:p>
        </w:tc>
      </w:tr>
    </w:tbl>
    <w:p w14:paraId="50645CC2" w14:textId="08B4DF33" w:rsidR="00C73D71" w:rsidRDefault="00C73D71" w:rsidP="00C73D71">
      <w:pPr>
        <w:keepNext/>
        <w:keepLines/>
        <w:tabs>
          <w:tab w:val="center" w:pos="284"/>
        </w:tabs>
        <w:spacing w:before="120"/>
        <w:ind w:left="266" w:hanging="266"/>
        <w:rPr>
          <w:b/>
        </w:rPr>
      </w:pPr>
      <w:r>
        <w:rPr>
          <w:b/>
        </w:rPr>
        <w:t>Points clés</w:t>
      </w:r>
    </w:p>
    <w:p w14:paraId="35475AA4" w14:textId="77777777" w:rsidR="00C73D71" w:rsidRDefault="00C73D71" w:rsidP="00C73D71">
      <w:pPr>
        <w:rPr>
          <w:bCs/>
          <w:iCs/>
        </w:rPr>
      </w:pPr>
    </w:p>
    <w:p w14:paraId="0D6D0918" w14:textId="77777777" w:rsidR="00C73D71" w:rsidRDefault="00C73D71" w:rsidP="00C73D71">
      <w:pPr>
        <w:rPr>
          <w:bCs/>
          <w:iCs/>
        </w:rPr>
      </w:pPr>
      <w:r>
        <w:t xml:space="preserve">Le </w:t>
      </w:r>
      <w:proofErr w:type="gramStart"/>
      <w:r>
        <w:t>CESE:</w:t>
      </w:r>
      <w:proofErr w:type="gramEnd"/>
    </w:p>
    <w:p w14:paraId="2B028415" w14:textId="77777777" w:rsidR="00C73D71" w:rsidRDefault="00C73D71" w:rsidP="00C73D71">
      <w:pPr>
        <w:pStyle w:val="Heading2"/>
        <w:numPr>
          <w:ilvl w:val="0"/>
          <w:numId w:val="7"/>
        </w:numPr>
        <w:tabs>
          <w:tab w:val="num" w:pos="720"/>
        </w:tabs>
        <w:ind w:left="567" w:hanging="567"/>
      </w:pPr>
      <w:bookmarkStart w:id="2" w:name="_Toc211269717"/>
      <w:bookmarkStart w:id="3" w:name="_Toc211333641"/>
      <w:proofErr w:type="gramStart"/>
      <w:r>
        <w:t>souligne</w:t>
      </w:r>
      <w:proofErr w:type="gramEnd"/>
      <w:r>
        <w:t xml:space="preserve"> que la paix doit rester une priorité essentielle de l’UE. Il insiste sur l’importance de la diplomatie pour la résolution des conflits et la prévention des crises chaque fois que cela est </w:t>
      </w:r>
      <w:proofErr w:type="gramStart"/>
      <w:r>
        <w:t>possible;</w:t>
      </w:r>
      <w:bookmarkEnd w:id="2"/>
      <w:bookmarkEnd w:id="3"/>
      <w:proofErr w:type="gramEnd"/>
    </w:p>
    <w:p w14:paraId="1A91F378" w14:textId="77777777" w:rsidR="00C73D71" w:rsidRDefault="00C73D71" w:rsidP="00C73D71">
      <w:pPr>
        <w:pStyle w:val="Heading2"/>
        <w:numPr>
          <w:ilvl w:val="0"/>
          <w:numId w:val="7"/>
        </w:numPr>
        <w:tabs>
          <w:tab w:val="num" w:pos="720"/>
        </w:tabs>
        <w:ind w:left="567" w:hanging="567"/>
      </w:pPr>
      <w:bookmarkStart w:id="4" w:name="_Toc211269718"/>
      <w:bookmarkStart w:id="5" w:name="_Toc211333642"/>
      <w:proofErr w:type="gramStart"/>
      <w:r>
        <w:t>est</w:t>
      </w:r>
      <w:proofErr w:type="gramEnd"/>
      <w:r>
        <w:t xml:space="preserve"> favorable à une stratégie européenne de défense globale et inclusive, qui complète la préparation militaire par la préparation civile;</w:t>
      </w:r>
      <w:bookmarkEnd w:id="4"/>
      <w:bookmarkEnd w:id="5"/>
    </w:p>
    <w:p w14:paraId="6C361443" w14:textId="77777777" w:rsidR="00C73D71" w:rsidRDefault="00C73D71" w:rsidP="00C73D71">
      <w:pPr>
        <w:pStyle w:val="Heading2"/>
        <w:numPr>
          <w:ilvl w:val="0"/>
          <w:numId w:val="7"/>
        </w:numPr>
        <w:tabs>
          <w:tab w:val="num" w:pos="720"/>
        </w:tabs>
        <w:ind w:left="567" w:hanging="567"/>
      </w:pPr>
      <w:bookmarkStart w:id="6" w:name="_Toc211269719"/>
      <w:bookmarkStart w:id="7" w:name="_Toc211333643"/>
      <w:proofErr w:type="gramStart"/>
      <w:r>
        <w:t>approuve</w:t>
      </w:r>
      <w:proofErr w:type="gramEnd"/>
      <w:r>
        <w:t xml:space="preserve"> le livre blanc de la Commission européenne «Préparation de la défense européenne à l’horizon 2030» et appelle de ses vœux une approche coordonnée de l’UE qui traite la défense, la paix et la sécurité comme des biens publics partagés, s’appuyant sur des cadres juridiques, institutionnels et financiers solides et soumis à un contrôle démocratique;</w:t>
      </w:r>
      <w:bookmarkEnd w:id="6"/>
      <w:bookmarkEnd w:id="7"/>
    </w:p>
    <w:p w14:paraId="71B44E17" w14:textId="77777777" w:rsidR="00C73D71" w:rsidRPr="00861FFD" w:rsidRDefault="00C73D71" w:rsidP="00C73D71">
      <w:pPr>
        <w:pStyle w:val="Heading2"/>
        <w:numPr>
          <w:ilvl w:val="0"/>
          <w:numId w:val="7"/>
        </w:numPr>
        <w:tabs>
          <w:tab w:val="num" w:pos="720"/>
        </w:tabs>
        <w:ind w:left="567" w:hanging="567"/>
      </w:pPr>
      <w:bookmarkStart w:id="8" w:name="_Toc211269720"/>
      <w:bookmarkStart w:id="9" w:name="_Toc211333644"/>
      <w:proofErr w:type="gramStart"/>
      <w:r>
        <w:t>prend</w:t>
      </w:r>
      <w:proofErr w:type="gramEnd"/>
      <w:r>
        <w:t xml:space="preserve"> acte de la présentation diligente de la proposition relative à l’incitation aux investissements liés à la défense dans le budget de l’UE pour mettre en œuvre le plan «</w:t>
      </w:r>
      <w:proofErr w:type="spellStart"/>
      <w:r>
        <w:t>ReArm</w:t>
      </w:r>
      <w:proofErr w:type="spellEnd"/>
      <w:r>
        <w:t xml:space="preserve"> Europe» (ci-après «la proposition»);</w:t>
      </w:r>
      <w:bookmarkEnd w:id="8"/>
      <w:bookmarkEnd w:id="9"/>
    </w:p>
    <w:p w14:paraId="2D24BD05" w14:textId="77777777" w:rsidR="00C73D71" w:rsidRDefault="00C73D71" w:rsidP="00C73D71">
      <w:pPr>
        <w:pStyle w:val="Heading2"/>
        <w:numPr>
          <w:ilvl w:val="0"/>
          <w:numId w:val="7"/>
        </w:numPr>
        <w:tabs>
          <w:tab w:val="num" w:pos="720"/>
        </w:tabs>
        <w:ind w:left="567" w:hanging="567"/>
      </w:pPr>
      <w:bookmarkStart w:id="10" w:name="_Toc211269721"/>
      <w:bookmarkStart w:id="11" w:name="_Toc211333645"/>
      <w:proofErr w:type="gramStart"/>
      <w:r>
        <w:t>souscrit</w:t>
      </w:r>
      <w:proofErr w:type="gramEnd"/>
      <w:r>
        <w:t xml:space="preserve"> au principal objectif de la proposition consistant à continuer de promouvoir et de faciliter les investissements dans le domaine de la défense en permettant des investissements plus flexibles et coordonnés en faveur de la base industrielle et technologique de défense européenne (BITDE) en vue de concrétiser la préparation de la défense dans un délai de cinq ans;</w:t>
      </w:r>
      <w:bookmarkEnd w:id="10"/>
      <w:bookmarkEnd w:id="11"/>
    </w:p>
    <w:p w14:paraId="75743B9C" w14:textId="77777777" w:rsidR="00C73D71" w:rsidRDefault="00C73D71" w:rsidP="00C73D71">
      <w:pPr>
        <w:pStyle w:val="Heading2"/>
        <w:numPr>
          <w:ilvl w:val="0"/>
          <w:numId w:val="7"/>
        </w:numPr>
        <w:tabs>
          <w:tab w:val="num" w:pos="720"/>
        </w:tabs>
        <w:ind w:left="567" w:hanging="567"/>
      </w:pPr>
      <w:bookmarkStart w:id="12" w:name="_Toc211269722"/>
      <w:bookmarkStart w:id="13" w:name="_Toc211333646"/>
      <w:proofErr w:type="gramStart"/>
      <w:r>
        <w:t>recommande</w:t>
      </w:r>
      <w:proofErr w:type="gramEnd"/>
      <w:r>
        <w:t xml:space="preserve"> et propose d’apporter des modifications à la proposition législative dans les domaines suivants:</w:t>
      </w:r>
      <w:bookmarkEnd w:id="12"/>
      <w:bookmarkEnd w:id="13"/>
      <w:r>
        <w:t xml:space="preserve"> </w:t>
      </w:r>
    </w:p>
    <w:p w14:paraId="071FC4DD" w14:textId="77777777" w:rsidR="00C73D71" w:rsidRDefault="00C73D71" w:rsidP="00C73D71">
      <w:pPr>
        <w:pStyle w:val="Heading2"/>
        <w:numPr>
          <w:ilvl w:val="0"/>
          <w:numId w:val="8"/>
        </w:numPr>
        <w:ind w:left="851" w:hanging="284"/>
      </w:pPr>
      <w:bookmarkStart w:id="14" w:name="_Toc211269723"/>
      <w:bookmarkStart w:id="15" w:name="_Toc211333647"/>
      <w:proofErr w:type="gramStart"/>
      <w:r>
        <w:t>le</w:t>
      </w:r>
      <w:proofErr w:type="gramEnd"/>
      <w:r>
        <w:t xml:space="preserve"> renseignement et la communication par satellite;</w:t>
      </w:r>
      <w:bookmarkEnd w:id="14"/>
      <w:bookmarkEnd w:id="15"/>
    </w:p>
    <w:p w14:paraId="68D0090E" w14:textId="77777777" w:rsidR="00C73D71" w:rsidRDefault="00C73D71" w:rsidP="00C73D71">
      <w:pPr>
        <w:pStyle w:val="Heading2"/>
        <w:numPr>
          <w:ilvl w:val="0"/>
          <w:numId w:val="8"/>
        </w:numPr>
        <w:ind w:left="851" w:hanging="284"/>
      </w:pPr>
      <w:bookmarkStart w:id="16" w:name="_Toc211269724"/>
      <w:bookmarkStart w:id="17" w:name="_Toc211333648"/>
      <w:proofErr w:type="gramStart"/>
      <w:r>
        <w:t>l’interopérabilité;</w:t>
      </w:r>
      <w:bookmarkEnd w:id="16"/>
      <w:bookmarkEnd w:id="17"/>
      <w:proofErr w:type="gramEnd"/>
    </w:p>
    <w:p w14:paraId="0FF855D3" w14:textId="77777777" w:rsidR="00C73D71" w:rsidRDefault="00C73D71" w:rsidP="00C73D71">
      <w:pPr>
        <w:pStyle w:val="Heading2"/>
        <w:numPr>
          <w:ilvl w:val="0"/>
          <w:numId w:val="8"/>
        </w:numPr>
        <w:ind w:left="851" w:hanging="284"/>
      </w:pPr>
      <w:bookmarkStart w:id="18" w:name="_Toc211269725"/>
      <w:bookmarkStart w:id="19" w:name="_Toc211333649"/>
      <w:proofErr w:type="gramStart"/>
      <w:r>
        <w:t>le</w:t>
      </w:r>
      <w:proofErr w:type="gramEnd"/>
      <w:r>
        <w:t xml:space="preserve"> transfert des fonds et le plafonnement du pourcentage de fonds transférés;</w:t>
      </w:r>
      <w:bookmarkEnd w:id="18"/>
      <w:bookmarkEnd w:id="19"/>
    </w:p>
    <w:p w14:paraId="45013D2B" w14:textId="77777777" w:rsidR="00C73D71" w:rsidRDefault="00C73D71" w:rsidP="00C73D71">
      <w:pPr>
        <w:pStyle w:val="Heading2"/>
        <w:numPr>
          <w:ilvl w:val="0"/>
          <w:numId w:val="8"/>
        </w:numPr>
        <w:ind w:left="851" w:hanging="284"/>
      </w:pPr>
      <w:bookmarkStart w:id="20" w:name="_Toc211269726"/>
      <w:bookmarkStart w:id="21" w:name="_Toc211333650"/>
      <w:proofErr w:type="gramStart"/>
      <w:r>
        <w:t>la</w:t>
      </w:r>
      <w:proofErr w:type="gramEnd"/>
      <w:r>
        <w:t xml:space="preserve"> mention spécifique des applications à double usage;</w:t>
      </w:r>
      <w:bookmarkEnd w:id="20"/>
      <w:bookmarkEnd w:id="21"/>
    </w:p>
    <w:p w14:paraId="5B947954" w14:textId="77777777" w:rsidR="00C73D71" w:rsidRDefault="00C73D71" w:rsidP="00C73D71">
      <w:pPr>
        <w:pStyle w:val="Heading2"/>
        <w:numPr>
          <w:ilvl w:val="0"/>
          <w:numId w:val="8"/>
        </w:numPr>
        <w:ind w:left="851" w:hanging="284"/>
      </w:pPr>
      <w:bookmarkStart w:id="22" w:name="_Toc211269727"/>
      <w:bookmarkStart w:id="23" w:name="_Toc211333651"/>
      <w:proofErr w:type="gramStart"/>
      <w:r>
        <w:t>une</w:t>
      </w:r>
      <w:proofErr w:type="gramEnd"/>
      <w:r>
        <w:t xml:space="preserve"> flexibilité suffisante pour les contrats existants;</w:t>
      </w:r>
      <w:bookmarkEnd w:id="22"/>
      <w:bookmarkEnd w:id="23"/>
    </w:p>
    <w:p w14:paraId="69FF7C21" w14:textId="77777777" w:rsidR="00C73D71" w:rsidRDefault="00C73D71" w:rsidP="00C73D71">
      <w:pPr>
        <w:pStyle w:val="Heading2"/>
        <w:numPr>
          <w:ilvl w:val="0"/>
          <w:numId w:val="8"/>
        </w:numPr>
        <w:ind w:left="851" w:hanging="284"/>
      </w:pPr>
      <w:bookmarkStart w:id="24" w:name="_Toc211269728"/>
      <w:bookmarkStart w:id="25" w:name="_Toc211333652"/>
      <w:proofErr w:type="gramStart"/>
      <w:r>
        <w:t>la</w:t>
      </w:r>
      <w:proofErr w:type="gramEnd"/>
      <w:r>
        <w:t xml:space="preserve"> mise en place d’une stratégie européenne commune concernant les mécanismes de compensation («offset»);</w:t>
      </w:r>
      <w:bookmarkEnd w:id="24"/>
      <w:bookmarkEnd w:id="25"/>
    </w:p>
    <w:p w14:paraId="0949FE6B" w14:textId="77777777" w:rsidR="00C73D71" w:rsidRDefault="00C73D71" w:rsidP="00C73D71">
      <w:pPr>
        <w:pStyle w:val="Heading2"/>
        <w:numPr>
          <w:ilvl w:val="0"/>
          <w:numId w:val="8"/>
        </w:numPr>
        <w:ind w:left="851" w:hanging="284"/>
      </w:pPr>
      <w:bookmarkStart w:id="26" w:name="_Toc211269729"/>
      <w:bookmarkStart w:id="27" w:name="_Toc211333653"/>
      <w:proofErr w:type="gramStart"/>
      <w:r>
        <w:t>une</w:t>
      </w:r>
      <w:proofErr w:type="gramEnd"/>
      <w:r>
        <w:t xml:space="preserve"> plus grande transparence quant aux montants versés aux entreprises extra-européennes;</w:t>
      </w:r>
      <w:bookmarkEnd w:id="26"/>
      <w:bookmarkEnd w:id="27"/>
    </w:p>
    <w:p w14:paraId="76B20F15" w14:textId="77777777" w:rsidR="00C73D71" w:rsidRPr="0040783C" w:rsidRDefault="00C73D71" w:rsidP="00C73D71">
      <w:pPr>
        <w:pStyle w:val="Heading2"/>
        <w:numPr>
          <w:ilvl w:val="0"/>
          <w:numId w:val="8"/>
        </w:numPr>
        <w:ind w:left="851" w:hanging="284"/>
      </w:pPr>
      <w:bookmarkStart w:id="28" w:name="_Toc211269730"/>
      <w:bookmarkStart w:id="29" w:name="_Toc211333654"/>
      <w:proofErr w:type="gramStart"/>
      <w:r>
        <w:t>un</w:t>
      </w:r>
      <w:proofErr w:type="gramEnd"/>
      <w:r>
        <w:t xml:space="preserve"> registre commun de l’UE pour les investissements dans le domaine de la défense et dans des projets à double usage;</w:t>
      </w:r>
      <w:bookmarkEnd w:id="28"/>
      <w:bookmarkEnd w:id="29"/>
    </w:p>
    <w:p w14:paraId="27F98C05" w14:textId="77777777" w:rsidR="00C73D71" w:rsidRDefault="00C73D71" w:rsidP="00C73D71">
      <w:pPr>
        <w:pStyle w:val="Heading2"/>
        <w:numPr>
          <w:ilvl w:val="0"/>
          <w:numId w:val="8"/>
        </w:numPr>
        <w:ind w:left="851" w:hanging="284"/>
      </w:pPr>
      <w:bookmarkStart w:id="30" w:name="_Toc211269731"/>
      <w:bookmarkStart w:id="31" w:name="_Toc211333655"/>
      <w:proofErr w:type="gramStart"/>
      <w:r>
        <w:t>une</w:t>
      </w:r>
      <w:proofErr w:type="gramEnd"/>
      <w:r>
        <w:t xml:space="preserve"> meilleure complémentarité avec le Fonds social européen; et</w:t>
      </w:r>
      <w:bookmarkEnd w:id="30"/>
      <w:bookmarkEnd w:id="31"/>
    </w:p>
    <w:p w14:paraId="2B7D6B2B" w14:textId="77777777" w:rsidR="00C73D71" w:rsidRDefault="00C73D71" w:rsidP="00C73D71">
      <w:pPr>
        <w:pStyle w:val="Heading2"/>
        <w:numPr>
          <w:ilvl w:val="0"/>
          <w:numId w:val="8"/>
        </w:numPr>
        <w:ind w:left="851" w:hanging="284"/>
      </w:pPr>
      <w:bookmarkStart w:id="32" w:name="_Toc211269732"/>
      <w:bookmarkStart w:id="33" w:name="_Toc211333656"/>
      <w:proofErr w:type="gramStart"/>
      <w:r>
        <w:t>la</w:t>
      </w:r>
      <w:proofErr w:type="gramEnd"/>
      <w:r>
        <w:t xml:space="preserve"> complémentarité avec l’instrument «Agir pour la sécurité de l’Europe» (SAFE).</w:t>
      </w:r>
      <w:bookmarkEnd w:id="32"/>
      <w:bookmarkEnd w:id="33"/>
    </w:p>
    <w:p w14:paraId="058511D0" w14:textId="77777777" w:rsidR="00C73D71" w:rsidRDefault="00C73D71" w:rsidP="00C73D71">
      <w:pPr>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C73D71" w:rsidRPr="00A6689B" w14:paraId="45222D32" w14:textId="77777777" w:rsidTr="00C93F66">
        <w:tc>
          <w:tcPr>
            <w:tcW w:w="1418" w:type="dxa"/>
          </w:tcPr>
          <w:p w14:paraId="5D090D16" w14:textId="77777777" w:rsidR="00C73D71" w:rsidRPr="00A6689B" w:rsidRDefault="00C73D71" w:rsidP="00C93F66">
            <w:pPr>
              <w:rPr>
                <w:i/>
              </w:rPr>
            </w:pPr>
            <w:r>
              <w:rPr>
                <w:b/>
                <w:i/>
              </w:rPr>
              <w:t>Contact</w:t>
            </w:r>
          </w:p>
        </w:tc>
        <w:tc>
          <w:tcPr>
            <w:tcW w:w="7904" w:type="dxa"/>
          </w:tcPr>
          <w:p w14:paraId="3F47EB7F" w14:textId="522F6AFC" w:rsidR="00C73D71" w:rsidRPr="00165B52" w:rsidRDefault="00C73D71" w:rsidP="00C93F66">
            <w:pPr>
              <w:rPr>
                <w:i/>
              </w:rPr>
            </w:pPr>
            <w:r>
              <w:rPr>
                <w:i/>
              </w:rPr>
              <w:t>Gerald</w:t>
            </w:r>
            <w:r w:rsidR="006031D5">
              <w:rPr>
                <w:i/>
              </w:rPr>
              <w:t> </w:t>
            </w:r>
            <w:r>
              <w:rPr>
                <w:i/>
              </w:rPr>
              <w:t>KLEC</w:t>
            </w:r>
          </w:p>
        </w:tc>
      </w:tr>
      <w:tr w:rsidR="00C73D71" w:rsidRPr="00A6689B" w14:paraId="51F71AF4" w14:textId="77777777" w:rsidTr="00C93F66">
        <w:tc>
          <w:tcPr>
            <w:tcW w:w="1418" w:type="dxa"/>
          </w:tcPr>
          <w:p w14:paraId="4B2CAAA2" w14:textId="77777777" w:rsidR="00C73D71" w:rsidRPr="00A6689B" w:rsidRDefault="00C73D71" w:rsidP="00C93F66">
            <w:pPr>
              <w:rPr>
                <w:i/>
              </w:rPr>
            </w:pPr>
            <w:r>
              <w:rPr>
                <w:i/>
              </w:rPr>
              <w:t>Tél.</w:t>
            </w:r>
          </w:p>
        </w:tc>
        <w:tc>
          <w:tcPr>
            <w:tcW w:w="7904" w:type="dxa"/>
          </w:tcPr>
          <w:p w14:paraId="0B9AF008" w14:textId="77777777" w:rsidR="00C73D71" w:rsidRPr="00A6689B" w:rsidRDefault="00C73D71" w:rsidP="00C93F66">
            <w:pPr>
              <w:rPr>
                <w:i/>
              </w:rPr>
            </w:pPr>
            <w:r>
              <w:rPr>
                <w:i/>
              </w:rPr>
              <w:t>+32 2</w:t>
            </w:r>
            <w:r>
              <w:t xml:space="preserve"> </w:t>
            </w:r>
            <w:r>
              <w:rPr>
                <w:i/>
              </w:rPr>
              <w:t>5469909</w:t>
            </w:r>
          </w:p>
        </w:tc>
      </w:tr>
      <w:tr w:rsidR="00C73D71" w:rsidRPr="00A6689B" w14:paraId="4D7257E2" w14:textId="77777777" w:rsidTr="00C93F66">
        <w:tc>
          <w:tcPr>
            <w:tcW w:w="1418" w:type="dxa"/>
          </w:tcPr>
          <w:p w14:paraId="0FD1D763" w14:textId="77777777" w:rsidR="00C73D71" w:rsidRPr="00A6689B" w:rsidRDefault="00C73D71" w:rsidP="00C93F66">
            <w:pPr>
              <w:rPr>
                <w:i/>
              </w:rPr>
            </w:pPr>
            <w:r>
              <w:rPr>
                <w:i/>
              </w:rPr>
              <w:t>Courriel</w:t>
            </w:r>
          </w:p>
        </w:tc>
        <w:tc>
          <w:tcPr>
            <w:tcW w:w="7904" w:type="dxa"/>
          </w:tcPr>
          <w:p w14:paraId="0040B527" w14:textId="77777777" w:rsidR="00C73D71" w:rsidRPr="002A2D29" w:rsidRDefault="00CB508B" w:rsidP="00C93F66">
            <w:pPr>
              <w:rPr>
                <w:i/>
                <w:iCs/>
              </w:rPr>
            </w:pPr>
            <w:hyperlink r:id="rId24" w:history="1">
              <w:r w:rsidR="00C73D71">
                <w:rPr>
                  <w:rStyle w:val="Hyperlink"/>
                  <w:i/>
                </w:rPr>
                <w:t>Gerald.Klec@eesc.europa.eu</w:t>
              </w:r>
            </w:hyperlink>
          </w:p>
        </w:tc>
      </w:tr>
    </w:tbl>
    <w:p w14:paraId="578BB245" w14:textId="77777777" w:rsidR="00F31327" w:rsidRDefault="00F31327" w:rsidP="00F31327">
      <w:pPr>
        <w:jc w:val="left"/>
      </w:pPr>
      <w:r>
        <w:br w:type="page"/>
      </w:r>
    </w:p>
    <w:p w14:paraId="62CDE463" w14:textId="5A0B9661" w:rsidR="005C3428" w:rsidRDefault="005C3428" w:rsidP="005C3428">
      <w:pPr>
        <w:widowControl w:val="0"/>
        <w:jc w:val="center"/>
        <w:rPr>
          <w:bCs/>
          <w:iCs/>
        </w:rPr>
      </w:pPr>
    </w:p>
    <w:p w14:paraId="0FBFA872" w14:textId="11796357" w:rsidR="005C3428" w:rsidRPr="0003586F" w:rsidRDefault="00CB508B" w:rsidP="005C3428">
      <w:pPr>
        <w:widowControl w:val="0"/>
        <w:numPr>
          <w:ilvl w:val="0"/>
          <w:numId w:val="19"/>
        </w:numPr>
        <w:overflowPunct w:val="0"/>
        <w:autoSpaceDE w:val="0"/>
        <w:autoSpaceDN w:val="0"/>
        <w:adjustRightInd w:val="0"/>
        <w:ind w:hanging="567"/>
        <w:textAlignment w:val="baseline"/>
        <w:rPr>
          <w:sz w:val="20"/>
        </w:rPr>
      </w:pPr>
      <w:hyperlink r:id="rId25" w:history="1">
        <w:r w:rsidR="005C3428">
          <w:rPr>
            <w:rStyle w:val="Hyperlink"/>
            <w:b/>
            <w:i/>
            <w:sz w:val="28"/>
          </w:rPr>
          <w:t>Révision du règlement sur la titrisation</w:t>
        </w:r>
      </w:hyperlink>
    </w:p>
    <w:p w14:paraId="46ADE844" w14:textId="77777777" w:rsidR="005C3428" w:rsidRPr="00A6689B" w:rsidRDefault="005C3428" w:rsidP="005C3428">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5C3428" w:rsidRPr="00A6689B" w14:paraId="63B22F51" w14:textId="77777777" w:rsidTr="00C93F66">
        <w:tc>
          <w:tcPr>
            <w:tcW w:w="1077" w:type="pct"/>
          </w:tcPr>
          <w:p w14:paraId="18B46427" w14:textId="77777777" w:rsidR="005C3428" w:rsidRPr="00A6689B" w:rsidRDefault="005C3428" w:rsidP="00C93F66">
            <w:pPr>
              <w:tabs>
                <w:tab w:val="center" w:pos="284"/>
              </w:tabs>
              <w:ind w:left="266" w:hanging="266"/>
              <w:rPr>
                <w:b/>
              </w:rPr>
            </w:pPr>
            <w:r>
              <w:rPr>
                <w:b/>
              </w:rPr>
              <w:t>Rapporteur</w:t>
            </w:r>
          </w:p>
        </w:tc>
        <w:tc>
          <w:tcPr>
            <w:tcW w:w="3923" w:type="pct"/>
          </w:tcPr>
          <w:p w14:paraId="5B72F1C6" w14:textId="77777777" w:rsidR="005C3428" w:rsidRPr="00A6689B" w:rsidRDefault="005C3428" w:rsidP="00C93F66">
            <w:pPr>
              <w:tabs>
                <w:tab w:val="center" w:pos="284"/>
              </w:tabs>
              <w:ind w:left="266" w:right="-3091" w:hanging="266"/>
            </w:pPr>
            <w:r>
              <w:t>Petru Sorin DANDEA (groupe des travailleurs — RO)</w:t>
            </w:r>
          </w:p>
        </w:tc>
      </w:tr>
      <w:tr w:rsidR="005C3428" w:rsidRPr="00A6689B" w14:paraId="0443DEB5" w14:textId="77777777" w:rsidTr="00C93F66">
        <w:tc>
          <w:tcPr>
            <w:tcW w:w="1077" w:type="pct"/>
          </w:tcPr>
          <w:p w14:paraId="45CE0FF7" w14:textId="77777777" w:rsidR="005C3428" w:rsidRPr="00A6689B" w:rsidRDefault="005C3428" w:rsidP="00C93F66">
            <w:pPr>
              <w:tabs>
                <w:tab w:val="center" w:pos="284"/>
              </w:tabs>
              <w:ind w:left="266" w:hanging="266"/>
              <w:rPr>
                <w:b/>
              </w:rPr>
            </w:pPr>
            <w:r>
              <w:rPr>
                <w:b/>
              </w:rPr>
              <w:t>Corapporteur</w:t>
            </w:r>
          </w:p>
        </w:tc>
        <w:tc>
          <w:tcPr>
            <w:tcW w:w="3923" w:type="pct"/>
          </w:tcPr>
          <w:p w14:paraId="0D4752E5" w14:textId="77777777" w:rsidR="005C3428" w:rsidRPr="005C46C2" w:rsidRDefault="005C3428" w:rsidP="00C93F66">
            <w:pPr>
              <w:tabs>
                <w:tab w:val="center" w:pos="284"/>
              </w:tabs>
              <w:ind w:left="266" w:right="-3091" w:hanging="266"/>
              <w:rPr>
                <w:bCs/>
              </w:rPr>
            </w:pPr>
            <w:proofErr w:type="spellStart"/>
            <w:r>
              <w:t>Kęstutis</w:t>
            </w:r>
            <w:proofErr w:type="spellEnd"/>
            <w:r>
              <w:t> KUPŠYS (groupe des organisations de la société civile — LT)</w:t>
            </w:r>
          </w:p>
        </w:tc>
      </w:tr>
      <w:tr w:rsidR="005C3428" w:rsidRPr="00A6689B" w14:paraId="01B1E856" w14:textId="77777777" w:rsidTr="00C93F66">
        <w:tc>
          <w:tcPr>
            <w:tcW w:w="1077" w:type="pct"/>
          </w:tcPr>
          <w:p w14:paraId="3AC36C1E" w14:textId="77777777" w:rsidR="005C3428" w:rsidRPr="00D227EE" w:rsidRDefault="005C3428" w:rsidP="00C93F66">
            <w:pPr>
              <w:tabs>
                <w:tab w:val="center" w:pos="284"/>
              </w:tabs>
              <w:ind w:left="266" w:hanging="266"/>
              <w:rPr>
                <w:b/>
              </w:rPr>
            </w:pPr>
          </w:p>
        </w:tc>
        <w:tc>
          <w:tcPr>
            <w:tcW w:w="3923" w:type="pct"/>
          </w:tcPr>
          <w:p w14:paraId="761794BC" w14:textId="77777777" w:rsidR="005C3428" w:rsidRPr="006B339F" w:rsidRDefault="005C3428" w:rsidP="00C93F66">
            <w:pPr>
              <w:tabs>
                <w:tab w:val="center" w:pos="284"/>
              </w:tabs>
              <w:ind w:left="266" w:right="-3091" w:hanging="266"/>
              <w:rPr>
                <w:lang w:val="en-US"/>
              </w:rPr>
            </w:pPr>
          </w:p>
        </w:tc>
      </w:tr>
      <w:tr w:rsidR="005C3428" w:rsidRPr="005C46C2" w14:paraId="0ADDC9E1" w14:textId="77777777" w:rsidTr="00C93F66">
        <w:tc>
          <w:tcPr>
            <w:tcW w:w="1077" w:type="pct"/>
          </w:tcPr>
          <w:p w14:paraId="212ADE6C" w14:textId="77777777" w:rsidR="005C3428" w:rsidRPr="00A6689B" w:rsidRDefault="005C3428" w:rsidP="00C93F66">
            <w:pPr>
              <w:tabs>
                <w:tab w:val="center" w:pos="284"/>
              </w:tabs>
              <w:ind w:left="266" w:hanging="266"/>
              <w:rPr>
                <w:b/>
              </w:rPr>
            </w:pPr>
            <w:r>
              <w:rPr>
                <w:b/>
              </w:rPr>
              <w:t>Références</w:t>
            </w:r>
          </w:p>
        </w:tc>
        <w:tc>
          <w:tcPr>
            <w:tcW w:w="3923" w:type="pct"/>
          </w:tcPr>
          <w:p w14:paraId="04A38B0A" w14:textId="5A5125D8" w:rsidR="005C3428" w:rsidRPr="00C635DD" w:rsidRDefault="005C3428" w:rsidP="00C93F66">
            <w:pPr>
              <w:tabs>
                <w:tab w:val="center" w:pos="284"/>
              </w:tabs>
              <w:ind w:left="266" w:right="-3091" w:hanging="266"/>
            </w:pPr>
            <w:proofErr w:type="gramStart"/>
            <w:r>
              <w:t>COM(</w:t>
            </w:r>
            <w:proofErr w:type="gramEnd"/>
            <w:r>
              <w:t>2025) 825</w:t>
            </w:r>
            <w:r w:rsidR="006031D5">
              <w:t> </w:t>
            </w:r>
            <w:r>
              <w:t>final — 2025/0825 (COD)</w:t>
            </w:r>
          </w:p>
          <w:p w14:paraId="1119B2C9" w14:textId="209D4DB0" w:rsidR="005C3428" w:rsidRPr="003C6BD4" w:rsidRDefault="005C3428" w:rsidP="00C93F66">
            <w:pPr>
              <w:tabs>
                <w:tab w:val="center" w:pos="284"/>
              </w:tabs>
              <w:ind w:left="266" w:right="-3091" w:hanging="266"/>
            </w:pPr>
            <w:proofErr w:type="gramStart"/>
            <w:r>
              <w:t>COM(</w:t>
            </w:r>
            <w:proofErr w:type="gramEnd"/>
            <w:r>
              <w:t>2025) 826</w:t>
            </w:r>
            <w:r w:rsidR="006031D5">
              <w:t> </w:t>
            </w:r>
            <w:r>
              <w:t>final — 2025/0826 (COD)</w:t>
            </w:r>
          </w:p>
          <w:p w14:paraId="21EC8CAF" w14:textId="77777777" w:rsidR="005C3428" w:rsidRPr="005C46C2" w:rsidRDefault="005C3428" w:rsidP="00C93F66">
            <w:pPr>
              <w:tabs>
                <w:tab w:val="center" w:pos="284"/>
              </w:tabs>
              <w:ind w:left="266" w:right="-3091" w:hanging="266"/>
            </w:pPr>
            <w:r>
              <w:t>EESC-2025-02283-00-00-AC-TRA</w:t>
            </w:r>
          </w:p>
        </w:tc>
      </w:tr>
    </w:tbl>
    <w:p w14:paraId="799667F8" w14:textId="77777777" w:rsidR="005C3428" w:rsidRPr="003C6BD4" w:rsidRDefault="005C3428" w:rsidP="005C3428">
      <w:pPr>
        <w:tabs>
          <w:tab w:val="center" w:pos="284"/>
        </w:tabs>
        <w:ind w:left="266" w:hanging="266"/>
        <w:rPr>
          <w:b/>
          <w:lang w:val="pt-PT"/>
        </w:rPr>
      </w:pPr>
    </w:p>
    <w:p w14:paraId="1A1F8DE1" w14:textId="77777777" w:rsidR="005C3428" w:rsidRPr="00A6689B" w:rsidRDefault="005C3428" w:rsidP="005C3428">
      <w:pPr>
        <w:keepNext/>
        <w:keepLines/>
        <w:tabs>
          <w:tab w:val="center" w:pos="284"/>
        </w:tabs>
        <w:ind w:left="266" w:hanging="266"/>
        <w:rPr>
          <w:b/>
        </w:rPr>
      </w:pPr>
      <w:r>
        <w:rPr>
          <w:b/>
        </w:rPr>
        <w:t>Points clés</w:t>
      </w:r>
    </w:p>
    <w:p w14:paraId="4792C316" w14:textId="77777777" w:rsidR="005C3428" w:rsidRPr="00A6689B" w:rsidRDefault="005C3428" w:rsidP="005C3428">
      <w:pPr>
        <w:keepNext/>
        <w:keepLines/>
        <w:tabs>
          <w:tab w:val="center" w:pos="284"/>
        </w:tabs>
        <w:ind w:left="266" w:hanging="266"/>
        <w:rPr>
          <w:b/>
        </w:rPr>
      </w:pPr>
    </w:p>
    <w:p w14:paraId="6452EE5E" w14:textId="77777777" w:rsidR="005C3428" w:rsidRDefault="005C3428" w:rsidP="005C3428">
      <w:pPr>
        <w:rPr>
          <w:bCs/>
          <w:iCs/>
        </w:rPr>
      </w:pPr>
      <w:r>
        <w:t xml:space="preserve">Le </w:t>
      </w:r>
      <w:proofErr w:type="gramStart"/>
      <w:r>
        <w:t>CESE:</w:t>
      </w:r>
      <w:proofErr w:type="gramEnd"/>
    </w:p>
    <w:p w14:paraId="087B7C38" w14:textId="77777777" w:rsidR="005C3428" w:rsidRDefault="005C3428" w:rsidP="005C3428">
      <w:pPr>
        <w:pStyle w:val="Heading2"/>
        <w:numPr>
          <w:ilvl w:val="0"/>
          <w:numId w:val="9"/>
        </w:numPr>
        <w:ind w:left="567" w:hanging="567"/>
      </w:pPr>
      <w:bookmarkStart w:id="34" w:name="_Toc211269733"/>
      <w:bookmarkStart w:id="35" w:name="_Toc211333657"/>
      <w:proofErr w:type="gramStart"/>
      <w:r>
        <w:rPr>
          <w:b/>
        </w:rPr>
        <w:t>demande</w:t>
      </w:r>
      <w:proofErr w:type="gramEnd"/>
      <w:r>
        <w:t xml:space="preserve"> qu’un soutien soit apporté aux objectifs fixés dans la proposition de la Commission européenne;</w:t>
      </w:r>
      <w:bookmarkEnd w:id="34"/>
      <w:bookmarkEnd w:id="35"/>
    </w:p>
    <w:p w14:paraId="04591CA1" w14:textId="77777777" w:rsidR="005C3428" w:rsidRPr="00900F9B" w:rsidRDefault="005C3428" w:rsidP="005C3428">
      <w:pPr>
        <w:pStyle w:val="Heading2"/>
        <w:numPr>
          <w:ilvl w:val="0"/>
          <w:numId w:val="9"/>
        </w:numPr>
        <w:ind w:left="567" w:hanging="567"/>
      </w:pPr>
      <w:bookmarkStart w:id="36" w:name="_Toc211269734"/>
      <w:bookmarkStart w:id="37" w:name="_Toc211333658"/>
      <w:proofErr w:type="gramStart"/>
      <w:r>
        <w:rPr>
          <w:b/>
        </w:rPr>
        <w:t>recommande</w:t>
      </w:r>
      <w:proofErr w:type="gramEnd"/>
      <w:r>
        <w:t xml:space="preserve"> que la révision des modèles de déclaration prévoie d’y inclure des informations standardisées en matière environnementale, sociale et de gouvernance (ESG);</w:t>
      </w:r>
      <w:bookmarkEnd w:id="36"/>
      <w:bookmarkEnd w:id="37"/>
    </w:p>
    <w:p w14:paraId="69AC0D60" w14:textId="77777777" w:rsidR="005C3428" w:rsidRDefault="005C3428" w:rsidP="005C3428">
      <w:pPr>
        <w:pStyle w:val="Heading2"/>
        <w:numPr>
          <w:ilvl w:val="0"/>
          <w:numId w:val="9"/>
        </w:numPr>
        <w:ind w:left="567" w:hanging="567"/>
      </w:pPr>
      <w:bookmarkStart w:id="38" w:name="_Toc211269735"/>
      <w:bookmarkStart w:id="39" w:name="_Toc211333659"/>
      <w:proofErr w:type="gramStart"/>
      <w:r>
        <w:rPr>
          <w:b/>
        </w:rPr>
        <w:t>recommande</w:t>
      </w:r>
      <w:proofErr w:type="gramEnd"/>
      <w:r>
        <w:t xml:space="preserve"> que des mesures supplémentaires soient prises pour remédier aux faiblesses fondamentales qui grèvent actuellement le financement de l’économie réelle et pour développer le marché des actions de l’Union;</w:t>
      </w:r>
      <w:bookmarkEnd w:id="38"/>
      <w:bookmarkEnd w:id="39"/>
    </w:p>
    <w:p w14:paraId="088A0142" w14:textId="77777777" w:rsidR="005C3428" w:rsidRDefault="005C3428" w:rsidP="005C3428">
      <w:pPr>
        <w:pStyle w:val="Heading2"/>
        <w:numPr>
          <w:ilvl w:val="0"/>
          <w:numId w:val="9"/>
        </w:numPr>
        <w:ind w:left="567" w:hanging="567"/>
      </w:pPr>
      <w:bookmarkStart w:id="40" w:name="_Toc211269736"/>
      <w:bookmarkStart w:id="41" w:name="_Toc211333660"/>
      <w:proofErr w:type="gramStart"/>
      <w:r>
        <w:rPr>
          <w:b/>
        </w:rPr>
        <w:t>souligne</w:t>
      </w:r>
      <w:proofErr w:type="gramEnd"/>
      <w:r>
        <w:t xml:space="preserve"> qu’il y a lieu de trouver le bon équilibre entre, d’une part, la réduction des obstacles qui entravent l’offre et la demande, et d’autre part, la stabilité financière, l’intégrité du marché et la protection des investisseurs; insiste pour que l’on </w:t>
      </w:r>
      <w:r>
        <w:rPr>
          <w:b/>
        </w:rPr>
        <w:t>évite</w:t>
      </w:r>
      <w:r>
        <w:t xml:space="preserve">, dans la mesure du possible, </w:t>
      </w:r>
      <w:r>
        <w:rPr>
          <w:b/>
        </w:rPr>
        <w:t>d’affaiblir les normes internationales</w:t>
      </w:r>
      <w:r>
        <w:t>;</w:t>
      </w:r>
      <w:bookmarkEnd w:id="40"/>
      <w:bookmarkEnd w:id="41"/>
    </w:p>
    <w:p w14:paraId="315EEB3D" w14:textId="77777777" w:rsidR="005C3428" w:rsidRDefault="005C3428" w:rsidP="005C3428">
      <w:pPr>
        <w:pStyle w:val="Heading2"/>
        <w:numPr>
          <w:ilvl w:val="0"/>
          <w:numId w:val="9"/>
        </w:numPr>
        <w:ind w:left="567" w:hanging="567"/>
      </w:pPr>
      <w:bookmarkStart w:id="42" w:name="_Toc211269737"/>
      <w:bookmarkStart w:id="43" w:name="_Toc211333661"/>
      <w:r>
        <w:rPr>
          <w:b/>
        </w:rPr>
        <w:t>propose une harmonisation</w:t>
      </w:r>
      <w:r>
        <w:t xml:space="preserve"> des différentes clauses de suivi, d’établissement de rapports et de révision que compte la proposition afin de disposer d’une meilleure analyse de l’impact des modifications sur la propension des établissements de crédit à octroyer des prêts; suggère la mise en place d’un mécanisme de suivi accéléré par lequel les organismes de contrôle bancaire peuvent </w:t>
      </w:r>
      <w:r>
        <w:rPr>
          <w:b/>
        </w:rPr>
        <w:t>examiner chaque année</w:t>
      </w:r>
      <w:r>
        <w:t xml:space="preserve"> si le capital «libéré» se traduit par l’octroi réel de prêts, par des actifs titrisés non conservés ou s’il est utilisé à titre de sûretés; </w:t>
      </w:r>
      <w:r>
        <w:rPr>
          <w:b/>
        </w:rPr>
        <w:t>recommande d’abaisser à deux ans les</w:t>
      </w:r>
      <w:r>
        <w:t xml:space="preserve"> </w:t>
      </w:r>
      <w:r>
        <w:rPr>
          <w:b/>
        </w:rPr>
        <w:t>périodes</w:t>
      </w:r>
      <w:r>
        <w:t xml:space="preserve"> de réexamen et </w:t>
      </w:r>
      <w:r>
        <w:rPr>
          <w:b/>
        </w:rPr>
        <w:t>d’établissement de rapports</w:t>
      </w:r>
      <w:r>
        <w:t xml:space="preserve"> par la Commission et les AES, et d’inclure les résultats dans le mécanisme accéléré de suivi susmentionné;</w:t>
      </w:r>
      <w:bookmarkEnd w:id="42"/>
      <w:bookmarkEnd w:id="43"/>
    </w:p>
    <w:p w14:paraId="217347B9" w14:textId="77777777" w:rsidR="005C3428" w:rsidRDefault="005C3428" w:rsidP="005C3428">
      <w:pPr>
        <w:pStyle w:val="Heading2"/>
        <w:numPr>
          <w:ilvl w:val="0"/>
          <w:numId w:val="9"/>
        </w:numPr>
        <w:ind w:left="567" w:hanging="567"/>
      </w:pPr>
      <w:bookmarkStart w:id="44" w:name="_Toc211269738"/>
      <w:bookmarkStart w:id="45" w:name="_Toc211333662"/>
      <w:proofErr w:type="gramStart"/>
      <w:r>
        <w:rPr>
          <w:b/>
        </w:rPr>
        <w:t>préconise</w:t>
      </w:r>
      <w:proofErr w:type="gramEnd"/>
      <w:r>
        <w:t xml:space="preserve"> que tout réexamen de la législation </w:t>
      </w:r>
      <w:r>
        <w:rPr>
          <w:b/>
        </w:rPr>
        <w:t>évalue s’il y a lieu de prévoir d’autres mesures et conditionnalités</w:t>
      </w:r>
      <w:r>
        <w:t>, compte tenu de la nécessité urgente d’accroître les mécanismes de financement alternatifs;</w:t>
      </w:r>
      <w:bookmarkEnd w:id="44"/>
      <w:bookmarkEnd w:id="45"/>
    </w:p>
    <w:p w14:paraId="5E933F66" w14:textId="77777777" w:rsidR="005C3428" w:rsidRDefault="005C3428" w:rsidP="005C3428">
      <w:pPr>
        <w:pStyle w:val="Heading2"/>
        <w:numPr>
          <w:ilvl w:val="0"/>
          <w:numId w:val="9"/>
        </w:numPr>
        <w:ind w:left="567" w:hanging="567"/>
      </w:pPr>
      <w:bookmarkStart w:id="46" w:name="_Toc211269739"/>
      <w:bookmarkStart w:id="47" w:name="_Toc211333663"/>
      <w:proofErr w:type="gramStart"/>
      <w:r>
        <w:rPr>
          <w:b/>
        </w:rPr>
        <w:t>invite</w:t>
      </w:r>
      <w:proofErr w:type="gramEnd"/>
      <w:r>
        <w:t xml:space="preserve"> les colégislateurs à soutenir les propositions en faveur d’une surveillance plus cohérente, homogène et harmonisée;</w:t>
      </w:r>
      <w:bookmarkEnd w:id="46"/>
      <w:bookmarkEnd w:id="47"/>
    </w:p>
    <w:p w14:paraId="51F418ED" w14:textId="77777777" w:rsidR="005C3428" w:rsidRDefault="005C3428" w:rsidP="005C3428">
      <w:pPr>
        <w:pStyle w:val="Heading2"/>
        <w:numPr>
          <w:ilvl w:val="0"/>
          <w:numId w:val="9"/>
        </w:numPr>
        <w:ind w:left="567" w:hanging="567"/>
      </w:pPr>
      <w:bookmarkStart w:id="48" w:name="_Toc211269740"/>
      <w:bookmarkStart w:id="49" w:name="_Toc211333664"/>
      <w:proofErr w:type="gramStart"/>
      <w:r>
        <w:rPr>
          <w:b/>
        </w:rPr>
        <w:t>sollicite</w:t>
      </w:r>
      <w:proofErr w:type="gramEnd"/>
      <w:r>
        <w:t xml:space="preserve"> un ajustement de certaines propositions du paquet législatif, par exemple pour corriger certaines </w:t>
      </w:r>
      <w:r>
        <w:rPr>
          <w:b/>
        </w:rPr>
        <w:t>incohérences en matière de calibrage et de définition</w:t>
      </w:r>
      <w:r>
        <w:t>;</w:t>
      </w:r>
      <w:bookmarkEnd w:id="48"/>
      <w:bookmarkEnd w:id="49"/>
    </w:p>
    <w:p w14:paraId="1C6D1304" w14:textId="77777777" w:rsidR="005C3428" w:rsidRDefault="005C3428" w:rsidP="005C3428">
      <w:pPr>
        <w:pStyle w:val="Heading2"/>
        <w:numPr>
          <w:ilvl w:val="0"/>
          <w:numId w:val="9"/>
        </w:numPr>
        <w:ind w:left="567" w:hanging="567"/>
      </w:pPr>
      <w:bookmarkStart w:id="50" w:name="_Toc211269741"/>
      <w:bookmarkStart w:id="51" w:name="_Toc211333665"/>
      <w:proofErr w:type="gramStart"/>
      <w:r>
        <w:t>demande</w:t>
      </w:r>
      <w:proofErr w:type="gramEnd"/>
      <w:r>
        <w:t xml:space="preserve"> que l’on veille à ce que les propositions techniques visant à rendre les planchers de pondération de risque «sensibles aux risques» </w:t>
      </w:r>
      <w:r>
        <w:rPr>
          <w:b/>
        </w:rPr>
        <w:t>évitent l’écueil du risque de modélisation et l’arbitrage</w:t>
      </w:r>
      <w:r>
        <w:t>;</w:t>
      </w:r>
      <w:bookmarkEnd w:id="50"/>
      <w:bookmarkEnd w:id="51"/>
    </w:p>
    <w:p w14:paraId="1F7F4EE8" w14:textId="77777777" w:rsidR="005C3428" w:rsidRPr="00870CBA" w:rsidRDefault="005C3428" w:rsidP="005C3428">
      <w:pPr>
        <w:pStyle w:val="Heading2"/>
        <w:numPr>
          <w:ilvl w:val="0"/>
          <w:numId w:val="9"/>
        </w:numPr>
        <w:ind w:left="567" w:hanging="567"/>
        <w:rPr>
          <w:b/>
          <w:bCs/>
        </w:rPr>
      </w:pPr>
      <w:bookmarkStart w:id="52" w:name="_Toc211269742"/>
      <w:bookmarkStart w:id="53" w:name="_Toc211333666"/>
      <w:proofErr w:type="gramStart"/>
      <w:r>
        <w:rPr>
          <w:b/>
        </w:rPr>
        <w:t>recommande</w:t>
      </w:r>
      <w:proofErr w:type="gramEnd"/>
      <w:r>
        <w:rPr>
          <w:b/>
        </w:rPr>
        <w:t xml:space="preserve"> d’inverser la possibilité de dérogation lorsque la titrisation comprend une tranche de première perte garantie par des entités publiques</w:t>
      </w:r>
      <w:r>
        <w:t>;</w:t>
      </w:r>
      <w:bookmarkEnd w:id="52"/>
      <w:bookmarkEnd w:id="53"/>
    </w:p>
    <w:p w14:paraId="7202D493" w14:textId="77777777" w:rsidR="005C3428" w:rsidRPr="00A6689B" w:rsidRDefault="005C3428" w:rsidP="005C3428">
      <w:pPr>
        <w:pStyle w:val="Heading2"/>
        <w:numPr>
          <w:ilvl w:val="0"/>
          <w:numId w:val="9"/>
        </w:numPr>
        <w:ind w:left="567" w:hanging="567"/>
        <w:rPr>
          <w:bCs/>
          <w:iCs/>
        </w:rPr>
      </w:pPr>
      <w:bookmarkStart w:id="54" w:name="_Toc211269743"/>
      <w:bookmarkStart w:id="55" w:name="_Toc211333667"/>
      <w:proofErr w:type="gramStart"/>
      <w:r>
        <w:rPr>
          <w:b/>
        </w:rPr>
        <w:lastRenderedPageBreak/>
        <w:t>demande</w:t>
      </w:r>
      <w:proofErr w:type="gramEnd"/>
      <w:r>
        <w:rPr>
          <w:b/>
        </w:rPr>
        <w:t xml:space="preserve"> que des mesures supplémentaires soient prises afin de préserver la relation de longue durée entre les prêteurs et les emprunteurs et d’assurer la transparence</w:t>
      </w:r>
      <w:r>
        <w:t xml:space="preserve">; </w:t>
      </w:r>
      <w:r>
        <w:rPr>
          <w:b/>
        </w:rPr>
        <w:t>insiste pour que l’on s’abstienne</w:t>
      </w:r>
      <w:r>
        <w:t xml:space="preserve"> de déplacer le processus d’initiation des prêts vers des acteurs </w:t>
      </w:r>
      <w:r>
        <w:rPr>
          <w:b/>
        </w:rPr>
        <w:t>non bancaires</w:t>
      </w:r>
      <w:r>
        <w:t xml:space="preserve"> non réglementés, ou encore de transférer les processus de titrisation vers des juridictions où une </w:t>
      </w:r>
      <w:r>
        <w:rPr>
          <w:b/>
        </w:rPr>
        <w:t>planification fiscale agressive</w:t>
      </w:r>
      <w:r>
        <w:t xml:space="preserve"> est possible.</w:t>
      </w:r>
      <w:bookmarkEnd w:id="54"/>
      <w:bookmarkEnd w:id="55"/>
    </w:p>
    <w:p w14:paraId="71A1F161" w14:textId="77777777" w:rsidR="005C3428" w:rsidRPr="000624A9" w:rsidRDefault="005C3428" w:rsidP="005C3428">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5C3428" w:rsidRPr="00A6689B" w14:paraId="681D307E" w14:textId="77777777" w:rsidTr="00C93F66">
        <w:tc>
          <w:tcPr>
            <w:tcW w:w="1077" w:type="pct"/>
          </w:tcPr>
          <w:p w14:paraId="6CB5F851" w14:textId="77777777" w:rsidR="005C3428" w:rsidRPr="00A6689B" w:rsidRDefault="005C3428" w:rsidP="00C93F66">
            <w:pPr>
              <w:rPr>
                <w:i/>
              </w:rPr>
            </w:pPr>
            <w:r>
              <w:rPr>
                <w:b/>
                <w:i/>
              </w:rPr>
              <w:t>Contact</w:t>
            </w:r>
          </w:p>
        </w:tc>
        <w:tc>
          <w:tcPr>
            <w:tcW w:w="3923" w:type="pct"/>
          </w:tcPr>
          <w:p w14:paraId="1C0432CA" w14:textId="421353AC" w:rsidR="005C3428" w:rsidRPr="00A6689B" w:rsidRDefault="005C3428" w:rsidP="00C93F66">
            <w:pPr>
              <w:rPr>
                <w:i/>
              </w:rPr>
            </w:pPr>
            <w:r>
              <w:rPr>
                <w:i/>
              </w:rPr>
              <w:t>Sergio</w:t>
            </w:r>
            <w:r w:rsidR="00ED4804">
              <w:rPr>
                <w:i/>
              </w:rPr>
              <w:t> </w:t>
            </w:r>
            <w:proofErr w:type="spellStart"/>
            <w:r>
              <w:rPr>
                <w:i/>
              </w:rPr>
              <w:t>Lorencio</w:t>
            </w:r>
            <w:proofErr w:type="spellEnd"/>
            <w:r w:rsidR="00ED4804">
              <w:rPr>
                <w:i/>
              </w:rPr>
              <w:t> MATALLANA</w:t>
            </w:r>
          </w:p>
        </w:tc>
      </w:tr>
      <w:tr w:rsidR="005C3428" w:rsidRPr="00A6689B" w14:paraId="058FCECE" w14:textId="77777777" w:rsidTr="00C93F66">
        <w:tc>
          <w:tcPr>
            <w:tcW w:w="1077" w:type="pct"/>
          </w:tcPr>
          <w:p w14:paraId="42DA4C0E" w14:textId="77777777" w:rsidR="005C3428" w:rsidRPr="00A6689B" w:rsidRDefault="005C3428" w:rsidP="00C93F66">
            <w:pPr>
              <w:rPr>
                <w:i/>
              </w:rPr>
            </w:pPr>
            <w:r>
              <w:rPr>
                <w:i/>
              </w:rPr>
              <w:t>Tél.</w:t>
            </w:r>
          </w:p>
        </w:tc>
        <w:tc>
          <w:tcPr>
            <w:tcW w:w="3923" w:type="pct"/>
          </w:tcPr>
          <w:p w14:paraId="4BA49FB5" w14:textId="77777777" w:rsidR="005C3428" w:rsidRPr="00A6689B" w:rsidRDefault="005C3428" w:rsidP="00C93F66">
            <w:pPr>
              <w:rPr>
                <w:i/>
              </w:rPr>
            </w:pPr>
            <w:r>
              <w:rPr>
                <w:i/>
              </w:rPr>
              <w:t>+32 25469240</w:t>
            </w:r>
          </w:p>
        </w:tc>
      </w:tr>
      <w:tr w:rsidR="005C3428" w:rsidRPr="00A6689B" w14:paraId="700ACBD7" w14:textId="77777777" w:rsidTr="00C93F66">
        <w:tc>
          <w:tcPr>
            <w:tcW w:w="1077" w:type="pct"/>
          </w:tcPr>
          <w:p w14:paraId="78FD6576" w14:textId="77777777" w:rsidR="005C3428" w:rsidRPr="00A6689B" w:rsidRDefault="005C3428" w:rsidP="00C93F66">
            <w:pPr>
              <w:rPr>
                <w:i/>
              </w:rPr>
            </w:pPr>
            <w:r>
              <w:rPr>
                <w:i/>
              </w:rPr>
              <w:t>Courriel</w:t>
            </w:r>
          </w:p>
        </w:tc>
        <w:tc>
          <w:tcPr>
            <w:tcW w:w="3923" w:type="pct"/>
          </w:tcPr>
          <w:p w14:paraId="2C2A5BA6" w14:textId="77777777" w:rsidR="005C3428" w:rsidRPr="00A6689B" w:rsidRDefault="00CB508B" w:rsidP="00C93F66">
            <w:pPr>
              <w:rPr>
                <w:i/>
              </w:rPr>
            </w:pPr>
            <w:hyperlink r:id="rId26" w:history="1">
              <w:r w:rsidR="005C3428">
                <w:rPr>
                  <w:rStyle w:val="Hyperlink"/>
                  <w:i/>
                </w:rPr>
                <w:t>Sergio.Lorenciomatallana@eesc.europa.eu</w:t>
              </w:r>
            </w:hyperlink>
          </w:p>
        </w:tc>
      </w:tr>
    </w:tbl>
    <w:p w14:paraId="693ADD75" w14:textId="77777777" w:rsidR="005C3428" w:rsidRPr="00754409" w:rsidRDefault="005C3428" w:rsidP="005C3428">
      <w:pPr>
        <w:jc w:val="center"/>
        <w:rPr>
          <w:lang w:val="en-US"/>
        </w:rPr>
      </w:pPr>
    </w:p>
    <w:p w14:paraId="4CF776E7" w14:textId="77777777" w:rsidR="00F31327" w:rsidRDefault="00F31327" w:rsidP="00F31327">
      <w:pPr>
        <w:jc w:val="left"/>
      </w:pPr>
      <w:r>
        <w:br w:type="page"/>
      </w:r>
    </w:p>
    <w:p w14:paraId="7E908E6C" w14:textId="6BEA5DC1" w:rsidR="005C3428" w:rsidRPr="0003586F" w:rsidRDefault="00CB508B" w:rsidP="005C3428">
      <w:pPr>
        <w:widowControl w:val="0"/>
        <w:numPr>
          <w:ilvl w:val="0"/>
          <w:numId w:val="19"/>
        </w:numPr>
        <w:overflowPunct w:val="0"/>
        <w:autoSpaceDE w:val="0"/>
        <w:autoSpaceDN w:val="0"/>
        <w:adjustRightInd w:val="0"/>
        <w:ind w:hanging="567"/>
        <w:textAlignment w:val="baseline"/>
        <w:rPr>
          <w:sz w:val="20"/>
        </w:rPr>
      </w:pPr>
      <w:hyperlink r:id="rId27" w:history="1">
        <w:r w:rsidR="005C3428">
          <w:rPr>
            <w:rStyle w:val="Hyperlink"/>
            <w:b/>
            <w:i/>
            <w:sz w:val="28"/>
          </w:rPr>
          <w:t>Considérations supplémentaires sur la voie à suivre pour le Semestre européen</w:t>
        </w:r>
        <w:r w:rsidR="006031D5">
          <w:rPr>
            <w:rStyle w:val="Hyperlink"/>
            <w:b/>
            <w:i/>
            <w:sz w:val="28"/>
          </w:rPr>
          <w:t> </w:t>
        </w:r>
        <w:r w:rsidR="005C3428">
          <w:rPr>
            <w:rStyle w:val="Hyperlink"/>
            <w:b/>
            <w:i/>
            <w:sz w:val="28"/>
          </w:rPr>
          <w:t>2025</w:t>
        </w:r>
      </w:hyperlink>
    </w:p>
    <w:p w14:paraId="0AB4C285" w14:textId="77777777" w:rsidR="005C3428" w:rsidRPr="00A6689B" w:rsidRDefault="005C3428" w:rsidP="005C3428">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5C3428" w:rsidRPr="00A80743" w14:paraId="40A45EE1" w14:textId="77777777" w:rsidTr="00C93F66">
        <w:tc>
          <w:tcPr>
            <w:tcW w:w="1077" w:type="pct"/>
          </w:tcPr>
          <w:p w14:paraId="53971067" w14:textId="77777777" w:rsidR="005C3428" w:rsidRPr="00A6689B" w:rsidRDefault="005C3428" w:rsidP="00C93F66">
            <w:pPr>
              <w:tabs>
                <w:tab w:val="center" w:pos="284"/>
              </w:tabs>
              <w:ind w:left="266" w:hanging="266"/>
              <w:rPr>
                <w:b/>
              </w:rPr>
            </w:pPr>
            <w:r>
              <w:rPr>
                <w:b/>
              </w:rPr>
              <w:t>Rapporteur</w:t>
            </w:r>
          </w:p>
        </w:tc>
        <w:tc>
          <w:tcPr>
            <w:tcW w:w="3923" w:type="pct"/>
          </w:tcPr>
          <w:p w14:paraId="655D2013" w14:textId="77777777" w:rsidR="005C3428" w:rsidRPr="00A80743" w:rsidRDefault="005C3428" w:rsidP="00C93F66">
            <w:pPr>
              <w:tabs>
                <w:tab w:val="center" w:pos="284"/>
              </w:tabs>
              <w:ind w:left="266" w:right="-3091" w:hanging="266"/>
            </w:pPr>
            <w:r>
              <w:t>Javier DOZ ORRIT (groupe des travailleurs — ES)</w:t>
            </w:r>
          </w:p>
        </w:tc>
      </w:tr>
      <w:tr w:rsidR="005C3428" w:rsidRPr="00A6689B" w14:paraId="2AEC0A3C" w14:textId="77777777" w:rsidTr="00C93F66">
        <w:tc>
          <w:tcPr>
            <w:tcW w:w="1077" w:type="pct"/>
          </w:tcPr>
          <w:p w14:paraId="7CD8BFBE" w14:textId="77777777" w:rsidR="005C3428" w:rsidRPr="00A6689B" w:rsidRDefault="005C3428" w:rsidP="00C93F66">
            <w:pPr>
              <w:tabs>
                <w:tab w:val="center" w:pos="284"/>
              </w:tabs>
              <w:ind w:left="266" w:hanging="266"/>
              <w:rPr>
                <w:b/>
                <w:lang w:val="en-US"/>
              </w:rPr>
            </w:pPr>
          </w:p>
        </w:tc>
        <w:tc>
          <w:tcPr>
            <w:tcW w:w="3923" w:type="pct"/>
          </w:tcPr>
          <w:p w14:paraId="2240CC58" w14:textId="77777777" w:rsidR="005C3428" w:rsidRPr="00A6689B" w:rsidRDefault="005C3428" w:rsidP="00C93F66">
            <w:pPr>
              <w:tabs>
                <w:tab w:val="center" w:pos="284"/>
              </w:tabs>
              <w:ind w:left="266" w:right="-3091" w:hanging="266"/>
              <w:rPr>
                <w:lang w:val="en-US"/>
              </w:rPr>
            </w:pPr>
          </w:p>
        </w:tc>
      </w:tr>
      <w:tr w:rsidR="005C3428" w:rsidRPr="00A6689B" w14:paraId="307FDDE8" w14:textId="77777777" w:rsidTr="00C93F66">
        <w:tc>
          <w:tcPr>
            <w:tcW w:w="1077" w:type="pct"/>
          </w:tcPr>
          <w:p w14:paraId="3C517777" w14:textId="77777777" w:rsidR="005C3428" w:rsidRPr="00A6689B" w:rsidRDefault="005C3428" w:rsidP="00C93F66">
            <w:pPr>
              <w:tabs>
                <w:tab w:val="center" w:pos="284"/>
              </w:tabs>
              <w:ind w:left="266" w:hanging="266"/>
              <w:rPr>
                <w:b/>
              </w:rPr>
            </w:pPr>
            <w:r>
              <w:rPr>
                <w:b/>
              </w:rPr>
              <w:t>Référence</w:t>
            </w:r>
          </w:p>
        </w:tc>
        <w:tc>
          <w:tcPr>
            <w:tcW w:w="3923" w:type="pct"/>
          </w:tcPr>
          <w:p w14:paraId="1C60D7A4" w14:textId="77777777" w:rsidR="005C3428" w:rsidRDefault="005C3428" w:rsidP="00C93F66">
            <w:pPr>
              <w:tabs>
                <w:tab w:val="center" w:pos="284"/>
              </w:tabs>
              <w:ind w:left="266" w:right="-3091" w:hanging="266"/>
            </w:pPr>
            <w:r>
              <w:t>Avis d’initiative</w:t>
            </w:r>
          </w:p>
          <w:p w14:paraId="4A3D6606" w14:textId="77777777" w:rsidR="005C3428" w:rsidRPr="00A6689B" w:rsidRDefault="005C3428" w:rsidP="00C93F66">
            <w:pPr>
              <w:tabs>
                <w:tab w:val="center" w:pos="284"/>
              </w:tabs>
              <w:ind w:left="266" w:right="-3091" w:hanging="266"/>
            </w:pPr>
            <w:r>
              <w:t>EESC-2025-01561-00-00-AC-TRA</w:t>
            </w:r>
          </w:p>
        </w:tc>
      </w:tr>
    </w:tbl>
    <w:p w14:paraId="3470CC12" w14:textId="77777777" w:rsidR="005C3428" w:rsidRDefault="005C3428" w:rsidP="005C3428">
      <w:pPr>
        <w:tabs>
          <w:tab w:val="center" w:pos="284"/>
        </w:tabs>
        <w:ind w:left="266" w:hanging="266"/>
        <w:rPr>
          <w:b/>
        </w:rPr>
      </w:pPr>
    </w:p>
    <w:p w14:paraId="6651B09E" w14:textId="77777777" w:rsidR="005C3428" w:rsidRPr="00A6689B" w:rsidRDefault="005C3428" w:rsidP="005C3428">
      <w:pPr>
        <w:keepNext/>
        <w:keepLines/>
        <w:tabs>
          <w:tab w:val="center" w:pos="284"/>
        </w:tabs>
        <w:ind w:left="266" w:hanging="266"/>
        <w:rPr>
          <w:b/>
        </w:rPr>
      </w:pPr>
      <w:r>
        <w:rPr>
          <w:b/>
        </w:rPr>
        <w:t>Points clés</w:t>
      </w:r>
    </w:p>
    <w:p w14:paraId="66F194AF" w14:textId="77777777" w:rsidR="005C3428" w:rsidRPr="00A6689B" w:rsidRDefault="005C3428" w:rsidP="005C3428">
      <w:pPr>
        <w:keepNext/>
        <w:keepLines/>
        <w:tabs>
          <w:tab w:val="center" w:pos="284"/>
        </w:tabs>
        <w:ind w:left="266" w:hanging="266"/>
        <w:rPr>
          <w:b/>
        </w:rPr>
      </w:pPr>
    </w:p>
    <w:p w14:paraId="5CE1DE01" w14:textId="77777777" w:rsidR="005C3428" w:rsidRPr="00A6689B" w:rsidRDefault="005C3428" w:rsidP="005C3428">
      <w:pPr>
        <w:rPr>
          <w:bCs/>
          <w:iCs/>
        </w:rPr>
      </w:pPr>
      <w:r>
        <w:t xml:space="preserve">Le </w:t>
      </w:r>
      <w:proofErr w:type="gramStart"/>
      <w:r>
        <w:t>CESE:</w:t>
      </w:r>
      <w:proofErr w:type="gramEnd"/>
    </w:p>
    <w:p w14:paraId="600EC3CC" w14:textId="77777777" w:rsidR="005C3428" w:rsidRPr="00477A6B" w:rsidRDefault="005C3428" w:rsidP="005C3428">
      <w:pPr>
        <w:widowControl w:val="0"/>
        <w:numPr>
          <w:ilvl w:val="0"/>
          <w:numId w:val="19"/>
        </w:numPr>
        <w:overflowPunct w:val="0"/>
        <w:autoSpaceDE w:val="0"/>
        <w:autoSpaceDN w:val="0"/>
        <w:adjustRightInd w:val="0"/>
        <w:ind w:hanging="567"/>
        <w:textAlignment w:val="baseline"/>
        <w:rPr>
          <w:bCs/>
          <w:iCs/>
        </w:rPr>
      </w:pPr>
      <w:proofErr w:type="gramStart"/>
      <w:r>
        <w:t>est</w:t>
      </w:r>
      <w:proofErr w:type="gramEnd"/>
      <w:r>
        <w:t xml:space="preserve"> préoccupé par l’existence de multiples facteurs et sources d’instabilité et de risques géopolitiques, en particulier ceux qui menacent la paix, la démocratie et le respect des droits de l’homme, mais aussi ceux, tels que les guerres commerciales, qui ont une incidence sur la croissance, l’inflation, la sécurité des chaînes d’approvisionnement et l’accès aux matières premières critiques;</w:t>
      </w:r>
    </w:p>
    <w:p w14:paraId="317A577B" w14:textId="77777777" w:rsidR="005C3428" w:rsidRPr="00477A6B" w:rsidRDefault="005C3428" w:rsidP="005C3428">
      <w:pPr>
        <w:widowControl w:val="0"/>
        <w:numPr>
          <w:ilvl w:val="0"/>
          <w:numId w:val="19"/>
        </w:numPr>
        <w:overflowPunct w:val="0"/>
        <w:autoSpaceDE w:val="0"/>
        <w:autoSpaceDN w:val="0"/>
        <w:adjustRightInd w:val="0"/>
        <w:ind w:hanging="567"/>
        <w:textAlignment w:val="baseline"/>
        <w:rPr>
          <w:bCs/>
          <w:iCs/>
        </w:rPr>
      </w:pPr>
      <w:proofErr w:type="gramStart"/>
      <w:r>
        <w:t>s’inquiète</w:t>
      </w:r>
      <w:proofErr w:type="gramEnd"/>
      <w:r>
        <w:t xml:space="preserve"> du fait que les tendances en matière d’investissements, tant publics que privés, sont loin de contribuer à une réduction significative de l’important déficit d’investissement accumulé par les économies européennes;</w:t>
      </w:r>
    </w:p>
    <w:p w14:paraId="3D7AD284" w14:textId="4A325D44" w:rsidR="005C3428" w:rsidRPr="00477A6B" w:rsidRDefault="005C3428" w:rsidP="005C3428">
      <w:pPr>
        <w:widowControl w:val="0"/>
        <w:numPr>
          <w:ilvl w:val="0"/>
          <w:numId w:val="19"/>
        </w:numPr>
        <w:overflowPunct w:val="0"/>
        <w:autoSpaceDE w:val="0"/>
        <w:autoSpaceDN w:val="0"/>
        <w:adjustRightInd w:val="0"/>
        <w:ind w:hanging="567"/>
        <w:textAlignment w:val="baseline"/>
        <w:rPr>
          <w:bCs/>
          <w:iCs/>
        </w:rPr>
      </w:pPr>
      <w:proofErr w:type="gramStart"/>
      <w:r>
        <w:t>approuve</w:t>
      </w:r>
      <w:proofErr w:type="gramEnd"/>
      <w:r>
        <w:t xml:space="preserve"> les deux grandes priorités stratégiques exposées dans le paquet de printemps du Semestre européen</w:t>
      </w:r>
      <w:r w:rsidR="006031D5">
        <w:t> </w:t>
      </w:r>
      <w:r>
        <w:t xml:space="preserve">2025, à savoir le renforcement de la compétitivité et l’amélioration des capacités de défense, et il soutient l’objectif principal consistant à mettre en œuvre les investissements et les réformes prévus dans les plans nationaux pour la reprise et la résilience (PNRR) d’ici à 2026; </w:t>
      </w:r>
    </w:p>
    <w:p w14:paraId="2BEADAB6" w14:textId="77777777" w:rsidR="005C3428" w:rsidRPr="00477A6B" w:rsidRDefault="005C3428" w:rsidP="005C3428">
      <w:pPr>
        <w:widowControl w:val="0"/>
        <w:numPr>
          <w:ilvl w:val="0"/>
          <w:numId w:val="19"/>
        </w:numPr>
        <w:overflowPunct w:val="0"/>
        <w:autoSpaceDE w:val="0"/>
        <w:autoSpaceDN w:val="0"/>
        <w:adjustRightInd w:val="0"/>
        <w:ind w:hanging="567"/>
        <w:textAlignment w:val="baseline"/>
        <w:rPr>
          <w:bCs/>
          <w:iCs/>
        </w:rPr>
      </w:pPr>
      <w:r>
        <w:t>estime qu’une fois l’inflation maîtrisée, le moment sera venu d’élaborer une politique monétaire modérément expansionniste qui encourage l’investissement tout en tirant parti de la faiblesse du dollar pour renforcer le rôle de l’euro comme monnaie de réserve mondiale, au moyen des trois mesures suivantes: l’introduction de l’euro numérique; l’utilisation du stock de dette qui, tout en finançant la politique d’investissement, encourage les échanges commerciaux sur les marchés; et l’achèvement d’urgence de l’union bancaire et de l’union des marchés des capitaux;</w:t>
      </w:r>
    </w:p>
    <w:p w14:paraId="6BD539E7" w14:textId="77777777" w:rsidR="005C3428" w:rsidRPr="00477A6B" w:rsidRDefault="005C3428" w:rsidP="005C3428">
      <w:pPr>
        <w:widowControl w:val="0"/>
        <w:numPr>
          <w:ilvl w:val="0"/>
          <w:numId w:val="19"/>
        </w:numPr>
        <w:overflowPunct w:val="0"/>
        <w:autoSpaceDE w:val="0"/>
        <w:autoSpaceDN w:val="0"/>
        <w:adjustRightInd w:val="0"/>
        <w:ind w:hanging="567"/>
        <w:textAlignment w:val="baseline"/>
        <w:rPr>
          <w:bCs/>
          <w:iCs/>
        </w:rPr>
      </w:pPr>
      <w:r>
        <w:t>est d’avis qu’il serait nécessaire que le cadre financier pluriannuel (CFP) pour l’après-2027 atteigne l’équivalent de 2 % du PIB de l’UE afin de réaliser les objectifs d’investissement suivants: réduire l’écart de compétitivité; encourager la recherche et l’innovation technologique; garantir des transitions écologique et numérique justes; renforcer la cohésion sociale et le respect du socle européen des droits sociaux; favoriser l’autonomie stratégique en matière de politique étrangère, de sécurité et de défense; et renforcer l’industrie européenne au moyen de politiques et de mesures qui facilitent les investissements, afin d’attirer des capitaux internes et externes;</w:t>
      </w:r>
    </w:p>
    <w:p w14:paraId="6E1B3F30" w14:textId="77777777" w:rsidR="005C3428" w:rsidRPr="00477A6B" w:rsidRDefault="005C3428" w:rsidP="005C3428">
      <w:pPr>
        <w:widowControl w:val="0"/>
        <w:numPr>
          <w:ilvl w:val="0"/>
          <w:numId w:val="19"/>
        </w:numPr>
        <w:overflowPunct w:val="0"/>
        <w:autoSpaceDE w:val="0"/>
        <w:autoSpaceDN w:val="0"/>
        <w:adjustRightInd w:val="0"/>
        <w:ind w:hanging="567"/>
        <w:textAlignment w:val="baseline"/>
        <w:rPr>
          <w:bCs/>
          <w:iCs/>
        </w:rPr>
      </w:pPr>
      <w:r>
        <w:t xml:space="preserve">juge nécessaire d’adopter un ensemble de mesures visant à renforcer les investissements d’ici à 2028, notamment: assurer la mise en œuvre de tous les fonds de la facilité pour la reprise et la résilience (FRR) et des nouveaux objectifs et, si nécessaire, déployer des fonds inutilisés pour de nouveaux programmes d’investissement dans les biens publics européens; créer un Fonds européen pour les investissements stratégiques; renforcer la capacité de prêt de la Banque européenne d’investissement (BEI) afin d’étendre </w:t>
      </w:r>
      <w:proofErr w:type="spellStart"/>
      <w:r>
        <w:t>InvestEU</w:t>
      </w:r>
      <w:proofErr w:type="spellEnd"/>
      <w:r>
        <w:t>; et examiner la possibilité d’utiliser les fonds du mécanisme européen de stabilité;</w:t>
      </w:r>
    </w:p>
    <w:p w14:paraId="26540069" w14:textId="77777777" w:rsidR="005C3428" w:rsidRPr="00477A6B" w:rsidRDefault="005C3428" w:rsidP="005C3428">
      <w:pPr>
        <w:widowControl w:val="0"/>
        <w:numPr>
          <w:ilvl w:val="0"/>
          <w:numId w:val="19"/>
        </w:numPr>
        <w:overflowPunct w:val="0"/>
        <w:autoSpaceDE w:val="0"/>
        <w:autoSpaceDN w:val="0"/>
        <w:adjustRightInd w:val="0"/>
        <w:ind w:hanging="567"/>
        <w:textAlignment w:val="baseline"/>
        <w:rPr>
          <w:bCs/>
          <w:iCs/>
        </w:rPr>
      </w:pPr>
      <w:proofErr w:type="gramStart"/>
      <w:r>
        <w:t>exprime</w:t>
      </w:r>
      <w:proofErr w:type="gramEnd"/>
      <w:r>
        <w:t xml:space="preserve"> une nouvelle fois son inquiétude face aux retards dans la révision du modèle actuel </w:t>
      </w:r>
      <w:r>
        <w:lastRenderedPageBreak/>
        <w:t xml:space="preserve">d’analyse de la soutenabilité de la dette, car ces retards pourraient indûment sacrifier les dépenses sociales au profit d’autres dépenses, à un moment où les États membres doivent atteindre des objectifs inchangés en matière de déficit; </w:t>
      </w:r>
    </w:p>
    <w:p w14:paraId="7FA08C3D" w14:textId="77777777" w:rsidR="005C3428" w:rsidRPr="00477A6B" w:rsidRDefault="005C3428" w:rsidP="005C3428">
      <w:pPr>
        <w:widowControl w:val="0"/>
        <w:numPr>
          <w:ilvl w:val="0"/>
          <w:numId w:val="19"/>
        </w:numPr>
        <w:overflowPunct w:val="0"/>
        <w:autoSpaceDE w:val="0"/>
        <w:autoSpaceDN w:val="0"/>
        <w:adjustRightInd w:val="0"/>
        <w:ind w:hanging="567"/>
        <w:textAlignment w:val="baseline"/>
        <w:rPr>
          <w:bCs/>
          <w:iCs/>
        </w:rPr>
      </w:pPr>
      <w:proofErr w:type="gramStart"/>
      <w:r>
        <w:t>souscrit</w:t>
      </w:r>
      <w:proofErr w:type="gramEnd"/>
      <w:r>
        <w:t xml:space="preserve"> au principe général qui sous-tend les trains de mesures législatives «omnibus I et II» visant à clarifier et à simplifier la législation européenne et à réduire les charges administratives inutiles qui pèsent sur les entreprises, en particulier les PME, mais il craint que certaines de ces dispositions ne conduisent à un affaiblissement de la législation en matière de finance durable et, partant, compromettent la réalisation des objectifs du pacte vert et de son plan d’action; </w:t>
      </w:r>
    </w:p>
    <w:p w14:paraId="4D310708" w14:textId="77777777" w:rsidR="005C3428" w:rsidRPr="00A6689B" w:rsidRDefault="005C3428" w:rsidP="005C3428">
      <w:pPr>
        <w:widowControl w:val="0"/>
        <w:numPr>
          <w:ilvl w:val="0"/>
          <w:numId w:val="19"/>
        </w:numPr>
        <w:overflowPunct w:val="0"/>
        <w:autoSpaceDE w:val="0"/>
        <w:autoSpaceDN w:val="0"/>
        <w:adjustRightInd w:val="0"/>
        <w:ind w:hanging="567"/>
        <w:textAlignment w:val="baseline"/>
        <w:rPr>
          <w:bCs/>
          <w:iCs/>
        </w:rPr>
      </w:pPr>
      <w:proofErr w:type="gramStart"/>
      <w:r>
        <w:t>réitère</w:t>
      </w:r>
      <w:proofErr w:type="gramEnd"/>
      <w:r>
        <w:t xml:space="preserve"> son appel en faveur d’une participation permanente et structurée des partenaires sociaux et des organisations de la société civile aux différentes étapes du processus du Semestre européen. </w:t>
      </w:r>
    </w:p>
    <w:p w14:paraId="6CE795F2" w14:textId="77777777" w:rsidR="005C3428" w:rsidRPr="00A6689B" w:rsidRDefault="005C3428" w:rsidP="005C3428">
      <w:pPr>
        <w:widowControl w:val="0"/>
        <w:ind w:left="567"/>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5C3428" w:rsidRPr="00A6689B" w14:paraId="1C8BA535" w14:textId="77777777" w:rsidTr="00C93F66">
        <w:tc>
          <w:tcPr>
            <w:tcW w:w="1077" w:type="pct"/>
          </w:tcPr>
          <w:p w14:paraId="0B704F2A" w14:textId="77777777" w:rsidR="005C3428" w:rsidRPr="00A6689B" w:rsidRDefault="005C3428" w:rsidP="00C93F66">
            <w:pPr>
              <w:rPr>
                <w:i/>
              </w:rPr>
            </w:pPr>
            <w:r>
              <w:rPr>
                <w:b/>
                <w:i/>
              </w:rPr>
              <w:t>Contact</w:t>
            </w:r>
          </w:p>
        </w:tc>
        <w:tc>
          <w:tcPr>
            <w:tcW w:w="3923" w:type="pct"/>
          </w:tcPr>
          <w:p w14:paraId="6E99C79C" w14:textId="55194C6A" w:rsidR="005C3428" w:rsidRPr="00A6689B" w:rsidRDefault="005C3428" w:rsidP="00C93F66">
            <w:pPr>
              <w:rPr>
                <w:i/>
              </w:rPr>
            </w:pPr>
            <w:r>
              <w:rPr>
                <w:i/>
              </w:rPr>
              <w:t>Anna</w:t>
            </w:r>
            <w:r w:rsidR="006031D5">
              <w:rPr>
                <w:i/>
              </w:rPr>
              <w:t> </w:t>
            </w:r>
            <w:r w:rsidR="00ED4804">
              <w:rPr>
                <w:i/>
              </w:rPr>
              <w:t>PANTAZI</w:t>
            </w:r>
          </w:p>
        </w:tc>
      </w:tr>
      <w:tr w:rsidR="005C3428" w:rsidRPr="00A6689B" w14:paraId="63D388B5" w14:textId="77777777" w:rsidTr="00C93F66">
        <w:tc>
          <w:tcPr>
            <w:tcW w:w="1077" w:type="pct"/>
          </w:tcPr>
          <w:p w14:paraId="344DADB5" w14:textId="77777777" w:rsidR="005C3428" w:rsidRPr="00A6689B" w:rsidRDefault="005C3428" w:rsidP="00C93F66">
            <w:pPr>
              <w:rPr>
                <w:i/>
              </w:rPr>
            </w:pPr>
            <w:r>
              <w:rPr>
                <w:i/>
              </w:rPr>
              <w:t>Tél.</w:t>
            </w:r>
          </w:p>
        </w:tc>
        <w:tc>
          <w:tcPr>
            <w:tcW w:w="3923" w:type="pct"/>
          </w:tcPr>
          <w:p w14:paraId="230DCF39" w14:textId="77777777" w:rsidR="005C3428" w:rsidRPr="00A6689B" w:rsidRDefault="005C3428" w:rsidP="00C93F66">
            <w:pPr>
              <w:rPr>
                <w:i/>
              </w:rPr>
            </w:pPr>
            <w:r>
              <w:rPr>
                <w:i/>
              </w:rPr>
              <w:t>+32 2 546 9231</w:t>
            </w:r>
          </w:p>
        </w:tc>
      </w:tr>
      <w:tr w:rsidR="005C3428" w:rsidRPr="00A6689B" w14:paraId="03128931" w14:textId="77777777" w:rsidTr="00C93F66">
        <w:tc>
          <w:tcPr>
            <w:tcW w:w="1077" w:type="pct"/>
          </w:tcPr>
          <w:p w14:paraId="45308123" w14:textId="77777777" w:rsidR="005C3428" w:rsidRPr="00A6689B" w:rsidRDefault="005C3428" w:rsidP="00C93F66">
            <w:pPr>
              <w:rPr>
                <w:i/>
              </w:rPr>
            </w:pPr>
            <w:r>
              <w:rPr>
                <w:i/>
              </w:rPr>
              <w:t>Courriel</w:t>
            </w:r>
          </w:p>
        </w:tc>
        <w:tc>
          <w:tcPr>
            <w:tcW w:w="3923" w:type="pct"/>
          </w:tcPr>
          <w:p w14:paraId="70D6FF71" w14:textId="77777777" w:rsidR="005C3428" w:rsidRPr="00A6689B" w:rsidRDefault="00CB508B" w:rsidP="00C93F66">
            <w:pPr>
              <w:rPr>
                <w:i/>
              </w:rPr>
            </w:pPr>
            <w:hyperlink r:id="rId28" w:history="1">
              <w:r w:rsidR="005C3428">
                <w:rPr>
                  <w:rStyle w:val="Hyperlink"/>
                  <w:i/>
                </w:rPr>
                <w:t>anna.pantazi@eesc.europa.eu</w:t>
              </w:r>
            </w:hyperlink>
            <w:r w:rsidR="005C3428">
              <w:rPr>
                <w:i/>
              </w:rPr>
              <w:t xml:space="preserve"> </w:t>
            </w:r>
          </w:p>
        </w:tc>
      </w:tr>
    </w:tbl>
    <w:p w14:paraId="0BB131ED" w14:textId="77777777" w:rsidR="00F31327" w:rsidRDefault="00F31327" w:rsidP="00F31327">
      <w:pPr>
        <w:jc w:val="left"/>
        <w:rPr>
          <w:lang w:val="en-GB"/>
        </w:rPr>
      </w:pPr>
      <w:r>
        <w:rPr>
          <w:lang w:val="en-GB"/>
        </w:rPr>
        <w:br w:type="page"/>
      </w:r>
    </w:p>
    <w:p w14:paraId="5D4BF399" w14:textId="119001B3" w:rsidR="001322C2" w:rsidRPr="0003586F" w:rsidRDefault="00CB508B" w:rsidP="001322C2">
      <w:pPr>
        <w:widowControl w:val="0"/>
        <w:numPr>
          <w:ilvl w:val="0"/>
          <w:numId w:val="19"/>
        </w:numPr>
        <w:overflowPunct w:val="0"/>
        <w:autoSpaceDE w:val="0"/>
        <w:autoSpaceDN w:val="0"/>
        <w:adjustRightInd w:val="0"/>
        <w:ind w:hanging="567"/>
        <w:textAlignment w:val="baseline"/>
        <w:rPr>
          <w:sz w:val="20"/>
        </w:rPr>
      </w:pPr>
      <w:hyperlink r:id="rId29" w:history="1">
        <w:r w:rsidR="001322C2">
          <w:rPr>
            <w:rStyle w:val="Hyperlink"/>
            <w:b/>
            <w:i/>
            <w:sz w:val="28"/>
          </w:rPr>
          <w:t>Un nouvel élan pour le cadre de l’UE en matière de finance durable</w:t>
        </w:r>
      </w:hyperlink>
    </w:p>
    <w:p w14:paraId="45CD1DB5" w14:textId="77777777" w:rsidR="001322C2" w:rsidRPr="00A6689B" w:rsidRDefault="001322C2" w:rsidP="001322C2">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1322C2" w:rsidRPr="00A6689B" w14:paraId="09362826" w14:textId="77777777" w:rsidTr="00C93F66">
        <w:tc>
          <w:tcPr>
            <w:tcW w:w="1077" w:type="pct"/>
          </w:tcPr>
          <w:p w14:paraId="68F97C86" w14:textId="77777777" w:rsidR="001322C2" w:rsidRPr="00A6689B" w:rsidRDefault="001322C2" w:rsidP="00C93F66">
            <w:pPr>
              <w:tabs>
                <w:tab w:val="center" w:pos="284"/>
              </w:tabs>
              <w:ind w:left="266" w:hanging="266"/>
              <w:rPr>
                <w:b/>
              </w:rPr>
            </w:pPr>
            <w:r>
              <w:rPr>
                <w:b/>
              </w:rPr>
              <w:t>Rapporteur</w:t>
            </w:r>
          </w:p>
        </w:tc>
        <w:tc>
          <w:tcPr>
            <w:tcW w:w="3923" w:type="pct"/>
          </w:tcPr>
          <w:p w14:paraId="462AFD5E" w14:textId="7E4375C1" w:rsidR="001322C2" w:rsidRDefault="001322C2" w:rsidP="00C93F66">
            <w:pPr>
              <w:tabs>
                <w:tab w:val="center" w:pos="284"/>
              </w:tabs>
              <w:ind w:left="266" w:right="-3091" w:hanging="266"/>
            </w:pPr>
            <w:r>
              <w:t>Javier DOZ ORRIT (groupe des travailleurs — </w:t>
            </w:r>
            <w:r w:rsidR="00ED4804">
              <w:t>ES</w:t>
            </w:r>
            <w:r>
              <w:t>)</w:t>
            </w:r>
          </w:p>
          <w:p w14:paraId="7A46CD12" w14:textId="77777777" w:rsidR="001322C2" w:rsidRPr="00457F71" w:rsidRDefault="001322C2" w:rsidP="00C93F66">
            <w:pPr>
              <w:tabs>
                <w:tab w:val="center" w:pos="284"/>
              </w:tabs>
              <w:ind w:left="266" w:right="-3091" w:hanging="266"/>
            </w:pPr>
          </w:p>
        </w:tc>
      </w:tr>
      <w:tr w:rsidR="001322C2" w:rsidRPr="00A6689B" w14:paraId="5D11250C" w14:textId="77777777" w:rsidTr="00C93F66">
        <w:tc>
          <w:tcPr>
            <w:tcW w:w="1077" w:type="pct"/>
          </w:tcPr>
          <w:p w14:paraId="7DAEEFF9" w14:textId="77777777" w:rsidR="001322C2" w:rsidRPr="00A6689B" w:rsidRDefault="001322C2" w:rsidP="00C93F66">
            <w:pPr>
              <w:tabs>
                <w:tab w:val="center" w:pos="284"/>
              </w:tabs>
              <w:ind w:left="266" w:hanging="266"/>
              <w:rPr>
                <w:b/>
              </w:rPr>
            </w:pPr>
            <w:r>
              <w:rPr>
                <w:b/>
              </w:rPr>
              <w:t>Références</w:t>
            </w:r>
          </w:p>
        </w:tc>
        <w:tc>
          <w:tcPr>
            <w:tcW w:w="3923" w:type="pct"/>
          </w:tcPr>
          <w:p w14:paraId="3B39302C" w14:textId="77777777" w:rsidR="001322C2" w:rsidRDefault="001322C2" w:rsidP="00C93F66">
            <w:pPr>
              <w:tabs>
                <w:tab w:val="center" w:pos="284"/>
              </w:tabs>
              <w:ind w:left="266" w:right="-3091" w:hanging="266"/>
            </w:pPr>
            <w:r>
              <w:t>Avis exploratoire à la demande de la présidence danoise du Conseil</w:t>
            </w:r>
          </w:p>
          <w:p w14:paraId="1BF9E69F" w14:textId="77777777" w:rsidR="001322C2" w:rsidRPr="00A6689B" w:rsidRDefault="001322C2" w:rsidP="00C93F66">
            <w:pPr>
              <w:tabs>
                <w:tab w:val="center" w:pos="284"/>
              </w:tabs>
              <w:ind w:left="266" w:right="-3091" w:hanging="266"/>
            </w:pPr>
            <w:r>
              <w:t>EESC-2025-01041-00-00-AC</w:t>
            </w:r>
          </w:p>
        </w:tc>
      </w:tr>
    </w:tbl>
    <w:p w14:paraId="75C71B8B" w14:textId="77777777" w:rsidR="001322C2" w:rsidRDefault="001322C2" w:rsidP="001322C2">
      <w:pPr>
        <w:tabs>
          <w:tab w:val="center" w:pos="284"/>
        </w:tabs>
        <w:ind w:left="266" w:hanging="266"/>
        <w:rPr>
          <w:b/>
        </w:rPr>
      </w:pPr>
    </w:p>
    <w:p w14:paraId="727889B2" w14:textId="77777777" w:rsidR="001322C2" w:rsidRPr="00A6689B" w:rsidRDefault="001322C2" w:rsidP="001322C2">
      <w:pPr>
        <w:keepNext/>
        <w:keepLines/>
        <w:tabs>
          <w:tab w:val="center" w:pos="284"/>
        </w:tabs>
        <w:ind w:left="266" w:hanging="266"/>
        <w:rPr>
          <w:b/>
        </w:rPr>
      </w:pPr>
      <w:r>
        <w:rPr>
          <w:b/>
        </w:rPr>
        <w:t>Points clés</w:t>
      </w:r>
    </w:p>
    <w:p w14:paraId="15476894" w14:textId="77777777" w:rsidR="001322C2" w:rsidRPr="00A6689B" w:rsidRDefault="001322C2" w:rsidP="001322C2">
      <w:pPr>
        <w:keepNext/>
        <w:keepLines/>
        <w:tabs>
          <w:tab w:val="center" w:pos="284"/>
        </w:tabs>
        <w:ind w:left="266" w:hanging="266"/>
        <w:rPr>
          <w:b/>
        </w:rPr>
      </w:pPr>
    </w:p>
    <w:p w14:paraId="6F83B36E" w14:textId="77777777" w:rsidR="001322C2" w:rsidRPr="00A6689B" w:rsidRDefault="001322C2" w:rsidP="001322C2">
      <w:pPr>
        <w:rPr>
          <w:bCs/>
          <w:iCs/>
        </w:rPr>
      </w:pPr>
      <w:r>
        <w:t xml:space="preserve">Le </w:t>
      </w:r>
      <w:proofErr w:type="gramStart"/>
      <w:r>
        <w:t>CESE:</w:t>
      </w:r>
      <w:proofErr w:type="gramEnd"/>
    </w:p>
    <w:p w14:paraId="2A876F9C" w14:textId="77777777" w:rsidR="001322C2" w:rsidRDefault="001322C2" w:rsidP="001322C2">
      <w:pPr>
        <w:widowControl w:val="0"/>
        <w:numPr>
          <w:ilvl w:val="0"/>
          <w:numId w:val="19"/>
        </w:numPr>
        <w:overflowPunct w:val="0"/>
        <w:autoSpaceDE w:val="0"/>
        <w:autoSpaceDN w:val="0"/>
        <w:adjustRightInd w:val="0"/>
        <w:ind w:hanging="567"/>
        <w:textAlignment w:val="baseline"/>
        <w:rPr>
          <w:bCs/>
          <w:iCs/>
        </w:rPr>
      </w:pPr>
      <w:proofErr w:type="gramStart"/>
      <w:r>
        <w:t>évalue</w:t>
      </w:r>
      <w:proofErr w:type="gramEnd"/>
      <w:r>
        <w:t xml:space="preserve"> la manière dont il est possible d’accroître la robustesse du cadre de l’Union européenne en matière de finance durable et de lui permettre d’être à même de poursuivre ses finalités, compte tenu de son importance pour les objectifs économiques, sociaux et climatiques de l’Union; </w:t>
      </w:r>
    </w:p>
    <w:p w14:paraId="28D175D6" w14:textId="77777777" w:rsidR="001322C2" w:rsidRPr="0009672E" w:rsidRDefault="001322C2" w:rsidP="001322C2">
      <w:pPr>
        <w:widowControl w:val="0"/>
        <w:numPr>
          <w:ilvl w:val="0"/>
          <w:numId w:val="19"/>
        </w:numPr>
        <w:overflowPunct w:val="0"/>
        <w:autoSpaceDE w:val="0"/>
        <w:autoSpaceDN w:val="0"/>
        <w:adjustRightInd w:val="0"/>
        <w:ind w:hanging="567"/>
        <w:textAlignment w:val="baseline"/>
        <w:rPr>
          <w:bCs/>
          <w:iCs/>
        </w:rPr>
      </w:pPr>
      <w:proofErr w:type="gramStart"/>
      <w:r>
        <w:t>affirme</w:t>
      </w:r>
      <w:proofErr w:type="gramEnd"/>
      <w:r>
        <w:t xml:space="preserve"> que la simplification ne devrait pas intervenir aux dépens de l’ambition. S’il est nécessaire de procéder à une rationalisation administrative, il conviendrait de s’attacher à la manière dont il est possible de mettre en œuvre les obligations plus efficacement, et non d’affaiblir les </w:t>
      </w:r>
      <w:proofErr w:type="gramStart"/>
      <w:r>
        <w:t>normes;</w:t>
      </w:r>
      <w:proofErr w:type="gramEnd"/>
    </w:p>
    <w:p w14:paraId="06A25522" w14:textId="77777777" w:rsidR="001322C2" w:rsidRDefault="001322C2" w:rsidP="001322C2">
      <w:pPr>
        <w:widowControl w:val="0"/>
        <w:numPr>
          <w:ilvl w:val="0"/>
          <w:numId w:val="19"/>
        </w:numPr>
        <w:overflowPunct w:val="0"/>
        <w:autoSpaceDE w:val="0"/>
        <w:autoSpaceDN w:val="0"/>
        <w:adjustRightInd w:val="0"/>
        <w:ind w:hanging="567"/>
        <w:textAlignment w:val="baseline"/>
        <w:rPr>
          <w:bCs/>
          <w:iCs/>
        </w:rPr>
      </w:pPr>
      <w:proofErr w:type="gramStart"/>
      <w:r>
        <w:t>invite</w:t>
      </w:r>
      <w:proofErr w:type="gramEnd"/>
      <w:r>
        <w:t xml:space="preserve"> instamment les institutions de l’Union européenne à veiller à ce que les trains de mesures «omnibus» étayent le cadre en matière de finance durable et qu’ils facilitent la mise en conformité des entreprises avec les règles en tant qu’élément positif. Les modifications qu’ils apportent à la directive sur le devoir de vigilance des entreprises en matière de durabilité (CSDDD) et à la directive sur la publication d’informations en matière de durabilité par les entreprises (CSRD) ne devraient pas compromettre la capacité de l’Union à amplifier les investissements durables et à atteindre les objectifs de la loi européenne sur le </w:t>
      </w:r>
      <w:proofErr w:type="gramStart"/>
      <w:r>
        <w:t>climat;</w:t>
      </w:r>
      <w:proofErr w:type="gramEnd"/>
      <w:r>
        <w:t xml:space="preserve"> </w:t>
      </w:r>
    </w:p>
    <w:p w14:paraId="1CA8AA48" w14:textId="77777777" w:rsidR="001322C2" w:rsidRDefault="001322C2" w:rsidP="001322C2">
      <w:pPr>
        <w:widowControl w:val="0"/>
        <w:numPr>
          <w:ilvl w:val="0"/>
          <w:numId w:val="19"/>
        </w:numPr>
        <w:overflowPunct w:val="0"/>
        <w:autoSpaceDE w:val="0"/>
        <w:autoSpaceDN w:val="0"/>
        <w:adjustRightInd w:val="0"/>
        <w:ind w:hanging="567"/>
        <w:textAlignment w:val="baseline"/>
        <w:rPr>
          <w:bCs/>
          <w:iCs/>
        </w:rPr>
      </w:pPr>
      <w:proofErr w:type="gramStart"/>
      <w:r>
        <w:t>estime</w:t>
      </w:r>
      <w:proofErr w:type="gramEnd"/>
      <w:r>
        <w:t xml:space="preserve"> que le cadre posé par ces directives a accru la transparence, mais celle-ci ne suffit pas à enclencher les changements systémiques nécessaires. L’adaptation des exigences relatives aux plans de transition et la modification des obligations de vigilance ne devraient pas menacer l’intégrité de ce cadre. Certaines modifications apportées aux trains de mesures</w:t>
      </w:r>
      <w:proofErr w:type="gramStart"/>
      <w:r>
        <w:t xml:space="preserve"> «omnibus</w:t>
      </w:r>
      <w:proofErr w:type="gramEnd"/>
      <w:r>
        <w:t>» sont susceptibles de mettre celle-ci en péril;</w:t>
      </w:r>
    </w:p>
    <w:p w14:paraId="0D995717" w14:textId="77777777" w:rsidR="001322C2" w:rsidRDefault="001322C2" w:rsidP="001322C2">
      <w:pPr>
        <w:widowControl w:val="0"/>
        <w:numPr>
          <w:ilvl w:val="0"/>
          <w:numId w:val="19"/>
        </w:numPr>
        <w:overflowPunct w:val="0"/>
        <w:autoSpaceDE w:val="0"/>
        <w:autoSpaceDN w:val="0"/>
        <w:adjustRightInd w:val="0"/>
        <w:ind w:hanging="567"/>
        <w:textAlignment w:val="baseline"/>
        <w:rPr>
          <w:bCs/>
          <w:iCs/>
        </w:rPr>
      </w:pPr>
      <w:proofErr w:type="gramStart"/>
      <w:r>
        <w:t>invite</w:t>
      </w:r>
      <w:proofErr w:type="gramEnd"/>
      <w:r>
        <w:t xml:space="preserve"> instamment la Commission et le Parlement à conserver toute leur ambition et à garantir la cohérence du dispositif qui régit la finance durable;</w:t>
      </w:r>
    </w:p>
    <w:p w14:paraId="4EAEB30B" w14:textId="77777777" w:rsidR="001322C2" w:rsidRDefault="001322C2" w:rsidP="001322C2">
      <w:pPr>
        <w:widowControl w:val="0"/>
        <w:numPr>
          <w:ilvl w:val="0"/>
          <w:numId w:val="19"/>
        </w:numPr>
        <w:overflowPunct w:val="0"/>
        <w:autoSpaceDE w:val="0"/>
        <w:autoSpaceDN w:val="0"/>
        <w:adjustRightInd w:val="0"/>
        <w:ind w:hanging="567"/>
        <w:textAlignment w:val="baseline"/>
        <w:rPr>
          <w:bCs/>
          <w:iCs/>
        </w:rPr>
      </w:pPr>
      <w:proofErr w:type="gramStart"/>
      <w:r>
        <w:t>soutient</w:t>
      </w:r>
      <w:proofErr w:type="gramEnd"/>
      <w:r>
        <w:t xml:space="preserve"> dans le même temps les mesures visant à accentuer le caractère proportionné des exigences de publication d’informations, en particulier pour les PME;</w:t>
      </w:r>
    </w:p>
    <w:p w14:paraId="1F1794D9" w14:textId="77777777" w:rsidR="001322C2" w:rsidRDefault="001322C2" w:rsidP="001322C2">
      <w:pPr>
        <w:widowControl w:val="0"/>
        <w:numPr>
          <w:ilvl w:val="0"/>
          <w:numId w:val="19"/>
        </w:numPr>
        <w:overflowPunct w:val="0"/>
        <w:autoSpaceDE w:val="0"/>
        <w:autoSpaceDN w:val="0"/>
        <w:adjustRightInd w:val="0"/>
        <w:ind w:hanging="567"/>
        <w:textAlignment w:val="baseline"/>
        <w:rPr>
          <w:bCs/>
          <w:iCs/>
        </w:rPr>
      </w:pPr>
      <w:proofErr w:type="gramStart"/>
      <w:r>
        <w:t>réitère</w:t>
      </w:r>
      <w:proofErr w:type="gramEnd"/>
      <w:r>
        <w:t xml:space="preserve"> son appel en faveur d’un cadre en matière de finance durable qui tienne compte de l’ensemble des aspects d’ordre environnemental, social et de gouvernance (ESG), et est disposé à participer à la conception de garanties sociales minimales et à mettre en œuvre une taxinomie sociale;</w:t>
      </w:r>
    </w:p>
    <w:p w14:paraId="66B6193A" w14:textId="77777777" w:rsidR="001322C2" w:rsidRDefault="001322C2" w:rsidP="001322C2">
      <w:pPr>
        <w:widowControl w:val="0"/>
        <w:numPr>
          <w:ilvl w:val="0"/>
          <w:numId w:val="19"/>
        </w:numPr>
        <w:overflowPunct w:val="0"/>
        <w:autoSpaceDE w:val="0"/>
        <w:autoSpaceDN w:val="0"/>
        <w:adjustRightInd w:val="0"/>
        <w:ind w:hanging="567"/>
        <w:textAlignment w:val="baseline"/>
        <w:rPr>
          <w:bCs/>
          <w:iCs/>
        </w:rPr>
      </w:pPr>
      <w:proofErr w:type="gramStart"/>
      <w:r>
        <w:t>fait</w:t>
      </w:r>
      <w:proofErr w:type="gramEnd"/>
      <w:r>
        <w:t xml:space="preserve"> valoir la nécessité d’un cadre qui tient dûment compte de l’ensemble des risques possibles associés aux activités non durables. Il s’agit notamment de prendre en compte les coûts sociaux de telles </w:t>
      </w:r>
      <w:proofErr w:type="gramStart"/>
      <w:r>
        <w:t>activités;</w:t>
      </w:r>
      <w:proofErr w:type="gramEnd"/>
    </w:p>
    <w:p w14:paraId="72F2C273" w14:textId="77777777" w:rsidR="001322C2" w:rsidRDefault="001322C2" w:rsidP="001322C2">
      <w:pPr>
        <w:widowControl w:val="0"/>
        <w:numPr>
          <w:ilvl w:val="0"/>
          <w:numId w:val="19"/>
        </w:numPr>
        <w:overflowPunct w:val="0"/>
        <w:autoSpaceDE w:val="0"/>
        <w:autoSpaceDN w:val="0"/>
        <w:adjustRightInd w:val="0"/>
        <w:ind w:hanging="567"/>
        <w:textAlignment w:val="baseline"/>
        <w:rPr>
          <w:bCs/>
          <w:iCs/>
        </w:rPr>
      </w:pPr>
      <w:proofErr w:type="gramStart"/>
      <w:r>
        <w:t>plaide</w:t>
      </w:r>
      <w:proofErr w:type="gramEnd"/>
      <w:r>
        <w:t xml:space="preserve"> pour clarifier plus avant les définitions des concepts essentiels de la durabilité. Il s’agit notamment d’admettre officiellement que le financement de la transition constitue un volet distinct du programme d’action de l’Union en matière de finance </w:t>
      </w:r>
      <w:proofErr w:type="gramStart"/>
      <w:r>
        <w:t>durable;</w:t>
      </w:r>
      <w:proofErr w:type="gramEnd"/>
    </w:p>
    <w:p w14:paraId="661AA3B2" w14:textId="77777777" w:rsidR="001322C2" w:rsidRDefault="001322C2" w:rsidP="001322C2">
      <w:pPr>
        <w:widowControl w:val="0"/>
        <w:numPr>
          <w:ilvl w:val="0"/>
          <w:numId w:val="19"/>
        </w:numPr>
        <w:overflowPunct w:val="0"/>
        <w:autoSpaceDE w:val="0"/>
        <w:autoSpaceDN w:val="0"/>
        <w:adjustRightInd w:val="0"/>
        <w:ind w:hanging="567"/>
        <w:textAlignment w:val="baseline"/>
        <w:rPr>
          <w:bCs/>
          <w:iCs/>
        </w:rPr>
      </w:pPr>
      <w:proofErr w:type="gramStart"/>
      <w:r>
        <w:t>demande</w:t>
      </w:r>
      <w:proofErr w:type="gramEnd"/>
      <w:r>
        <w:t xml:space="preserve"> que le nouveau cadre législatif en matière de finance durable permette aux PME et aux entreprises de l’économie sociale de satisfaire plus facilement aux obligations qui sont les leurs;</w:t>
      </w:r>
    </w:p>
    <w:p w14:paraId="2706CF7D" w14:textId="77777777" w:rsidR="001322C2" w:rsidRDefault="001322C2" w:rsidP="001322C2">
      <w:pPr>
        <w:widowControl w:val="0"/>
        <w:numPr>
          <w:ilvl w:val="0"/>
          <w:numId w:val="19"/>
        </w:numPr>
        <w:overflowPunct w:val="0"/>
        <w:autoSpaceDE w:val="0"/>
        <w:autoSpaceDN w:val="0"/>
        <w:adjustRightInd w:val="0"/>
        <w:ind w:hanging="567"/>
        <w:textAlignment w:val="baseline"/>
        <w:rPr>
          <w:bCs/>
          <w:iCs/>
        </w:rPr>
      </w:pPr>
      <w:proofErr w:type="gramStart"/>
      <w:r>
        <w:lastRenderedPageBreak/>
        <w:t>estime</w:t>
      </w:r>
      <w:proofErr w:type="gramEnd"/>
      <w:r>
        <w:t xml:space="preserve"> qu’il convient de renforcer les instruments d’épargne collective, tels que les régimes de retraite professionnelle, car ils constituent une source solide d’investissement durable;</w:t>
      </w:r>
    </w:p>
    <w:p w14:paraId="4B52B07F" w14:textId="77777777" w:rsidR="001322C2" w:rsidRDefault="001322C2" w:rsidP="001322C2">
      <w:pPr>
        <w:widowControl w:val="0"/>
        <w:numPr>
          <w:ilvl w:val="0"/>
          <w:numId w:val="19"/>
        </w:numPr>
        <w:overflowPunct w:val="0"/>
        <w:autoSpaceDE w:val="0"/>
        <w:autoSpaceDN w:val="0"/>
        <w:adjustRightInd w:val="0"/>
        <w:ind w:hanging="567"/>
        <w:textAlignment w:val="baseline"/>
        <w:rPr>
          <w:bCs/>
          <w:iCs/>
        </w:rPr>
      </w:pPr>
      <w:proofErr w:type="gramStart"/>
      <w:r>
        <w:t>invite</w:t>
      </w:r>
      <w:proofErr w:type="gramEnd"/>
      <w:r>
        <w:t xml:space="preserve"> l’Union européenne et ses États membres à réaffirmer leur engagement financier et politique envers le programme d’action en faveur de la durabilité. Il convient de préserver une marge de manœuvre budgétaire suffisante aux fins des investissements verts et sociaux. </w:t>
      </w:r>
    </w:p>
    <w:p w14:paraId="3E49D9EB" w14:textId="77777777" w:rsidR="001322C2" w:rsidRPr="000624A9" w:rsidRDefault="001322C2" w:rsidP="001322C2">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1322C2" w:rsidRPr="00A6689B" w14:paraId="6050DAF9" w14:textId="77777777" w:rsidTr="00C93F66">
        <w:tc>
          <w:tcPr>
            <w:tcW w:w="1077" w:type="pct"/>
          </w:tcPr>
          <w:p w14:paraId="3239E7C9" w14:textId="77777777" w:rsidR="001322C2" w:rsidRPr="00A6689B" w:rsidRDefault="001322C2" w:rsidP="00C93F66">
            <w:pPr>
              <w:rPr>
                <w:i/>
              </w:rPr>
            </w:pPr>
            <w:r>
              <w:rPr>
                <w:b/>
                <w:i/>
              </w:rPr>
              <w:t>Contact</w:t>
            </w:r>
          </w:p>
        </w:tc>
        <w:tc>
          <w:tcPr>
            <w:tcW w:w="3923" w:type="pct"/>
          </w:tcPr>
          <w:p w14:paraId="727DD492" w14:textId="6EA22383" w:rsidR="001322C2" w:rsidRPr="00A6689B" w:rsidRDefault="001322C2" w:rsidP="00C93F66">
            <w:pPr>
              <w:rPr>
                <w:i/>
              </w:rPr>
            </w:pPr>
            <w:r>
              <w:rPr>
                <w:i/>
              </w:rPr>
              <w:t>Gerald</w:t>
            </w:r>
            <w:r w:rsidR="006031D5">
              <w:rPr>
                <w:i/>
              </w:rPr>
              <w:t> </w:t>
            </w:r>
            <w:r w:rsidR="00ED4804">
              <w:rPr>
                <w:i/>
              </w:rPr>
              <w:t>KLEC</w:t>
            </w:r>
          </w:p>
        </w:tc>
      </w:tr>
      <w:tr w:rsidR="001322C2" w:rsidRPr="00A6689B" w14:paraId="5DAA0DD0" w14:textId="77777777" w:rsidTr="00C93F66">
        <w:tc>
          <w:tcPr>
            <w:tcW w:w="1077" w:type="pct"/>
          </w:tcPr>
          <w:p w14:paraId="18ED7F11" w14:textId="77777777" w:rsidR="001322C2" w:rsidRPr="00A6689B" w:rsidRDefault="001322C2" w:rsidP="00C93F66">
            <w:pPr>
              <w:rPr>
                <w:i/>
              </w:rPr>
            </w:pPr>
            <w:r>
              <w:rPr>
                <w:i/>
              </w:rPr>
              <w:t>Tél.</w:t>
            </w:r>
          </w:p>
        </w:tc>
        <w:tc>
          <w:tcPr>
            <w:tcW w:w="3923" w:type="pct"/>
          </w:tcPr>
          <w:p w14:paraId="6A306546" w14:textId="77777777" w:rsidR="001322C2" w:rsidRPr="00A6689B" w:rsidRDefault="001322C2" w:rsidP="00C93F66">
            <w:pPr>
              <w:rPr>
                <w:i/>
              </w:rPr>
            </w:pPr>
            <w:r>
              <w:rPr>
                <w:i/>
              </w:rPr>
              <w:t>+32 2 5469909</w:t>
            </w:r>
          </w:p>
        </w:tc>
      </w:tr>
      <w:tr w:rsidR="001322C2" w:rsidRPr="00A6689B" w14:paraId="01E37BF5" w14:textId="77777777" w:rsidTr="00C93F66">
        <w:tc>
          <w:tcPr>
            <w:tcW w:w="1077" w:type="pct"/>
          </w:tcPr>
          <w:p w14:paraId="5FE0C72B" w14:textId="77777777" w:rsidR="001322C2" w:rsidRPr="00A6689B" w:rsidRDefault="001322C2" w:rsidP="00C93F66">
            <w:pPr>
              <w:rPr>
                <w:i/>
              </w:rPr>
            </w:pPr>
            <w:r>
              <w:rPr>
                <w:i/>
              </w:rPr>
              <w:t>Courriel</w:t>
            </w:r>
          </w:p>
        </w:tc>
        <w:tc>
          <w:tcPr>
            <w:tcW w:w="3923" w:type="pct"/>
          </w:tcPr>
          <w:p w14:paraId="4D4597F5" w14:textId="77777777" w:rsidR="001322C2" w:rsidRPr="00A6689B" w:rsidRDefault="00CB508B" w:rsidP="00C93F66">
            <w:pPr>
              <w:rPr>
                <w:i/>
              </w:rPr>
            </w:pPr>
            <w:hyperlink r:id="rId30" w:history="1">
              <w:r w:rsidR="001322C2">
                <w:rPr>
                  <w:rStyle w:val="Hyperlink"/>
                  <w:i/>
                </w:rPr>
                <w:t>Gerald.Klec@eesc.europa.eu</w:t>
              </w:r>
            </w:hyperlink>
            <w:r w:rsidR="001322C2">
              <w:rPr>
                <w:i/>
              </w:rPr>
              <w:t xml:space="preserve"> </w:t>
            </w:r>
          </w:p>
        </w:tc>
      </w:tr>
    </w:tbl>
    <w:p w14:paraId="20E20A70" w14:textId="4AC9002C" w:rsidR="00554A73" w:rsidRDefault="00554A73" w:rsidP="00F31327">
      <w:pPr>
        <w:jc w:val="left"/>
      </w:pPr>
    </w:p>
    <w:p w14:paraId="1C186803" w14:textId="77777777" w:rsidR="00554A73" w:rsidRDefault="00554A73">
      <w:pPr>
        <w:spacing w:after="160" w:line="259" w:lineRule="auto"/>
        <w:jc w:val="left"/>
      </w:pPr>
      <w:r>
        <w:br w:type="page"/>
      </w:r>
    </w:p>
    <w:p w14:paraId="1AB7243C" w14:textId="5B0B189E" w:rsidR="00F31327" w:rsidRPr="00EA2195" w:rsidRDefault="00554A73" w:rsidP="00F31327">
      <w:pPr>
        <w:pStyle w:val="Heading1"/>
        <w:keepNext/>
        <w:keepLines/>
        <w:ind w:left="567" w:hanging="567"/>
        <w:rPr>
          <w:b/>
        </w:rPr>
      </w:pPr>
      <w:bookmarkStart w:id="56" w:name="_Toc211333668"/>
      <w:r w:rsidRPr="00554A73">
        <w:rPr>
          <w:rFonts w:eastAsiaTheme="minorEastAsia"/>
          <w:b/>
        </w:rPr>
        <w:lastRenderedPageBreak/>
        <w:t>EMPLOI, AFFAIRES SOCIALES ET CITOYENNETÉ</w:t>
      </w:r>
      <w:bookmarkEnd w:id="56"/>
    </w:p>
    <w:p w14:paraId="7EF5D873" w14:textId="77777777" w:rsidR="00F31327" w:rsidRDefault="00F31327" w:rsidP="00F31327">
      <w:pPr>
        <w:keepNext/>
        <w:keepLines/>
      </w:pPr>
    </w:p>
    <w:p w14:paraId="0D1745E8" w14:textId="131094FD" w:rsidR="00175140" w:rsidRPr="00A04AFA" w:rsidRDefault="00CB508B" w:rsidP="00175140">
      <w:pPr>
        <w:widowControl w:val="0"/>
        <w:numPr>
          <w:ilvl w:val="0"/>
          <w:numId w:val="10"/>
        </w:numPr>
        <w:overflowPunct w:val="0"/>
        <w:autoSpaceDE w:val="0"/>
        <w:autoSpaceDN w:val="0"/>
        <w:adjustRightInd w:val="0"/>
        <w:spacing w:line="240" w:lineRule="auto"/>
        <w:ind w:left="567" w:hanging="567"/>
        <w:textAlignment w:val="baseline"/>
        <w:rPr>
          <w:rStyle w:val="Hyperlink"/>
          <w:b/>
        </w:rPr>
      </w:pPr>
      <w:hyperlink r:id="rId31" w:history="1">
        <w:r w:rsidR="00175140">
          <w:rPr>
            <w:rStyle w:val="Hyperlink"/>
            <w:b/>
            <w:i/>
            <w:sz w:val="28"/>
          </w:rPr>
          <w:t>Comment une approche de prévention active et inclusive peut-elle contribuer à améliorer la santé et la sécurité sur le lieu de travail — Un objectif</w:t>
        </w:r>
        <w:proofErr w:type="gramStart"/>
        <w:r w:rsidR="00175140">
          <w:rPr>
            <w:rStyle w:val="Hyperlink"/>
            <w:b/>
            <w:i/>
            <w:sz w:val="28"/>
          </w:rPr>
          <w:t xml:space="preserve"> «zéro</w:t>
        </w:r>
        <w:proofErr w:type="gramEnd"/>
        <w:r w:rsidR="00175140">
          <w:rPr>
            <w:rStyle w:val="Hyperlink"/>
            <w:b/>
            <w:i/>
            <w:sz w:val="28"/>
          </w:rPr>
          <w:t xml:space="preserve"> décès»?</w:t>
        </w:r>
      </w:hyperlink>
    </w:p>
    <w:p w14:paraId="50E18037" w14:textId="77777777" w:rsidR="00175140" w:rsidRPr="00175210" w:rsidRDefault="00175140" w:rsidP="00175140">
      <w:pPr>
        <w:tabs>
          <w:tab w:val="center" w:pos="284"/>
        </w:tabs>
        <w:spacing w:line="240" w:lineRule="auto"/>
        <w:ind w:left="567" w:hanging="567"/>
        <w:rPr>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175140" w:rsidRPr="00741610" w14:paraId="1C1DFAE3" w14:textId="77777777" w:rsidTr="00C93F66">
        <w:tc>
          <w:tcPr>
            <w:tcW w:w="1701" w:type="dxa"/>
          </w:tcPr>
          <w:p w14:paraId="76009AE3" w14:textId="77777777" w:rsidR="00175140" w:rsidRDefault="00175140" w:rsidP="00C93F66">
            <w:pPr>
              <w:tabs>
                <w:tab w:val="center" w:pos="284"/>
              </w:tabs>
              <w:spacing w:line="240" w:lineRule="auto"/>
              <w:ind w:left="567" w:hanging="567"/>
              <w:rPr>
                <w:b/>
              </w:rPr>
            </w:pPr>
            <w:proofErr w:type="spellStart"/>
            <w:r>
              <w:rPr>
                <w:b/>
              </w:rPr>
              <w:t>Rapporteure</w:t>
            </w:r>
            <w:proofErr w:type="spellEnd"/>
          </w:p>
          <w:p w14:paraId="1042FFA9" w14:textId="77777777" w:rsidR="00175140" w:rsidRPr="00CE74C1" w:rsidRDefault="00175140" w:rsidP="00C93F66">
            <w:pPr>
              <w:tabs>
                <w:tab w:val="center" w:pos="284"/>
              </w:tabs>
              <w:spacing w:line="240" w:lineRule="auto"/>
              <w:ind w:left="567" w:hanging="567"/>
              <w:rPr>
                <w:b/>
                <w:sz w:val="18"/>
                <w:szCs w:val="18"/>
                <w:lang w:val="en-US"/>
              </w:rPr>
            </w:pPr>
          </w:p>
        </w:tc>
        <w:tc>
          <w:tcPr>
            <w:tcW w:w="6237" w:type="dxa"/>
          </w:tcPr>
          <w:p w14:paraId="7556C059" w14:textId="56AA5CA4" w:rsidR="00175140" w:rsidRPr="00741610" w:rsidRDefault="00175140" w:rsidP="00C93F66">
            <w:pPr>
              <w:spacing w:line="240" w:lineRule="auto"/>
              <w:ind w:left="567" w:hanging="567"/>
            </w:pPr>
            <w:r>
              <w:t xml:space="preserve">Nicoletta MERLO (groupe des travailleurs — </w:t>
            </w:r>
            <w:r w:rsidR="00A93D09">
              <w:t>IT</w:t>
            </w:r>
            <w:r>
              <w:t>)</w:t>
            </w:r>
          </w:p>
        </w:tc>
      </w:tr>
      <w:tr w:rsidR="00175140" w:rsidRPr="00CA1E86" w14:paraId="7ED6ED3C" w14:textId="77777777" w:rsidTr="00C93F66">
        <w:tc>
          <w:tcPr>
            <w:tcW w:w="1701" w:type="dxa"/>
            <w:vMerge w:val="restart"/>
          </w:tcPr>
          <w:p w14:paraId="452EA750" w14:textId="77777777" w:rsidR="00175140" w:rsidRPr="00A6689B" w:rsidRDefault="00175140" w:rsidP="00C93F66">
            <w:pPr>
              <w:tabs>
                <w:tab w:val="center" w:pos="284"/>
              </w:tabs>
              <w:spacing w:line="240" w:lineRule="auto"/>
              <w:ind w:left="567" w:hanging="567"/>
              <w:rPr>
                <w:b/>
              </w:rPr>
            </w:pPr>
            <w:r>
              <w:rPr>
                <w:b/>
              </w:rPr>
              <w:t>Références</w:t>
            </w:r>
          </w:p>
        </w:tc>
        <w:tc>
          <w:tcPr>
            <w:tcW w:w="6237" w:type="dxa"/>
          </w:tcPr>
          <w:p w14:paraId="0E21212B" w14:textId="77777777" w:rsidR="00A93D09" w:rsidRDefault="00A93D09" w:rsidP="00A93D09">
            <w:pPr>
              <w:tabs>
                <w:tab w:val="center" w:pos="284"/>
              </w:tabs>
              <w:ind w:left="266" w:right="-3091" w:hanging="266"/>
            </w:pPr>
            <w:r>
              <w:t>Avis exploratoire à la demande de la présidence danoise du Conseil</w:t>
            </w:r>
          </w:p>
          <w:p w14:paraId="29D58187" w14:textId="77777777" w:rsidR="00175140" w:rsidRPr="00A04AFA" w:rsidRDefault="00175140" w:rsidP="00C93F66">
            <w:pPr>
              <w:tabs>
                <w:tab w:val="center" w:pos="284"/>
              </w:tabs>
              <w:spacing w:line="240" w:lineRule="auto"/>
              <w:ind w:left="567" w:hanging="567"/>
            </w:pPr>
            <w:r>
              <w:t>EESC-2025-01394-00-00-AC-TRA</w:t>
            </w:r>
          </w:p>
        </w:tc>
      </w:tr>
      <w:tr w:rsidR="00175140" w:rsidRPr="00CA1E86" w14:paraId="66231871" w14:textId="77777777" w:rsidTr="00C93F66">
        <w:tc>
          <w:tcPr>
            <w:tcW w:w="1701" w:type="dxa"/>
            <w:vMerge/>
          </w:tcPr>
          <w:p w14:paraId="165804CB" w14:textId="77777777" w:rsidR="00175140" w:rsidRPr="00A04AFA" w:rsidRDefault="00175140" w:rsidP="00C93F66">
            <w:pPr>
              <w:tabs>
                <w:tab w:val="center" w:pos="284"/>
              </w:tabs>
              <w:spacing w:line="240" w:lineRule="auto"/>
              <w:ind w:left="266" w:hanging="266"/>
              <w:rPr>
                <w:b/>
                <w:lang w:val="pt-PT"/>
              </w:rPr>
            </w:pPr>
          </w:p>
        </w:tc>
        <w:tc>
          <w:tcPr>
            <w:tcW w:w="6237" w:type="dxa"/>
          </w:tcPr>
          <w:p w14:paraId="49BCAC19" w14:textId="77777777" w:rsidR="00175140" w:rsidRPr="00CE74C1" w:rsidRDefault="00175140" w:rsidP="00C93F66">
            <w:pPr>
              <w:tabs>
                <w:tab w:val="center" w:pos="284"/>
              </w:tabs>
              <w:spacing w:line="240" w:lineRule="auto"/>
              <w:ind w:left="266" w:hanging="266"/>
              <w:rPr>
                <w:sz w:val="18"/>
                <w:szCs w:val="18"/>
                <w:lang w:val="pt-PT"/>
              </w:rPr>
            </w:pPr>
          </w:p>
        </w:tc>
      </w:tr>
    </w:tbl>
    <w:p w14:paraId="6B6D8D53" w14:textId="77777777" w:rsidR="00175140" w:rsidRDefault="00175140" w:rsidP="00175140">
      <w:pPr>
        <w:keepNext/>
        <w:keepLines/>
        <w:tabs>
          <w:tab w:val="center" w:pos="284"/>
        </w:tabs>
        <w:spacing w:line="240" w:lineRule="auto"/>
        <w:ind w:left="266" w:hanging="266"/>
        <w:rPr>
          <w:b/>
        </w:rPr>
      </w:pPr>
      <w:r>
        <w:rPr>
          <w:b/>
        </w:rPr>
        <w:t>Points clés</w:t>
      </w:r>
    </w:p>
    <w:p w14:paraId="64D3A708" w14:textId="77777777" w:rsidR="00175140" w:rsidRPr="00CE74C1" w:rsidRDefault="00175140" w:rsidP="00175140">
      <w:pPr>
        <w:spacing w:line="240" w:lineRule="auto"/>
        <w:rPr>
          <w:sz w:val="18"/>
          <w:szCs w:val="18"/>
        </w:rPr>
      </w:pPr>
    </w:p>
    <w:p w14:paraId="26BBBDBE" w14:textId="77777777" w:rsidR="00175140" w:rsidRPr="006E1B94" w:rsidRDefault="00175140" w:rsidP="00175140">
      <w:pPr>
        <w:pStyle w:val="NormalWeb"/>
        <w:overflowPunct w:val="0"/>
        <w:autoSpaceDE w:val="0"/>
        <w:autoSpaceDN w:val="0"/>
        <w:adjustRightInd w:val="0"/>
        <w:spacing w:before="0" w:beforeAutospacing="0" w:after="0" w:afterAutospacing="0" w:line="288" w:lineRule="auto"/>
        <w:jc w:val="both"/>
        <w:textAlignment w:val="baseline"/>
      </w:pPr>
      <w:r>
        <w:t xml:space="preserve">Le </w:t>
      </w:r>
      <w:proofErr w:type="gramStart"/>
      <w:r>
        <w:t>CESE:</w:t>
      </w:r>
      <w:proofErr w:type="gramEnd"/>
    </w:p>
    <w:p w14:paraId="0B6AE1B7" w14:textId="77777777" w:rsidR="00175140" w:rsidRPr="006E1B94" w:rsidRDefault="00175140" w:rsidP="00175140">
      <w:pPr>
        <w:pStyle w:val="ListParagraph"/>
        <w:numPr>
          <w:ilvl w:val="0"/>
          <w:numId w:val="11"/>
        </w:numPr>
        <w:spacing w:line="276" w:lineRule="auto"/>
        <w:ind w:left="567" w:hanging="567"/>
      </w:pPr>
      <w:proofErr w:type="gramStart"/>
      <w:r>
        <w:t>recommande</w:t>
      </w:r>
      <w:proofErr w:type="gramEnd"/>
      <w:r>
        <w:t xml:space="preserve"> à l’Union européenne et à ses États membres de veiller à assurer la protection de la santé et de la sécurité sur le lieu de travail (SST) et la prévention des risques connexes pour toutes les personnes sur le lieu de travail conformément à la directive-cadre sur la SST, quels que soient la forme de leur contrat de travail, l’intitulé de leur emploi ou leur parcours de formation. Cette protection prévoit un niveau minimal mais complet de bien-être physique, mental et social sur le lieu de </w:t>
      </w:r>
      <w:proofErr w:type="gramStart"/>
      <w:r>
        <w:t>travail;</w:t>
      </w:r>
      <w:proofErr w:type="gramEnd"/>
    </w:p>
    <w:p w14:paraId="1E61EC18" w14:textId="77777777" w:rsidR="00175140" w:rsidRPr="006E1B94" w:rsidRDefault="00175140" w:rsidP="00175140">
      <w:pPr>
        <w:pStyle w:val="ListParagraph"/>
        <w:numPr>
          <w:ilvl w:val="0"/>
          <w:numId w:val="11"/>
        </w:numPr>
        <w:spacing w:line="276" w:lineRule="auto"/>
        <w:ind w:left="567" w:hanging="567"/>
      </w:pPr>
      <w:proofErr w:type="gramStart"/>
      <w:r>
        <w:t>recommande</w:t>
      </w:r>
      <w:proofErr w:type="gramEnd"/>
      <w:r>
        <w:t xml:space="preserve"> de renforcer la coopération et la responsabilité partagée de toutes les parties prenantes, en particulier des partenaires sociaux, afin d’assurer une gestion efficace de la SST. Il est essentiel de faire participer activement les représentants des travailleurs et de promouvoir le dialogue social au niveau de </w:t>
      </w:r>
      <w:proofErr w:type="gramStart"/>
      <w:r>
        <w:t>l’entreprise;</w:t>
      </w:r>
      <w:proofErr w:type="gramEnd"/>
    </w:p>
    <w:p w14:paraId="2DAB1A8E" w14:textId="77777777" w:rsidR="00175140" w:rsidRPr="006E1B94" w:rsidRDefault="00175140" w:rsidP="00175140">
      <w:pPr>
        <w:pStyle w:val="ListParagraph"/>
        <w:numPr>
          <w:ilvl w:val="0"/>
          <w:numId w:val="11"/>
        </w:numPr>
        <w:spacing w:line="276" w:lineRule="auto"/>
        <w:ind w:left="567" w:hanging="567"/>
      </w:pPr>
      <w:proofErr w:type="gramStart"/>
      <w:r>
        <w:t>rappelle</w:t>
      </w:r>
      <w:proofErr w:type="gramEnd"/>
      <w:r>
        <w:t xml:space="preserve"> combien il importe d’évaluer les risques de manière exhaustive et de prendre ce faisant en compte l’ensemble des risques professionnels physiques et psychosociaux auxquels les travailleurs sont exposés. Ces risques peuvent être liés aux nouveaux modèles de travail et aux défis </w:t>
      </w:r>
      <w:proofErr w:type="gramStart"/>
      <w:r>
        <w:t>environnementaux;</w:t>
      </w:r>
      <w:proofErr w:type="gramEnd"/>
    </w:p>
    <w:p w14:paraId="18267827" w14:textId="77777777" w:rsidR="00175140" w:rsidRPr="006E1B94" w:rsidRDefault="00175140" w:rsidP="00175140">
      <w:pPr>
        <w:pStyle w:val="ListParagraph"/>
        <w:numPr>
          <w:ilvl w:val="0"/>
          <w:numId w:val="11"/>
        </w:numPr>
        <w:spacing w:line="276" w:lineRule="auto"/>
        <w:ind w:left="567" w:hanging="567"/>
      </w:pPr>
      <w:proofErr w:type="gramStart"/>
      <w:r>
        <w:t>souligne</w:t>
      </w:r>
      <w:proofErr w:type="gramEnd"/>
      <w:r>
        <w:t xml:space="preserve"> que pour la SST des jeunes, il est capital d’allier formation et expérience professionnelle. Il est nécessaire de favoriser une culture de la sécurité. Il ne s’impose pas moins de veiller à l’adoption d’une approche qui tient compte de la dimension de genre dans le cadre de la formation et des pratiques sur le lieu de </w:t>
      </w:r>
      <w:proofErr w:type="gramStart"/>
      <w:r>
        <w:t>travail;</w:t>
      </w:r>
      <w:proofErr w:type="gramEnd"/>
    </w:p>
    <w:p w14:paraId="16DC3D59" w14:textId="77777777" w:rsidR="00175140" w:rsidRPr="006E1B94" w:rsidRDefault="00175140" w:rsidP="00175140">
      <w:pPr>
        <w:pStyle w:val="ListParagraph"/>
        <w:numPr>
          <w:ilvl w:val="0"/>
          <w:numId w:val="11"/>
        </w:numPr>
        <w:spacing w:line="276" w:lineRule="auto"/>
        <w:ind w:left="567" w:hanging="567"/>
      </w:pPr>
      <w:proofErr w:type="gramStart"/>
      <w:r>
        <w:t>recommande</w:t>
      </w:r>
      <w:proofErr w:type="gramEnd"/>
      <w:r>
        <w:t xml:space="preserve"> d’adapter les politiques en matière de SST aux tendances lourdes de la démographie, et de prêter ce faisant une attention particulière au vieillissement de la main-d’œuvre;</w:t>
      </w:r>
    </w:p>
    <w:p w14:paraId="1A2A3642" w14:textId="77777777" w:rsidR="00175140" w:rsidRPr="006E1B94" w:rsidRDefault="00175140" w:rsidP="00175140">
      <w:pPr>
        <w:pStyle w:val="ListParagraph"/>
        <w:numPr>
          <w:ilvl w:val="0"/>
          <w:numId w:val="11"/>
        </w:numPr>
        <w:spacing w:line="276" w:lineRule="auto"/>
        <w:ind w:left="567" w:hanging="567"/>
      </w:pPr>
      <w:proofErr w:type="gramStart"/>
      <w:r>
        <w:t>recommande</w:t>
      </w:r>
      <w:proofErr w:type="gramEnd"/>
      <w:r>
        <w:t xml:space="preserve"> de procéder à intervalles réguliers à des évaluations de la mise en œuvre de l’acquis de l’Union européenne en matière de SST et, le cas échéant, à sa mise à jour, en se fondant sur des données probantes, afin de tenir compte de l’évolution des modes de travail;</w:t>
      </w:r>
    </w:p>
    <w:p w14:paraId="60703AEC" w14:textId="77777777" w:rsidR="00175140" w:rsidRPr="006E1B94" w:rsidRDefault="00175140" w:rsidP="00175140">
      <w:pPr>
        <w:pStyle w:val="ListParagraph"/>
        <w:numPr>
          <w:ilvl w:val="0"/>
          <w:numId w:val="11"/>
        </w:numPr>
        <w:spacing w:line="276" w:lineRule="auto"/>
        <w:ind w:left="567" w:hanging="567"/>
      </w:pPr>
      <w:proofErr w:type="gramStart"/>
      <w:r>
        <w:t>souligne</w:t>
      </w:r>
      <w:proofErr w:type="gramEnd"/>
      <w:r>
        <w:t xml:space="preserve"> qu’il importe d’intensifier les actions visant à faire respecter et appliquer les règles en vigueur en matière de SST, car il s’agit là d’une étape déterminante en vue de réaliser l’objectif «zéro décès». Il convient également de soutenir les syndicats et les organisations patronales dans le rôle qu’ils tiennent pour suivre et diffuser les bonnes pratiques en matière de SST sur le lieu de travail et mettre en évidence les risques.</w:t>
      </w:r>
    </w:p>
    <w:p w14:paraId="4C914B5F" w14:textId="77777777" w:rsidR="00175140" w:rsidRPr="00CE74C1" w:rsidRDefault="00175140" w:rsidP="00175140">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175140" w:rsidRPr="006E1B94" w14:paraId="2DCF086A" w14:textId="77777777" w:rsidTr="00C93F66">
        <w:tc>
          <w:tcPr>
            <w:tcW w:w="1210" w:type="dxa"/>
          </w:tcPr>
          <w:p w14:paraId="7D055AF8" w14:textId="77777777" w:rsidR="00175140" w:rsidRPr="006E1B94" w:rsidRDefault="00175140" w:rsidP="00C93F66">
            <w:pPr>
              <w:spacing w:line="240" w:lineRule="auto"/>
              <w:rPr>
                <w:i/>
              </w:rPr>
            </w:pPr>
            <w:r>
              <w:rPr>
                <w:b/>
                <w:i/>
              </w:rPr>
              <w:t>Contact</w:t>
            </w:r>
          </w:p>
        </w:tc>
        <w:tc>
          <w:tcPr>
            <w:tcW w:w="4493" w:type="dxa"/>
          </w:tcPr>
          <w:p w14:paraId="517FC5AB" w14:textId="76545C5B" w:rsidR="00175140" w:rsidRPr="006E1B94" w:rsidRDefault="00175140" w:rsidP="00C93F66">
            <w:pPr>
              <w:spacing w:line="240" w:lineRule="auto"/>
              <w:ind w:hanging="12"/>
              <w:rPr>
                <w:i/>
              </w:rPr>
            </w:pPr>
            <w:r>
              <w:rPr>
                <w:i/>
              </w:rPr>
              <w:t>Ana</w:t>
            </w:r>
            <w:r w:rsidR="00A93D09">
              <w:rPr>
                <w:i/>
              </w:rPr>
              <w:t> DUMITRACHE</w:t>
            </w:r>
          </w:p>
        </w:tc>
      </w:tr>
      <w:tr w:rsidR="00175140" w:rsidRPr="006E1B94" w14:paraId="1C67FB97" w14:textId="77777777" w:rsidTr="00C93F66">
        <w:tc>
          <w:tcPr>
            <w:tcW w:w="1210" w:type="dxa"/>
          </w:tcPr>
          <w:p w14:paraId="7A82956F" w14:textId="77777777" w:rsidR="00175140" w:rsidRPr="006E1B94" w:rsidRDefault="00175140" w:rsidP="00C93F66">
            <w:pPr>
              <w:spacing w:line="240" w:lineRule="auto"/>
              <w:rPr>
                <w:i/>
              </w:rPr>
            </w:pPr>
            <w:r>
              <w:rPr>
                <w:i/>
              </w:rPr>
              <w:t>Tél.</w:t>
            </w:r>
          </w:p>
        </w:tc>
        <w:tc>
          <w:tcPr>
            <w:tcW w:w="4493" w:type="dxa"/>
          </w:tcPr>
          <w:p w14:paraId="7EABB5BC" w14:textId="77777777" w:rsidR="00175140" w:rsidRPr="006E1B94" w:rsidRDefault="00175140" w:rsidP="00C93F66">
            <w:pPr>
              <w:spacing w:line="240" w:lineRule="auto"/>
              <w:rPr>
                <w:i/>
              </w:rPr>
            </w:pPr>
            <w:r>
              <w:rPr>
                <w:i/>
              </w:rPr>
              <w:t>+32 2 546 8131</w:t>
            </w:r>
          </w:p>
        </w:tc>
      </w:tr>
      <w:tr w:rsidR="00175140" w:rsidRPr="006E1B94" w14:paraId="30922F1D" w14:textId="77777777" w:rsidTr="00C93F66">
        <w:tc>
          <w:tcPr>
            <w:tcW w:w="1210" w:type="dxa"/>
          </w:tcPr>
          <w:p w14:paraId="5C2B80EF" w14:textId="77777777" w:rsidR="00175140" w:rsidRPr="006E1B94" w:rsidRDefault="00175140" w:rsidP="00C93F66">
            <w:pPr>
              <w:spacing w:line="240" w:lineRule="auto"/>
              <w:rPr>
                <w:i/>
              </w:rPr>
            </w:pPr>
            <w:r>
              <w:rPr>
                <w:i/>
              </w:rPr>
              <w:t>Courriel</w:t>
            </w:r>
          </w:p>
        </w:tc>
        <w:tc>
          <w:tcPr>
            <w:tcW w:w="4493" w:type="dxa"/>
          </w:tcPr>
          <w:p w14:paraId="0BFE29B1" w14:textId="77777777" w:rsidR="00175140" w:rsidRPr="006E1B94" w:rsidRDefault="00CB508B" w:rsidP="00C93F66">
            <w:pPr>
              <w:spacing w:line="240" w:lineRule="auto"/>
              <w:rPr>
                <w:i/>
              </w:rPr>
            </w:pPr>
            <w:hyperlink r:id="rId32" w:history="1">
              <w:r w:rsidR="00175140">
                <w:rPr>
                  <w:rStyle w:val="Hyperlink"/>
                  <w:i/>
                </w:rPr>
                <w:t>Ana.Dumitrache@eesc.europa.eu</w:t>
              </w:r>
            </w:hyperlink>
          </w:p>
        </w:tc>
      </w:tr>
    </w:tbl>
    <w:p w14:paraId="2EF9ACAB" w14:textId="77777777" w:rsidR="00F31327" w:rsidRDefault="00F31327" w:rsidP="00F31327">
      <w:pPr>
        <w:jc w:val="left"/>
        <w:rPr>
          <w:lang w:val="en-GB"/>
        </w:rPr>
      </w:pPr>
    </w:p>
    <w:p w14:paraId="3B61EB52" w14:textId="77777777" w:rsidR="00F31327" w:rsidRDefault="00F31327" w:rsidP="00F31327">
      <w:pPr>
        <w:jc w:val="left"/>
        <w:rPr>
          <w:lang w:val="en-GB"/>
        </w:rPr>
      </w:pPr>
      <w:r>
        <w:rPr>
          <w:lang w:val="en-GB"/>
        </w:rPr>
        <w:br w:type="page"/>
      </w:r>
    </w:p>
    <w:p w14:paraId="36F2857F" w14:textId="0DAB0EEA" w:rsidR="009B2E19" w:rsidRPr="00B4456F" w:rsidRDefault="00CB508B" w:rsidP="009B2E19">
      <w:pPr>
        <w:widowControl w:val="0"/>
        <w:numPr>
          <w:ilvl w:val="0"/>
          <w:numId w:val="19"/>
        </w:numPr>
        <w:overflowPunct w:val="0"/>
        <w:autoSpaceDE w:val="0"/>
        <w:autoSpaceDN w:val="0"/>
        <w:adjustRightInd w:val="0"/>
        <w:ind w:hanging="567"/>
        <w:textAlignment w:val="baseline"/>
        <w:rPr>
          <w:sz w:val="24"/>
          <w:szCs w:val="24"/>
        </w:rPr>
      </w:pPr>
      <w:hyperlink r:id="rId33" w:history="1">
        <w:r w:rsidR="009B2E19">
          <w:rPr>
            <w:rStyle w:val="Hyperlink"/>
            <w:b/>
            <w:i/>
            <w:sz w:val="28"/>
          </w:rPr>
          <w:t>Lignes directrices pour les politiques de l’emploi des États membres</w:t>
        </w:r>
      </w:hyperlink>
    </w:p>
    <w:p w14:paraId="10F821F8" w14:textId="77777777" w:rsidR="009B2E19" w:rsidRPr="00B4456F" w:rsidRDefault="009B2E19" w:rsidP="009B2E19">
      <w:pPr>
        <w:tabs>
          <w:tab w:val="center" w:pos="284"/>
        </w:tabs>
        <w:ind w:left="266" w:hanging="266"/>
        <w:rPr>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9B2E19" w:rsidRPr="00B4456F" w14:paraId="623C6C74" w14:textId="77777777" w:rsidTr="00C93F66">
        <w:tc>
          <w:tcPr>
            <w:tcW w:w="1701" w:type="dxa"/>
          </w:tcPr>
          <w:p w14:paraId="1A3BEFDA" w14:textId="77777777" w:rsidR="009B2E19" w:rsidRPr="00B4456F" w:rsidRDefault="009B2E19" w:rsidP="00C93F66">
            <w:pPr>
              <w:tabs>
                <w:tab w:val="center" w:pos="284"/>
              </w:tabs>
              <w:ind w:left="266" w:hanging="266"/>
              <w:rPr>
                <w:b/>
              </w:rPr>
            </w:pPr>
            <w:proofErr w:type="spellStart"/>
            <w:proofErr w:type="gramStart"/>
            <w:r>
              <w:rPr>
                <w:b/>
              </w:rPr>
              <w:t>Rapporteure</w:t>
            </w:r>
            <w:proofErr w:type="spellEnd"/>
            <w:r>
              <w:rPr>
                <w:b/>
              </w:rPr>
              <w:t>:</w:t>
            </w:r>
            <w:proofErr w:type="gramEnd"/>
          </w:p>
        </w:tc>
        <w:tc>
          <w:tcPr>
            <w:tcW w:w="7621" w:type="dxa"/>
          </w:tcPr>
          <w:p w14:paraId="086D3FFC" w14:textId="77777777" w:rsidR="009B2E19" w:rsidRPr="003C3F22" w:rsidRDefault="009B2E19" w:rsidP="00C93F66">
            <w:pPr>
              <w:tabs>
                <w:tab w:val="center" w:pos="284"/>
              </w:tabs>
              <w:ind w:left="266" w:hanging="266"/>
            </w:pPr>
            <w:proofErr w:type="spellStart"/>
            <w:r>
              <w:t>Mariya</w:t>
            </w:r>
            <w:proofErr w:type="spellEnd"/>
            <w:r>
              <w:t xml:space="preserve"> MINCHEVA (groupe des employeurs — BG)</w:t>
            </w:r>
          </w:p>
        </w:tc>
      </w:tr>
      <w:tr w:rsidR="009B2E19" w:rsidRPr="00B4456F" w14:paraId="0DF6BF9A" w14:textId="77777777" w:rsidTr="00C93F66">
        <w:tc>
          <w:tcPr>
            <w:tcW w:w="1701" w:type="dxa"/>
          </w:tcPr>
          <w:p w14:paraId="43198A0A" w14:textId="77777777" w:rsidR="009B2E19" w:rsidRPr="00B4456F" w:rsidRDefault="009B2E19" w:rsidP="00C93F66">
            <w:pPr>
              <w:tabs>
                <w:tab w:val="center" w:pos="284"/>
              </w:tabs>
              <w:ind w:left="266" w:hanging="266"/>
              <w:rPr>
                <w:b/>
              </w:rPr>
            </w:pPr>
            <w:proofErr w:type="gramStart"/>
            <w:r>
              <w:rPr>
                <w:b/>
              </w:rPr>
              <w:t>Référence:</w:t>
            </w:r>
            <w:proofErr w:type="gramEnd"/>
            <w:r>
              <w:rPr>
                <w:b/>
              </w:rPr>
              <w:t xml:space="preserve"> </w:t>
            </w:r>
          </w:p>
        </w:tc>
        <w:tc>
          <w:tcPr>
            <w:tcW w:w="7621" w:type="dxa"/>
          </w:tcPr>
          <w:p w14:paraId="0E0F6A13" w14:textId="77777777" w:rsidR="009E4566" w:rsidRDefault="009E4566" w:rsidP="009E4566">
            <w:pPr>
              <w:tabs>
                <w:tab w:val="center" w:pos="284"/>
              </w:tabs>
              <w:overflowPunct w:val="0"/>
              <w:autoSpaceDE w:val="0"/>
              <w:autoSpaceDN w:val="0"/>
              <w:adjustRightInd w:val="0"/>
              <w:ind w:left="266" w:hanging="266"/>
              <w:textAlignment w:val="baseline"/>
              <w:rPr>
                <w:lang w:val="en-GB"/>
              </w:rPr>
            </w:pPr>
            <w:proofErr w:type="gramStart"/>
            <w:r>
              <w:rPr>
                <w:lang w:val="en-GB"/>
              </w:rPr>
              <w:t>COM(</w:t>
            </w:r>
            <w:proofErr w:type="gramEnd"/>
            <w:r>
              <w:rPr>
                <w:lang w:val="en-GB"/>
              </w:rPr>
              <w:t>2025) 230 final</w:t>
            </w:r>
          </w:p>
          <w:p w14:paraId="45D16AB0" w14:textId="77777777" w:rsidR="009B2E19" w:rsidRPr="00B4456F" w:rsidRDefault="009B2E19" w:rsidP="00C93F66">
            <w:pPr>
              <w:tabs>
                <w:tab w:val="center" w:pos="284"/>
              </w:tabs>
              <w:ind w:left="266" w:hanging="266"/>
            </w:pPr>
            <w:r>
              <w:t>EESC-2024-02264-00-00-AC</w:t>
            </w:r>
          </w:p>
        </w:tc>
      </w:tr>
    </w:tbl>
    <w:p w14:paraId="4E212C5E" w14:textId="77777777" w:rsidR="009B2E19" w:rsidRPr="00B4456F" w:rsidRDefault="009B2E19" w:rsidP="009B2E19">
      <w:pPr>
        <w:tabs>
          <w:tab w:val="center" w:pos="284"/>
        </w:tabs>
        <w:ind w:left="266" w:hanging="266"/>
      </w:pPr>
    </w:p>
    <w:p w14:paraId="69AFFF8B" w14:textId="77777777" w:rsidR="009B2E19" w:rsidRPr="00B4456F" w:rsidRDefault="009B2E19" w:rsidP="009B2E19">
      <w:pPr>
        <w:keepNext/>
        <w:keepLines/>
        <w:tabs>
          <w:tab w:val="center" w:pos="284"/>
        </w:tabs>
        <w:ind w:left="266" w:hanging="266"/>
        <w:rPr>
          <w:b/>
        </w:rPr>
      </w:pPr>
      <w:r>
        <w:rPr>
          <w:b/>
        </w:rPr>
        <w:t xml:space="preserve">Points </w:t>
      </w:r>
      <w:proofErr w:type="gramStart"/>
      <w:r>
        <w:rPr>
          <w:b/>
        </w:rPr>
        <w:t>clés:</w:t>
      </w:r>
      <w:proofErr w:type="gramEnd"/>
    </w:p>
    <w:p w14:paraId="1FEB58D5" w14:textId="77777777" w:rsidR="009B2E19" w:rsidRDefault="009B2E19" w:rsidP="009B2E19">
      <w:pPr>
        <w:ind w:left="567"/>
        <w:outlineLvl w:val="1"/>
        <w:rPr>
          <w:rStyle w:val="Strong"/>
        </w:rPr>
      </w:pPr>
    </w:p>
    <w:p w14:paraId="22BB94FC" w14:textId="77777777" w:rsidR="009B2E19" w:rsidRPr="000C570C" w:rsidRDefault="009B2E19" w:rsidP="009B2E19">
      <w:pPr>
        <w:outlineLvl w:val="1"/>
      </w:pPr>
      <w:bookmarkStart w:id="57" w:name="_Toc211269745"/>
      <w:bookmarkStart w:id="58" w:name="_Toc211333669"/>
      <w:r>
        <w:t xml:space="preserve">Le </w:t>
      </w:r>
      <w:proofErr w:type="gramStart"/>
      <w:r>
        <w:t>CESE:</w:t>
      </w:r>
      <w:bookmarkEnd w:id="57"/>
      <w:bookmarkEnd w:id="58"/>
      <w:proofErr w:type="gramEnd"/>
    </w:p>
    <w:p w14:paraId="114F4477" w14:textId="77777777" w:rsidR="009B2E19" w:rsidRPr="007A074E" w:rsidRDefault="009B2E19" w:rsidP="009B2E19">
      <w:pPr>
        <w:numPr>
          <w:ilvl w:val="0"/>
          <w:numId w:val="19"/>
        </w:numPr>
        <w:tabs>
          <w:tab w:val="num" w:pos="720"/>
        </w:tabs>
        <w:overflowPunct w:val="0"/>
        <w:autoSpaceDE w:val="0"/>
        <w:autoSpaceDN w:val="0"/>
        <w:adjustRightInd w:val="0"/>
        <w:ind w:hanging="567"/>
        <w:textAlignment w:val="baseline"/>
        <w:outlineLvl w:val="1"/>
        <w:rPr>
          <w:bCs/>
          <w:iCs/>
        </w:rPr>
      </w:pPr>
      <w:bookmarkStart w:id="59" w:name="_Toc211269746"/>
      <w:bookmarkStart w:id="60" w:name="_Toc211333670"/>
      <w:proofErr w:type="gramStart"/>
      <w:r>
        <w:t>soutient</w:t>
      </w:r>
      <w:proofErr w:type="gramEnd"/>
      <w:r>
        <w:t xml:space="preserve"> la reconduction des lignes directrices pour l’emploi pour 2025 dans le cadre du paquet de printemps du Semestre européen;</w:t>
      </w:r>
      <w:bookmarkEnd w:id="59"/>
      <w:bookmarkEnd w:id="60"/>
    </w:p>
    <w:p w14:paraId="2902568F" w14:textId="77777777" w:rsidR="009B2E19" w:rsidRPr="00CC0520" w:rsidRDefault="009B2E19" w:rsidP="009B2E19">
      <w:pPr>
        <w:numPr>
          <w:ilvl w:val="0"/>
          <w:numId w:val="19"/>
        </w:numPr>
        <w:tabs>
          <w:tab w:val="num" w:pos="720"/>
        </w:tabs>
        <w:overflowPunct w:val="0"/>
        <w:autoSpaceDE w:val="0"/>
        <w:autoSpaceDN w:val="0"/>
        <w:adjustRightInd w:val="0"/>
        <w:ind w:hanging="567"/>
        <w:textAlignment w:val="baseline"/>
        <w:outlineLvl w:val="1"/>
        <w:rPr>
          <w:bCs/>
          <w:iCs/>
        </w:rPr>
      </w:pPr>
      <w:bookmarkStart w:id="61" w:name="_Toc211269747"/>
      <w:bookmarkStart w:id="62" w:name="_Toc211333671"/>
      <w:proofErr w:type="gramStart"/>
      <w:r>
        <w:t>estime</w:t>
      </w:r>
      <w:proofErr w:type="gramEnd"/>
      <w:r>
        <w:t xml:space="preserve"> que les nouveaux éléments introduits dans les considérants en 2025 reflètent correctement les mutations et les enjeux qui touchent, respectivement, le développement économique et les marchés du travail;</w:t>
      </w:r>
      <w:bookmarkEnd w:id="61"/>
      <w:bookmarkEnd w:id="62"/>
    </w:p>
    <w:p w14:paraId="59BF70CF" w14:textId="77777777" w:rsidR="009B2E19" w:rsidRPr="00CC0520" w:rsidRDefault="009B2E19" w:rsidP="009B2E19">
      <w:pPr>
        <w:numPr>
          <w:ilvl w:val="0"/>
          <w:numId w:val="19"/>
        </w:numPr>
        <w:tabs>
          <w:tab w:val="num" w:pos="720"/>
        </w:tabs>
        <w:overflowPunct w:val="0"/>
        <w:autoSpaceDE w:val="0"/>
        <w:autoSpaceDN w:val="0"/>
        <w:adjustRightInd w:val="0"/>
        <w:ind w:hanging="567"/>
        <w:textAlignment w:val="baseline"/>
        <w:outlineLvl w:val="1"/>
        <w:rPr>
          <w:bCs/>
          <w:iCs/>
        </w:rPr>
      </w:pPr>
      <w:bookmarkStart w:id="63" w:name="_Toc211269748"/>
      <w:bookmarkStart w:id="64" w:name="_Toc211333672"/>
      <w:proofErr w:type="gramStart"/>
      <w:r>
        <w:t>prend</w:t>
      </w:r>
      <w:proofErr w:type="gramEnd"/>
      <w:r>
        <w:t xml:space="preserve"> note avec satisfaction de l’inclusion d’une référence aux objectifs nationaux à l’horizon 2030 en rapport avec les grands objectifs fixés dans le plan d’action relatif au socle européen des droits sociaux;</w:t>
      </w:r>
      <w:bookmarkEnd w:id="63"/>
      <w:bookmarkEnd w:id="64"/>
    </w:p>
    <w:p w14:paraId="20578C45" w14:textId="31080EFB" w:rsidR="009B2E19" w:rsidRPr="007A074E" w:rsidRDefault="009B2E19" w:rsidP="009B2E19">
      <w:pPr>
        <w:numPr>
          <w:ilvl w:val="0"/>
          <w:numId w:val="19"/>
        </w:numPr>
        <w:tabs>
          <w:tab w:val="num" w:pos="720"/>
        </w:tabs>
        <w:overflowPunct w:val="0"/>
        <w:autoSpaceDE w:val="0"/>
        <w:autoSpaceDN w:val="0"/>
        <w:adjustRightInd w:val="0"/>
        <w:ind w:hanging="567"/>
        <w:textAlignment w:val="baseline"/>
        <w:outlineLvl w:val="1"/>
        <w:rPr>
          <w:bCs/>
          <w:iCs/>
        </w:rPr>
      </w:pPr>
      <w:bookmarkStart w:id="65" w:name="_Toc211269749"/>
      <w:bookmarkStart w:id="66" w:name="_Toc211333673"/>
      <w:proofErr w:type="gramStart"/>
      <w:r>
        <w:t>salue</w:t>
      </w:r>
      <w:proofErr w:type="gramEnd"/>
      <w:r>
        <w:t xml:space="preserve"> les efforts fournis pour maintenir le cap vers la réalisation du grand objectif en matière d’emploi à l’horizon</w:t>
      </w:r>
      <w:r w:rsidR="006031D5">
        <w:t> </w:t>
      </w:r>
      <w:r>
        <w:t>2030. Il convient de noter que les niveaux d’emploi ont augmenté davantage dans les secteurs confrontés à des pénuries de main-d’œuvre relativement importantes. Dans le même temps, des niveaux d’inactivité relativement élevés subsistent parmi les groupes sous-</w:t>
      </w:r>
      <w:proofErr w:type="gramStart"/>
      <w:r>
        <w:t>représentés;</w:t>
      </w:r>
      <w:bookmarkEnd w:id="65"/>
      <w:bookmarkEnd w:id="66"/>
      <w:proofErr w:type="gramEnd"/>
    </w:p>
    <w:p w14:paraId="59ACE917" w14:textId="77777777" w:rsidR="009B2E19" w:rsidRPr="007A074E" w:rsidRDefault="009B2E19" w:rsidP="009B2E19">
      <w:pPr>
        <w:numPr>
          <w:ilvl w:val="0"/>
          <w:numId w:val="19"/>
        </w:numPr>
        <w:tabs>
          <w:tab w:val="num" w:pos="720"/>
        </w:tabs>
        <w:overflowPunct w:val="0"/>
        <w:autoSpaceDE w:val="0"/>
        <w:autoSpaceDN w:val="0"/>
        <w:adjustRightInd w:val="0"/>
        <w:ind w:hanging="567"/>
        <w:textAlignment w:val="baseline"/>
        <w:outlineLvl w:val="1"/>
        <w:rPr>
          <w:bCs/>
          <w:iCs/>
        </w:rPr>
      </w:pPr>
      <w:bookmarkStart w:id="67" w:name="_Toc211269750"/>
      <w:bookmarkStart w:id="68" w:name="_Toc211333674"/>
      <w:proofErr w:type="gramStart"/>
      <w:r>
        <w:t>souligne</w:t>
      </w:r>
      <w:proofErr w:type="gramEnd"/>
      <w:r>
        <w:t xml:space="preserve"> que des systèmes de négociation collective performants demeurent un instrument important pour accroître la productivité du travail et trouver le juste équilibre dans la fixation des salaires nécessaire pour garantir l’équité et un bon ajustement de ceux-ci à l’évolution de la productivité;</w:t>
      </w:r>
      <w:bookmarkEnd w:id="67"/>
      <w:bookmarkEnd w:id="68"/>
    </w:p>
    <w:p w14:paraId="5976EFC5" w14:textId="77777777" w:rsidR="009B2E19" w:rsidRPr="007A074E" w:rsidRDefault="009B2E19" w:rsidP="009B2E19">
      <w:pPr>
        <w:numPr>
          <w:ilvl w:val="0"/>
          <w:numId w:val="19"/>
        </w:numPr>
        <w:tabs>
          <w:tab w:val="num" w:pos="720"/>
        </w:tabs>
        <w:overflowPunct w:val="0"/>
        <w:autoSpaceDE w:val="0"/>
        <w:autoSpaceDN w:val="0"/>
        <w:adjustRightInd w:val="0"/>
        <w:ind w:hanging="567"/>
        <w:textAlignment w:val="baseline"/>
        <w:outlineLvl w:val="1"/>
        <w:rPr>
          <w:bCs/>
          <w:iCs/>
        </w:rPr>
      </w:pPr>
      <w:bookmarkStart w:id="69" w:name="_Toc211269751"/>
      <w:bookmarkStart w:id="70" w:name="_Toc211333675"/>
      <w:proofErr w:type="gramStart"/>
      <w:r>
        <w:t>soutient</w:t>
      </w:r>
      <w:proofErr w:type="gramEnd"/>
      <w:r>
        <w:t xml:space="preserve"> les efforts déployés par de nombreux services publics de l’emploi afin d’accorder une attention particulière aux mesures d’activation et de mettre davantage l’accent sur les compétences et le soutien aux travailleurs confrontés à des transitions professionnelles de manière à favoriser les transitions écologique et numérique; souligne qu’il convient de prêter une attention spécifique aux jeunes, en facilitant le passage de l’école au monde du travail;</w:t>
      </w:r>
      <w:bookmarkEnd w:id="69"/>
      <w:bookmarkEnd w:id="70"/>
    </w:p>
    <w:p w14:paraId="42D93F4B" w14:textId="77777777" w:rsidR="009B2E19" w:rsidRPr="007A074E" w:rsidRDefault="009B2E19" w:rsidP="009B2E19">
      <w:pPr>
        <w:numPr>
          <w:ilvl w:val="0"/>
          <w:numId w:val="19"/>
        </w:numPr>
        <w:tabs>
          <w:tab w:val="num" w:pos="720"/>
        </w:tabs>
        <w:overflowPunct w:val="0"/>
        <w:autoSpaceDE w:val="0"/>
        <w:autoSpaceDN w:val="0"/>
        <w:adjustRightInd w:val="0"/>
        <w:ind w:hanging="567"/>
        <w:textAlignment w:val="baseline"/>
        <w:outlineLvl w:val="1"/>
        <w:rPr>
          <w:bCs/>
          <w:iCs/>
        </w:rPr>
      </w:pPr>
      <w:bookmarkStart w:id="71" w:name="_Toc211269752"/>
      <w:bookmarkStart w:id="72" w:name="_Toc211333676"/>
      <w:proofErr w:type="gramStart"/>
      <w:r>
        <w:t>constate</w:t>
      </w:r>
      <w:proofErr w:type="gramEnd"/>
      <w:r>
        <w:t xml:space="preserve"> avec inquiétude que, malgré certaines évolutions positives, les progrès accomplis dans la réalisation des objectifs nationaux de réduction de la pauvreté d’ici à 2030 varient considérablement d’un État membre à l’autre; une nette accélération s’impose donc d’ici la fin de la décennie pour atteindre l’objectif de l’UE. En outre, le taux de pauvreté infantile reste </w:t>
      </w:r>
      <w:proofErr w:type="gramStart"/>
      <w:r>
        <w:t>alarmant;</w:t>
      </w:r>
      <w:bookmarkEnd w:id="71"/>
      <w:bookmarkEnd w:id="72"/>
      <w:proofErr w:type="gramEnd"/>
    </w:p>
    <w:p w14:paraId="235DFB36" w14:textId="77777777" w:rsidR="009B2E19" w:rsidRDefault="009B2E19" w:rsidP="009B2E19">
      <w:pPr>
        <w:numPr>
          <w:ilvl w:val="0"/>
          <w:numId w:val="19"/>
        </w:numPr>
        <w:tabs>
          <w:tab w:val="num" w:pos="720"/>
        </w:tabs>
        <w:overflowPunct w:val="0"/>
        <w:autoSpaceDE w:val="0"/>
        <w:autoSpaceDN w:val="0"/>
        <w:adjustRightInd w:val="0"/>
        <w:ind w:hanging="567"/>
        <w:textAlignment w:val="baseline"/>
        <w:outlineLvl w:val="1"/>
        <w:rPr>
          <w:bCs/>
          <w:iCs/>
        </w:rPr>
      </w:pPr>
      <w:bookmarkStart w:id="73" w:name="_Toc211269753"/>
      <w:bookmarkStart w:id="74" w:name="_Toc211333677"/>
      <w:proofErr w:type="gramStart"/>
      <w:r>
        <w:t>souligne</w:t>
      </w:r>
      <w:proofErr w:type="gramEnd"/>
      <w:r>
        <w:t xml:space="preserve"> que, malgré les défis géopolitiques et les nouveaux objectifs stratégiques liés à la préparation, à la sécurité et à la défense, la politique de cohésion doit rester au cœur des priorités politiques de l’UE et devrait être dûment financée par le cadre financier pluriannuel (CFP).</w:t>
      </w:r>
      <w:bookmarkEnd w:id="73"/>
      <w:bookmarkEnd w:id="74"/>
    </w:p>
    <w:p w14:paraId="677B0DB9" w14:textId="77777777" w:rsidR="009B2E19" w:rsidRPr="00757411" w:rsidRDefault="009B2E19" w:rsidP="009B2E19">
      <w:pPr>
        <w:ind w:left="567"/>
        <w:outlineLvl w:val="1"/>
        <w:rPr>
          <w:bCs/>
          <w:iCs/>
        </w:rPr>
      </w:pPr>
    </w:p>
    <w:tbl>
      <w:tblPr>
        <w:tblStyle w:val="TableGrid"/>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9B2E19" w:rsidRPr="000C570C" w14:paraId="10D8F346" w14:textId="77777777" w:rsidTr="00C93F66">
        <w:tc>
          <w:tcPr>
            <w:tcW w:w="1418" w:type="dxa"/>
          </w:tcPr>
          <w:p w14:paraId="76CA5A81" w14:textId="77777777" w:rsidR="009B2E19" w:rsidRPr="00B4456F" w:rsidRDefault="009B2E19" w:rsidP="00C93F66">
            <w:pPr>
              <w:spacing w:line="240" w:lineRule="auto"/>
              <w:rPr>
                <w:i/>
              </w:rPr>
            </w:pPr>
            <w:proofErr w:type="gramStart"/>
            <w:r>
              <w:rPr>
                <w:b/>
                <w:i/>
              </w:rPr>
              <w:t>Contact:</w:t>
            </w:r>
            <w:proofErr w:type="gramEnd"/>
          </w:p>
        </w:tc>
        <w:tc>
          <w:tcPr>
            <w:tcW w:w="5670" w:type="dxa"/>
          </w:tcPr>
          <w:p w14:paraId="4BFF0112" w14:textId="77777777" w:rsidR="009B2E19" w:rsidRPr="003C3F22" w:rsidRDefault="009B2E19" w:rsidP="00C93F66">
            <w:pPr>
              <w:spacing w:line="240" w:lineRule="auto"/>
              <w:rPr>
                <w:i/>
              </w:rPr>
            </w:pPr>
            <w:r>
              <w:rPr>
                <w:i/>
              </w:rPr>
              <w:t>Antoni TORRAS ESTRUCH/Ana DUMITRACHE</w:t>
            </w:r>
          </w:p>
        </w:tc>
      </w:tr>
      <w:tr w:rsidR="009B2E19" w:rsidRPr="00B4456F" w14:paraId="3B09ED56" w14:textId="77777777" w:rsidTr="00C93F66">
        <w:tc>
          <w:tcPr>
            <w:tcW w:w="1418" w:type="dxa"/>
          </w:tcPr>
          <w:p w14:paraId="6DF96ED6" w14:textId="77777777" w:rsidR="009B2E19" w:rsidRPr="00B4456F" w:rsidRDefault="009B2E19" w:rsidP="00C93F66">
            <w:pPr>
              <w:spacing w:line="240" w:lineRule="auto"/>
              <w:rPr>
                <w:i/>
              </w:rPr>
            </w:pPr>
            <w:proofErr w:type="gramStart"/>
            <w:r>
              <w:rPr>
                <w:i/>
              </w:rPr>
              <w:t>Tél.:</w:t>
            </w:r>
            <w:proofErr w:type="gramEnd"/>
          </w:p>
        </w:tc>
        <w:tc>
          <w:tcPr>
            <w:tcW w:w="5670" w:type="dxa"/>
          </w:tcPr>
          <w:p w14:paraId="151E009B" w14:textId="77777777" w:rsidR="009B2E19" w:rsidRPr="003C3F22" w:rsidRDefault="009B2E19" w:rsidP="00C93F66">
            <w:pPr>
              <w:spacing w:line="240" w:lineRule="auto"/>
              <w:rPr>
                <w:i/>
              </w:rPr>
            </w:pPr>
            <w:r>
              <w:rPr>
                <w:i/>
              </w:rPr>
              <w:t>+32 25468391 / +32 25468131</w:t>
            </w:r>
          </w:p>
        </w:tc>
      </w:tr>
      <w:tr w:rsidR="009B2E19" w:rsidRPr="00B4456F" w14:paraId="1FF64295" w14:textId="77777777" w:rsidTr="00C93F66">
        <w:tc>
          <w:tcPr>
            <w:tcW w:w="1418" w:type="dxa"/>
          </w:tcPr>
          <w:p w14:paraId="06E2CA79" w14:textId="77777777" w:rsidR="009B2E19" w:rsidRPr="00B4456F" w:rsidRDefault="009B2E19" w:rsidP="00C93F66">
            <w:pPr>
              <w:spacing w:line="240" w:lineRule="auto"/>
              <w:rPr>
                <w:i/>
              </w:rPr>
            </w:pPr>
            <w:proofErr w:type="gramStart"/>
            <w:r>
              <w:rPr>
                <w:i/>
              </w:rPr>
              <w:t>Courriel:</w:t>
            </w:r>
            <w:proofErr w:type="gramEnd"/>
          </w:p>
        </w:tc>
        <w:tc>
          <w:tcPr>
            <w:tcW w:w="5670" w:type="dxa"/>
          </w:tcPr>
          <w:p w14:paraId="457E2959" w14:textId="77777777" w:rsidR="009B2E19" w:rsidRPr="000C570C" w:rsidRDefault="00CB508B" w:rsidP="00C93F66">
            <w:pPr>
              <w:spacing w:line="240" w:lineRule="auto"/>
            </w:pPr>
            <w:hyperlink r:id="rId34" w:history="1">
              <w:r w:rsidR="009B2E19">
                <w:rPr>
                  <w:rStyle w:val="Hyperlink"/>
                  <w:i/>
                </w:rPr>
                <w:t>Antoni.Torrasestruch@eesc.europa.eu</w:t>
              </w:r>
            </w:hyperlink>
          </w:p>
          <w:p w14:paraId="14050750" w14:textId="77777777" w:rsidR="009B2E19" w:rsidRPr="003C3F22" w:rsidRDefault="00CB508B" w:rsidP="00C93F66">
            <w:pPr>
              <w:spacing w:line="240" w:lineRule="auto"/>
              <w:rPr>
                <w:i/>
              </w:rPr>
            </w:pPr>
            <w:hyperlink r:id="rId35" w:history="1">
              <w:r w:rsidR="009B2E19">
                <w:rPr>
                  <w:rStyle w:val="Hyperlink"/>
                  <w:i/>
                </w:rPr>
                <w:t>Ana.Dumitrache@eesc.europa.eu</w:t>
              </w:r>
            </w:hyperlink>
          </w:p>
        </w:tc>
      </w:tr>
    </w:tbl>
    <w:p w14:paraId="1F1E9793" w14:textId="77777777" w:rsidR="00F31327" w:rsidRDefault="00F31327" w:rsidP="00F31327">
      <w:pPr>
        <w:jc w:val="left"/>
        <w:rPr>
          <w:lang w:val="en-GB"/>
        </w:rPr>
      </w:pPr>
      <w:r>
        <w:rPr>
          <w:lang w:val="en-GB"/>
        </w:rPr>
        <w:br w:type="page"/>
      </w:r>
    </w:p>
    <w:p w14:paraId="2833D358" w14:textId="65D4C281" w:rsidR="0070754F" w:rsidRPr="00B4456F" w:rsidRDefault="00CB508B" w:rsidP="0070754F">
      <w:pPr>
        <w:widowControl w:val="0"/>
        <w:numPr>
          <w:ilvl w:val="0"/>
          <w:numId w:val="19"/>
        </w:numPr>
        <w:overflowPunct w:val="0"/>
        <w:autoSpaceDE w:val="0"/>
        <w:autoSpaceDN w:val="0"/>
        <w:adjustRightInd w:val="0"/>
        <w:ind w:hanging="567"/>
        <w:textAlignment w:val="baseline"/>
        <w:rPr>
          <w:sz w:val="24"/>
          <w:szCs w:val="24"/>
        </w:rPr>
      </w:pPr>
      <w:hyperlink r:id="rId36" w:history="1">
        <w:r w:rsidR="0070754F">
          <w:rPr>
            <w:rStyle w:val="Hyperlink"/>
            <w:b/>
            <w:i/>
            <w:sz w:val="28"/>
          </w:rPr>
          <w:t>Instituer un système commun pour le retour de ressortissants de pays tiers en séjour irrégulier dans l’Union</w:t>
        </w:r>
      </w:hyperlink>
      <w:r w:rsidR="0070754F">
        <w:rPr>
          <w:b/>
          <w:i/>
          <w:sz w:val="28"/>
        </w:rPr>
        <w:t xml:space="preserve"> </w:t>
      </w:r>
    </w:p>
    <w:p w14:paraId="673F8D84" w14:textId="77777777" w:rsidR="0070754F" w:rsidRPr="00B4456F" w:rsidRDefault="0070754F" w:rsidP="0070754F">
      <w:pPr>
        <w:tabs>
          <w:tab w:val="center" w:pos="284"/>
        </w:tabs>
        <w:ind w:left="266" w:hanging="266"/>
        <w:rPr>
          <w:b/>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763"/>
      </w:tblGrid>
      <w:tr w:rsidR="0070754F" w:rsidRPr="006E3625" w14:paraId="79C2D823" w14:textId="77777777" w:rsidTr="00C93F66">
        <w:tc>
          <w:tcPr>
            <w:tcW w:w="1701" w:type="dxa"/>
          </w:tcPr>
          <w:p w14:paraId="0C24E3C9" w14:textId="77777777" w:rsidR="0070754F" w:rsidRPr="00B4456F" w:rsidRDefault="0070754F" w:rsidP="00C93F66">
            <w:pPr>
              <w:tabs>
                <w:tab w:val="center" w:pos="284"/>
              </w:tabs>
              <w:ind w:left="266" w:hanging="266"/>
              <w:rPr>
                <w:b/>
              </w:rPr>
            </w:pPr>
            <w:proofErr w:type="gramStart"/>
            <w:r>
              <w:rPr>
                <w:b/>
              </w:rPr>
              <w:t>Rapporteur:</w:t>
            </w:r>
            <w:proofErr w:type="gramEnd"/>
          </w:p>
        </w:tc>
        <w:tc>
          <w:tcPr>
            <w:tcW w:w="7763" w:type="dxa"/>
          </w:tcPr>
          <w:p w14:paraId="7E435FE5" w14:textId="77777777" w:rsidR="0070754F" w:rsidRPr="006046EE" w:rsidRDefault="0070754F" w:rsidP="00C93F66">
            <w:pPr>
              <w:tabs>
                <w:tab w:val="center" w:pos="284"/>
              </w:tabs>
              <w:ind w:left="266" w:hanging="266"/>
            </w:pPr>
            <w:r>
              <w:t>José Antonio MORENO DÍAZ (groupe des travailleurs — ES)</w:t>
            </w:r>
          </w:p>
        </w:tc>
      </w:tr>
      <w:tr w:rsidR="0070754F" w:rsidRPr="00B4456F" w14:paraId="4B5A3D79" w14:textId="77777777" w:rsidTr="00C93F66">
        <w:tc>
          <w:tcPr>
            <w:tcW w:w="1701" w:type="dxa"/>
          </w:tcPr>
          <w:p w14:paraId="42EAB1F9" w14:textId="77777777" w:rsidR="0070754F" w:rsidRPr="00B4456F" w:rsidRDefault="0070754F" w:rsidP="00C93F66">
            <w:pPr>
              <w:tabs>
                <w:tab w:val="center" w:pos="284"/>
              </w:tabs>
              <w:ind w:left="266" w:hanging="266"/>
              <w:rPr>
                <w:b/>
              </w:rPr>
            </w:pPr>
            <w:proofErr w:type="gramStart"/>
            <w:r>
              <w:rPr>
                <w:b/>
              </w:rPr>
              <w:t>Corapporteur:</w:t>
            </w:r>
            <w:proofErr w:type="gramEnd"/>
          </w:p>
        </w:tc>
        <w:tc>
          <w:tcPr>
            <w:tcW w:w="7763" w:type="dxa"/>
          </w:tcPr>
          <w:p w14:paraId="40BA6FA7" w14:textId="77777777" w:rsidR="0070754F" w:rsidRPr="00B4456F" w:rsidRDefault="0070754F" w:rsidP="00C93F66">
            <w:pPr>
              <w:tabs>
                <w:tab w:val="center" w:pos="284"/>
              </w:tabs>
              <w:ind w:left="266" w:hanging="266"/>
            </w:pPr>
            <w:r>
              <w:t xml:space="preserve">Cristian PÎRVULESCU (groupe des organisations de la société civile — RO) </w:t>
            </w:r>
          </w:p>
        </w:tc>
      </w:tr>
      <w:tr w:rsidR="0070754F" w:rsidRPr="00B4456F" w14:paraId="5A40FB67" w14:textId="77777777" w:rsidTr="00C93F66">
        <w:tc>
          <w:tcPr>
            <w:tcW w:w="9464" w:type="dxa"/>
            <w:gridSpan w:val="2"/>
          </w:tcPr>
          <w:p w14:paraId="5FF522B2" w14:textId="77777777" w:rsidR="0070754F" w:rsidRPr="00B4456F" w:rsidRDefault="0070754F" w:rsidP="00C93F66">
            <w:pPr>
              <w:tabs>
                <w:tab w:val="center" w:pos="284"/>
              </w:tabs>
              <w:spacing w:line="160" w:lineRule="exact"/>
              <w:ind w:left="266" w:hanging="266"/>
            </w:pPr>
          </w:p>
        </w:tc>
      </w:tr>
      <w:tr w:rsidR="0070754F" w:rsidRPr="00B4456F" w14:paraId="7F2DDEE9" w14:textId="77777777" w:rsidTr="00C93F66">
        <w:tc>
          <w:tcPr>
            <w:tcW w:w="1701" w:type="dxa"/>
            <w:vMerge w:val="restart"/>
          </w:tcPr>
          <w:p w14:paraId="09F9781C" w14:textId="77777777" w:rsidR="0070754F" w:rsidRPr="00B4456F" w:rsidRDefault="0070754F" w:rsidP="00C93F66">
            <w:pPr>
              <w:tabs>
                <w:tab w:val="center" w:pos="284"/>
              </w:tabs>
              <w:ind w:left="266" w:hanging="266"/>
              <w:rPr>
                <w:b/>
              </w:rPr>
            </w:pPr>
            <w:proofErr w:type="gramStart"/>
            <w:r>
              <w:rPr>
                <w:b/>
              </w:rPr>
              <w:t>Références:</w:t>
            </w:r>
            <w:proofErr w:type="gramEnd"/>
            <w:r>
              <w:rPr>
                <w:b/>
              </w:rPr>
              <w:t xml:space="preserve"> </w:t>
            </w:r>
          </w:p>
        </w:tc>
        <w:tc>
          <w:tcPr>
            <w:tcW w:w="7763" w:type="dxa"/>
          </w:tcPr>
          <w:p w14:paraId="42818DE8" w14:textId="77777777" w:rsidR="0070754F" w:rsidRPr="00B4456F" w:rsidRDefault="0070754F" w:rsidP="00C93F66">
            <w:pPr>
              <w:tabs>
                <w:tab w:val="center" w:pos="284"/>
              </w:tabs>
              <w:ind w:left="266" w:hanging="266"/>
            </w:pPr>
            <w:proofErr w:type="gramStart"/>
            <w:r>
              <w:t>COM(</w:t>
            </w:r>
            <w:proofErr w:type="gramEnd"/>
            <w:r>
              <w:t>2025) 101 final — 2025/0059 (COD)</w:t>
            </w:r>
          </w:p>
        </w:tc>
      </w:tr>
      <w:tr w:rsidR="0070754F" w:rsidRPr="00B4456F" w14:paraId="3BB5FC09" w14:textId="77777777" w:rsidTr="00C93F66">
        <w:tc>
          <w:tcPr>
            <w:tcW w:w="1701" w:type="dxa"/>
            <w:vMerge/>
          </w:tcPr>
          <w:p w14:paraId="1DCD847C" w14:textId="77777777" w:rsidR="0070754F" w:rsidRPr="00B4456F" w:rsidRDefault="0070754F" w:rsidP="00C93F66">
            <w:pPr>
              <w:tabs>
                <w:tab w:val="center" w:pos="284"/>
              </w:tabs>
              <w:ind w:left="266" w:hanging="266"/>
              <w:rPr>
                <w:b/>
              </w:rPr>
            </w:pPr>
          </w:p>
        </w:tc>
        <w:tc>
          <w:tcPr>
            <w:tcW w:w="7763" w:type="dxa"/>
          </w:tcPr>
          <w:p w14:paraId="70605BFD" w14:textId="77777777" w:rsidR="0070754F" w:rsidRPr="00B4456F" w:rsidRDefault="0070754F" w:rsidP="00C93F66">
            <w:pPr>
              <w:tabs>
                <w:tab w:val="center" w:pos="284"/>
              </w:tabs>
              <w:ind w:left="266" w:hanging="266"/>
            </w:pPr>
            <w:r>
              <w:t>EESC-2025-01284-00-00-AC-TRA</w:t>
            </w:r>
          </w:p>
        </w:tc>
      </w:tr>
    </w:tbl>
    <w:p w14:paraId="4F92BA50" w14:textId="77777777" w:rsidR="0070754F" w:rsidRPr="00B4456F" w:rsidRDefault="0070754F" w:rsidP="0070754F">
      <w:pPr>
        <w:keepNext/>
        <w:keepLines/>
        <w:tabs>
          <w:tab w:val="center" w:pos="284"/>
        </w:tabs>
        <w:ind w:left="266" w:hanging="266"/>
        <w:rPr>
          <w:b/>
        </w:rPr>
      </w:pPr>
      <w:r>
        <w:rPr>
          <w:b/>
        </w:rPr>
        <w:t>Points clés</w:t>
      </w:r>
    </w:p>
    <w:p w14:paraId="4B026F1F" w14:textId="77777777" w:rsidR="0070754F" w:rsidRPr="00BF62EB" w:rsidRDefault="0070754F" w:rsidP="0070754F">
      <w:pPr>
        <w:keepNext/>
        <w:keepLines/>
        <w:tabs>
          <w:tab w:val="center" w:pos="284"/>
        </w:tabs>
        <w:ind w:left="266" w:hanging="266"/>
        <w:rPr>
          <w:bCs/>
        </w:rPr>
      </w:pPr>
    </w:p>
    <w:p w14:paraId="376DCCDB" w14:textId="77777777" w:rsidR="0070754F" w:rsidRPr="00B4456F" w:rsidRDefault="0070754F" w:rsidP="0070754F">
      <w:pPr>
        <w:rPr>
          <w:bCs/>
          <w:iCs/>
        </w:rPr>
      </w:pPr>
      <w:r>
        <w:t xml:space="preserve">Le </w:t>
      </w:r>
      <w:proofErr w:type="gramStart"/>
      <w:r>
        <w:t>CESE:</w:t>
      </w:r>
      <w:proofErr w:type="gramEnd"/>
    </w:p>
    <w:p w14:paraId="0A58CA2C" w14:textId="77777777" w:rsidR="0070754F" w:rsidRDefault="0070754F" w:rsidP="0070754F">
      <w:pPr>
        <w:pStyle w:val="Heading2"/>
        <w:numPr>
          <w:ilvl w:val="0"/>
          <w:numId w:val="12"/>
        </w:numPr>
        <w:ind w:left="567" w:hanging="567"/>
      </w:pPr>
      <w:bookmarkStart w:id="75" w:name="_Toc211269754"/>
      <w:bookmarkStart w:id="76" w:name="_Toc211333678"/>
      <w:proofErr w:type="gramStart"/>
      <w:r>
        <w:t>insiste</w:t>
      </w:r>
      <w:proofErr w:type="gramEnd"/>
      <w:r>
        <w:t xml:space="preserve"> sur le fait que toute </w:t>
      </w:r>
      <w:r>
        <w:rPr>
          <w:b/>
          <w:bCs/>
        </w:rPr>
        <w:t>politique de l’Union en matière de retour</w:t>
      </w:r>
      <w:r>
        <w:t xml:space="preserve"> doit reposer sur des </w:t>
      </w:r>
      <w:r>
        <w:rPr>
          <w:b/>
          <w:bCs/>
        </w:rPr>
        <w:t>motifs</w:t>
      </w:r>
      <w:r>
        <w:t xml:space="preserve"> clairs et </w:t>
      </w:r>
      <w:r>
        <w:rPr>
          <w:b/>
          <w:bCs/>
        </w:rPr>
        <w:t>axés sur les droits de l’homme</w:t>
      </w:r>
      <w:r>
        <w:t xml:space="preserve"> et demande que soit réalisée une </w:t>
      </w:r>
      <w:r>
        <w:rPr>
          <w:b/>
          <w:bCs/>
        </w:rPr>
        <w:t>analyse d’impact globale</w:t>
      </w:r>
      <w:r>
        <w:t xml:space="preserve"> qui tienne compte des </w:t>
      </w:r>
      <w:r>
        <w:rPr>
          <w:b/>
          <w:bCs/>
        </w:rPr>
        <w:t>obligations contraignantes découlant du droit international et européen relatif aux droits de l’homme</w:t>
      </w:r>
      <w:r>
        <w:t>;</w:t>
      </w:r>
      <w:bookmarkEnd w:id="75"/>
      <w:bookmarkEnd w:id="76"/>
    </w:p>
    <w:p w14:paraId="0B50C0F2" w14:textId="77777777" w:rsidR="0070754F" w:rsidRPr="00E9424B" w:rsidRDefault="0070754F" w:rsidP="0070754F">
      <w:pPr>
        <w:pStyle w:val="Heading2"/>
        <w:numPr>
          <w:ilvl w:val="0"/>
          <w:numId w:val="12"/>
        </w:numPr>
        <w:ind w:left="567" w:hanging="567"/>
      </w:pPr>
      <w:bookmarkStart w:id="77" w:name="_Toc211269755"/>
      <w:bookmarkStart w:id="78" w:name="_Toc211333679"/>
      <w:proofErr w:type="gramStart"/>
      <w:r>
        <w:rPr>
          <w:b/>
          <w:bCs/>
        </w:rPr>
        <w:t>regrette</w:t>
      </w:r>
      <w:proofErr w:type="gramEnd"/>
      <w:r>
        <w:t xml:space="preserve"> que le </w:t>
      </w:r>
      <w:r>
        <w:rPr>
          <w:b/>
          <w:bCs/>
        </w:rPr>
        <w:t>règlement ne s’inscrive pas dans une stratégie plus large</w:t>
      </w:r>
      <w:r>
        <w:t xml:space="preserve"> visant à </w:t>
      </w:r>
      <w:r>
        <w:rPr>
          <w:b/>
          <w:bCs/>
        </w:rPr>
        <w:t>promouvoir des voies de migration légales et sûres</w:t>
      </w:r>
      <w:r>
        <w:t xml:space="preserve">. En l’absence de véritables solutions de substitution, les procédures de retour resteront inefficaces et renforceront l’exclusion, la surveillance et </w:t>
      </w:r>
      <w:proofErr w:type="gramStart"/>
      <w:r>
        <w:t>l’endiguement;</w:t>
      </w:r>
      <w:bookmarkEnd w:id="77"/>
      <w:bookmarkEnd w:id="78"/>
      <w:proofErr w:type="gramEnd"/>
      <w:r>
        <w:t xml:space="preserve"> </w:t>
      </w:r>
    </w:p>
    <w:p w14:paraId="3406B7EA" w14:textId="77777777" w:rsidR="0070754F" w:rsidRDefault="0070754F" w:rsidP="0070754F">
      <w:pPr>
        <w:pStyle w:val="Heading2"/>
        <w:numPr>
          <w:ilvl w:val="0"/>
          <w:numId w:val="12"/>
        </w:numPr>
        <w:ind w:left="567" w:hanging="567"/>
      </w:pPr>
      <w:bookmarkStart w:id="79" w:name="_Toc211269756"/>
      <w:bookmarkStart w:id="80" w:name="_Toc211333680"/>
      <w:proofErr w:type="gramStart"/>
      <w:r>
        <w:t>déplore</w:t>
      </w:r>
      <w:proofErr w:type="gramEnd"/>
      <w:r>
        <w:t xml:space="preserve"> l’</w:t>
      </w:r>
      <w:r>
        <w:rPr>
          <w:b/>
        </w:rPr>
        <w:t xml:space="preserve">absence d’une véritable analyse d’impact </w:t>
      </w:r>
      <w:r>
        <w:rPr>
          <w:b/>
          <w:i/>
        </w:rPr>
        <w:t>ex ante</w:t>
      </w:r>
      <w:r>
        <w:rPr>
          <w:b/>
        </w:rPr>
        <w:t xml:space="preserve"> de la proposition</w:t>
      </w:r>
      <w:r>
        <w:t xml:space="preserve">. Ce règlement affectant la vie de millions de personnes, il eût été nécessaire de procéder à des analyses rigoureuses et des consultations structurées d’organismes spécialisés et d’organisations de la société </w:t>
      </w:r>
      <w:proofErr w:type="gramStart"/>
      <w:r>
        <w:t>civile;</w:t>
      </w:r>
      <w:bookmarkEnd w:id="79"/>
      <w:bookmarkEnd w:id="80"/>
      <w:proofErr w:type="gramEnd"/>
    </w:p>
    <w:p w14:paraId="00CA6819" w14:textId="77777777" w:rsidR="0070754F" w:rsidRDefault="0070754F" w:rsidP="0070754F">
      <w:pPr>
        <w:pStyle w:val="Heading2"/>
        <w:numPr>
          <w:ilvl w:val="0"/>
          <w:numId w:val="12"/>
        </w:numPr>
        <w:ind w:left="567" w:hanging="567"/>
      </w:pPr>
      <w:bookmarkStart w:id="81" w:name="_Toc211269757"/>
      <w:bookmarkStart w:id="82" w:name="_Toc211333681"/>
      <w:proofErr w:type="gramStart"/>
      <w:r>
        <w:t>souligne</w:t>
      </w:r>
      <w:proofErr w:type="gramEnd"/>
      <w:r>
        <w:t xml:space="preserve"> la </w:t>
      </w:r>
      <w:r>
        <w:rPr>
          <w:b/>
          <w:bCs/>
        </w:rPr>
        <w:t>nécessité de mettre en place des mécanismes de contrôle efficaces, indépendants et transparents</w:t>
      </w:r>
      <w:r>
        <w:t xml:space="preserve"> afin de vérifier le respect des règles, y compris le </w:t>
      </w:r>
      <w:r>
        <w:rPr>
          <w:b/>
          <w:bCs/>
        </w:rPr>
        <w:t>contrôle des pratiques en matière de retour</w:t>
      </w:r>
      <w:r>
        <w:t xml:space="preserve">, des </w:t>
      </w:r>
      <w:r>
        <w:rPr>
          <w:b/>
          <w:bCs/>
        </w:rPr>
        <w:t>conditions de rétention</w:t>
      </w:r>
      <w:r>
        <w:t xml:space="preserve"> et des </w:t>
      </w:r>
      <w:r>
        <w:rPr>
          <w:b/>
          <w:bCs/>
        </w:rPr>
        <w:t>méthodes employées par les autorités compétentes</w:t>
      </w:r>
      <w:r>
        <w:t>;</w:t>
      </w:r>
      <w:bookmarkEnd w:id="81"/>
      <w:bookmarkEnd w:id="82"/>
    </w:p>
    <w:p w14:paraId="7008439F" w14:textId="77777777" w:rsidR="0070754F" w:rsidRDefault="0070754F" w:rsidP="0070754F">
      <w:pPr>
        <w:pStyle w:val="Heading2"/>
        <w:numPr>
          <w:ilvl w:val="0"/>
          <w:numId w:val="12"/>
        </w:numPr>
        <w:ind w:left="567" w:hanging="567"/>
      </w:pPr>
      <w:bookmarkStart w:id="83" w:name="_Toc211269758"/>
      <w:bookmarkStart w:id="84" w:name="_Toc211333682"/>
      <w:proofErr w:type="gramStart"/>
      <w:r>
        <w:t>rappelle</w:t>
      </w:r>
      <w:proofErr w:type="gramEnd"/>
      <w:r>
        <w:t xml:space="preserve"> que </w:t>
      </w:r>
      <w:r>
        <w:rPr>
          <w:b/>
          <w:bCs/>
        </w:rPr>
        <w:t>le retour doit se faire en premier lieu sur une base volontaire</w:t>
      </w:r>
      <w:r>
        <w:t xml:space="preserve">. Ce principe doit demeurer la pierre angulaire de la politique de l’Union en la matière, les retours forcés ne devant être envisagés qu’en dernier </w:t>
      </w:r>
      <w:proofErr w:type="gramStart"/>
      <w:r>
        <w:t>recours;</w:t>
      </w:r>
      <w:bookmarkEnd w:id="83"/>
      <w:bookmarkEnd w:id="84"/>
      <w:proofErr w:type="gramEnd"/>
    </w:p>
    <w:p w14:paraId="081721FA" w14:textId="77777777" w:rsidR="0070754F" w:rsidRDefault="0070754F" w:rsidP="0070754F">
      <w:pPr>
        <w:pStyle w:val="Heading2"/>
        <w:numPr>
          <w:ilvl w:val="0"/>
          <w:numId w:val="12"/>
        </w:numPr>
        <w:ind w:left="567" w:hanging="567"/>
      </w:pPr>
      <w:bookmarkStart w:id="85" w:name="_Toc211269759"/>
      <w:bookmarkStart w:id="86" w:name="_Toc211333683"/>
      <w:proofErr w:type="gramStart"/>
      <w:r>
        <w:t>craint</w:t>
      </w:r>
      <w:proofErr w:type="gramEnd"/>
      <w:r>
        <w:t xml:space="preserve"> que la </w:t>
      </w:r>
      <w:r>
        <w:rPr>
          <w:b/>
          <w:bCs/>
        </w:rPr>
        <w:t>proposition ne restreigne considérablement les droits des migrants</w:t>
      </w:r>
      <w:r>
        <w:t xml:space="preserve"> et </w:t>
      </w:r>
      <w:r>
        <w:rPr>
          <w:b/>
          <w:bCs/>
        </w:rPr>
        <w:t>ne porte atteinte à l’état de droit</w:t>
      </w:r>
      <w:r>
        <w:t xml:space="preserve"> et juge que les motifs de rétention sont trop larges et que la définition du «risque de fuite» est vague, et </w:t>
      </w:r>
      <w:r>
        <w:rPr>
          <w:b/>
          <w:bCs/>
        </w:rPr>
        <w:t>demande instamment à l’Union de préciser ces dispositions</w:t>
      </w:r>
      <w:r>
        <w:t>;</w:t>
      </w:r>
      <w:bookmarkEnd w:id="85"/>
      <w:bookmarkEnd w:id="86"/>
    </w:p>
    <w:p w14:paraId="7A7F3288" w14:textId="77777777" w:rsidR="0070754F" w:rsidRDefault="0070754F" w:rsidP="0070754F">
      <w:pPr>
        <w:pStyle w:val="Heading2"/>
        <w:numPr>
          <w:ilvl w:val="0"/>
          <w:numId w:val="12"/>
        </w:numPr>
        <w:ind w:left="567" w:hanging="567"/>
      </w:pPr>
      <w:bookmarkStart w:id="87" w:name="_Toc211269760"/>
      <w:bookmarkStart w:id="88" w:name="_Toc211333684"/>
      <w:proofErr w:type="gramStart"/>
      <w:r>
        <w:t>souligne</w:t>
      </w:r>
      <w:proofErr w:type="gramEnd"/>
      <w:r>
        <w:t xml:space="preserve"> l’importance de </w:t>
      </w:r>
      <w:r>
        <w:rPr>
          <w:b/>
          <w:bCs/>
        </w:rPr>
        <w:t>normes contraignantes en matière de droits de l’homme</w:t>
      </w:r>
      <w:r>
        <w:t xml:space="preserve"> afin d’</w:t>
      </w:r>
      <w:r>
        <w:rPr>
          <w:b/>
          <w:bCs/>
        </w:rPr>
        <w:t>éviter les retours dans les cas</w:t>
      </w:r>
      <w:r>
        <w:t xml:space="preserve"> où les personnes concernées pourraient être victimes de graves persécutions ou de violations de leurs droits;</w:t>
      </w:r>
      <w:bookmarkEnd w:id="87"/>
      <w:bookmarkEnd w:id="88"/>
    </w:p>
    <w:p w14:paraId="7CC28CE1" w14:textId="77777777" w:rsidR="0070754F" w:rsidRDefault="0070754F" w:rsidP="0070754F">
      <w:pPr>
        <w:pStyle w:val="Heading2"/>
        <w:numPr>
          <w:ilvl w:val="0"/>
          <w:numId w:val="12"/>
        </w:numPr>
        <w:ind w:left="567" w:hanging="567"/>
      </w:pPr>
      <w:bookmarkStart w:id="89" w:name="_Toc211269761"/>
      <w:bookmarkStart w:id="90" w:name="_Toc211333685"/>
      <w:proofErr w:type="gramStart"/>
      <w:r>
        <w:rPr>
          <w:b/>
          <w:bCs/>
        </w:rPr>
        <w:t>n’est</w:t>
      </w:r>
      <w:proofErr w:type="gramEnd"/>
      <w:r>
        <w:rPr>
          <w:b/>
          <w:bCs/>
        </w:rPr>
        <w:t xml:space="preserve"> pas favorable au retour</w:t>
      </w:r>
      <w:r>
        <w:t xml:space="preserve"> vers d’</w:t>
      </w:r>
      <w:r>
        <w:rPr>
          <w:b/>
          <w:bCs/>
        </w:rPr>
        <w:t>autres pays que celui d’origine</w:t>
      </w:r>
      <w:r>
        <w:t xml:space="preserve">. Si le retour vers le pays d’origine n’est pas possible, quelle qu’en soit la raison, la procédure de retour doit être </w:t>
      </w:r>
      <w:proofErr w:type="gramStart"/>
      <w:r>
        <w:t>suspendue;</w:t>
      </w:r>
      <w:bookmarkEnd w:id="89"/>
      <w:bookmarkEnd w:id="90"/>
      <w:proofErr w:type="gramEnd"/>
    </w:p>
    <w:p w14:paraId="4EA38F25" w14:textId="77777777" w:rsidR="0070754F" w:rsidRDefault="0070754F" w:rsidP="0070754F">
      <w:pPr>
        <w:pStyle w:val="Heading2"/>
        <w:numPr>
          <w:ilvl w:val="0"/>
          <w:numId w:val="12"/>
        </w:numPr>
        <w:ind w:left="567" w:hanging="567"/>
      </w:pPr>
      <w:bookmarkStart w:id="91" w:name="_Toc211269762"/>
      <w:bookmarkStart w:id="92" w:name="_Toc211333686"/>
      <w:proofErr w:type="gramStart"/>
      <w:r>
        <w:rPr>
          <w:b/>
          <w:bCs/>
        </w:rPr>
        <w:t>s’oppose</w:t>
      </w:r>
      <w:proofErr w:type="gramEnd"/>
      <w:r>
        <w:rPr>
          <w:b/>
          <w:bCs/>
        </w:rPr>
        <w:t xml:space="preserve"> fermement à la création ou au maintien de «plateformes de retour»</w:t>
      </w:r>
      <w:r>
        <w:t>, qui sont selon lui incompatibles avec les obligations en vertu du droit européen et international;</w:t>
      </w:r>
      <w:bookmarkEnd w:id="91"/>
      <w:bookmarkEnd w:id="92"/>
    </w:p>
    <w:p w14:paraId="73B75E92" w14:textId="77777777" w:rsidR="0070754F" w:rsidRDefault="0070754F" w:rsidP="0070754F">
      <w:pPr>
        <w:pStyle w:val="Heading2"/>
        <w:numPr>
          <w:ilvl w:val="0"/>
          <w:numId w:val="12"/>
        </w:numPr>
        <w:ind w:left="567" w:hanging="567"/>
      </w:pPr>
      <w:bookmarkStart w:id="93" w:name="_Toc211269763"/>
      <w:bookmarkStart w:id="94" w:name="_Toc211333687"/>
      <w:proofErr w:type="gramStart"/>
      <w:r>
        <w:t>estime</w:t>
      </w:r>
      <w:proofErr w:type="gramEnd"/>
      <w:r>
        <w:t xml:space="preserve"> que </w:t>
      </w:r>
      <w:r>
        <w:rPr>
          <w:b/>
          <w:bCs/>
        </w:rPr>
        <w:t>le règlement ne répond pas de manière adéquate à la question de la rétention des enfants dans le cadre de l’immigration</w:t>
      </w:r>
      <w:r>
        <w:t>. Cette pratique devrait disparaître, conformément aux normes internationales en matière de droits de l’homme.</w:t>
      </w:r>
      <w:bookmarkEnd w:id="93"/>
      <w:bookmarkEnd w:id="94"/>
    </w:p>
    <w:p w14:paraId="5CB408F7" w14:textId="77777777" w:rsidR="0070754F" w:rsidRPr="00B4456F" w:rsidRDefault="0070754F" w:rsidP="0070754F">
      <w:pPr>
        <w:pStyle w:val="Heading2"/>
        <w:numPr>
          <w:ilvl w:val="0"/>
          <w:numId w:val="0"/>
        </w:numPr>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670"/>
      </w:tblGrid>
      <w:tr w:rsidR="0070754F" w:rsidRPr="00B4456F" w14:paraId="53DBD842" w14:textId="77777777" w:rsidTr="00C93F66">
        <w:tc>
          <w:tcPr>
            <w:tcW w:w="1134" w:type="dxa"/>
          </w:tcPr>
          <w:p w14:paraId="01C8C460" w14:textId="77777777" w:rsidR="0070754F" w:rsidRPr="00B4456F" w:rsidRDefault="0070754F" w:rsidP="00C93F66">
            <w:pPr>
              <w:spacing w:line="240" w:lineRule="auto"/>
              <w:rPr>
                <w:i/>
              </w:rPr>
            </w:pPr>
            <w:r>
              <w:rPr>
                <w:b/>
                <w:i/>
              </w:rPr>
              <w:lastRenderedPageBreak/>
              <w:t>Contact</w:t>
            </w:r>
          </w:p>
        </w:tc>
        <w:tc>
          <w:tcPr>
            <w:tcW w:w="5670" w:type="dxa"/>
          </w:tcPr>
          <w:p w14:paraId="0E2245C9" w14:textId="61BD82E6" w:rsidR="0070754F" w:rsidRPr="00B4456F" w:rsidRDefault="0070754F" w:rsidP="00C93F66">
            <w:pPr>
              <w:spacing w:line="240" w:lineRule="auto"/>
              <w:rPr>
                <w:i/>
              </w:rPr>
            </w:pPr>
            <w:proofErr w:type="spellStart"/>
            <w:r>
              <w:rPr>
                <w:i/>
              </w:rPr>
              <w:t>Triin</w:t>
            </w:r>
            <w:proofErr w:type="spellEnd"/>
            <w:r>
              <w:rPr>
                <w:i/>
              </w:rPr>
              <w:t xml:space="preserve"> </w:t>
            </w:r>
            <w:r w:rsidR="009E4566">
              <w:rPr>
                <w:i/>
              </w:rPr>
              <w:t>AASMAA GOMES</w:t>
            </w:r>
          </w:p>
        </w:tc>
      </w:tr>
      <w:tr w:rsidR="0070754F" w:rsidRPr="00B4456F" w14:paraId="089AE31A" w14:textId="77777777" w:rsidTr="00C93F66">
        <w:tc>
          <w:tcPr>
            <w:tcW w:w="1134" w:type="dxa"/>
          </w:tcPr>
          <w:p w14:paraId="34043B36" w14:textId="77777777" w:rsidR="0070754F" w:rsidRPr="00B4456F" w:rsidRDefault="0070754F" w:rsidP="00C93F66">
            <w:pPr>
              <w:spacing w:line="240" w:lineRule="auto"/>
              <w:rPr>
                <w:i/>
              </w:rPr>
            </w:pPr>
            <w:r>
              <w:rPr>
                <w:i/>
              </w:rPr>
              <w:t>Tél.</w:t>
            </w:r>
          </w:p>
        </w:tc>
        <w:tc>
          <w:tcPr>
            <w:tcW w:w="5670" w:type="dxa"/>
          </w:tcPr>
          <w:p w14:paraId="21605B4A" w14:textId="77777777" w:rsidR="0070754F" w:rsidRPr="00B4456F" w:rsidRDefault="0070754F" w:rsidP="00C93F66">
            <w:pPr>
              <w:spacing w:line="240" w:lineRule="auto"/>
              <w:rPr>
                <w:i/>
              </w:rPr>
            </w:pPr>
            <w:r>
              <w:rPr>
                <w:i/>
              </w:rPr>
              <w:t>+32 2 546 9524</w:t>
            </w:r>
          </w:p>
        </w:tc>
      </w:tr>
      <w:tr w:rsidR="0070754F" w:rsidRPr="00B4456F" w14:paraId="1E9814C2" w14:textId="77777777" w:rsidTr="00C93F66">
        <w:tc>
          <w:tcPr>
            <w:tcW w:w="1134" w:type="dxa"/>
          </w:tcPr>
          <w:p w14:paraId="39071F48" w14:textId="77777777" w:rsidR="0070754F" w:rsidRPr="00B4456F" w:rsidRDefault="0070754F" w:rsidP="00C93F66">
            <w:pPr>
              <w:spacing w:line="240" w:lineRule="auto"/>
              <w:rPr>
                <w:i/>
              </w:rPr>
            </w:pPr>
            <w:r>
              <w:rPr>
                <w:i/>
              </w:rPr>
              <w:t>Courriel</w:t>
            </w:r>
          </w:p>
        </w:tc>
        <w:tc>
          <w:tcPr>
            <w:tcW w:w="5670" w:type="dxa"/>
          </w:tcPr>
          <w:p w14:paraId="6147E7E5" w14:textId="77777777" w:rsidR="0070754F" w:rsidRPr="006E3625" w:rsidRDefault="00CB508B" w:rsidP="00C93F66">
            <w:pPr>
              <w:spacing w:line="240" w:lineRule="auto"/>
              <w:rPr>
                <w:i/>
                <w:iCs/>
              </w:rPr>
            </w:pPr>
            <w:hyperlink r:id="rId37" w:history="1">
              <w:r w:rsidR="0070754F">
                <w:rPr>
                  <w:rStyle w:val="Hyperlink"/>
                  <w:i/>
                </w:rPr>
                <w:t>Triin.AasmaaGomes@eesc.europa.eu</w:t>
              </w:r>
            </w:hyperlink>
          </w:p>
        </w:tc>
      </w:tr>
    </w:tbl>
    <w:p w14:paraId="3EF73539" w14:textId="77777777" w:rsidR="00F31327" w:rsidRDefault="00F31327" w:rsidP="00F31327">
      <w:pPr>
        <w:jc w:val="left"/>
        <w:rPr>
          <w:lang w:val="en-GB"/>
        </w:rPr>
      </w:pPr>
    </w:p>
    <w:p w14:paraId="2CC197B0" w14:textId="77777777" w:rsidR="00F31327" w:rsidRDefault="00F31327" w:rsidP="00F31327">
      <w:pPr>
        <w:jc w:val="left"/>
        <w:rPr>
          <w:lang w:val="en-GB"/>
        </w:rPr>
      </w:pPr>
      <w:r>
        <w:rPr>
          <w:lang w:val="en-GB"/>
        </w:rPr>
        <w:br w:type="page"/>
      </w:r>
    </w:p>
    <w:p w14:paraId="3826BB83" w14:textId="6E12D00B" w:rsidR="00A64616" w:rsidRPr="00B4456F" w:rsidRDefault="00CB508B" w:rsidP="00A64616">
      <w:pPr>
        <w:widowControl w:val="0"/>
        <w:numPr>
          <w:ilvl w:val="0"/>
          <w:numId w:val="19"/>
        </w:numPr>
        <w:overflowPunct w:val="0"/>
        <w:autoSpaceDE w:val="0"/>
        <w:autoSpaceDN w:val="0"/>
        <w:adjustRightInd w:val="0"/>
        <w:ind w:hanging="567"/>
        <w:textAlignment w:val="baseline"/>
        <w:rPr>
          <w:sz w:val="24"/>
          <w:szCs w:val="24"/>
        </w:rPr>
      </w:pPr>
      <w:hyperlink r:id="rId38" w:history="1">
        <w:r w:rsidR="00A64616">
          <w:rPr>
            <w:rStyle w:val="Hyperlink"/>
            <w:b/>
            <w:i/>
            <w:sz w:val="28"/>
          </w:rPr>
          <w:t>Le bouclier européen de la démocratie</w:t>
        </w:r>
      </w:hyperlink>
    </w:p>
    <w:p w14:paraId="40F45440" w14:textId="77777777" w:rsidR="00A64616" w:rsidRPr="009A2BF9" w:rsidRDefault="00A64616" w:rsidP="00A64616">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771"/>
      </w:tblGrid>
      <w:tr w:rsidR="00A64616" w:rsidRPr="009A2BF9" w14:paraId="1E8683CF" w14:textId="77777777" w:rsidTr="009E4566">
        <w:tc>
          <w:tcPr>
            <w:tcW w:w="1701" w:type="dxa"/>
          </w:tcPr>
          <w:p w14:paraId="7850F5E9" w14:textId="77777777" w:rsidR="00A64616" w:rsidRPr="009A2BF9" w:rsidRDefault="00A64616" w:rsidP="00C93F66">
            <w:pPr>
              <w:tabs>
                <w:tab w:val="center" w:pos="284"/>
              </w:tabs>
              <w:ind w:left="266" w:hanging="266"/>
              <w:rPr>
                <w:b/>
              </w:rPr>
            </w:pPr>
            <w:proofErr w:type="gramStart"/>
            <w:r>
              <w:rPr>
                <w:b/>
              </w:rPr>
              <w:t>Rapporteur:</w:t>
            </w:r>
            <w:proofErr w:type="gramEnd"/>
          </w:p>
        </w:tc>
        <w:tc>
          <w:tcPr>
            <w:tcW w:w="6771" w:type="dxa"/>
          </w:tcPr>
          <w:p w14:paraId="54F6E39B" w14:textId="77777777" w:rsidR="00A64616" w:rsidRPr="009A2BF9" w:rsidRDefault="00A64616" w:rsidP="00C93F66">
            <w:pPr>
              <w:tabs>
                <w:tab w:val="center" w:pos="284"/>
              </w:tabs>
              <w:ind w:left="266" w:hanging="266"/>
            </w:pPr>
            <w:r>
              <w:t>Christian MOOS (groupe des organisations de la société civile — DE)</w:t>
            </w:r>
          </w:p>
        </w:tc>
      </w:tr>
      <w:tr w:rsidR="00A64616" w:rsidRPr="009A2BF9" w14:paraId="409EEF79" w14:textId="77777777" w:rsidTr="009E4566">
        <w:tc>
          <w:tcPr>
            <w:tcW w:w="1701" w:type="dxa"/>
          </w:tcPr>
          <w:p w14:paraId="297B4F27" w14:textId="77777777" w:rsidR="00A64616" w:rsidRPr="009A2BF9" w:rsidRDefault="00A64616" w:rsidP="00C93F66">
            <w:pPr>
              <w:tabs>
                <w:tab w:val="center" w:pos="284"/>
              </w:tabs>
              <w:ind w:left="266" w:hanging="266"/>
              <w:rPr>
                <w:b/>
              </w:rPr>
            </w:pPr>
            <w:proofErr w:type="gramStart"/>
            <w:r>
              <w:rPr>
                <w:b/>
              </w:rPr>
              <w:t>Corapporteur:</w:t>
            </w:r>
            <w:proofErr w:type="gramEnd"/>
          </w:p>
        </w:tc>
        <w:tc>
          <w:tcPr>
            <w:tcW w:w="6771" w:type="dxa"/>
          </w:tcPr>
          <w:p w14:paraId="7A98526C" w14:textId="77777777" w:rsidR="00A64616" w:rsidRPr="009A2BF9" w:rsidRDefault="00A64616" w:rsidP="00C93F66">
            <w:pPr>
              <w:tabs>
                <w:tab w:val="center" w:pos="284"/>
              </w:tabs>
              <w:ind w:left="266" w:hanging="266"/>
            </w:pPr>
            <w:r>
              <w:t>José Antonio MORENO DÍAZ (groupe des travailleurs — ES)</w:t>
            </w:r>
          </w:p>
        </w:tc>
      </w:tr>
      <w:tr w:rsidR="00A64616" w:rsidRPr="009A2BF9" w14:paraId="70CED218" w14:textId="77777777" w:rsidTr="009E4566">
        <w:tc>
          <w:tcPr>
            <w:tcW w:w="8472" w:type="dxa"/>
            <w:gridSpan w:val="2"/>
          </w:tcPr>
          <w:p w14:paraId="2C55C0B6" w14:textId="77777777" w:rsidR="00A64616" w:rsidRPr="009A2BF9" w:rsidRDefault="00A64616" w:rsidP="00C93F66">
            <w:pPr>
              <w:tabs>
                <w:tab w:val="center" w:pos="284"/>
              </w:tabs>
              <w:spacing w:line="160" w:lineRule="exact"/>
              <w:ind w:left="266" w:hanging="266"/>
              <w:rPr>
                <w:lang w:val="es-ES"/>
              </w:rPr>
            </w:pPr>
          </w:p>
        </w:tc>
      </w:tr>
      <w:tr w:rsidR="00A64616" w:rsidRPr="009A2BF9" w14:paraId="59FAEDBE" w14:textId="77777777" w:rsidTr="009E4566">
        <w:tc>
          <w:tcPr>
            <w:tcW w:w="1701" w:type="dxa"/>
            <w:vMerge w:val="restart"/>
          </w:tcPr>
          <w:p w14:paraId="495EC39A" w14:textId="77777777" w:rsidR="00A64616" w:rsidRPr="009A2BF9" w:rsidRDefault="00A64616" w:rsidP="00C93F66">
            <w:pPr>
              <w:tabs>
                <w:tab w:val="center" w:pos="284"/>
              </w:tabs>
              <w:ind w:left="266" w:hanging="266"/>
              <w:rPr>
                <w:b/>
              </w:rPr>
            </w:pPr>
            <w:proofErr w:type="gramStart"/>
            <w:r>
              <w:rPr>
                <w:b/>
              </w:rPr>
              <w:t>Référence:</w:t>
            </w:r>
            <w:proofErr w:type="gramEnd"/>
            <w:r>
              <w:rPr>
                <w:b/>
              </w:rPr>
              <w:t xml:space="preserve"> </w:t>
            </w:r>
          </w:p>
        </w:tc>
        <w:tc>
          <w:tcPr>
            <w:tcW w:w="6771" w:type="dxa"/>
          </w:tcPr>
          <w:p w14:paraId="43E3AC27" w14:textId="77777777" w:rsidR="009E4566" w:rsidRDefault="009E4566" w:rsidP="009E4566">
            <w:pPr>
              <w:tabs>
                <w:tab w:val="center" w:pos="284"/>
              </w:tabs>
              <w:ind w:left="266" w:right="-3091" w:hanging="266"/>
            </w:pPr>
            <w:r>
              <w:t>Avis exploratoire à la demande de la présidence danoise du Conseil</w:t>
            </w:r>
          </w:p>
          <w:p w14:paraId="5382BF8A" w14:textId="4FC6B480" w:rsidR="00A64616" w:rsidRPr="009A2BF9" w:rsidRDefault="00A64616" w:rsidP="00C93F66">
            <w:pPr>
              <w:tabs>
                <w:tab w:val="center" w:pos="284"/>
              </w:tabs>
              <w:ind w:left="266" w:hanging="266"/>
            </w:pPr>
            <w:r>
              <w:t>EESC-2025-01683-00-00-AC</w:t>
            </w:r>
          </w:p>
        </w:tc>
      </w:tr>
      <w:tr w:rsidR="00A64616" w:rsidRPr="009A2BF9" w14:paraId="70E8F1F7" w14:textId="77777777" w:rsidTr="009E4566">
        <w:tc>
          <w:tcPr>
            <w:tcW w:w="1701" w:type="dxa"/>
            <w:vMerge/>
          </w:tcPr>
          <w:p w14:paraId="0A7F7F59" w14:textId="77777777" w:rsidR="00A64616" w:rsidRPr="009A2BF9" w:rsidRDefault="00A64616" w:rsidP="00C93F66">
            <w:pPr>
              <w:tabs>
                <w:tab w:val="center" w:pos="284"/>
              </w:tabs>
              <w:ind w:left="266" w:hanging="266"/>
              <w:rPr>
                <w:b/>
              </w:rPr>
            </w:pPr>
          </w:p>
        </w:tc>
        <w:tc>
          <w:tcPr>
            <w:tcW w:w="6771" w:type="dxa"/>
          </w:tcPr>
          <w:p w14:paraId="58452D55" w14:textId="77777777" w:rsidR="00A64616" w:rsidRPr="009A2BF9" w:rsidRDefault="00A64616" w:rsidP="00C93F66">
            <w:pPr>
              <w:tabs>
                <w:tab w:val="center" w:pos="284"/>
              </w:tabs>
              <w:ind w:left="266" w:hanging="266"/>
            </w:pPr>
          </w:p>
        </w:tc>
      </w:tr>
    </w:tbl>
    <w:p w14:paraId="339773A3" w14:textId="77777777" w:rsidR="00A64616" w:rsidRPr="009A2BF9" w:rsidRDefault="00A64616" w:rsidP="00A64616">
      <w:pPr>
        <w:tabs>
          <w:tab w:val="center" w:pos="284"/>
        </w:tabs>
        <w:ind w:left="266" w:hanging="266"/>
      </w:pPr>
    </w:p>
    <w:p w14:paraId="543C0510" w14:textId="77777777" w:rsidR="00A64616" w:rsidRPr="009A2BF9" w:rsidRDefault="00A64616" w:rsidP="00A64616">
      <w:pPr>
        <w:keepNext/>
        <w:keepLines/>
        <w:tabs>
          <w:tab w:val="center" w:pos="284"/>
        </w:tabs>
        <w:ind w:left="266" w:hanging="266"/>
        <w:rPr>
          <w:b/>
        </w:rPr>
      </w:pPr>
      <w:r>
        <w:rPr>
          <w:b/>
        </w:rPr>
        <w:t xml:space="preserve">Points </w:t>
      </w:r>
      <w:proofErr w:type="gramStart"/>
      <w:r>
        <w:rPr>
          <w:b/>
        </w:rPr>
        <w:t>clés:</w:t>
      </w:r>
      <w:proofErr w:type="gramEnd"/>
    </w:p>
    <w:p w14:paraId="1D9B1048" w14:textId="77777777" w:rsidR="00A64616" w:rsidRPr="009A2BF9" w:rsidRDefault="00A64616" w:rsidP="00A64616">
      <w:pPr>
        <w:keepNext/>
        <w:keepLines/>
        <w:tabs>
          <w:tab w:val="center" w:pos="284"/>
        </w:tabs>
        <w:ind w:left="266" w:hanging="266"/>
        <w:rPr>
          <w:b/>
        </w:rPr>
      </w:pPr>
    </w:p>
    <w:p w14:paraId="60CC48FC" w14:textId="77777777" w:rsidR="00A64616" w:rsidRDefault="00A64616" w:rsidP="00A64616">
      <w:pPr>
        <w:rPr>
          <w:bCs/>
          <w:iCs/>
        </w:rPr>
      </w:pPr>
      <w:r>
        <w:t xml:space="preserve">Le </w:t>
      </w:r>
      <w:proofErr w:type="gramStart"/>
      <w:r>
        <w:t>CESE:</w:t>
      </w:r>
      <w:proofErr w:type="gramEnd"/>
    </w:p>
    <w:p w14:paraId="0C5E75DA" w14:textId="77777777" w:rsidR="00A64616" w:rsidRPr="00537111" w:rsidRDefault="00A64616" w:rsidP="00A64616">
      <w:pPr>
        <w:pStyle w:val="NormalWeb"/>
        <w:numPr>
          <w:ilvl w:val="0"/>
          <w:numId w:val="19"/>
        </w:numPr>
        <w:spacing w:before="0" w:beforeAutospacing="0" w:after="0" w:afterAutospacing="0"/>
        <w:ind w:left="284" w:hanging="284"/>
        <w:jc w:val="both"/>
        <w:rPr>
          <w:sz w:val="22"/>
          <w:szCs w:val="22"/>
        </w:rPr>
      </w:pPr>
      <w:proofErr w:type="gramStart"/>
      <w:r>
        <w:rPr>
          <w:sz w:val="22"/>
        </w:rPr>
        <w:t>met</w:t>
      </w:r>
      <w:proofErr w:type="gramEnd"/>
      <w:r>
        <w:rPr>
          <w:sz w:val="22"/>
        </w:rPr>
        <w:t xml:space="preserve"> en garde contre le fait que la démocratie, l’état de droit et les valeurs européennes sont confrontés à des menaces émanant à la fois d’acteurs externes et internes;</w:t>
      </w:r>
    </w:p>
    <w:p w14:paraId="1EDBE332" w14:textId="77777777" w:rsidR="00A64616" w:rsidRPr="00537111" w:rsidRDefault="00A64616" w:rsidP="00A64616">
      <w:pPr>
        <w:pStyle w:val="NormalWeb"/>
        <w:numPr>
          <w:ilvl w:val="0"/>
          <w:numId w:val="19"/>
        </w:numPr>
        <w:ind w:left="283"/>
        <w:jc w:val="both"/>
        <w:rPr>
          <w:sz w:val="22"/>
          <w:szCs w:val="22"/>
        </w:rPr>
      </w:pPr>
      <w:proofErr w:type="gramStart"/>
      <w:r>
        <w:rPr>
          <w:sz w:val="22"/>
        </w:rPr>
        <w:t>demande</w:t>
      </w:r>
      <w:proofErr w:type="gramEnd"/>
      <w:r>
        <w:rPr>
          <w:sz w:val="22"/>
        </w:rPr>
        <w:t xml:space="preserve"> que l’Union prenne des mesures plus fortes pour protéger la démocratie, y compris dans le cadre de la politique d’élargissement, et qu’un soutien adéquat soit apporté aux pays candidats dans leur défense contre les menaces internes et externes;</w:t>
      </w:r>
    </w:p>
    <w:p w14:paraId="74A7B513" w14:textId="77777777" w:rsidR="00A64616" w:rsidRPr="00537111" w:rsidRDefault="00A64616" w:rsidP="00A64616">
      <w:pPr>
        <w:pStyle w:val="NormalWeb"/>
        <w:numPr>
          <w:ilvl w:val="0"/>
          <w:numId w:val="19"/>
        </w:numPr>
        <w:ind w:left="283"/>
        <w:jc w:val="both"/>
        <w:rPr>
          <w:sz w:val="22"/>
          <w:szCs w:val="22"/>
        </w:rPr>
      </w:pPr>
      <w:proofErr w:type="gramStart"/>
      <w:r>
        <w:rPr>
          <w:sz w:val="22"/>
        </w:rPr>
        <w:t>propose</w:t>
      </w:r>
      <w:proofErr w:type="gramEnd"/>
      <w:r>
        <w:rPr>
          <w:sz w:val="22"/>
        </w:rPr>
        <w:t xml:space="preserve"> de renforcer la démocratie européenne en mettant à la disposition de la société civile et des partenaires sociaux une plateforme qui leur permettra de s’engager dans la politique européenne;</w:t>
      </w:r>
    </w:p>
    <w:p w14:paraId="60DA97C8" w14:textId="77777777" w:rsidR="00A64616" w:rsidRPr="00537111" w:rsidRDefault="00A64616" w:rsidP="00A64616">
      <w:pPr>
        <w:pStyle w:val="NormalWeb"/>
        <w:numPr>
          <w:ilvl w:val="0"/>
          <w:numId w:val="19"/>
        </w:numPr>
        <w:ind w:left="283"/>
        <w:jc w:val="both"/>
        <w:rPr>
          <w:sz w:val="22"/>
          <w:szCs w:val="22"/>
        </w:rPr>
      </w:pPr>
      <w:proofErr w:type="gramStart"/>
      <w:r>
        <w:rPr>
          <w:sz w:val="22"/>
        </w:rPr>
        <w:t>plaide</w:t>
      </w:r>
      <w:proofErr w:type="gramEnd"/>
      <w:r>
        <w:rPr>
          <w:sz w:val="22"/>
        </w:rPr>
        <w:t xml:space="preserve"> en faveur d’une collaboration plus étroite avec les organisations de la société civile afin de lutter contre la désinformation et la propagande;</w:t>
      </w:r>
    </w:p>
    <w:p w14:paraId="3CFDB37D" w14:textId="77777777" w:rsidR="00A64616" w:rsidRPr="00537111" w:rsidRDefault="00A64616" w:rsidP="00A64616">
      <w:pPr>
        <w:pStyle w:val="NormalWeb"/>
        <w:numPr>
          <w:ilvl w:val="0"/>
          <w:numId w:val="19"/>
        </w:numPr>
        <w:ind w:left="283"/>
        <w:jc w:val="both"/>
        <w:rPr>
          <w:sz w:val="22"/>
          <w:szCs w:val="22"/>
        </w:rPr>
      </w:pPr>
      <w:proofErr w:type="gramStart"/>
      <w:r>
        <w:rPr>
          <w:sz w:val="22"/>
        </w:rPr>
        <w:t>demande</w:t>
      </w:r>
      <w:proofErr w:type="gramEnd"/>
      <w:r>
        <w:rPr>
          <w:sz w:val="22"/>
        </w:rPr>
        <w:t xml:space="preserve"> aux législateurs de l’Union de simplifier les procédures de demande de financement pour la société civile, de réduire les obligations de déclaration et d’élargir les possibilités de financements forfaitaires;</w:t>
      </w:r>
    </w:p>
    <w:p w14:paraId="6BDBA876" w14:textId="77777777" w:rsidR="00A64616" w:rsidRPr="00537111" w:rsidRDefault="00A64616" w:rsidP="00A64616">
      <w:pPr>
        <w:pStyle w:val="NormalWeb"/>
        <w:numPr>
          <w:ilvl w:val="0"/>
          <w:numId w:val="19"/>
        </w:numPr>
        <w:ind w:left="283"/>
        <w:jc w:val="both"/>
        <w:rPr>
          <w:sz w:val="22"/>
          <w:szCs w:val="22"/>
        </w:rPr>
      </w:pPr>
      <w:proofErr w:type="gramStart"/>
      <w:r>
        <w:rPr>
          <w:sz w:val="22"/>
        </w:rPr>
        <w:t>réclame</w:t>
      </w:r>
      <w:proofErr w:type="gramEnd"/>
      <w:r>
        <w:rPr>
          <w:sz w:val="22"/>
        </w:rPr>
        <w:t xml:space="preserve"> une application plus stricte des normes en matière d’état de droit dans les États membres et une évaluation de l’incidence de la législation de l’UE sur l’espace civique;</w:t>
      </w:r>
    </w:p>
    <w:p w14:paraId="64DA9FD7" w14:textId="77777777" w:rsidR="00A64616" w:rsidRPr="00537111" w:rsidRDefault="00A64616" w:rsidP="00A64616">
      <w:pPr>
        <w:pStyle w:val="NormalWeb"/>
        <w:numPr>
          <w:ilvl w:val="0"/>
          <w:numId w:val="19"/>
        </w:numPr>
        <w:ind w:left="283"/>
        <w:jc w:val="both"/>
        <w:rPr>
          <w:sz w:val="22"/>
          <w:szCs w:val="22"/>
        </w:rPr>
      </w:pPr>
      <w:proofErr w:type="gramStart"/>
      <w:r>
        <w:rPr>
          <w:sz w:val="22"/>
        </w:rPr>
        <w:t>demande</w:t>
      </w:r>
      <w:proofErr w:type="gramEnd"/>
      <w:r>
        <w:rPr>
          <w:sz w:val="22"/>
        </w:rPr>
        <w:t xml:space="preserve"> la mise en place d’un nouveau cadre financier pluriannuel (CFP) qui préserve la démocratie et garantisse une application stricte du régime de conditionnalité, en retenant les fonds destinés aux gouvernements lorsque ceux-ci violent les valeurs de l’Union, tout en veillant à ce que la société civile et les collectivités locales qui respectent les règles puissent accéder aux financements;</w:t>
      </w:r>
    </w:p>
    <w:p w14:paraId="3232E761" w14:textId="77777777" w:rsidR="00A64616" w:rsidRPr="00537111" w:rsidRDefault="00A64616" w:rsidP="00A64616">
      <w:pPr>
        <w:pStyle w:val="NormalWeb"/>
        <w:numPr>
          <w:ilvl w:val="0"/>
          <w:numId w:val="19"/>
        </w:numPr>
        <w:ind w:left="283"/>
        <w:jc w:val="both"/>
        <w:rPr>
          <w:sz w:val="22"/>
          <w:szCs w:val="22"/>
        </w:rPr>
      </w:pPr>
      <w:proofErr w:type="gramStart"/>
      <w:r>
        <w:rPr>
          <w:sz w:val="22"/>
        </w:rPr>
        <w:t>encourage</w:t>
      </w:r>
      <w:proofErr w:type="gramEnd"/>
      <w:r>
        <w:rPr>
          <w:sz w:val="22"/>
        </w:rPr>
        <w:t xml:space="preserve"> l’Union et les États membres à mettre en place des programmes éducatifs visant à former le personnel à la sensibilisation aux risques et à faire de l’éducation aux médias une priorité essentielle dans les écoles et l’apprentissage tout au long de la vie;</w:t>
      </w:r>
    </w:p>
    <w:p w14:paraId="65E339C5" w14:textId="77777777" w:rsidR="00A64616" w:rsidRPr="00537111" w:rsidRDefault="00A64616" w:rsidP="00A64616">
      <w:pPr>
        <w:pStyle w:val="NormalWeb"/>
        <w:numPr>
          <w:ilvl w:val="0"/>
          <w:numId w:val="19"/>
        </w:numPr>
        <w:ind w:left="283"/>
        <w:jc w:val="both"/>
        <w:rPr>
          <w:sz w:val="22"/>
          <w:szCs w:val="22"/>
        </w:rPr>
      </w:pPr>
      <w:proofErr w:type="gramStart"/>
      <w:r>
        <w:rPr>
          <w:sz w:val="22"/>
        </w:rPr>
        <w:t>demande</w:t>
      </w:r>
      <w:proofErr w:type="gramEnd"/>
      <w:r>
        <w:rPr>
          <w:sz w:val="22"/>
        </w:rPr>
        <w:t xml:space="preserve"> instamment d’investir dans les plateformes numériques européennes et l’IA afin de réduire la dépendance à l’égard des fournisseurs de pays tiers;</w:t>
      </w:r>
    </w:p>
    <w:p w14:paraId="592C29FC" w14:textId="77777777" w:rsidR="00A64616" w:rsidRPr="00537111" w:rsidRDefault="00A64616" w:rsidP="00A64616">
      <w:pPr>
        <w:pStyle w:val="NormalWeb"/>
        <w:numPr>
          <w:ilvl w:val="0"/>
          <w:numId w:val="19"/>
        </w:numPr>
        <w:ind w:left="283"/>
        <w:jc w:val="both"/>
        <w:rPr>
          <w:sz w:val="22"/>
          <w:szCs w:val="22"/>
        </w:rPr>
      </w:pPr>
      <w:proofErr w:type="gramStart"/>
      <w:r>
        <w:rPr>
          <w:sz w:val="22"/>
        </w:rPr>
        <w:t>appelle</w:t>
      </w:r>
      <w:proofErr w:type="gramEnd"/>
      <w:r>
        <w:rPr>
          <w:sz w:val="22"/>
        </w:rPr>
        <w:t xml:space="preserve"> de ses vœux une application stricte de la réglementation relative aux médias sociaux et une évaluation régulière de son efficacité, et met en garde contre tout affaiblissement de cette réglementation dans le cadre de négociations commerciales;</w:t>
      </w:r>
    </w:p>
    <w:p w14:paraId="0E538636" w14:textId="77777777" w:rsidR="00A64616" w:rsidRPr="00537111" w:rsidRDefault="00A64616" w:rsidP="00A64616">
      <w:pPr>
        <w:pStyle w:val="NormalWeb"/>
        <w:numPr>
          <w:ilvl w:val="0"/>
          <w:numId w:val="19"/>
        </w:numPr>
        <w:ind w:left="283"/>
        <w:jc w:val="both"/>
        <w:rPr>
          <w:sz w:val="22"/>
          <w:szCs w:val="22"/>
        </w:rPr>
      </w:pPr>
      <w:proofErr w:type="gramStart"/>
      <w:r>
        <w:rPr>
          <w:sz w:val="22"/>
        </w:rPr>
        <w:t>soutient</w:t>
      </w:r>
      <w:proofErr w:type="gramEnd"/>
      <w:r>
        <w:rPr>
          <w:sz w:val="22"/>
        </w:rPr>
        <w:t xml:space="preserve"> le renforcement de l’initiative </w:t>
      </w:r>
      <w:proofErr w:type="spellStart"/>
      <w:r>
        <w:rPr>
          <w:sz w:val="22"/>
        </w:rPr>
        <w:t>EuroStack</w:t>
      </w:r>
      <w:proofErr w:type="spellEnd"/>
      <w:r>
        <w:rPr>
          <w:sz w:val="22"/>
        </w:rPr>
        <w:t xml:space="preserve"> dans le but de construire un modèle européen d’innovation numérique démocratique et demande que la </w:t>
      </w:r>
      <w:proofErr w:type="spellStart"/>
      <w:r>
        <w:rPr>
          <w:sz w:val="22"/>
        </w:rPr>
        <w:t>task</w:t>
      </w:r>
      <w:proofErr w:type="spellEnd"/>
      <w:r>
        <w:rPr>
          <w:sz w:val="22"/>
        </w:rPr>
        <w:t xml:space="preserve"> force East </w:t>
      </w:r>
      <w:proofErr w:type="spellStart"/>
      <w:r>
        <w:rPr>
          <w:sz w:val="22"/>
        </w:rPr>
        <w:t>StratCom</w:t>
      </w:r>
      <w:proofErr w:type="spellEnd"/>
      <w:r>
        <w:rPr>
          <w:sz w:val="22"/>
        </w:rPr>
        <w:t xml:space="preserve"> et les centres </w:t>
      </w:r>
      <w:proofErr w:type="spellStart"/>
      <w:r>
        <w:rPr>
          <w:sz w:val="22"/>
        </w:rPr>
        <w:t>EuropeDirect</w:t>
      </w:r>
      <w:proofErr w:type="spellEnd"/>
      <w:r>
        <w:rPr>
          <w:sz w:val="22"/>
        </w:rPr>
        <w:t xml:space="preserve"> bénéficient d’un financement accru afin de mettre en place un réseau de fournisseurs d’informations factuelles à l’échelle de l’UE;</w:t>
      </w:r>
    </w:p>
    <w:p w14:paraId="35507B0B" w14:textId="77777777" w:rsidR="00A64616" w:rsidRPr="00537111" w:rsidRDefault="00A64616" w:rsidP="00A64616">
      <w:pPr>
        <w:pStyle w:val="NormalWeb"/>
        <w:numPr>
          <w:ilvl w:val="0"/>
          <w:numId w:val="19"/>
        </w:numPr>
        <w:ind w:left="283"/>
        <w:jc w:val="both"/>
        <w:rPr>
          <w:sz w:val="22"/>
          <w:szCs w:val="22"/>
        </w:rPr>
      </w:pPr>
      <w:proofErr w:type="gramStart"/>
      <w:r>
        <w:rPr>
          <w:sz w:val="22"/>
        </w:rPr>
        <w:t>invite</w:t>
      </w:r>
      <w:proofErr w:type="gramEnd"/>
      <w:r>
        <w:rPr>
          <w:sz w:val="22"/>
        </w:rPr>
        <w:t xml:space="preserve"> les gouvernements nationaux à réformer les règles régissant les dons aux partis, à combler les lacunes et à interdire le financement des partis politiques par des pays tiers;</w:t>
      </w:r>
    </w:p>
    <w:p w14:paraId="6B8D1C07" w14:textId="77777777" w:rsidR="00A64616" w:rsidRDefault="00A64616" w:rsidP="00A64616">
      <w:pPr>
        <w:pStyle w:val="NormalWeb"/>
        <w:numPr>
          <w:ilvl w:val="0"/>
          <w:numId w:val="19"/>
        </w:numPr>
        <w:ind w:left="283"/>
        <w:jc w:val="both"/>
      </w:pPr>
      <w:proofErr w:type="gramStart"/>
      <w:r>
        <w:rPr>
          <w:sz w:val="22"/>
        </w:rPr>
        <w:t>propose</w:t>
      </w:r>
      <w:proofErr w:type="gramEnd"/>
      <w:r>
        <w:rPr>
          <w:sz w:val="22"/>
        </w:rPr>
        <w:t xml:space="preserve"> de faire de la commission spéciale du Parlement européen sur le bouclier européen de la démocratie une commission permanente consacrée à la défense et au renforcement de la démocratie.</w:t>
      </w:r>
    </w:p>
    <w:tbl>
      <w:tblPr>
        <w:tblStyle w:val="TableGrid"/>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64616" w:rsidRPr="00B4456F" w14:paraId="231892C2" w14:textId="77777777" w:rsidTr="00C93F66">
        <w:tc>
          <w:tcPr>
            <w:tcW w:w="1418" w:type="dxa"/>
          </w:tcPr>
          <w:p w14:paraId="1F7919E1" w14:textId="77777777" w:rsidR="00A64616" w:rsidRPr="00B4456F" w:rsidRDefault="00A64616" w:rsidP="00C93F66">
            <w:pPr>
              <w:spacing w:line="240" w:lineRule="auto"/>
              <w:rPr>
                <w:i/>
              </w:rPr>
            </w:pPr>
            <w:proofErr w:type="gramStart"/>
            <w:r>
              <w:rPr>
                <w:b/>
                <w:i/>
              </w:rPr>
              <w:t>Contact::</w:t>
            </w:r>
            <w:proofErr w:type="gramEnd"/>
          </w:p>
        </w:tc>
        <w:tc>
          <w:tcPr>
            <w:tcW w:w="5670" w:type="dxa"/>
          </w:tcPr>
          <w:p w14:paraId="03E27E6B" w14:textId="3BBCA8FB" w:rsidR="00A64616" w:rsidRPr="00B4456F" w:rsidRDefault="00A64616" w:rsidP="00C93F66">
            <w:pPr>
              <w:spacing w:line="240" w:lineRule="auto"/>
              <w:rPr>
                <w:i/>
              </w:rPr>
            </w:pPr>
            <w:r>
              <w:rPr>
                <w:i/>
              </w:rPr>
              <w:t>Jean-Marie </w:t>
            </w:r>
            <w:r w:rsidR="00412F77">
              <w:rPr>
                <w:i/>
              </w:rPr>
              <w:t>ROGUE</w:t>
            </w:r>
          </w:p>
        </w:tc>
      </w:tr>
      <w:tr w:rsidR="00A64616" w:rsidRPr="00B4456F" w14:paraId="1920EBC0" w14:textId="77777777" w:rsidTr="00C93F66">
        <w:tc>
          <w:tcPr>
            <w:tcW w:w="1418" w:type="dxa"/>
          </w:tcPr>
          <w:p w14:paraId="00C2E5B0" w14:textId="77777777" w:rsidR="00A64616" w:rsidRPr="00B4456F" w:rsidRDefault="00A64616" w:rsidP="00C93F66">
            <w:pPr>
              <w:spacing w:line="240" w:lineRule="auto"/>
              <w:rPr>
                <w:i/>
              </w:rPr>
            </w:pPr>
            <w:proofErr w:type="gramStart"/>
            <w:r>
              <w:rPr>
                <w:i/>
              </w:rPr>
              <w:t>Tél.:</w:t>
            </w:r>
            <w:proofErr w:type="gramEnd"/>
          </w:p>
        </w:tc>
        <w:tc>
          <w:tcPr>
            <w:tcW w:w="5670" w:type="dxa"/>
          </w:tcPr>
          <w:p w14:paraId="4FF22FCF" w14:textId="77777777" w:rsidR="00A64616" w:rsidRPr="00B4456F" w:rsidRDefault="00A64616" w:rsidP="00C93F66">
            <w:pPr>
              <w:spacing w:line="240" w:lineRule="auto"/>
              <w:rPr>
                <w:i/>
              </w:rPr>
            </w:pPr>
            <w:r>
              <w:rPr>
                <w:i/>
              </w:rPr>
              <w:t>+32 25468909</w:t>
            </w:r>
          </w:p>
        </w:tc>
      </w:tr>
      <w:tr w:rsidR="00A64616" w:rsidRPr="00B4456F" w14:paraId="5A32BE09" w14:textId="77777777" w:rsidTr="00C93F66">
        <w:tc>
          <w:tcPr>
            <w:tcW w:w="1418" w:type="dxa"/>
          </w:tcPr>
          <w:p w14:paraId="1F00D1A2" w14:textId="77777777" w:rsidR="00A64616" w:rsidRPr="00B4456F" w:rsidRDefault="00A64616" w:rsidP="00C93F66">
            <w:pPr>
              <w:spacing w:line="240" w:lineRule="auto"/>
              <w:rPr>
                <w:i/>
              </w:rPr>
            </w:pPr>
            <w:proofErr w:type="gramStart"/>
            <w:r>
              <w:rPr>
                <w:i/>
              </w:rPr>
              <w:t>Courriel:</w:t>
            </w:r>
            <w:proofErr w:type="gramEnd"/>
          </w:p>
        </w:tc>
        <w:tc>
          <w:tcPr>
            <w:tcW w:w="5670" w:type="dxa"/>
          </w:tcPr>
          <w:p w14:paraId="7D77061F" w14:textId="77777777" w:rsidR="00A64616" w:rsidRPr="00BA7ABB" w:rsidRDefault="00CB508B" w:rsidP="00C93F66">
            <w:pPr>
              <w:spacing w:line="240" w:lineRule="auto"/>
              <w:rPr>
                <w:i/>
                <w:iCs/>
              </w:rPr>
            </w:pPr>
            <w:hyperlink r:id="rId39" w:history="1">
              <w:r w:rsidR="00A64616">
                <w:rPr>
                  <w:rStyle w:val="Hyperlink"/>
                  <w:i/>
                </w:rPr>
                <w:t>JeanMarie.Rogue@eesc.europa.eu</w:t>
              </w:r>
            </w:hyperlink>
            <w:r w:rsidR="00A64616">
              <w:rPr>
                <w:i/>
              </w:rPr>
              <w:t xml:space="preserve"> </w:t>
            </w:r>
          </w:p>
        </w:tc>
      </w:tr>
    </w:tbl>
    <w:p w14:paraId="59211471" w14:textId="77777777" w:rsidR="00F31327" w:rsidRDefault="00F31327" w:rsidP="00F31327">
      <w:pPr>
        <w:jc w:val="left"/>
        <w:rPr>
          <w:lang w:val="en-GB"/>
        </w:rPr>
      </w:pPr>
      <w:r>
        <w:rPr>
          <w:lang w:val="en-GB"/>
        </w:rPr>
        <w:br w:type="page"/>
      </w:r>
    </w:p>
    <w:p w14:paraId="31885642" w14:textId="0ABAC5EB" w:rsidR="0071778A" w:rsidRPr="00C47742" w:rsidRDefault="00CB508B" w:rsidP="0071778A">
      <w:pPr>
        <w:widowControl w:val="0"/>
        <w:numPr>
          <w:ilvl w:val="0"/>
          <w:numId w:val="19"/>
        </w:numPr>
        <w:overflowPunct w:val="0"/>
        <w:autoSpaceDE w:val="0"/>
        <w:autoSpaceDN w:val="0"/>
        <w:adjustRightInd w:val="0"/>
        <w:ind w:hanging="567"/>
        <w:textAlignment w:val="baseline"/>
        <w:rPr>
          <w:b/>
          <w:bCs/>
          <w:i/>
          <w:iCs/>
          <w:sz w:val="28"/>
          <w:szCs w:val="28"/>
        </w:rPr>
      </w:pPr>
      <w:hyperlink r:id="rId40" w:history="1">
        <w:r w:rsidR="0071778A">
          <w:rPr>
            <w:rStyle w:val="Hyperlink"/>
            <w:b/>
            <w:i/>
            <w:sz w:val="28"/>
          </w:rPr>
          <w:t>Réduire les obstacles à l’entrepreneuriat inclusif, promouvoir l’innovation et assurer l’égalité des chances pour tous</w:t>
        </w:r>
      </w:hyperlink>
    </w:p>
    <w:p w14:paraId="5661F033" w14:textId="77777777" w:rsidR="0071778A" w:rsidRPr="00A6689B" w:rsidRDefault="0071778A" w:rsidP="0071778A">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7375"/>
      </w:tblGrid>
      <w:tr w:rsidR="0071778A" w:rsidRPr="00A6689B" w14:paraId="6CE0DF40" w14:textId="77777777" w:rsidTr="00412F77">
        <w:tc>
          <w:tcPr>
            <w:tcW w:w="1090" w:type="pct"/>
          </w:tcPr>
          <w:p w14:paraId="0648C6A6" w14:textId="77777777" w:rsidR="0071778A" w:rsidRPr="00A6689B" w:rsidRDefault="0071778A" w:rsidP="00C93F66">
            <w:pPr>
              <w:ind w:left="-113"/>
              <w:rPr>
                <w:b/>
              </w:rPr>
            </w:pPr>
            <w:proofErr w:type="spellStart"/>
            <w:r>
              <w:rPr>
                <w:b/>
              </w:rPr>
              <w:t>Rapporteure</w:t>
            </w:r>
            <w:proofErr w:type="spellEnd"/>
            <w:r>
              <w:rPr>
                <w:b/>
              </w:rPr>
              <w:t xml:space="preserve"> </w:t>
            </w:r>
          </w:p>
        </w:tc>
        <w:tc>
          <w:tcPr>
            <w:tcW w:w="3910" w:type="pct"/>
          </w:tcPr>
          <w:p w14:paraId="30F973EC" w14:textId="0C1A8F32" w:rsidR="0071778A" w:rsidRPr="00763B9A" w:rsidRDefault="0071778A" w:rsidP="00C93F66">
            <w:pPr>
              <w:ind w:left="-113"/>
            </w:pPr>
            <w:r>
              <w:t>Juliane Marie NEIIENDAM (groupe des organisations de la société civile</w:t>
            </w:r>
            <w:r w:rsidR="00412F77">
              <w:t xml:space="preserve"> — DK</w:t>
            </w:r>
            <w:r>
              <w:t>)</w:t>
            </w:r>
          </w:p>
        </w:tc>
      </w:tr>
      <w:tr w:rsidR="0071778A" w:rsidRPr="00A6689B" w14:paraId="2E230EFF" w14:textId="77777777" w:rsidTr="00412F77">
        <w:tc>
          <w:tcPr>
            <w:tcW w:w="5000" w:type="pct"/>
            <w:gridSpan w:val="2"/>
          </w:tcPr>
          <w:p w14:paraId="09E19523" w14:textId="77777777" w:rsidR="0071778A" w:rsidRPr="00A6689B" w:rsidRDefault="0071778A" w:rsidP="00C93F66">
            <w:pPr>
              <w:spacing w:line="160" w:lineRule="exact"/>
              <w:ind w:left="-113"/>
              <w:rPr>
                <w:lang w:val="en-US"/>
              </w:rPr>
            </w:pPr>
          </w:p>
        </w:tc>
      </w:tr>
      <w:tr w:rsidR="0071778A" w:rsidRPr="00A6689B" w14:paraId="088C5835" w14:textId="77777777" w:rsidTr="00412F77">
        <w:tc>
          <w:tcPr>
            <w:tcW w:w="1090" w:type="pct"/>
            <w:vMerge w:val="restart"/>
          </w:tcPr>
          <w:p w14:paraId="120317B8" w14:textId="77777777" w:rsidR="0071778A" w:rsidRPr="00557B11" w:rsidRDefault="0071778A" w:rsidP="00C93F66">
            <w:pPr>
              <w:ind w:left="-113"/>
              <w:rPr>
                <w:b/>
              </w:rPr>
            </w:pPr>
            <w:r>
              <w:rPr>
                <w:b/>
              </w:rPr>
              <w:t>Référence</w:t>
            </w:r>
          </w:p>
        </w:tc>
        <w:tc>
          <w:tcPr>
            <w:tcW w:w="3910" w:type="pct"/>
          </w:tcPr>
          <w:p w14:paraId="1AA87D20" w14:textId="77777777" w:rsidR="00412F77" w:rsidRDefault="00412F77" w:rsidP="00C93F66">
            <w:pPr>
              <w:ind w:left="-113"/>
            </w:pPr>
            <w:r>
              <w:t>Avis d'initiative</w:t>
            </w:r>
          </w:p>
          <w:p w14:paraId="1BB1A179" w14:textId="0193B58C" w:rsidR="0071778A" w:rsidRPr="00557B11" w:rsidRDefault="0071778A" w:rsidP="00C93F66">
            <w:pPr>
              <w:ind w:left="-113"/>
            </w:pPr>
            <w:r>
              <w:t>EESC-2025-00972-00-00-AC-TRA</w:t>
            </w:r>
          </w:p>
        </w:tc>
      </w:tr>
      <w:tr w:rsidR="0071778A" w:rsidRPr="00A6689B" w14:paraId="44C2AF62" w14:textId="77777777" w:rsidTr="00412F77">
        <w:tc>
          <w:tcPr>
            <w:tcW w:w="1090" w:type="pct"/>
            <w:vMerge/>
          </w:tcPr>
          <w:p w14:paraId="0B20940B" w14:textId="77777777" w:rsidR="0071778A" w:rsidRPr="00A6689B" w:rsidRDefault="0071778A" w:rsidP="00C93F66">
            <w:pPr>
              <w:tabs>
                <w:tab w:val="center" w:pos="284"/>
              </w:tabs>
              <w:ind w:left="266" w:hanging="266"/>
              <w:rPr>
                <w:b/>
                <w:lang w:val="en-US"/>
              </w:rPr>
            </w:pPr>
          </w:p>
        </w:tc>
        <w:tc>
          <w:tcPr>
            <w:tcW w:w="3910" w:type="pct"/>
          </w:tcPr>
          <w:p w14:paraId="7BDC129B" w14:textId="77777777" w:rsidR="0071778A" w:rsidRPr="00A6689B" w:rsidRDefault="0071778A" w:rsidP="00C93F66">
            <w:pPr>
              <w:tabs>
                <w:tab w:val="center" w:pos="284"/>
              </w:tabs>
              <w:ind w:left="266" w:hanging="266"/>
              <w:rPr>
                <w:lang w:val="en-US"/>
              </w:rPr>
            </w:pPr>
          </w:p>
        </w:tc>
      </w:tr>
    </w:tbl>
    <w:p w14:paraId="7BCF0BCE" w14:textId="77777777" w:rsidR="0071778A" w:rsidRPr="00A6689B" w:rsidRDefault="0071778A" w:rsidP="0071778A">
      <w:pPr>
        <w:keepNext/>
        <w:keepLines/>
        <w:tabs>
          <w:tab w:val="center" w:pos="284"/>
        </w:tabs>
        <w:spacing w:line="269" w:lineRule="auto"/>
        <w:ind w:left="266" w:hanging="266"/>
        <w:rPr>
          <w:b/>
        </w:rPr>
      </w:pPr>
      <w:r>
        <w:rPr>
          <w:b/>
        </w:rPr>
        <w:t>Points clés</w:t>
      </w:r>
    </w:p>
    <w:p w14:paraId="5104C96F" w14:textId="77777777" w:rsidR="0071778A" w:rsidRPr="00C47742" w:rsidRDefault="0071778A" w:rsidP="0071778A">
      <w:pPr>
        <w:keepNext/>
        <w:keepLines/>
        <w:tabs>
          <w:tab w:val="center" w:pos="284"/>
        </w:tabs>
        <w:spacing w:line="269" w:lineRule="auto"/>
        <w:ind w:left="266" w:hanging="266"/>
        <w:rPr>
          <w:b/>
          <w:sz w:val="16"/>
          <w:szCs w:val="16"/>
        </w:rPr>
      </w:pPr>
    </w:p>
    <w:p w14:paraId="3FB07ADF" w14:textId="77777777" w:rsidR="0071778A" w:rsidRDefault="0071778A" w:rsidP="0071778A">
      <w:pPr>
        <w:spacing w:line="269" w:lineRule="auto"/>
        <w:rPr>
          <w:bCs/>
          <w:iCs/>
        </w:rPr>
      </w:pPr>
      <w:r>
        <w:t xml:space="preserve">Le </w:t>
      </w:r>
      <w:proofErr w:type="gramStart"/>
      <w:r>
        <w:t>CESE:</w:t>
      </w:r>
      <w:proofErr w:type="gramEnd"/>
    </w:p>
    <w:p w14:paraId="28013A09" w14:textId="77777777" w:rsidR="0071778A" w:rsidRPr="004C67B3" w:rsidRDefault="0071778A" w:rsidP="0071778A">
      <w:pPr>
        <w:pStyle w:val="ListParagraph"/>
        <w:numPr>
          <w:ilvl w:val="0"/>
          <w:numId w:val="13"/>
        </w:numPr>
        <w:spacing w:after="200" w:line="269" w:lineRule="auto"/>
      </w:pPr>
      <w:proofErr w:type="gramStart"/>
      <w:r>
        <w:t>appelle</w:t>
      </w:r>
      <w:proofErr w:type="gramEnd"/>
      <w:r>
        <w:t xml:space="preserve"> de ses vœux une action urgente et coordonnée de l’Union et des États membres pour libérer le potentiel de l’entrepreneuriat inclusif en tant que moteur économique et qu’enjeu essentiel pour l’égalité, l’innovation et la justice sociale;</w:t>
      </w:r>
    </w:p>
    <w:p w14:paraId="521C4076" w14:textId="77777777" w:rsidR="0071778A" w:rsidRPr="004C67B3" w:rsidRDefault="0071778A" w:rsidP="0071778A">
      <w:pPr>
        <w:pStyle w:val="ListParagraph"/>
        <w:numPr>
          <w:ilvl w:val="0"/>
          <w:numId w:val="13"/>
        </w:numPr>
        <w:spacing w:after="200" w:line="269" w:lineRule="auto"/>
      </w:pPr>
      <w:proofErr w:type="gramStart"/>
      <w:r>
        <w:t>prie</w:t>
      </w:r>
      <w:proofErr w:type="gramEnd"/>
      <w:r>
        <w:t xml:space="preserve"> instamment la Commission et les États membres d’intégrer l’inclusion dans toutes les politiques entrepreneuriales dans tous les secteurs, en accordant une attention particulière au rôle de l’économie sociale;</w:t>
      </w:r>
    </w:p>
    <w:p w14:paraId="20E1DCDD" w14:textId="77777777" w:rsidR="0071778A" w:rsidRPr="004C67B3" w:rsidRDefault="0071778A" w:rsidP="0071778A">
      <w:pPr>
        <w:pStyle w:val="ListParagraph"/>
        <w:numPr>
          <w:ilvl w:val="0"/>
          <w:numId w:val="13"/>
        </w:numPr>
        <w:spacing w:after="200" w:line="269" w:lineRule="auto"/>
      </w:pPr>
      <w:proofErr w:type="gramStart"/>
      <w:r>
        <w:t>recommande</w:t>
      </w:r>
      <w:proofErr w:type="gramEnd"/>
      <w:r>
        <w:t xml:space="preserve"> des financements ciblés et des outils financiers plus équitables pour les créateurs sous-représentés — y compris les personnes handicapées ou celles atteintes de troubles de la santé mentale, les femmes en situation précaire, les personnes LGBTQIA+, les migrants et les communautés subissant des discriminations ethniques ou raciales — afin de mettre à profit leurs talents et de stimuler l’innovation; </w:t>
      </w:r>
    </w:p>
    <w:p w14:paraId="13E2D6A4" w14:textId="77777777" w:rsidR="0071778A" w:rsidRPr="004C67B3" w:rsidRDefault="0071778A" w:rsidP="0071778A">
      <w:pPr>
        <w:pStyle w:val="ListParagraph"/>
        <w:numPr>
          <w:ilvl w:val="0"/>
          <w:numId w:val="13"/>
        </w:numPr>
        <w:spacing w:after="200" w:line="269" w:lineRule="auto"/>
      </w:pPr>
      <w:proofErr w:type="gramStart"/>
      <w:r>
        <w:t>souligne</w:t>
      </w:r>
      <w:proofErr w:type="gramEnd"/>
      <w:r>
        <w:t xml:space="preserve"> la nécessité d’intégrer l’entrepreneuriat dans les programmes d’études et de fournir des formations et des mentorats accessibles et adaptés;</w:t>
      </w:r>
    </w:p>
    <w:p w14:paraId="00510894" w14:textId="5ACA927A" w:rsidR="0071778A" w:rsidRPr="004C67B3" w:rsidRDefault="0071778A" w:rsidP="0071778A">
      <w:pPr>
        <w:pStyle w:val="ListParagraph"/>
        <w:numPr>
          <w:ilvl w:val="0"/>
          <w:numId w:val="13"/>
        </w:numPr>
        <w:spacing w:after="200" w:line="269" w:lineRule="auto"/>
      </w:pPr>
      <w:proofErr w:type="gramStart"/>
      <w:r>
        <w:t>invite</w:t>
      </w:r>
      <w:proofErr w:type="gramEnd"/>
      <w:r>
        <w:t xml:space="preserve"> la Commission à renforcer le suivi de la législation en matière d’égalité, à adopter la directive horizontale sur l’égalité de traitement et à appliquer l’intersectionnalité dans la future stratégie en faveur de l’égalité de genre</w:t>
      </w:r>
      <w:r w:rsidR="006031D5">
        <w:t> </w:t>
      </w:r>
      <w:r>
        <w:t>2026-2030;</w:t>
      </w:r>
    </w:p>
    <w:p w14:paraId="3FC2D5AE" w14:textId="77777777" w:rsidR="0071778A" w:rsidRPr="004C67B3" w:rsidRDefault="0071778A" w:rsidP="0071778A">
      <w:pPr>
        <w:pStyle w:val="ListParagraph"/>
        <w:numPr>
          <w:ilvl w:val="0"/>
          <w:numId w:val="13"/>
        </w:numPr>
        <w:spacing w:after="200" w:line="269" w:lineRule="auto"/>
      </w:pPr>
      <w:proofErr w:type="gramStart"/>
      <w:r>
        <w:t>demande</w:t>
      </w:r>
      <w:proofErr w:type="gramEnd"/>
      <w:r>
        <w:t xml:space="preserve"> instamment à la Commission et aux États membres de simplifier la réglementation et de réduire les charges administratives, en particulier pour les entrepreneurs vulnérables;</w:t>
      </w:r>
    </w:p>
    <w:p w14:paraId="308C4BBB" w14:textId="77777777" w:rsidR="0071778A" w:rsidRPr="004C67B3" w:rsidRDefault="0071778A" w:rsidP="0071778A">
      <w:pPr>
        <w:pStyle w:val="ListParagraph"/>
        <w:numPr>
          <w:ilvl w:val="0"/>
          <w:numId w:val="13"/>
        </w:numPr>
        <w:spacing w:after="200" w:line="269" w:lineRule="auto"/>
      </w:pPr>
      <w:proofErr w:type="gramStart"/>
      <w:r>
        <w:t>recommande</w:t>
      </w:r>
      <w:proofErr w:type="gramEnd"/>
      <w:r>
        <w:t xml:space="preserve"> aux États membres de mettre en place des points focaux nationaux pour soutenir l’activité indépendante et une reconnaissance transfrontière des droits des personnes handicapées et des droits des travailleurs indépendants au titre de la carte européenne du handicap;</w:t>
      </w:r>
    </w:p>
    <w:p w14:paraId="11420CCB" w14:textId="77777777" w:rsidR="0071778A" w:rsidRDefault="0071778A" w:rsidP="0071778A">
      <w:pPr>
        <w:pStyle w:val="ListParagraph"/>
        <w:numPr>
          <w:ilvl w:val="0"/>
          <w:numId w:val="13"/>
        </w:numPr>
        <w:spacing w:after="200" w:line="269" w:lineRule="auto"/>
      </w:pPr>
      <w:proofErr w:type="gramStart"/>
      <w:r>
        <w:t>insiste</w:t>
      </w:r>
      <w:proofErr w:type="gramEnd"/>
      <w:r>
        <w:t xml:space="preserve"> sur le fait que toutes les initiatives entrepreneuriales fassent de la conception universelle, de l’accessibilité, de l’intersectionnalité et de l’inclusivité des critères de référence pour une économie équitable, résiliente et parée pour l’avenir.</w:t>
      </w:r>
    </w:p>
    <w:p w14:paraId="2DF182A4" w14:textId="77777777" w:rsidR="0071778A" w:rsidRPr="00530F7F" w:rsidRDefault="0071778A" w:rsidP="0071778A">
      <w:pPr>
        <w:pStyle w:val="ListParagraph"/>
        <w:spacing w:line="269" w:lineRule="auto"/>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71778A" w:rsidRPr="00A6689B" w14:paraId="66A72FC9" w14:textId="77777777" w:rsidTr="00C93F66">
        <w:tc>
          <w:tcPr>
            <w:tcW w:w="1556" w:type="pct"/>
          </w:tcPr>
          <w:p w14:paraId="252D9E94" w14:textId="77777777" w:rsidR="0071778A" w:rsidRPr="00A6689B" w:rsidRDefault="0071778A" w:rsidP="00C93F66">
            <w:pPr>
              <w:spacing w:line="269" w:lineRule="auto"/>
              <w:rPr>
                <w:i/>
              </w:rPr>
            </w:pPr>
            <w:r>
              <w:rPr>
                <w:b/>
                <w:i/>
              </w:rPr>
              <w:t>Contact</w:t>
            </w:r>
          </w:p>
        </w:tc>
        <w:tc>
          <w:tcPr>
            <w:tcW w:w="3444" w:type="pct"/>
          </w:tcPr>
          <w:p w14:paraId="622954CD" w14:textId="77777777" w:rsidR="0071778A" w:rsidRPr="00A6689B" w:rsidRDefault="0071778A" w:rsidP="00C93F66">
            <w:pPr>
              <w:spacing w:line="269" w:lineRule="auto"/>
              <w:rPr>
                <w:i/>
              </w:rPr>
            </w:pPr>
            <w:proofErr w:type="spellStart"/>
            <w:r>
              <w:rPr>
                <w:i/>
              </w:rPr>
              <w:t>Bartek</w:t>
            </w:r>
            <w:proofErr w:type="spellEnd"/>
            <w:r>
              <w:rPr>
                <w:i/>
              </w:rPr>
              <w:t xml:space="preserve"> BEDNAROWICZ</w:t>
            </w:r>
          </w:p>
        </w:tc>
      </w:tr>
      <w:tr w:rsidR="0071778A" w:rsidRPr="00A6689B" w14:paraId="6629B01A" w14:textId="77777777" w:rsidTr="00C93F66">
        <w:tc>
          <w:tcPr>
            <w:tcW w:w="1556" w:type="pct"/>
          </w:tcPr>
          <w:p w14:paraId="36E120C4" w14:textId="77777777" w:rsidR="0071778A" w:rsidRPr="00A6689B" w:rsidRDefault="0071778A" w:rsidP="00C93F66">
            <w:pPr>
              <w:spacing w:line="269" w:lineRule="auto"/>
              <w:rPr>
                <w:i/>
              </w:rPr>
            </w:pPr>
            <w:r>
              <w:rPr>
                <w:i/>
              </w:rPr>
              <w:t>Tél.</w:t>
            </w:r>
          </w:p>
        </w:tc>
        <w:tc>
          <w:tcPr>
            <w:tcW w:w="3444" w:type="pct"/>
          </w:tcPr>
          <w:p w14:paraId="75B2C482" w14:textId="77777777" w:rsidR="0071778A" w:rsidRPr="00A6689B" w:rsidRDefault="0071778A" w:rsidP="00C93F66">
            <w:pPr>
              <w:spacing w:line="269" w:lineRule="auto"/>
              <w:rPr>
                <w:i/>
              </w:rPr>
            </w:pPr>
            <w:r>
              <w:rPr>
                <w:i/>
              </w:rPr>
              <w:t>+32 25469229</w:t>
            </w:r>
          </w:p>
        </w:tc>
      </w:tr>
      <w:tr w:rsidR="0071778A" w:rsidRPr="00A6689B" w14:paraId="43646A93" w14:textId="77777777" w:rsidTr="00C93F66">
        <w:tc>
          <w:tcPr>
            <w:tcW w:w="1556" w:type="pct"/>
          </w:tcPr>
          <w:p w14:paraId="6855BF77" w14:textId="77777777" w:rsidR="0071778A" w:rsidRPr="00A6689B" w:rsidRDefault="0071778A" w:rsidP="00C93F66">
            <w:pPr>
              <w:spacing w:line="269" w:lineRule="auto"/>
              <w:rPr>
                <w:i/>
              </w:rPr>
            </w:pPr>
            <w:r>
              <w:rPr>
                <w:i/>
              </w:rPr>
              <w:t>Courriel</w:t>
            </w:r>
          </w:p>
        </w:tc>
        <w:tc>
          <w:tcPr>
            <w:tcW w:w="3444" w:type="pct"/>
          </w:tcPr>
          <w:p w14:paraId="3C9F3942" w14:textId="77777777" w:rsidR="0071778A" w:rsidRPr="00A6689B" w:rsidRDefault="00CB508B" w:rsidP="00C93F66">
            <w:pPr>
              <w:spacing w:line="269" w:lineRule="auto"/>
              <w:rPr>
                <w:i/>
              </w:rPr>
            </w:pPr>
            <w:hyperlink r:id="rId41" w:history="1">
              <w:r w:rsidR="0071778A">
                <w:rPr>
                  <w:rStyle w:val="Hyperlink"/>
                  <w:i/>
                </w:rPr>
                <w:t>Bartek.Bednarowicz@eesc.europa.eu</w:t>
              </w:r>
            </w:hyperlink>
          </w:p>
        </w:tc>
      </w:tr>
    </w:tbl>
    <w:p w14:paraId="035FBAB2" w14:textId="77777777" w:rsidR="00F31327" w:rsidRDefault="00F31327" w:rsidP="00F31327">
      <w:pPr>
        <w:jc w:val="left"/>
        <w:rPr>
          <w:lang w:val="en-GB"/>
        </w:rPr>
      </w:pPr>
      <w:r>
        <w:rPr>
          <w:lang w:val="en-GB"/>
        </w:rPr>
        <w:br w:type="page"/>
      </w:r>
    </w:p>
    <w:p w14:paraId="4BD584EE" w14:textId="713FFC61" w:rsidR="00877990" w:rsidRPr="00337CA0" w:rsidRDefault="00CB508B" w:rsidP="00877990">
      <w:pPr>
        <w:widowControl w:val="0"/>
        <w:numPr>
          <w:ilvl w:val="0"/>
          <w:numId w:val="10"/>
        </w:numPr>
        <w:overflowPunct w:val="0"/>
        <w:autoSpaceDE w:val="0"/>
        <w:autoSpaceDN w:val="0"/>
        <w:adjustRightInd w:val="0"/>
        <w:ind w:left="567" w:hanging="567"/>
        <w:textAlignment w:val="baseline"/>
        <w:rPr>
          <w:rStyle w:val="Hyperlink"/>
          <w:b/>
        </w:rPr>
      </w:pPr>
      <w:hyperlink r:id="rId42" w:history="1">
        <w:r w:rsidR="00412F77">
          <w:rPr>
            <w:rStyle w:val="Hyperlink"/>
            <w:b/>
            <w:i/>
            <w:sz w:val="28"/>
          </w:rPr>
          <w:t>Comment garantir des compétences vertes et plaider en faveur d’établissements de formation professionnelle verts</w:t>
        </w:r>
      </w:hyperlink>
    </w:p>
    <w:p w14:paraId="59596D6F" w14:textId="77777777" w:rsidR="00877990" w:rsidRPr="00337CA0" w:rsidRDefault="00877990" w:rsidP="00877990">
      <w:pPr>
        <w:tabs>
          <w:tab w:val="center" w:pos="284"/>
        </w:tabs>
        <w:ind w:left="567" w:hanging="567"/>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877990" w:rsidRPr="00813637" w14:paraId="60264FB4" w14:textId="77777777" w:rsidTr="00C93F66">
        <w:tc>
          <w:tcPr>
            <w:tcW w:w="1701" w:type="dxa"/>
          </w:tcPr>
          <w:p w14:paraId="56C82665" w14:textId="77777777" w:rsidR="00877990" w:rsidRPr="00813637" w:rsidRDefault="00877990" w:rsidP="00C93F66">
            <w:pPr>
              <w:tabs>
                <w:tab w:val="center" w:pos="284"/>
              </w:tabs>
              <w:ind w:left="567" w:hanging="567"/>
              <w:rPr>
                <w:b/>
              </w:rPr>
            </w:pPr>
            <w:proofErr w:type="spellStart"/>
            <w:r>
              <w:rPr>
                <w:b/>
                <w:bCs/>
              </w:rPr>
              <w:t>Rapporteure</w:t>
            </w:r>
            <w:proofErr w:type="spellEnd"/>
          </w:p>
        </w:tc>
        <w:tc>
          <w:tcPr>
            <w:tcW w:w="6237" w:type="dxa"/>
          </w:tcPr>
          <w:p w14:paraId="5775E02F" w14:textId="77777777" w:rsidR="00877990" w:rsidRPr="00813637" w:rsidRDefault="00877990" w:rsidP="00C93F66">
            <w:pPr>
              <w:ind w:left="567" w:hanging="567"/>
            </w:pPr>
            <w:r>
              <w:t>Nicoletta MERLO (groupe des travailleurs — IT)</w:t>
            </w:r>
          </w:p>
        </w:tc>
      </w:tr>
      <w:tr w:rsidR="00877990" w:rsidRPr="00813637" w14:paraId="3C8E815F" w14:textId="77777777" w:rsidTr="00C93F66">
        <w:tc>
          <w:tcPr>
            <w:tcW w:w="1701" w:type="dxa"/>
          </w:tcPr>
          <w:p w14:paraId="38CC840F" w14:textId="77777777" w:rsidR="00877990" w:rsidRPr="00813637" w:rsidRDefault="00877990" w:rsidP="00C93F66">
            <w:pPr>
              <w:tabs>
                <w:tab w:val="center" w:pos="284"/>
              </w:tabs>
              <w:ind w:left="567" w:hanging="567"/>
              <w:rPr>
                <w:b/>
              </w:rPr>
            </w:pPr>
            <w:r>
              <w:rPr>
                <w:b/>
              </w:rPr>
              <w:t>Corapporteur</w:t>
            </w:r>
          </w:p>
        </w:tc>
        <w:tc>
          <w:tcPr>
            <w:tcW w:w="6237" w:type="dxa"/>
          </w:tcPr>
          <w:p w14:paraId="18F2FADC" w14:textId="77777777" w:rsidR="00877990" w:rsidRDefault="00877990" w:rsidP="00C93F66">
            <w:pPr>
              <w:ind w:left="567" w:hanging="567"/>
            </w:pPr>
            <w:r>
              <w:t>Jean-Michel POTTIER (groupe des employeurs — FR)</w:t>
            </w:r>
          </w:p>
        </w:tc>
      </w:tr>
      <w:tr w:rsidR="00877990" w:rsidRPr="00813637" w14:paraId="28CBF957" w14:textId="77777777" w:rsidTr="00C93F66">
        <w:tc>
          <w:tcPr>
            <w:tcW w:w="1701" w:type="dxa"/>
          </w:tcPr>
          <w:p w14:paraId="4205DCDF" w14:textId="77777777" w:rsidR="00877990" w:rsidRDefault="00877990" w:rsidP="00C93F66">
            <w:pPr>
              <w:tabs>
                <w:tab w:val="center" w:pos="284"/>
              </w:tabs>
              <w:ind w:left="567" w:hanging="567"/>
              <w:rPr>
                <w:b/>
              </w:rPr>
            </w:pPr>
          </w:p>
        </w:tc>
        <w:tc>
          <w:tcPr>
            <w:tcW w:w="6237" w:type="dxa"/>
          </w:tcPr>
          <w:p w14:paraId="75F73C29" w14:textId="77777777" w:rsidR="00877990" w:rsidRDefault="00877990" w:rsidP="00C93F66">
            <w:pPr>
              <w:ind w:left="567" w:hanging="567"/>
            </w:pPr>
          </w:p>
        </w:tc>
      </w:tr>
      <w:tr w:rsidR="00877990" w:rsidRPr="00813637" w14:paraId="60DE0DE6" w14:textId="77777777" w:rsidTr="00C93F66">
        <w:tc>
          <w:tcPr>
            <w:tcW w:w="1701" w:type="dxa"/>
            <w:vMerge w:val="restart"/>
          </w:tcPr>
          <w:p w14:paraId="34294F9B" w14:textId="77777777" w:rsidR="00877990" w:rsidRPr="00813637" w:rsidRDefault="00877990" w:rsidP="00C93F66">
            <w:pPr>
              <w:tabs>
                <w:tab w:val="center" w:pos="284"/>
              </w:tabs>
              <w:ind w:left="567" w:hanging="567"/>
              <w:rPr>
                <w:b/>
              </w:rPr>
            </w:pPr>
            <w:r>
              <w:rPr>
                <w:b/>
              </w:rPr>
              <w:t>Référence</w:t>
            </w:r>
          </w:p>
        </w:tc>
        <w:tc>
          <w:tcPr>
            <w:tcW w:w="6237" w:type="dxa"/>
          </w:tcPr>
          <w:p w14:paraId="3EE5358D" w14:textId="77777777" w:rsidR="00412F77" w:rsidRDefault="00412F77" w:rsidP="00412F77">
            <w:pPr>
              <w:tabs>
                <w:tab w:val="center" w:pos="284"/>
              </w:tabs>
              <w:ind w:left="266" w:right="-3091" w:hanging="266"/>
            </w:pPr>
            <w:r>
              <w:t>Avis exploratoire à la demande de la présidence danoise du Conseil</w:t>
            </w:r>
          </w:p>
          <w:p w14:paraId="33305949" w14:textId="77777777" w:rsidR="00877990" w:rsidRPr="00813637" w:rsidRDefault="00877990" w:rsidP="00C93F66">
            <w:pPr>
              <w:tabs>
                <w:tab w:val="center" w:pos="284"/>
              </w:tabs>
              <w:ind w:left="567" w:hanging="567"/>
            </w:pPr>
            <w:r>
              <w:t>EESC-2025-01268-00-00-AC-TRA</w:t>
            </w:r>
          </w:p>
        </w:tc>
      </w:tr>
      <w:tr w:rsidR="00877990" w:rsidRPr="00813637" w14:paraId="6B62B926" w14:textId="77777777" w:rsidTr="00C93F66">
        <w:tc>
          <w:tcPr>
            <w:tcW w:w="1701" w:type="dxa"/>
            <w:vMerge/>
          </w:tcPr>
          <w:p w14:paraId="41C81C3A" w14:textId="77777777" w:rsidR="00877990" w:rsidRPr="00813637" w:rsidRDefault="00877990" w:rsidP="00C93F66">
            <w:pPr>
              <w:tabs>
                <w:tab w:val="center" w:pos="284"/>
              </w:tabs>
              <w:ind w:left="266" w:hanging="266"/>
              <w:rPr>
                <w:b/>
              </w:rPr>
            </w:pPr>
          </w:p>
        </w:tc>
        <w:tc>
          <w:tcPr>
            <w:tcW w:w="6237" w:type="dxa"/>
          </w:tcPr>
          <w:p w14:paraId="34EFB796" w14:textId="77777777" w:rsidR="00877990" w:rsidRPr="00813637" w:rsidRDefault="00877990" w:rsidP="00C93F66">
            <w:pPr>
              <w:tabs>
                <w:tab w:val="center" w:pos="284"/>
              </w:tabs>
              <w:ind w:left="266" w:hanging="266"/>
              <w:rPr>
                <w:sz w:val="16"/>
                <w:szCs w:val="16"/>
              </w:rPr>
            </w:pPr>
          </w:p>
        </w:tc>
      </w:tr>
    </w:tbl>
    <w:p w14:paraId="4565E7D5" w14:textId="7A4431CB" w:rsidR="00877990" w:rsidRDefault="00877990" w:rsidP="00877990">
      <w:pPr>
        <w:keepNext/>
        <w:keepLines/>
        <w:tabs>
          <w:tab w:val="center" w:pos="284"/>
        </w:tabs>
        <w:ind w:left="266" w:hanging="266"/>
        <w:rPr>
          <w:b/>
        </w:rPr>
      </w:pPr>
      <w:r>
        <w:rPr>
          <w:b/>
        </w:rPr>
        <w:t>Points clés</w:t>
      </w:r>
    </w:p>
    <w:p w14:paraId="25373534" w14:textId="77777777" w:rsidR="00412F77" w:rsidRPr="00813637" w:rsidRDefault="00412F77" w:rsidP="00877990">
      <w:pPr>
        <w:keepNext/>
        <w:keepLines/>
        <w:tabs>
          <w:tab w:val="center" w:pos="284"/>
        </w:tabs>
        <w:ind w:left="266" w:hanging="266"/>
        <w:rPr>
          <w:b/>
        </w:rPr>
      </w:pPr>
    </w:p>
    <w:p w14:paraId="717BA81F" w14:textId="77777777" w:rsidR="00877990" w:rsidRDefault="00877990" w:rsidP="00877990">
      <w:pPr>
        <w:pStyle w:val="NormalWeb"/>
        <w:spacing w:before="0" w:beforeAutospacing="0" w:after="0" w:afterAutospacing="0"/>
        <w:rPr>
          <w:b/>
          <w:bCs/>
          <w:sz w:val="22"/>
          <w:szCs w:val="22"/>
        </w:rPr>
      </w:pPr>
      <w:r>
        <w:rPr>
          <w:sz w:val="22"/>
        </w:rPr>
        <w:t xml:space="preserve">Le </w:t>
      </w:r>
      <w:proofErr w:type="gramStart"/>
      <w:r>
        <w:rPr>
          <w:sz w:val="22"/>
        </w:rPr>
        <w:t>CESE:</w:t>
      </w:r>
      <w:proofErr w:type="gramEnd"/>
    </w:p>
    <w:p w14:paraId="2FEDB3FC" w14:textId="77777777" w:rsidR="00877990" w:rsidRPr="00412F77" w:rsidRDefault="00877990" w:rsidP="00877990">
      <w:pPr>
        <w:pStyle w:val="Heading2"/>
        <w:numPr>
          <w:ilvl w:val="0"/>
          <w:numId w:val="14"/>
        </w:numPr>
        <w:ind w:left="567" w:hanging="567"/>
      </w:pPr>
      <w:bookmarkStart w:id="95" w:name="_Toc211269764"/>
      <w:bookmarkStart w:id="96" w:name="_Toc211333688"/>
      <w:proofErr w:type="gramStart"/>
      <w:r w:rsidRPr="00412F77">
        <w:t>préconise</w:t>
      </w:r>
      <w:proofErr w:type="gramEnd"/>
      <w:r w:rsidRPr="00412F77">
        <w:t xml:space="preserve"> une approche systémique de la formation aux compétences vertes qui intègre une gouvernance à plusieurs niveaux, des investissements ciblés et des modèles d’éducation inclusifs. La souplesse dans la définition des compétences doit se traduire par des mesures concrètes, notamment l’autonomisation des collectivités locales et régionales et la mise en place effective de mécanismes existants, tels que le système européen de suivi des compétences vertes et les observatoires </w:t>
      </w:r>
      <w:proofErr w:type="gramStart"/>
      <w:r w:rsidRPr="00412F77">
        <w:t>territoriaux;</w:t>
      </w:r>
      <w:bookmarkEnd w:id="95"/>
      <w:bookmarkEnd w:id="96"/>
      <w:proofErr w:type="gramEnd"/>
    </w:p>
    <w:p w14:paraId="4D1E94CD" w14:textId="77777777" w:rsidR="00877990" w:rsidRPr="00412F77" w:rsidRDefault="00877990" w:rsidP="00877990">
      <w:pPr>
        <w:pStyle w:val="Heading2"/>
        <w:numPr>
          <w:ilvl w:val="0"/>
          <w:numId w:val="14"/>
        </w:numPr>
        <w:ind w:left="567" w:hanging="567"/>
      </w:pPr>
      <w:bookmarkStart w:id="97" w:name="_Toc211269765"/>
      <w:bookmarkStart w:id="98" w:name="_Toc211333689"/>
      <w:proofErr w:type="gramStart"/>
      <w:r w:rsidRPr="00412F77">
        <w:t>prône</w:t>
      </w:r>
      <w:proofErr w:type="gramEnd"/>
      <w:r w:rsidRPr="00412F77">
        <w:t xml:space="preserve"> une utilisation stratégique des fonds européens afin de moderniser l’enseignement et la formation professionnels (EFP), de soutenir l’apprentissage tout au long de la vie et d’améliorer les qualifications des formateurs. Il s’impose d’encourager les partenariats public-privé en faveur du développement des compétences vertes et de soutenir de manière adéquate les petites et moyennes entreprises (PME) dans la mise en œuvre de programmes de formation. Il est essentiel de veiller à ce que des ressources suffisantes soient allouées pour assurer une formation écologique et numérique </w:t>
      </w:r>
      <w:proofErr w:type="gramStart"/>
      <w:r w:rsidRPr="00412F77">
        <w:t>efficace;</w:t>
      </w:r>
      <w:bookmarkEnd w:id="97"/>
      <w:bookmarkEnd w:id="98"/>
      <w:proofErr w:type="gramEnd"/>
    </w:p>
    <w:p w14:paraId="293F568A" w14:textId="77777777" w:rsidR="00877990" w:rsidRPr="00412F77" w:rsidRDefault="00877990" w:rsidP="00877990">
      <w:pPr>
        <w:pStyle w:val="Heading2"/>
        <w:numPr>
          <w:ilvl w:val="0"/>
          <w:numId w:val="14"/>
        </w:numPr>
        <w:ind w:left="567" w:hanging="567"/>
      </w:pPr>
      <w:bookmarkStart w:id="99" w:name="_Toc211269766"/>
      <w:bookmarkStart w:id="100" w:name="_Toc211333690"/>
      <w:proofErr w:type="gramStart"/>
      <w:r w:rsidRPr="00412F77">
        <w:t>suggère</w:t>
      </w:r>
      <w:proofErr w:type="gramEnd"/>
      <w:r w:rsidRPr="00412F77">
        <w:t xml:space="preserve"> que soit élaboré un cadre clair pour la mise en œuvre des </w:t>
      </w:r>
      <w:proofErr w:type="spellStart"/>
      <w:r w:rsidRPr="00412F77">
        <w:t>microcertifications</w:t>
      </w:r>
      <w:proofErr w:type="spellEnd"/>
      <w:r w:rsidRPr="00412F77">
        <w:t xml:space="preserve"> et que soit encouragée l’adoption généralisée de parcours de formation modulaires et flexibles, en particulier ceux fondés sur l’apprentissage mixte;</w:t>
      </w:r>
      <w:bookmarkEnd w:id="99"/>
      <w:bookmarkEnd w:id="100"/>
    </w:p>
    <w:p w14:paraId="7DE7AC58" w14:textId="77777777" w:rsidR="00877990" w:rsidRPr="00412F77" w:rsidRDefault="00877990" w:rsidP="00877990">
      <w:pPr>
        <w:pStyle w:val="Heading2"/>
        <w:numPr>
          <w:ilvl w:val="0"/>
          <w:numId w:val="14"/>
        </w:numPr>
        <w:ind w:left="567" w:hanging="567"/>
      </w:pPr>
      <w:bookmarkStart w:id="101" w:name="_Toc211269767"/>
      <w:bookmarkStart w:id="102" w:name="_Toc211333691"/>
      <w:proofErr w:type="gramStart"/>
      <w:r w:rsidRPr="00412F77">
        <w:t>suggère</w:t>
      </w:r>
      <w:proofErr w:type="gramEnd"/>
      <w:r w:rsidRPr="00412F77">
        <w:t xml:space="preserve"> que la durabilité soit intégrée de manière systémique dans l’éducation et la formation grâce à la coopération transfrontière, à la mobilité des étudiants et des enseignants, et à l’échange de bonnes pratiques. Le programme Erasmus+ joue un rôle crucial dans le soutien à la transformation écologique et numérique de l’EFP dans toute </w:t>
      </w:r>
      <w:proofErr w:type="gramStart"/>
      <w:r w:rsidRPr="00412F77">
        <w:t>l’Europe;</w:t>
      </w:r>
      <w:bookmarkEnd w:id="101"/>
      <w:bookmarkEnd w:id="102"/>
      <w:proofErr w:type="gramEnd"/>
    </w:p>
    <w:p w14:paraId="3BCB9F5C" w14:textId="77777777" w:rsidR="00877990" w:rsidRPr="00412F77" w:rsidRDefault="00877990" w:rsidP="00877990">
      <w:pPr>
        <w:pStyle w:val="Heading2"/>
        <w:numPr>
          <w:ilvl w:val="0"/>
          <w:numId w:val="14"/>
        </w:numPr>
        <w:ind w:left="567" w:hanging="567"/>
      </w:pPr>
      <w:bookmarkStart w:id="103" w:name="_Toc211269768"/>
      <w:bookmarkStart w:id="104" w:name="_Toc211333692"/>
      <w:proofErr w:type="gramStart"/>
      <w:r w:rsidRPr="00412F77">
        <w:t>recommande</w:t>
      </w:r>
      <w:proofErr w:type="gramEnd"/>
      <w:r w:rsidRPr="00412F77">
        <w:t xml:space="preserve"> de mettre pleinement en œuvre le premier principe du socle européen des droits sociaux et de veiller à ce que toute personne ait droit à une éducation, une formation et un apprentissage tout au long de la vie inclusifs et de qualité, afin de maintenir ou d’acquérir des compétences lui permettant de participer pleinement à la société et de gérer avec succès les transitions sur le marché du travail;</w:t>
      </w:r>
      <w:bookmarkEnd w:id="103"/>
      <w:bookmarkEnd w:id="104"/>
    </w:p>
    <w:p w14:paraId="0DAD5BC6" w14:textId="77777777" w:rsidR="00877990" w:rsidRPr="00412F77" w:rsidRDefault="00877990" w:rsidP="00877990">
      <w:pPr>
        <w:pStyle w:val="Heading2"/>
        <w:numPr>
          <w:ilvl w:val="0"/>
          <w:numId w:val="14"/>
        </w:numPr>
        <w:ind w:left="567" w:hanging="567"/>
      </w:pPr>
      <w:bookmarkStart w:id="105" w:name="_Toc211269769"/>
      <w:bookmarkStart w:id="106" w:name="_Toc211333693"/>
      <w:proofErr w:type="gramStart"/>
      <w:r w:rsidRPr="00412F77">
        <w:t>souligne</w:t>
      </w:r>
      <w:proofErr w:type="gramEnd"/>
      <w:r w:rsidRPr="00412F77">
        <w:t xml:space="preserve"> que les travailleurs devraient bénéficier d’une formation professionnelle de qualité tout au long de leur carrière, notamment à l’aide d’outils d’orientation et d’évaluation des compétences. Une approche européenne commune est indispensable pour évaluer l’incidence de la formation et diffuser les bonnes pratiques, y compris par le dialogue social et la négociation collective, dans le respect des pratiques </w:t>
      </w:r>
      <w:proofErr w:type="gramStart"/>
      <w:r w:rsidRPr="00412F77">
        <w:t>nationales;</w:t>
      </w:r>
      <w:bookmarkEnd w:id="105"/>
      <w:bookmarkEnd w:id="106"/>
      <w:proofErr w:type="gramEnd"/>
    </w:p>
    <w:p w14:paraId="4EA67C1E" w14:textId="77777777" w:rsidR="00877990" w:rsidRPr="00412F77" w:rsidRDefault="00877990" w:rsidP="00877990">
      <w:pPr>
        <w:pStyle w:val="Heading2"/>
        <w:numPr>
          <w:ilvl w:val="0"/>
          <w:numId w:val="14"/>
        </w:numPr>
        <w:ind w:left="567" w:hanging="567"/>
      </w:pPr>
      <w:bookmarkStart w:id="107" w:name="_Toc211269770"/>
      <w:bookmarkStart w:id="108" w:name="_Toc211333694"/>
      <w:proofErr w:type="gramStart"/>
      <w:r w:rsidRPr="00412F77">
        <w:t>demande</w:t>
      </w:r>
      <w:proofErr w:type="gramEnd"/>
      <w:r w:rsidRPr="00412F77">
        <w:t xml:space="preserve"> que l’intelligence artificielle (IA) soit utilisée comme un outil pour mieux adapter la formation professionnelle aux besoins de la transition écologique, en anticipant les besoins émergents en matière de formation, en mettant rapidement à jour les programmes d’études et en personnalisant les parcours d’apprentissage. Toutefois, il est essentiel de veiller à ce que son </w:t>
      </w:r>
      <w:r w:rsidRPr="00412F77">
        <w:lastRenderedPageBreak/>
        <w:t>utilisation soit éthique et durable, en s’assurant que les enseignants et les formateurs reçoivent une formation adéquate.</w:t>
      </w:r>
      <w:bookmarkEnd w:id="107"/>
      <w:bookmarkEnd w:id="108"/>
    </w:p>
    <w:p w14:paraId="63F465C9" w14:textId="77777777" w:rsidR="00877990" w:rsidRPr="00A02850" w:rsidRDefault="00877990" w:rsidP="00877990">
      <w:pPr>
        <w:widowControl w:val="0"/>
        <w:ind w:left="567"/>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877990" w:rsidRPr="00813637" w14:paraId="4A9A3E21" w14:textId="77777777" w:rsidTr="00C93F66">
        <w:tc>
          <w:tcPr>
            <w:tcW w:w="1210" w:type="dxa"/>
          </w:tcPr>
          <w:p w14:paraId="31F1B686" w14:textId="77777777" w:rsidR="00877990" w:rsidRPr="00813637" w:rsidRDefault="00877990" w:rsidP="00C93F66">
            <w:pPr>
              <w:spacing w:line="240" w:lineRule="auto"/>
              <w:rPr>
                <w:i/>
              </w:rPr>
            </w:pPr>
            <w:r>
              <w:rPr>
                <w:b/>
                <w:i/>
              </w:rPr>
              <w:t>Contact</w:t>
            </w:r>
          </w:p>
        </w:tc>
        <w:tc>
          <w:tcPr>
            <w:tcW w:w="4493" w:type="dxa"/>
          </w:tcPr>
          <w:p w14:paraId="20F3F8BD" w14:textId="74EA3192" w:rsidR="00877990" w:rsidRPr="00813637" w:rsidRDefault="00877990" w:rsidP="00C93F66">
            <w:pPr>
              <w:spacing w:line="240" w:lineRule="auto"/>
              <w:ind w:hanging="12"/>
              <w:rPr>
                <w:i/>
              </w:rPr>
            </w:pPr>
            <w:proofErr w:type="spellStart"/>
            <w:r>
              <w:rPr>
                <w:i/>
              </w:rPr>
              <w:t>Triin</w:t>
            </w:r>
            <w:proofErr w:type="spellEnd"/>
            <w:r>
              <w:rPr>
                <w:i/>
              </w:rPr>
              <w:t xml:space="preserve"> </w:t>
            </w:r>
            <w:proofErr w:type="spellStart"/>
            <w:r>
              <w:rPr>
                <w:i/>
              </w:rPr>
              <w:t>Aasmaa</w:t>
            </w:r>
            <w:proofErr w:type="spellEnd"/>
            <w:r w:rsidR="006031D5">
              <w:rPr>
                <w:i/>
              </w:rPr>
              <w:t> </w:t>
            </w:r>
            <w:r w:rsidR="00412F77">
              <w:rPr>
                <w:i/>
              </w:rPr>
              <w:t>GOMES</w:t>
            </w:r>
          </w:p>
        </w:tc>
      </w:tr>
      <w:tr w:rsidR="00877990" w:rsidRPr="00813637" w14:paraId="2DDDF0DE" w14:textId="77777777" w:rsidTr="00C93F66">
        <w:tc>
          <w:tcPr>
            <w:tcW w:w="1210" w:type="dxa"/>
          </w:tcPr>
          <w:p w14:paraId="1A4E5F2B" w14:textId="77777777" w:rsidR="00877990" w:rsidRPr="00813637" w:rsidRDefault="00877990" w:rsidP="00C93F66">
            <w:pPr>
              <w:spacing w:line="240" w:lineRule="auto"/>
              <w:rPr>
                <w:i/>
              </w:rPr>
            </w:pPr>
            <w:r>
              <w:rPr>
                <w:i/>
              </w:rPr>
              <w:t>Tél.</w:t>
            </w:r>
          </w:p>
        </w:tc>
        <w:tc>
          <w:tcPr>
            <w:tcW w:w="4493" w:type="dxa"/>
          </w:tcPr>
          <w:p w14:paraId="4BA5ACAB" w14:textId="77777777" w:rsidR="00877990" w:rsidRPr="00813637" w:rsidRDefault="00877990" w:rsidP="00C93F66">
            <w:pPr>
              <w:spacing w:line="240" w:lineRule="auto"/>
              <w:rPr>
                <w:i/>
              </w:rPr>
            </w:pPr>
            <w:r>
              <w:rPr>
                <w:i/>
              </w:rPr>
              <w:t>+32 2 5469524</w:t>
            </w:r>
          </w:p>
        </w:tc>
      </w:tr>
      <w:tr w:rsidR="00877990" w:rsidRPr="00813637" w14:paraId="0527EB9F" w14:textId="77777777" w:rsidTr="00C93F66">
        <w:tc>
          <w:tcPr>
            <w:tcW w:w="1210" w:type="dxa"/>
          </w:tcPr>
          <w:p w14:paraId="366E38D6" w14:textId="77777777" w:rsidR="00877990" w:rsidRPr="00813637" w:rsidRDefault="00877990" w:rsidP="00C93F66">
            <w:pPr>
              <w:spacing w:line="240" w:lineRule="auto"/>
              <w:rPr>
                <w:i/>
              </w:rPr>
            </w:pPr>
            <w:r>
              <w:rPr>
                <w:i/>
              </w:rPr>
              <w:t>Courriel</w:t>
            </w:r>
          </w:p>
        </w:tc>
        <w:tc>
          <w:tcPr>
            <w:tcW w:w="4493" w:type="dxa"/>
          </w:tcPr>
          <w:p w14:paraId="3D872875" w14:textId="77777777" w:rsidR="00877990" w:rsidRPr="00813637" w:rsidRDefault="00CB508B" w:rsidP="00C93F66">
            <w:pPr>
              <w:spacing w:line="240" w:lineRule="auto"/>
              <w:rPr>
                <w:i/>
              </w:rPr>
            </w:pPr>
            <w:hyperlink r:id="rId43" w:history="1">
              <w:r w:rsidR="00877990">
                <w:rPr>
                  <w:rStyle w:val="Hyperlink"/>
                  <w:i/>
                </w:rPr>
                <w:t>Triin.AasmaaGomes@eesc.europa.eu</w:t>
              </w:r>
            </w:hyperlink>
          </w:p>
        </w:tc>
      </w:tr>
    </w:tbl>
    <w:p w14:paraId="5F1F5022" w14:textId="77777777" w:rsidR="00F31327" w:rsidRDefault="00F31327" w:rsidP="00F31327">
      <w:pPr>
        <w:spacing w:after="160" w:line="259" w:lineRule="auto"/>
        <w:jc w:val="left"/>
        <w:rPr>
          <w:lang w:val="en-GB"/>
        </w:rPr>
      </w:pPr>
      <w:r>
        <w:rPr>
          <w:lang w:val="en-GB"/>
        </w:rPr>
        <w:br w:type="page"/>
      </w:r>
    </w:p>
    <w:p w14:paraId="73003FC4" w14:textId="2213C287" w:rsidR="00F41B24" w:rsidRPr="00102FD6" w:rsidRDefault="00CB508B" w:rsidP="00F41B24">
      <w:pPr>
        <w:widowControl w:val="0"/>
        <w:numPr>
          <w:ilvl w:val="0"/>
          <w:numId w:val="19"/>
        </w:numPr>
        <w:overflowPunct w:val="0"/>
        <w:autoSpaceDE w:val="0"/>
        <w:autoSpaceDN w:val="0"/>
        <w:adjustRightInd w:val="0"/>
        <w:ind w:hanging="567"/>
        <w:textAlignment w:val="baseline"/>
        <w:rPr>
          <w:sz w:val="24"/>
          <w:szCs w:val="24"/>
        </w:rPr>
      </w:pPr>
      <w:hyperlink r:id="rId44" w:history="1">
        <w:r w:rsidR="00F41B24" w:rsidRPr="00102FD6">
          <w:rPr>
            <w:rStyle w:val="Hyperlink"/>
            <w:b/>
            <w:i/>
            <w:sz w:val="28"/>
          </w:rPr>
          <w:t>Comment l’apprentissage et les dispositifs de formation en alternance peuvent soutenir les compétences attendues des entreprises face aux défis de la transformation numérique et environnementale</w:t>
        </w:r>
      </w:hyperlink>
    </w:p>
    <w:p w14:paraId="6B9B2628" w14:textId="77777777" w:rsidR="00F41B24" w:rsidRPr="00102FD6" w:rsidRDefault="00F41B24" w:rsidP="00F41B24">
      <w:pPr>
        <w:tabs>
          <w:tab w:val="center" w:pos="284"/>
        </w:tabs>
        <w:spacing w:line="240" w:lineRule="auto"/>
        <w:ind w:left="266" w:hanging="266"/>
        <w:rPr>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F41B24" w:rsidRPr="00102FD6" w14:paraId="58FC5ED7" w14:textId="77777777" w:rsidTr="00C93F66">
        <w:tc>
          <w:tcPr>
            <w:tcW w:w="1701" w:type="dxa"/>
          </w:tcPr>
          <w:p w14:paraId="3A13B25C" w14:textId="77777777" w:rsidR="00F41B24" w:rsidRPr="00102FD6" w:rsidRDefault="00F41B24" w:rsidP="00C93F66">
            <w:pPr>
              <w:tabs>
                <w:tab w:val="center" w:pos="284"/>
              </w:tabs>
              <w:ind w:left="266" w:hanging="266"/>
              <w:rPr>
                <w:b/>
              </w:rPr>
            </w:pPr>
            <w:r w:rsidRPr="00102FD6">
              <w:rPr>
                <w:b/>
                <w:bCs/>
              </w:rPr>
              <w:t>Rapporteur</w:t>
            </w:r>
          </w:p>
        </w:tc>
        <w:tc>
          <w:tcPr>
            <w:tcW w:w="7621" w:type="dxa"/>
          </w:tcPr>
          <w:p w14:paraId="20AE4792" w14:textId="10A96364" w:rsidR="00F41B24" w:rsidRPr="00102FD6" w:rsidRDefault="00F41B24" w:rsidP="00C93F66">
            <w:pPr>
              <w:tabs>
                <w:tab w:val="center" w:pos="284"/>
              </w:tabs>
              <w:ind w:left="266" w:hanging="266"/>
            </w:pPr>
            <w:r w:rsidRPr="00102FD6">
              <w:t xml:space="preserve">Jean-Michel POTTIER (groupe des employeurs — </w:t>
            </w:r>
            <w:r w:rsidR="00412F77">
              <w:t>FR</w:t>
            </w:r>
            <w:r w:rsidRPr="00102FD6">
              <w:t>)</w:t>
            </w:r>
          </w:p>
        </w:tc>
      </w:tr>
      <w:tr w:rsidR="00F41B24" w:rsidRPr="00102FD6" w14:paraId="09D7675B" w14:textId="77777777" w:rsidTr="00C93F66">
        <w:tc>
          <w:tcPr>
            <w:tcW w:w="1701" w:type="dxa"/>
          </w:tcPr>
          <w:p w14:paraId="64CF3DC9" w14:textId="77777777" w:rsidR="00F41B24" w:rsidRPr="00F5434D" w:rsidRDefault="00F41B24" w:rsidP="00C93F66">
            <w:pPr>
              <w:tabs>
                <w:tab w:val="center" w:pos="284"/>
              </w:tabs>
              <w:spacing w:line="240" w:lineRule="auto"/>
              <w:ind w:left="266" w:hanging="266"/>
              <w:rPr>
                <w:b/>
                <w:sz w:val="18"/>
                <w:szCs w:val="18"/>
              </w:rPr>
            </w:pPr>
          </w:p>
        </w:tc>
        <w:tc>
          <w:tcPr>
            <w:tcW w:w="7621" w:type="dxa"/>
          </w:tcPr>
          <w:p w14:paraId="7D82467F" w14:textId="77777777" w:rsidR="00F41B24" w:rsidRPr="00F5434D" w:rsidRDefault="00F41B24" w:rsidP="00C93F66">
            <w:pPr>
              <w:tabs>
                <w:tab w:val="center" w:pos="284"/>
              </w:tabs>
              <w:spacing w:line="240" w:lineRule="auto"/>
              <w:ind w:left="266" w:hanging="266"/>
              <w:rPr>
                <w:sz w:val="18"/>
                <w:szCs w:val="18"/>
              </w:rPr>
            </w:pPr>
          </w:p>
        </w:tc>
      </w:tr>
      <w:tr w:rsidR="00F41B24" w:rsidRPr="00102FD6" w14:paraId="543344A3" w14:textId="77777777" w:rsidTr="00C93F66">
        <w:tc>
          <w:tcPr>
            <w:tcW w:w="1701" w:type="dxa"/>
            <w:vMerge w:val="restart"/>
          </w:tcPr>
          <w:p w14:paraId="27A4D338" w14:textId="77777777" w:rsidR="00F41B24" w:rsidRPr="00102FD6" w:rsidRDefault="00F41B24" w:rsidP="00C93F66">
            <w:pPr>
              <w:tabs>
                <w:tab w:val="center" w:pos="284"/>
              </w:tabs>
              <w:ind w:left="266" w:hanging="266"/>
              <w:rPr>
                <w:b/>
              </w:rPr>
            </w:pPr>
            <w:r w:rsidRPr="00102FD6">
              <w:rPr>
                <w:b/>
              </w:rPr>
              <w:t>Référence</w:t>
            </w:r>
          </w:p>
        </w:tc>
        <w:tc>
          <w:tcPr>
            <w:tcW w:w="7621" w:type="dxa"/>
          </w:tcPr>
          <w:p w14:paraId="7947D7EB" w14:textId="77777777" w:rsidR="00F41B24" w:rsidRPr="00102FD6" w:rsidRDefault="00F41B24" w:rsidP="00C93F66">
            <w:pPr>
              <w:tabs>
                <w:tab w:val="center" w:pos="284"/>
              </w:tabs>
              <w:ind w:left="266" w:hanging="266"/>
            </w:pPr>
            <w:r w:rsidRPr="00102FD6">
              <w:t>Avis d’initiative</w:t>
            </w:r>
          </w:p>
        </w:tc>
      </w:tr>
      <w:tr w:rsidR="00F41B24" w:rsidRPr="00102FD6" w14:paraId="0FADD4A7" w14:textId="77777777" w:rsidTr="00C93F66">
        <w:tc>
          <w:tcPr>
            <w:tcW w:w="1701" w:type="dxa"/>
            <w:vMerge/>
          </w:tcPr>
          <w:p w14:paraId="4DDCFB34" w14:textId="77777777" w:rsidR="00F41B24" w:rsidRPr="00102FD6" w:rsidRDefault="00F41B24" w:rsidP="00C93F66">
            <w:pPr>
              <w:tabs>
                <w:tab w:val="center" w:pos="284"/>
              </w:tabs>
              <w:ind w:left="266" w:hanging="266"/>
              <w:rPr>
                <w:b/>
              </w:rPr>
            </w:pPr>
          </w:p>
        </w:tc>
        <w:tc>
          <w:tcPr>
            <w:tcW w:w="7621" w:type="dxa"/>
          </w:tcPr>
          <w:p w14:paraId="319DD980" w14:textId="77777777" w:rsidR="00F41B24" w:rsidRPr="00102FD6" w:rsidRDefault="00F41B24" w:rsidP="00C93F66">
            <w:pPr>
              <w:tabs>
                <w:tab w:val="center" w:pos="284"/>
              </w:tabs>
              <w:ind w:left="266" w:hanging="266"/>
            </w:pPr>
            <w:r w:rsidRPr="00102FD6">
              <w:t>EESC-2025-00781-00-00-AC-TRA</w:t>
            </w:r>
          </w:p>
        </w:tc>
      </w:tr>
    </w:tbl>
    <w:p w14:paraId="1AC3B348" w14:textId="77777777" w:rsidR="00F41B24" w:rsidRPr="00102FD6" w:rsidRDefault="00F41B24" w:rsidP="00F41B24">
      <w:pPr>
        <w:tabs>
          <w:tab w:val="center" w:pos="284"/>
        </w:tabs>
        <w:spacing w:line="240" w:lineRule="auto"/>
        <w:ind w:left="266" w:hanging="266"/>
      </w:pPr>
    </w:p>
    <w:p w14:paraId="60C195DD" w14:textId="77777777" w:rsidR="00F41B24" w:rsidRPr="00102FD6" w:rsidRDefault="00F41B24" w:rsidP="00F41B24">
      <w:pPr>
        <w:keepNext/>
        <w:keepLines/>
        <w:tabs>
          <w:tab w:val="center" w:pos="284"/>
        </w:tabs>
        <w:ind w:left="266" w:hanging="266"/>
        <w:rPr>
          <w:b/>
        </w:rPr>
      </w:pPr>
      <w:r w:rsidRPr="00102FD6">
        <w:rPr>
          <w:b/>
        </w:rPr>
        <w:t>Points clés</w:t>
      </w:r>
    </w:p>
    <w:p w14:paraId="7D9F2EC6" w14:textId="77777777" w:rsidR="00F41B24" w:rsidRPr="00102FD6" w:rsidRDefault="00F41B24" w:rsidP="00F41B24">
      <w:pPr>
        <w:keepNext/>
        <w:keepLines/>
        <w:tabs>
          <w:tab w:val="center" w:pos="284"/>
        </w:tabs>
        <w:spacing w:line="240" w:lineRule="auto"/>
        <w:ind w:left="266" w:hanging="266"/>
        <w:rPr>
          <w:b/>
        </w:rPr>
      </w:pPr>
    </w:p>
    <w:p w14:paraId="5ED26CEC" w14:textId="77777777" w:rsidR="00F41B24" w:rsidRPr="00102FD6" w:rsidRDefault="00F41B24" w:rsidP="00F41B24">
      <w:pPr>
        <w:rPr>
          <w:bCs/>
          <w:iCs/>
        </w:rPr>
      </w:pPr>
      <w:r w:rsidRPr="00102FD6">
        <w:t xml:space="preserve">Le </w:t>
      </w:r>
      <w:proofErr w:type="gramStart"/>
      <w:r w:rsidRPr="00102FD6">
        <w:t>CESE:</w:t>
      </w:r>
      <w:proofErr w:type="gramEnd"/>
    </w:p>
    <w:p w14:paraId="49A9717A" w14:textId="77777777" w:rsidR="00F41B24" w:rsidRPr="00102FD6" w:rsidRDefault="00F41B24" w:rsidP="00F41B24">
      <w:pPr>
        <w:pStyle w:val="ListParagraph"/>
        <w:numPr>
          <w:ilvl w:val="0"/>
          <w:numId w:val="19"/>
        </w:numPr>
        <w:spacing w:after="160" w:line="278" w:lineRule="auto"/>
        <w:ind w:hanging="567"/>
      </w:pPr>
      <w:proofErr w:type="gramStart"/>
      <w:r w:rsidRPr="00102FD6">
        <w:t>souligne</w:t>
      </w:r>
      <w:proofErr w:type="gramEnd"/>
      <w:r w:rsidRPr="00102FD6">
        <w:t xml:space="preserve"> l’importance des formations en apprentissage pour donner les compétences numériques et environnementales attendues sur le marché du travail européen; </w:t>
      </w:r>
    </w:p>
    <w:p w14:paraId="047323B3" w14:textId="77777777" w:rsidR="00F41B24" w:rsidRPr="00102FD6" w:rsidRDefault="00F41B24" w:rsidP="00F41B24">
      <w:pPr>
        <w:pStyle w:val="ListParagraph"/>
        <w:numPr>
          <w:ilvl w:val="0"/>
          <w:numId w:val="19"/>
        </w:numPr>
        <w:spacing w:after="160" w:line="278" w:lineRule="auto"/>
        <w:ind w:hanging="567"/>
      </w:pPr>
      <w:proofErr w:type="gramStart"/>
      <w:r w:rsidRPr="00102FD6">
        <w:t>observe</w:t>
      </w:r>
      <w:proofErr w:type="gramEnd"/>
      <w:r w:rsidRPr="00102FD6">
        <w:t xml:space="preserve"> que les dispositifs d’apprentissage et de certification sont, dans de nombreux pays de l’UE, dans un fonctionnement en silos; soutient l’objectif d’une réforme en profondeur, par exemple pour adapter les formations aux besoins du marché du travail, améliorer l’accessibilité et favoriser les compétences transversales;</w:t>
      </w:r>
    </w:p>
    <w:p w14:paraId="502D3D5A" w14:textId="77777777" w:rsidR="00F41B24" w:rsidRPr="00102FD6" w:rsidRDefault="00F41B24" w:rsidP="00F41B24">
      <w:pPr>
        <w:pStyle w:val="ListParagraph"/>
        <w:numPr>
          <w:ilvl w:val="0"/>
          <w:numId w:val="19"/>
        </w:numPr>
        <w:spacing w:after="160" w:line="278" w:lineRule="auto"/>
        <w:ind w:hanging="567"/>
      </w:pPr>
      <w:proofErr w:type="gramStart"/>
      <w:r w:rsidRPr="00102FD6">
        <w:t>propose</w:t>
      </w:r>
      <w:proofErr w:type="gramEnd"/>
      <w:r w:rsidRPr="00102FD6">
        <w:t xml:space="preserve"> une approche nouvelle des systèmes d’apprentissage en prévoyant un module complémentaire de formation dans un domaine de nouvelles technologies ou d’innovations dans les compétences numériques et environnementales; estime que les compétences de base sont une condition préalable pour suivre une formation professionnelle, par exemple un apprentissage;</w:t>
      </w:r>
    </w:p>
    <w:p w14:paraId="72978FCA" w14:textId="77777777" w:rsidR="00F41B24" w:rsidRPr="00102FD6" w:rsidRDefault="00F41B24" w:rsidP="00F41B24">
      <w:pPr>
        <w:pStyle w:val="ListParagraph"/>
        <w:numPr>
          <w:ilvl w:val="0"/>
          <w:numId w:val="19"/>
        </w:numPr>
        <w:spacing w:after="160" w:line="278" w:lineRule="auto"/>
        <w:ind w:hanging="567"/>
      </w:pPr>
      <w:proofErr w:type="gramStart"/>
      <w:r w:rsidRPr="00102FD6">
        <w:t>souligne</w:t>
      </w:r>
      <w:proofErr w:type="gramEnd"/>
      <w:r w:rsidRPr="00102FD6">
        <w:t xml:space="preserve"> le rôle des partenaires sociaux dans la conception et la gestion des systèmes de formation, ainsi que dans l’évaluation des besoins en compétences du marché du travail;</w:t>
      </w:r>
    </w:p>
    <w:p w14:paraId="3B744061" w14:textId="77777777" w:rsidR="00F41B24" w:rsidRPr="00102FD6" w:rsidRDefault="00F41B24" w:rsidP="00F41B24">
      <w:pPr>
        <w:pStyle w:val="ListParagraph"/>
        <w:numPr>
          <w:ilvl w:val="0"/>
          <w:numId w:val="19"/>
        </w:numPr>
        <w:spacing w:after="160" w:line="278" w:lineRule="auto"/>
        <w:ind w:hanging="567"/>
      </w:pPr>
      <w:proofErr w:type="gramStart"/>
      <w:r w:rsidRPr="00102FD6">
        <w:t>plaide</w:t>
      </w:r>
      <w:proofErr w:type="gramEnd"/>
      <w:r w:rsidRPr="00102FD6">
        <w:t xml:space="preserve"> en faveur du développement du système de formation en apprentissage utilisé dans certains pays de l’UE au profit des adultes de plus de 30 ans; est favorable à l’apprentissage comme dispositif permettant l’insertion de personnes en situation de handicap;</w:t>
      </w:r>
    </w:p>
    <w:p w14:paraId="75D696C9" w14:textId="77777777" w:rsidR="00F41B24" w:rsidRPr="00102FD6" w:rsidRDefault="00F41B24" w:rsidP="00F41B24">
      <w:pPr>
        <w:pStyle w:val="ListParagraph"/>
        <w:numPr>
          <w:ilvl w:val="0"/>
          <w:numId w:val="19"/>
        </w:numPr>
        <w:spacing w:after="160" w:line="278" w:lineRule="auto"/>
        <w:ind w:hanging="567"/>
      </w:pPr>
      <w:proofErr w:type="gramStart"/>
      <w:r w:rsidRPr="00102FD6">
        <w:t>recommande</w:t>
      </w:r>
      <w:proofErr w:type="gramEnd"/>
      <w:r w:rsidRPr="00102FD6">
        <w:t xml:space="preserve"> à la Commission d’encourager les États membres à adopter une approche globale associant les institutions concernées, les partenaires sociaux, les organisations de la société civile (OSC), les organismes de formation et la communauté scientifique, pour mettre en œuvre des politiques efficaces en matière de renforcement des compétences numériques;</w:t>
      </w:r>
    </w:p>
    <w:p w14:paraId="44639D26" w14:textId="77777777" w:rsidR="00F41B24" w:rsidRPr="00102FD6" w:rsidRDefault="00F41B24" w:rsidP="00F41B24">
      <w:pPr>
        <w:pStyle w:val="ListParagraph"/>
        <w:numPr>
          <w:ilvl w:val="0"/>
          <w:numId w:val="19"/>
        </w:numPr>
        <w:spacing w:after="160" w:line="278" w:lineRule="auto"/>
        <w:ind w:hanging="567"/>
      </w:pPr>
      <w:proofErr w:type="gramStart"/>
      <w:r w:rsidRPr="00102FD6">
        <w:t>soutient</w:t>
      </w:r>
      <w:proofErr w:type="gramEnd"/>
      <w:r w:rsidRPr="00102FD6">
        <w:t xml:space="preserve"> fortement le dispositif Erasmus+, car il permet de réaliser un stage dans une entreprise européenne, de suivre une formation en Europe dans un organisme de formation professionnelle, ou de participer à des échanges pédagogiques;</w:t>
      </w:r>
    </w:p>
    <w:p w14:paraId="3C9085A9" w14:textId="77777777" w:rsidR="00F41B24" w:rsidRPr="00102FD6" w:rsidRDefault="00F41B24" w:rsidP="00F41B24">
      <w:pPr>
        <w:pStyle w:val="ListParagraph"/>
        <w:numPr>
          <w:ilvl w:val="0"/>
          <w:numId w:val="19"/>
        </w:numPr>
        <w:spacing w:line="278" w:lineRule="auto"/>
        <w:ind w:hanging="567"/>
      </w:pPr>
      <w:proofErr w:type="gramStart"/>
      <w:r w:rsidRPr="00102FD6">
        <w:t>rappelle</w:t>
      </w:r>
      <w:proofErr w:type="gramEnd"/>
      <w:r w:rsidRPr="00102FD6">
        <w:t xml:space="preserve"> qu’un accompagnement et un service d’orientation sont nécessaires pour permettre l’information des jeunes sur les nouvelles compétences et les opportunités du marché du travail; précise que l’information et l’orientation doivent concourir à une estime équivalente des différentes formes de formation professionnelle dans lesquelles l’apprentissage permet des taux très élevés d’insertion directe sur le marché du travail.</w:t>
      </w:r>
    </w:p>
    <w:p w14:paraId="0F64697B" w14:textId="77777777" w:rsidR="00F41B24" w:rsidRPr="00F5434D" w:rsidRDefault="00F41B24" w:rsidP="00F41B24">
      <w:pPr>
        <w:widowControl w:val="0"/>
        <w:spacing w:line="240" w:lineRule="auto"/>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F41B24" w:rsidRPr="00102FD6" w14:paraId="6FA3CA9A" w14:textId="77777777" w:rsidTr="00C93F66">
        <w:tc>
          <w:tcPr>
            <w:tcW w:w="1418" w:type="dxa"/>
          </w:tcPr>
          <w:p w14:paraId="1A2F594B" w14:textId="77777777" w:rsidR="00F41B24" w:rsidRPr="00102FD6" w:rsidRDefault="00F41B24" w:rsidP="00C93F66">
            <w:pPr>
              <w:spacing w:line="240" w:lineRule="auto"/>
              <w:rPr>
                <w:i/>
              </w:rPr>
            </w:pPr>
            <w:r w:rsidRPr="00102FD6">
              <w:rPr>
                <w:b/>
                <w:i/>
              </w:rPr>
              <w:t>Contact</w:t>
            </w:r>
          </w:p>
        </w:tc>
        <w:tc>
          <w:tcPr>
            <w:tcW w:w="5670" w:type="dxa"/>
          </w:tcPr>
          <w:p w14:paraId="25816245" w14:textId="3333700D" w:rsidR="00F41B24" w:rsidRPr="00102FD6" w:rsidRDefault="00F41B24" w:rsidP="00C93F66">
            <w:pPr>
              <w:spacing w:line="240" w:lineRule="auto"/>
              <w:rPr>
                <w:i/>
              </w:rPr>
            </w:pPr>
            <w:r w:rsidRPr="00102FD6">
              <w:rPr>
                <w:i/>
              </w:rPr>
              <w:t>Sabrina</w:t>
            </w:r>
            <w:r w:rsidR="006031D5">
              <w:rPr>
                <w:i/>
              </w:rPr>
              <w:t> </w:t>
            </w:r>
            <w:r w:rsidRPr="00102FD6">
              <w:rPr>
                <w:i/>
              </w:rPr>
              <w:t>BORG</w:t>
            </w:r>
          </w:p>
        </w:tc>
      </w:tr>
      <w:tr w:rsidR="00F41B24" w:rsidRPr="00102FD6" w14:paraId="0AF1F124" w14:textId="77777777" w:rsidTr="00C93F66">
        <w:tc>
          <w:tcPr>
            <w:tcW w:w="1418" w:type="dxa"/>
          </w:tcPr>
          <w:p w14:paraId="79A07878" w14:textId="77777777" w:rsidR="00F41B24" w:rsidRPr="00102FD6" w:rsidRDefault="00F41B24" w:rsidP="00C93F66">
            <w:pPr>
              <w:spacing w:line="240" w:lineRule="auto"/>
              <w:rPr>
                <w:i/>
              </w:rPr>
            </w:pPr>
            <w:r w:rsidRPr="00102FD6">
              <w:rPr>
                <w:i/>
              </w:rPr>
              <w:t>Tél.</w:t>
            </w:r>
          </w:p>
        </w:tc>
        <w:tc>
          <w:tcPr>
            <w:tcW w:w="5670" w:type="dxa"/>
          </w:tcPr>
          <w:p w14:paraId="1C3A7D9F" w14:textId="77777777" w:rsidR="00F41B24" w:rsidRPr="00102FD6" w:rsidRDefault="00F41B24" w:rsidP="00C93F66">
            <w:pPr>
              <w:spacing w:line="240" w:lineRule="auto"/>
              <w:rPr>
                <w:i/>
              </w:rPr>
            </w:pPr>
            <w:r w:rsidRPr="00102FD6">
              <w:rPr>
                <w:i/>
              </w:rPr>
              <w:t>+32 2 5469727</w:t>
            </w:r>
          </w:p>
        </w:tc>
      </w:tr>
      <w:tr w:rsidR="00F41B24" w:rsidRPr="00102FD6" w14:paraId="1671574D" w14:textId="77777777" w:rsidTr="00C93F66">
        <w:tc>
          <w:tcPr>
            <w:tcW w:w="1418" w:type="dxa"/>
          </w:tcPr>
          <w:p w14:paraId="7EBCA447" w14:textId="77777777" w:rsidR="00F41B24" w:rsidRPr="00102FD6" w:rsidRDefault="00F41B24" w:rsidP="00C93F66">
            <w:pPr>
              <w:spacing w:line="240" w:lineRule="auto"/>
              <w:rPr>
                <w:i/>
              </w:rPr>
            </w:pPr>
            <w:r w:rsidRPr="00102FD6">
              <w:rPr>
                <w:i/>
              </w:rPr>
              <w:t>Courriel</w:t>
            </w:r>
          </w:p>
        </w:tc>
        <w:tc>
          <w:tcPr>
            <w:tcW w:w="5670" w:type="dxa"/>
          </w:tcPr>
          <w:p w14:paraId="25F72C75" w14:textId="77777777" w:rsidR="00F41B24" w:rsidRPr="00102FD6" w:rsidRDefault="00CB508B" w:rsidP="00C93F66">
            <w:pPr>
              <w:spacing w:line="240" w:lineRule="auto"/>
              <w:rPr>
                <w:i/>
                <w:iCs/>
              </w:rPr>
            </w:pPr>
            <w:hyperlink r:id="rId45" w:history="1">
              <w:r w:rsidR="00F41B24" w:rsidRPr="00102FD6">
                <w:rPr>
                  <w:rStyle w:val="Hyperlink"/>
                  <w:i/>
                </w:rPr>
                <w:t>Sabrina.Borg@eesc.europa.eu</w:t>
              </w:r>
            </w:hyperlink>
            <w:r w:rsidR="00F41B24" w:rsidRPr="00102FD6">
              <w:rPr>
                <w:i/>
              </w:rPr>
              <w:t xml:space="preserve"> </w:t>
            </w:r>
          </w:p>
        </w:tc>
      </w:tr>
    </w:tbl>
    <w:p w14:paraId="196203CB" w14:textId="77777777" w:rsidR="00F31327" w:rsidRDefault="00F31327" w:rsidP="00F31327">
      <w:pPr>
        <w:jc w:val="left"/>
        <w:rPr>
          <w:lang w:val="en-GB"/>
        </w:rPr>
      </w:pPr>
    </w:p>
    <w:p w14:paraId="6038419C" w14:textId="77777777" w:rsidR="00F31327" w:rsidRDefault="00F31327" w:rsidP="00F31327">
      <w:pPr>
        <w:jc w:val="left"/>
        <w:rPr>
          <w:lang w:val="en-GB"/>
        </w:rPr>
      </w:pPr>
      <w:r>
        <w:rPr>
          <w:lang w:val="en-GB"/>
        </w:rPr>
        <w:br w:type="page"/>
      </w:r>
    </w:p>
    <w:p w14:paraId="1547354A" w14:textId="0DC5E2ED" w:rsidR="00212117" w:rsidRPr="00A04AFA" w:rsidRDefault="00CB508B" w:rsidP="00212117">
      <w:pPr>
        <w:widowControl w:val="0"/>
        <w:numPr>
          <w:ilvl w:val="0"/>
          <w:numId w:val="10"/>
        </w:numPr>
        <w:overflowPunct w:val="0"/>
        <w:autoSpaceDE w:val="0"/>
        <w:autoSpaceDN w:val="0"/>
        <w:adjustRightInd w:val="0"/>
        <w:ind w:left="567" w:hanging="567"/>
        <w:textAlignment w:val="baseline"/>
        <w:rPr>
          <w:rStyle w:val="Hyperlink"/>
          <w:b/>
        </w:rPr>
      </w:pPr>
      <w:hyperlink r:id="rId46" w:history="1">
        <w:r w:rsidR="00212117">
          <w:rPr>
            <w:rStyle w:val="Hyperlink"/>
            <w:b/>
            <w:i/>
            <w:sz w:val="28"/>
          </w:rPr>
          <w:t>Évaluer l’incidence des politiques publiques à moyen et long termes grâce à la budgétisation intergénérationnelle</w:t>
        </w:r>
      </w:hyperlink>
    </w:p>
    <w:p w14:paraId="67D41758" w14:textId="77777777" w:rsidR="00212117" w:rsidRPr="00175210" w:rsidRDefault="00212117" w:rsidP="00212117">
      <w:pPr>
        <w:tabs>
          <w:tab w:val="center" w:pos="284"/>
        </w:tabs>
        <w:ind w:left="567" w:hanging="567"/>
        <w:rPr>
          <w:sz w:val="16"/>
          <w:szCs w:val="16"/>
          <w:lang w:val="en-U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212117" w:rsidRPr="00741610" w14:paraId="42B774D7" w14:textId="77777777" w:rsidTr="00C93F66">
        <w:tc>
          <w:tcPr>
            <w:tcW w:w="1701" w:type="dxa"/>
          </w:tcPr>
          <w:p w14:paraId="4E908567" w14:textId="77777777" w:rsidR="00212117" w:rsidRPr="00A6689B" w:rsidRDefault="00212117" w:rsidP="00C93F66">
            <w:pPr>
              <w:tabs>
                <w:tab w:val="center" w:pos="284"/>
              </w:tabs>
              <w:ind w:left="567" w:hanging="567"/>
              <w:rPr>
                <w:b/>
              </w:rPr>
            </w:pPr>
            <w:proofErr w:type="spellStart"/>
            <w:r>
              <w:rPr>
                <w:b/>
              </w:rPr>
              <w:t>Rapporteure</w:t>
            </w:r>
            <w:proofErr w:type="spellEnd"/>
          </w:p>
        </w:tc>
        <w:tc>
          <w:tcPr>
            <w:tcW w:w="7621" w:type="dxa"/>
          </w:tcPr>
          <w:p w14:paraId="195A929E" w14:textId="77777777" w:rsidR="00212117" w:rsidRPr="00741610" w:rsidRDefault="00212117" w:rsidP="00C93F66">
            <w:pPr>
              <w:ind w:left="567" w:hanging="567"/>
            </w:pPr>
            <w:r>
              <w:t>Nicoletta MERLO (groupe des travailleurs — IT)</w:t>
            </w:r>
          </w:p>
        </w:tc>
      </w:tr>
      <w:tr w:rsidR="00212117" w:rsidRPr="00CA1E86" w14:paraId="3C86FCF2" w14:textId="77777777" w:rsidTr="00C93F66">
        <w:tc>
          <w:tcPr>
            <w:tcW w:w="1701" w:type="dxa"/>
          </w:tcPr>
          <w:p w14:paraId="130A33D9" w14:textId="77777777" w:rsidR="00212117" w:rsidRPr="00A6689B" w:rsidRDefault="00212117" w:rsidP="00C93F66">
            <w:pPr>
              <w:tabs>
                <w:tab w:val="center" w:pos="284"/>
              </w:tabs>
              <w:ind w:left="567" w:hanging="567"/>
              <w:rPr>
                <w:b/>
              </w:rPr>
            </w:pPr>
            <w:r>
              <w:rPr>
                <w:b/>
              </w:rPr>
              <w:t>Références</w:t>
            </w:r>
          </w:p>
        </w:tc>
        <w:tc>
          <w:tcPr>
            <w:tcW w:w="7621" w:type="dxa"/>
          </w:tcPr>
          <w:p w14:paraId="620C576F" w14:textId="77777777" w:rsidR="004977BD" w:rsidRDefault="004977BD" w:rsidP="00C93F66">
            <w:pPr>
              <w:tabs>
                <w:tab w:val="center" w:pos="284"/>
              </w:tabs>
              <w:ind w:left="567" w:hanging="567"/>
            </w:pPr>
            <w:r>
              <w:t>Avis d'initiative</w:t>
            </w:r>
          </w:p>
          <w:p w14:paraId="0973DA36" w14:textId="56785972" w:rsidR="00212117" w:rsidRPr="00A04AFA" w:rsidRDefault="00212117" w:rsidP="00C93F66">
            <w:pPr>
              <w:tabs>
                <w:tab w:val="center" w:pos="284"/>
              </w:tabs>
              <w:ind w:left="567" w:hanging="567"/>
            </w:pPr>
            <w:r>
              <w:t>EESC-2025-00476-00-00-AC-TRA</w:t>
            </w:r>
          </w:p>
        </w:tc>
      </w:tr>
    </w:tbl>
    <w:p w14:paraId="21A293A7" w14:textId="77777777" w:rsidR="00212117" w:rsidRDefault="00212117" w:rsidP="00212117">
      <w:pPr>
        <w:keepNext/>
        <w:keepLines/>
        <w:tabs>
          <w:tab w:val="center" w:pos="284"/>
        </w:tabs>
        <w:ind w:left="266" w:hanging="266"/>
        <w:rPr>
          <w:b/>
        </w:rPr>
      </w:pPr>
    </w:p>
    <w:p w14:paraId="750728EF" w14:textId="66AFD9FD" w:rsidR="00212117" w:rsidRDefault="00212117" w:rsidP="00212117">
      <w:pPr>
        <w:keepNext/>
        <w:keepLines/>
        <w:tabs>
          <w:tab w:val="center" w:pos="284"/>
        </w:tabs>
        <w:ind w:left="266" w:hanging="266"/>
        <w:rPr>
          <w:b/>
        </w:rPr>
      </w:pPr>
      <w:r>
        <w:rPr>
          <w:b/>
        </w:rPr>
        <w:t>Points clés</w:t>
      </w:r>
    </w:p>
    <w:p w14:paraId="034AAE68" w14:textId="77777777" w:rsidR="001129B2" w:rsidRDefault="001129B2" w:rsidP="00212117">
      <w:pPr>
        <w:keepNext/>
        <w:keepLines/>
        <w:tabs>
          <w:tab w:val="center" w:pos="284"/>
        </w:tabs>
        <w:ind w:left="266" w:hanging="266"/>
        <w:rPr>
          <w:b/>
        </w:rPr>
      </w:pPr>
    </w:p>
    <w:p w14:paraId="2EBA4CAA" w14:textId="77777777" w:rsidR="00212117" w:rsidRPr="001A15C9" w:rsidRDefault="00212117" w:rsidP="00212117">
      <w:pPr>
        <w:pStyle w:val="NormalWeb"/>
        <w:spacing w:before="0" w:beforeAutospacing="0" w:after="0" w:afterAutospacing="0" w:line="288" w:lineRule="auto"/>
      </w:pPr>
      <w:r>
        <w:t xml:space="preserve">Le </w:t>
      </w:r>
      <w:proofErr w:type="gramStart"/>
      <w:r>
        <w:t>CESE:</w:t>
      </w:r>
      <w:proofErr w:type="gramEnd"/>
    </w:p>
    <w:p w14:paraId="3C1BE8B4" w14:textId="77777777" w:rsidR="00212117" w:rsidRPr="001A15C9" w:rsidRDefault="00212117" w:rsidP="00212117">
      <w:pPr>
        <w:pStyle w:val="ListParagraph"/>
        <w:numPr>
          <w:ilvl w:val="0"/>
          <w:numId w:val="15"/>
        </w:numPr>
        <w:tabs>
          <w:tab w:val="clear" w:pos="720"/>
        </w:tabs>
        <w:ind w:left="567" w:hanging="567"/>
      </w:pPr>
      <w:proofErr w:type="gramStart"/>
      <w:r>
        <w:t>encourage</w:t>
      </w:r>
      <w:proofErr w:type="gramEnd"/>
      <w:r>
        <w:t xml:space="preserve"> l’introduction d’une approche de budgétisation intergénérationnelle qui serait mieux à même de faire connaître la manière dont les ressources sont allouées aux différentes générations par les programmations financières européenne, nationale et locale, tout en respectant pleinement les compétences et l’autonomie budgétaire des États membres;</w:t>
      </w:r>
    </w:p>
    <w:p w14:paraId="15BB1E28" w14:textId="77777777" w:rsidR="00212117" w:rsidRPr="001A15C9" w:rsidRDefault="00212117" w:rsidP="00212117">
      <w:pPr>
        <w:pStyle w:val="ListParagraph"/>
        <w:numPr>
          <w:ilvl w:val="0"/>
          <w:numId w:val="15"/>
        </w:numPr>
        <w:tabs>
          <w:tab w:val="clear" w:pos="720"/>
        </w:tabs>
        <w:ind w:left="567" w:hanging="567"/>
      </w:pPr>
      <w:r>
        <w:t>invite les États membres à tenir systématiquement compte de la dimension intergénérationnelle dans leurs budgets, par exemple en appliquant le «test jeunesse» à tous les postes budgétaires nationaux concernés ou par d’autres méthodes, en identifiant clairement les mesures générationnelles et celles qui le sont potentiellement; cela contribuerait à mieux mettre en cohérence les dépenses publiques et les principes d’équité intergénérationnelle, tout en favorisant un échange générationnel entre personnes jeunes et âgées;</w:t>
      </w:r>
    </w:p>
    <w:p w14:paraId="46809310" w14:textId="77777777" w:rsidR="00212117" w:rsidRPr="001A15C9" w:rsidRDefault="00212117" w:rsidP="00212117">
      <w:pPr>
        <w:pStyle w:val="ListParagraph"/>
        <w:numPr>
          <w:ilvl w:val="0"/>
          <w:numId w:val="15"/>
        </w:numPr>
        <w:tabs>
          <w:tab w:val="clear" w:pos="720"/>
        </w:tabs>
        <w:ind w:left="567" w:hanging="567"/>
      </w:pPr>
      <w:proofErr w:type="gramStart"/>
      <w:r>
        <w:t>recommande</w:t>
      </w:r>
      <w:proofErr w:type="gramEnd"/>
      <w:r>
        <w:t xml:space="preserve"> de stimuler une participation structurée et significative des jeunes en tant que partie intégrante de la planification et du suivi budgétaires; </w:t>
      </w:r>
    </w:p>
    <w:p w14:paraId="4D969EEF" w14:textId="77777777" w:rsidR="00212117" w:rsidRPr="001A15C9" w:rsidRDefault="00212117" w:rsidP="00212117">
      <w:pPr>
        <w:pStyle w:val="ListParagraph"/>
        <w:numPr>
          <w:ilvl w:val="0"/>
          <w:numId w:val="15"/>
        </w:numPr>
        <w:tabs>
          <w:tab w:val="clear" w:pos="720"/>
        </w:tabs>
        <w:ind w:left="567" w:hanging="567"/>
      </w:pPr>
      <w:proofErr w:type="gramStart"/>
      <w:r>
        <w:t>estime</w:t>
      </w:r>
      <w:proofErr w:type="gramEnd"/>
      <w:r>
        <w:t xml:space="preserve"> que les budgets des États membres devraient garantir un juste équilibre entre les dépenses par habitant destinées à la famille et aux enfants, et celles au profit des seniors, de manière à promouvoir l’équité entre les générations;</w:t>
      </w:r>
    </w:p>
    <w:p w14:paraId="265C13AA" w14:textId="77777777" w:rsidR="00212117" w:rsidRPr="001A15C9" w:rsidRDefault="00212117" w:rsidP="00212117">
      <w:pPr>
        <w:pStyle w:val="ListParagraph"/>
        <w:numPr>
          <w:ilvl w:val="0"/>
          <w:numId w:val="15"/>
        </w:numPr>
        <w:tabs>
          <w:tab w:val="clear" w:pos="720"/>
        </w:tabs>
        <w:ind w:left="567" w:hanging="567"/>
      </w:pPr>
      <w:proofErr w:type="gramStart"/>
      <w:r>
        <w:t>souligne</w:t>
      </w:r>
      <w:proofErr w:type="gramEnd"/>
      <w:r>
        <w:t xml:space="preserve"> qu’il importe de garantir la viabilité à long terme des systèmes de protection sociale en procédant à des évaluations quantitatives de l’équité intergénérationnelle;</w:t>
      </w:r>
    </w:p>
    <w:p w14:paraId="356B1642" w14:textId="58CC37FF" w:rsidR="00212117" w:rsidRPr="00BB71E7" w:rsidRDefault="00212117" w:rsidP="00212117">
      <w:pPr>
        <w:pStyle w:val="NormalWeb"/>
        <w:numPr>
          <w:ilvl w:val="0"/>
          <w:numId w:val="15"/>
        </w:numPr>
        <w:tabs>
          <w:tab w:val="clear" w:pos="720"/>
        </w:tabs>
        <w:spacing w:before="0" w:beforeAutospacing="0" w:after="0" w:afterAutospacing="0" w:line="288" w:lineRule="auto"/>
        <w:ind w:left="567" w:hanging="567"/>
        <w:jc w:val="both"/>
        <w:rPr>
          <w:sz w:val="22"/>
          <w:szCs w:val="22"/>
        </w:rPr>
      </w:pPr>
      <w:proofErr w:type="gramStart"/>
      <w:r>
        <w:rPr>
          <w:sz w:val="22"/>
        </w:rPr>
        <w:t>suggère</w:t>
      </w:r>
      <w:proofErr w:type="gramEnd"/>
      <w:r>
        <w:rPr>
          <w:sz w:val="22"/>
        </w:rPr>
        <w:t xml:space="preserve"> d’introduire la budgétisation intergénérationnelle nationale et régionale dans le cadre de la conditionnalité du nouveau cycle de programmation de la politique de cohésion</w:t>
      </w:r>
      <w:r w:rsidR="006031D5">
        <w:rPr>
          <w:sz w:val="22"/>
        </w:rPr>
        <w:t> </w:t>
      </w:r>
      <w:r>
        <w:rPr>
          <w:sz w:val="22"/>
        </w:rPr>
        <w:t>2028-2034 et dans la mise en œuvre des nouveaux plans de partenariat nationaux et régionaux, afin de garantir la viabilité budgétaire à long terme et de renforcer l’équité intergénérationnelle des dépenses publiques.</w:t>
      </w:r>
    </w:p>
    <w:p w14:paraId="6841AFFA" w14:textId="77777777" w:rsidR="00212117" w:rsidRDefault="00212117" w:rsidP="0021211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7970"/>
      </w:tblGrid>
      <w:tr w:rsidR="00212117" w:rsidRPr="00A6689B" w14:paraId="4A5AAEA5" w14:textId="77777777" w:rsidTr="00C93F66">
        <w:tc>
          <w:tcPr>
            <w:tcW w:w="1210" w:type="dxa"/>
          </w:tcPr>
          <w:p w14:paraId="3B08E708" w14:textId="77777777" w:rsidR="00212117" w:rsidRPr="00A6689B" w:rsidRDefault="00212117" w:rsidP="00C93F66">
            <w:pPr>
              <w:rPr>
                <w:i/>
              </w:rPr>
            </w:pPr>
            <w:r>
              <w:rPr>
                <w:b/>
                <w:i/>
              </w:rPr>
              <w:t>Contact</w:t>
            </w:r>
          </w:p>
        </w:tc>
        <w:tc>
          <w:tcPr>
            <w:tcW w:w="7970" w:type="dxa"/>
          </w:tcPr>
          <w:p w14:paraId="5F93F63F" w14:textId="3DFAE326" w:rsidR="00212117" w:rsidRPr="00A6689B" w:rsidRDefault="00212117" w:rsidP="00C93F66">
            <w:pPr>
              <w:ind w:hanging="12"/>
              <w:rPr>
                <w:i/>
              </w:rPr>
            </w:pPr>
            <w:r>
              <w:rPr>
                <w:i/>
              </w:rPr>
              <w:t>Sabrina</w:t>
            </w:r>
            <w:r w:rsidR="006031D5">
              <w:rPr>
                <w:i/>
              </w:rPr>
              <w:t> </w:t>
            </w:r>
            <w:r w:rsidR="001129B2">
              <w:rPr>
                <w:i/>
              </w:rPr>
              <w:t>BORG</w:t>
            </w:r>
          </w:p>
        </w:tc>
      </w:tr>
      <w:tr w:rsidR="00212117" w:rsidRPr="00A6689B" w14:paraId="6B9E9740" w14:textId="77777777" w:rsidTr="00C93F66">
        <w:tc>
          <w:tcPr>
            <w:tcW w:w="1210" w:type="dxa"/>
          </w:tcPr>
          <w:p w14:paraId="13EACF07" w14:textId="77777777" w:rsidR="00212117" w:rsidRPr="00A6689B" w:rsidRDefault="00212117" w:rsidP="00C93F66">
            <w:pPr>
              <w:rPr>
                <w:i/>
              </w:rPr>
            </w:pPr>
            <w:r>
              <w:rPr>
                <w:i/>
              </w:rPr>
              <w:t>Tél.</w:t>
            </w:r>
          </w:p>
        </w:tc>
        <w:tc>
          <w:tcPr>
            <w:tcW w:w="7970" w:type="dxa"/>
          </w:tcPr>
          <w:p w14:paraId="32150647" w14:textId="77777777" w:rsidR="00212117" w:rsidRPr="00A6689B" w:rsidRDefault="00212117" w:rsidP="00C93F66">
            <w:pPr>
              <w:rPr>
                <w:i/>
              </w:rPr>
            </w:pPr>
            <w:r>
              <w:rPr>
                <w:i/>
              </w:rPr>
              <w:t>+32 25469727</w:t>
            </w:r>
          </w:p>
        </w:tc>
      </w:tr>
      <w:tr w:rsidR="00212117" w:rsidRPr="00A6689B" w14:paraId="73D3AE5A" w14:textId="77777777" w:rsidTr="00C93F66">
        <w:tc>
          <w:tcPr>
            <w:tcW w:w="1210" w:type="dxa"/>
          </w:tcPr>
          <w:p w14:paraId="3E1D5AB3" w14:textId="77777777" w:rsidR="00212117" w:rsidRPr="00A6689B" w:rsidRDefault="00212117" w:rsidP="00C93F66">
            <w:pPr>
              <w:rPr>
                <w:i/>
              </w:rPr>
            </w:pPr>
            <w:r>
              <w:rPr>
                <w:i/>
              </w:rPr>
              <w:t>Courriel</w:t>
            </w:r>
          </w:p>
        </w:tc>
        <w:tc>
          <w:tcPr>
            <w:tcW w:w="7970" w:type="dxa"/>
          </w:tcPr>
          <w:p w14:paraId="072D66F6" w14:textId="77777777" w:rsidR="00212117" w:rsidRPr="00724561" w:rsidRDefault="00CB508B" w:rsidP="00C93F66">
            <w:pPr>
              <w:rPr>
                <w:i/>
              </w:rPr>
            </w:pPr>
            <w:hyperlink r:id="rId47" w:history="1">
              <w:r w:rsidR="00212117">
                <w:rPr>
                  <w:rStyle w:val="Hyperlink"/>
                  <w:i/>
                </w:rPr>
                <w:t>Sabrina.Borg@eesc.europa.eu</w:t>
              </w:r>
            </w:hyperlink>
          </w:p>
        </w:tc>
      </w:tr>
    </w:tbl>
    <w:p w14:paraId="26280720" w14:textId="77777777" w:rsidR="00F31327" w:rsidRDefault="00F31327" w:rsidP="00F31327">
      <w:pPr>
        <w:jc w:val="left"/>
        <w:rPr>
          <w:lang w:val="en-GB"/>
        </w:rPr>
      </w:pPr>
    </w:p>
    <w:p w14:paraId="68A62CCA" w14:textId="77777777" w:rsidR="00F31327" w:rsidRDefault="00F31327" w:rsidP="00F31327">
      <w:pPr>
        <w:jc w:val="left"/>
        <w:rPr>
          <w:lang w:val="en-GB"/>
        </w:rPr>
      </w:pPr>
      <w:r>
        <w:rPr>
          <w:lang w:val="en-GB"/>
        </w:rPr>
        <w:br w:type="page"/>
      </w:r>
    </w:p>
    <w:p w14:paraId="11C1C6F2" w14:textId="4CBE2ECD" w:rsidR="00E24113" w:rsidRDefault="00CB508B" w:rsidP="00E24113">
      <w:pPr>
        <w:widowControl w:val="0"/>
        <w:numPr>
          <w:ilvl w:val="0"/>
          <w:numId w:val="19"/>
        </w:numPr>
        <w:overflowPunct w:val="0"/>
        <w:autoSpaceDE w:val="0"/>
        <w:autoSpaceDN w:val="0"/>
        <w:adjustRightInd w:val="0"/>
        <w:ind w:hanging="567"/>
        <w:textAlignment w:val="baseline"/>
        <w:rPr>
          <w:b/>
          <w:bCs/>
          <w:i/>
          <w:iCs/>
          <w:sz w:val="28"/>
          <w:szCs w:val="28"/>
        </w:rPr>
      </w:pPr>
      <w:hyperlink r:id="rId48" w:history="1">
        <w:r w:rsidR="00E24113">
          <w:rPr>
            <w:rStyle w:val="Hyperlink"/>
            <w:b/>
            <w:i/>
            <w:sz w:val="28"/>
          </w:rPr>
          <w:t>IA, mégadonnées et maladies rares</w:t>
        </w:r>
      </w:hyperlink>
    </w:p>
    <w:p w14:paraId="51F9F4E6" w14:textId="77777777" w:rsidR="00E24113" w:rsidRPr="00C47742" w:rsidRDefault="00E24113" w:rsidP="00E24113">
      <w:pPr>
        <w:widowControl w:val="0"/>
        <w:ind w:left="567"/>
        <w:rPr>
          <w:b/>
          <w:bCs/>
          <w:i/>
          <w:iCs/>
          <w:sz w:val="28"/>
          <w:szCs w:val="28"/>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7369"/>
      </w:tblGrid>
      <w:tr w:rsidR="00E24113" w:rsidRPr="00A6689B" w14:paraId="1765B087" w14:textId="77777777" w:rsidTr="00C93F66">
        <w:tc>
          <w:tcPr>
            <w:tcW w:w="1093" w:type="pct"/>
          </w:tcPr>
          <w:p w14:paraId="7D35043A" w14:textId="77777777" w:rsidR="00E24113" w:rsidRPr="00A6689B" w:rsidRDefault="00E24113" w:rsidP="00C93F66">
            <w:pPr>
              <w:ind w:left="-113"/>
              <w:rPr>
                <w:b/>
              </w:rPr>
            </w:pPr>
            <w:proofErr w:type="spellStart"/>
            <w:r>
              <w:rPr>
                <w:b/>
              </w:rPr>
              <w:t>Rapporteure</w:t>
            </w:r>
            <w:proofErr w:type="spellEnd"/>
          </w:p>
        </w:tc>
        <w:tc>
          <w:tcPr>
            <w:tcW w:w="3907" w:type="pct"/>
          </w:tcPr>
          <w:p w14:paraId="75F01BC1" w14:textId="77777777" w:rsidR="00E24113" w:rsidRPr="00E51944" w:rsidRDefault="00E24113" w:rsidP="00C93F66">
            <w:pPr>
              <w:tabs>
                <w:tab w:val="left" w:pos="4572"/>
              </w:tabs>
              <w:ind w:left="-113" w:right="-823"/>
            </w:pPr>
            <w:r>
              <w:t>Juliane Marie NEIIENDAM (groupe des organisations de la société civile — DK)</w:t>
            </w:r>
          </w:p>
        </w:tc>
      </w:tr>
      <w:tr w:rsidR="00E24113" w:rsidRPr="00A6689B" w14:paraId="089D78E1" w14:textId="77777777" w:rsidTr="00C93F66">
        <w:tc>
          <w:tcPr>
            <w:tcW w:w="1093" w:type="pct"/>
          </w:tcPr>
          <w:p w14:paraId="3331F6CC" w14:textId="77777777" w:rsidR="00E24113" w:rsidRPr="00557B11" w:rsidRDefault="00E24113" w:rsidP="00C93F66">
            <w:pPr>
              <w:ind w:left="-113"/>
              <w:rPr>
                <w:b/>
              </w:rPr>
            </w:pPr>
            <w:r>
              <w:rPr>
                <w:b/>
              </w:rPr>
              <w:t>Référence</w:t>
            </w:r>
          </w:p>
        </w:tc>
        <w:tc>
          <w:tcPr>
            <w:tcW w:w="3907" w:type="pct"/>
          </w:tcPr>
          <w:p w14:paraId="3867237A" w14:textId="47E322A3" w:rsidR="001129B2" w:rsidRDefault="001129B2" w:rsidP="001129B2">
            <w:pPr>
              <w:tabs>
                <w:tab w:val="center" w:pos="61"/>
              </w:tabs>
              <w:ind w:left="266" w:right="-3091" w:hanging="347"/>
            </w:pPr>
            <w:r>
              <w:t>Avis exploratoire à la demande de la présidence danoise du Conseil</w:t>
            </w:r>
          </w:p>
          <w:p w14:paraId="1ED5BC17" w14:textId="77777777" w:rsidR="00E24113" w:rsidRPr="00557B11" w:rsidRDefault="00E24113" w:rsidP="00C93F66">
            <w:pPr>
              <w:tabs>
                <w:tab w:val="left" w:pos="4430"/>
              </w:tabs>
              <w:ind w:left="-113" w:right="-823"/>
            </w:pPr>
            <w:r>
              <w:t>EESC-2025-01013-00-00-AC</w:t>
            </w:r>
          </w:p>
        </w:tc>
      </w:tr>
    </w:tbl>
    <w:p w14:paraId="1C32FDE6" w14:textId="77777777" w:rsidR="00E24113" w:rsidRDefault="00E24113" w:rsidP="00E24113">
      <w:pPr>
        <w:tabs>
          <w:tab w:val="center" w:pos="284"/>
        </w:tabs>
        <w:ind w:left="266" w:hanging="266"/>
        <w:rPr>
          <w:b/>
        </w:rPr>
      </w:pPr>
    </w:p>
    <w:p w14:paraId="6B430FD5" w14:textId="77777777" w:rsidR="00E24113" w:rsidRDefault="00E24113" w:rsidP="00E24113">
      <w:pPr>
        <w:tabs>
          <w:tab w:val="center" w:pos="284"/>
        </w:tabs>
        <w:ind w:left="266" w:hanging="266"/>
        <w:rPr>
          <w:b/>
        </w:rPr>
      </w:pPr>
      <w:r>
        <w:rPr>
          <w:b/>
        </w:rPr>
        <w:t>Points clés</w:t>
      </w:r>
    </w:p>
    <w:p w14:paraId="06C34FD3" w14:textId="77777777" w:rsidR="00E24113" w:rsidRDefault="00E24113" w:rsidP="00E24113">
      <w:pPr>
        <w:tabs>
          <w:tab w:val="center" w:pos="284"/>
        </w:tabs>
        <w:ind w:left="266" w:hanging="266"/>
      </w:pPr>
    </w:p>
    <w:p w14:paraId="0DDA056E" w14:textId="77777777" w:rsidR="00E24113" w:rsidRDefault="00E24113" w:rsidP="00E24113">
      <w:pPr>
        <w:tabs>
          <w:tab w:val="center" w:pos="284"/>
        </w:tabs>
        <w:ind w:left="266" w:hanging="266"/>
      </w:pPr>
      <w:r>
        <w:t xml:space="preserve">Le </w:t>
      </w:r>
      <w:proofErr w:type="gramStart"/>
      <w:r>
        <w:t>CESE:</w:t>
      </w:r>
      <w:proofErr w:type="gramEnd"/>
    </w:p>
    <w:p w14:paraId="5D849858" w14:textId="77777777" w:rsidR="00E24113" w:rsidRPr="00305C0C" w:rsidRDefault="00E24113" w:rsidP="00E24113">
      <w:pPr>
        <w:pStyle w:val="ListParagraph"/>
        <w:numPr>
          <w:ilvl w:val="0"/>
          <w:numId w:val="16"/>
        </w:numPr>
        <w:tabs>
          <w:tab w:val="center" w:pos="284"/>
        </w:tabs>
        <w:ind w:left="284" w:hanging="284"/>
      </w:pPr>
      <w:proofErr w:type="gramStart"/>
      <w:r>
        <w:t>se</w:t>
      </w:r>
      <w:proofErr w:type="gramEnd"/>
      <w:r>
        <w:t xml:space="preserve"> félicite du potentiel que recèle l’intelligence artificielle (IA) pour ce qui est d’améliorer les parcours de soins des patients atteints de maladies rares, les médicaments personnalisés et la qualité de vie globale, tout en reconnaissant certaines inquiétudes quant à la confidentialité des données, aux biais, à l’</w:t>
      </w:r>
      <w:proofErr w:type="spellStart"/>
      <w:r>
        <w:t>abordabilité</w:t>
      </w:r>
      <w:proofErr w:type="spellEnd"/>
      <w:r>
        <w:t xml:space="preserve"> et à l’accessibilité;</w:t>
      </w:r>
    </w:p>
    <w:p w14:paraId="42D55E0F" w14:textId="77777777" w:rsidR="00E24113" w:rsidRPr="00305C0C" w:rsidRDefault="00E24113" w:rsidP="00E24113">
      <w:pPr>
        <w:pStyle w:val="ListParagraph"/>
        <w:numPr>
          <w:ilvl w:val="0"/>
          <w:numId w:val="16"/>
        </w:numPr>
        <w:tabs>
          <w:tab w:val="center" w:pos="284"/>
        </w:tabs>
        <w:ind w:left="284" w:hanging="284"/>
      </w:pPr>
      <w:proofErr w:type="gramStart"/>
      <w:r>
        <w:t>encourage</w:t>
      </w:r>
      <w:proofErr w:type="gramEnd"/>
      <w:r>
        <w:t xml:space="preserve"> tous les États membres de l’Union à numériser leurs données de santé dès que possible et à adopter les codes ORPHA afin d’améliorer le partage transfrontière de données et de soutenir l’espace européen des données de santé;</w:t>
      </w:r>
    </w:p>
    <w:p w14:paraId="0E8630C1" w14:textId="77777777" w:rsidR="00E24113" w:rsidRPr="00305C0C" w:rsidRDefault="00E24113" w:rsidP="00E24113">
      <w:pPr>
        <w:pStyle w:val="ListParagraph"/>
        <w:numPr>
          <w:ilvl w:val="0"/>
          <w:numId w:val="16"/>
        </w:numPr>
        <w:tabs>
          <w:tab w:val="center" w:pos="284"/>
        </w:tabs>
        <w:ind w:left="284" w:hanging="284"/>
      </w:pPr>
      <w:proofErr w:type="gramStart"/>
      <w:r>
        <w:t>recommande</w:t>
      </w:r>
      <w:proofErr w:type="gramEnd"/>
      <w:r>
        <w:t xml:space="preserve"> que les modèles d’IA en matière de soins de santé n’aient accès qu’aux données anonymisées et cryptées des patients, et que toute utilisation abusive fasse l’objet de sanctions strictes. Des cadres clairs en ce qui concerne le consentement des patients et des organismes de contrôle indépendants sont essentiels pour garantir la transparence et l’obligation de rendre des </w:t>
      </w:r>
      <w:proofErr w:type="gramStart"/>
      <w:r>
        <w:t>comptes;</w:t>
      </w:r>
      <w:proofErr w:type="gramEnd"/>
    </w:p>
    <w:p w14:paraId="4D0924A5" w14:textId="77777777" w:rsidR="00E24113" w:rsidRPr="00305C0C" w:rsidRDefault="00E24113" w:rsidP="00E24113">
      <w:pPr>
        <w:pStyle w:val="ListParagraph"/>
        <w:numPr>
          <w:ilvl w:val="0"/>
          <w:numId w:val="16"/>
        </w:numPr>
        <w:tabs>
          <w:tab w:val="center" w:pos="284"/>
        </w:tabs>
        <w:ind w:left="284" w:hanging="284"/>
      </w:pPr>
      <w:proofErr w:type="gramStart"/>
      <w:r>
        <w:t>demande</w:t>
      </w:r>
      <w:proofErr w:type="gramEnd"/>
      <w:r>
        <w:t xml:space="preserve"> à l’Agence européenne des médicaments d’exiger que les décisions en matière de soins de santé fondées sur l’IA puissent être expliquées et de veiller à ce que toutes les recommandations médicales soient supervisées par un médecin;</w:t>
      </w:r>
    </w:p>
    <w:p w14:paraId="72CFA12F" w14:textId="77777777" w:rsidR="00E24113" w:rsidRPr="00305C0C" w:rsidRDefault="00E24113" w:rsidP="00E24113">
      <w:pPr>
        <w:pStyle w:val="ListParagraph"/>
        <w:numPr>
          <w:ilvl w:val="0"/>
          <w:numId w:val="16"/>
        </w:numPr>
        <w:tabs>
          <w:tab w:val="center" w:pos="284"/>
        </w:tabs>
        <w:ind w:left="284" w:hanging="284"/>
      </w:pPr>
      <w:proofErr w:type="gramStart"/>
      <w:r>
        <w:t>souligne</w:t>
      </w:r>
      <w:proofErr w:type="gramEnd"/>
      <w:r>
        <w:t xml:space="preserve"> la nécessité d’élaborer des programmes de formation professionnelle sur les outils de diagnostic fondés sur l’IA, afin de garantir un contrôle humain. Des campagnes à l’échelle de l’UE devraient améliorer la maîtrise de l’IA par les patients et par les professionnels de la </w:t>
      </w:r>
      <w:proofErr w:type="gramStart"/>
      <w:r>
        <w:t>santé;</w:t>
      </w:r>
      <w:proofErr w:type="gramEnd"/>
    </w:p>
    <w:p w14:paraId="226780B6" w14:textId="77777777" w:rsidR="00E24113" w:rsidRPr="00305C0C" w:rsidRDefault="00E24113" w:rsidP="00E24113">
      <w:pPr>
        <w:pStyle w:val="ListParagraph"/>
        <w:numPr>
          <w:ilvl w:val="0"/>
          <w:numId w:val="16"/>
        </w:numPr>
        <w:tabs>
          <w:tab w:val="center" w:pos="284"/>
        </w:tabs>
        <w:ind w:left="284" w:hanging="284"/>
      </w:pPr>
      <w:proofErr w:type="gramStart"/>
      <w:r>
        <w:t>recommande</w:t>
      </w:r>
      <w:proofErr w:type="gramEnd"/>
      <w:r>
        <w:t xml:space="preserve"> que les modèles d’IA soient entraînés sur la base d’ensembles de données diversifiés et respectueux de l’équilibre des genres afin d’éviter toute discrimination et que le Bureau européen de l’IA encourage la réalisation d’audits sur les biais et, avant commercialisation, de tests de genre. Un financement ciblé devrait soutenir les femmes dans le domaine de l’IA et la science des données </w:t>
      </w:r>
      <w:proofErr w:type="gramStart"/>
      <w:r>
        <w:t>médicales;</w:t>
      </w:r>
      <w:proofErr w:type="gramEnd"/>
    </w:p>
    <w:p w14:paraId="77C18AAC" w14:textId="77777777" w:rsidR="00E24113" w:rsidRDefault="00E24113" w:rsidP="00E24113">
      <w:pPr>
        <w:pStyle w:val="ListParagraph"/>
        <w:numPr>
          <w:ilvl w:val="0"/>
          <w:numId w:val="16"/>
        </w:numPr>
        <w:tabs>
          <w:tab w:val="center" w:pos="284"/>
        </w:tabs>
        <w:ind w:left="284" w:hanging="284"/>
      </w:pPr>
      <w:proofErr w:type="gramStart"/>
      <w:r>
        <w:t>demande</w:t>
      </w:r>
      <w:proofErr w:type="gramEnd"/>
      <w:r>
        <w:t xml:space="preserve"> que l’Institut européen d’innovation et de technologie (EIT) étende les programmes de mentorat et de formation aux fonctions d’encadrement, afin de stimuler la participation des femmes aux soins de santé fondés sur l’IA, et qu’Horizon Europe finance la recherche axée sur le genre dans le domaine de l’IA afin de mettre au point de meilleurs outils de diagnostic pour les maladies qui touchent de manière disproportionnée les femmes et les groupes sous-représentés;</w:t>
      </w:r>
    </w:p>
    <w:p w14:paraId="56F1F067" w14:textId="77777777" w:rsidR="00E24113" w:rsidRPr="00305C0C" w:rsidRDefault="00E24113" w:rsidP="00E24113">
      <w:pPr>
        <w:pStyle w:val="ListParagraph"/>
        <w:numPr>
          <w:ilvl w:val="0"/>
          <w:numId w:val="16"/>
        </w:numPr>
        <w:tabs>
          <w:tab w:val="center" w:pos="284"/>
        </w:tabs>
        <w:ind w:left="284" w:hanging="284"/>
      </w:pPr>
      <w:proofErr w:type="gramStart"/>
      <w:r>
        <w:t>souligne</w:t>
      </w:r>
      <w:proofErr w:type="gramEnd"/>
      <w:r>
        <w:t xml:space="preserve"> que la gouvernance des données doit permettre aux patients de contrôler leurs informations, notamment en leur accordant le droit de retirer leur consentement et de comprendre comment leurs données sont utilisées, et encourage l’utilisation de registres dirigés par les patients et de coopératives de données;</w:t>
      </w:r>
    </w:p>
    <w:p w14:paraId="1AA08C71" w14:textId="77777777" w:rsidR="00E24113" w:rsidRPr="00305C0C" w:rsidRDefault="00E24113" w:rsidP="00E24113">
      <w:pPr>
        <w:pStyle w:val="ListParagraph"/>
        <w:numPr>
          <w:ilvl w:val="0"/>
          <w:numId w:val="16"/>
        </w:numPr>
        <w:tabs>
          <w:tab w:val="center" w:pos="284"/>
        </w:tabs>
        <w:ind w:left="284" w:hanging="284"/>
      </w:pPr>
      <w:proofErr w:type="gramStart"/>
      <w:r>
        <w:t>recommande</w:t>
      </w:r>
      <w:proofErr w:type="gramEnd"/>
      <w:r>
        <w:t xml:space="preserve"> qu’Horizon Europe finance les jeunes entreprises et les PME qui développent l’IA dans le domaine du diagnostic des maladies rares afin d’éviter la domination des grandes entreprises. Des partenariats public-privé devraient veiller à ce que les outils d’IA soient abordables et accessibles et à ce que l’accès aux données reste </w:t>
      </w:r>
      <w:proofErr w:type="gramStart"/>
      <w:r>
        <w:t>équitable;</w:t>
      </w:r>
      <w:proofErr w:type="gramEnd"/>
    </w:p>
    <w:p w14:paraId="1C38898B" w14:textId="77777777" w:rsidR="00E24113" w:rsidRPr="00C04ABA" w:rsidRDefault="00E24113" w:rsidP="00E24113">
      <w:pPr>
        <w:pStyle w:val="ListParagraph"/>
        <w:numPr>
          <w:ilvl w:val="0"/>
          <w:numId w:val="16"/>
        </w:numPr>
        <w:tabs>
          <w:tab w:val="center" w:pos="284"/>
        </w:tabs>
        <w:ind w:left="284" w:hanging="284"/>
      </w:pPr>
      <w:proofErr w:type="gramStart"/>
      <w:r>
        <w:lastRenderedPageBreak/>
        <w:t>se</w:t>
      </w:r>
      <w:proofErr w:type="gramEnd"/>
      <w:r>
        <w:t xml:space="preserve"> félicite que soient mis au point à l’aide de l’IA des médicaments et traitements personnalisés contre les maladies rares, mais souligne la nécessité de mécanismes durables de fixation des prix; recommande la création d’une plateforme européenne de diagnostic fondée sur l’IA, financée par des fonds publics, et le partage transfrontière des données sur l’IA au profit des hôpitaux et des instituts de recherche de plus petite taille;</w:t>
      </w:r>
    </w:p>
    <w:p w14:paraId="40015FB4" w14:textId="77777777" w:rsidR="00E24113" w:rsidRDefault="00E24113" w:rsidP="00E24113">
      <w:pPr>
        <w:pStyle w:val="ListParagraph"/>
        <w:numPr>
          <w:ilvl w:val="0"/>
          <w:numId w:val="16"/>
        </w:numPr>
        <w:tabs>
          <w:tab w:val="center" w:pos="284"/>
        </w:tabs>
        <w:ind w:left="284" w:hanging="284"/>
      </w:pPr>
      <w:proofErr w:type="gramStart"/>
      <w:r>
        <w:t>appelle</w:t>
      </w:r>
      <w:proofErr w:type="gramEnd"/>
      <w:r>
        <w:t xml:space="preserve"> de ses vœux, à l’échelle de l’Union, des lignes directrices éthiques pour l’IA dans le domaine des soins de santé afin de garantir l’égalité d’accès, la sécurité des patients et l’innovation responsable.</w:t>
      </w:r>
    </w:p>
    <w:p w14:paraId="0FC15DCD" w14:textId="77777777" w:rsidR="00E24113" w:rsidRPr="00BF71FA" w:rsidRDefault="00E24113" w:rsidP="00E24113">
      <w:pPr>
        <w:pStyle w:val="ListParagraph"/>
        <w:tabs>
          <w:tab w:val="center" w:pos="284"/>
        </w:tabs>
        <w:ind w:left="284"/>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E24113" w:rsidRPr="00A6689B" w14:paraId="540EA73B" w14:textId="77777777" w:rsidTr="00C93F66">
        <w:tc>
          <w:tcPr>
            <w:tcW w:w="1556" w:type="pct"/>
          </w:tcPr>
          <w:p w14:paraId="08383A0C" w14:textId="77777777" w:rsidR="00E24113" w:rsidRPr="00A6689B" w:rsidRDefault="00E24113" w:rsidP="00C93F66">
            <w:pPr>
              <w:rPr>
                <w:i/>
              </w:rPr>
            </w:pPr>
            <w:r>
              <w:rPr>
                <w:b/>
                <w:i/>
              </w:rPr>
              <w:t>Contact</w:t>
            </w:r>
          </w:p>
        </w:tc>
        <w:tc>
          <w:tcPr>
            <w:tcW w:w="3444" w:type="pct"/>
          </w:tcPr>
          <w:p w14:paraId="70179727" w14:textId="77777777" w:rsidR="00E24113" w:rsidRPr="00A6689B" w:rsidRDefault="00E24113" w:rsidP="00C93F66">
            <w:pPr>
              <w:rPr>
                <w:i/>
              </w:rPr>
            </w:pPr>
            <w:r>
              <w:rPr>
                <w:i/>
              </w:rPr>
              <w:t>Alessia COVA</w:t>
            </w:r>
          </w:p>
        </w:tc>
      </w:tr>
      <w:tr w:rsidR="00E24113" w:rsidRPr="00A6689B" w14:paraId="19E19D80" w14:textId="77777777" w:rsidTr="00C93F66">
        <w:tc>
          <w:tcPr>
            <w:tcW w:w="1556" w:type="pct"/>
          </w:tcPr>
          <w:p w14:paraId="51326A35" w14:textId="77777777" w:rsidR="00E24113" w:rsidRPr="00A6689B" w:rsidRDefault="00E24113" w:rsidP="00C93F66">
            <w:pPr>
              <w:rPr>
                <w:i/>
              </w:rPr>
            </w:pPr>
            <w:r>
              <w:rPr>
                <w:i/>
              </w:rPr>
              <w:t>Tél.</w:t>
            </w:r>
          </w:p>
        </w:tc>
        <w:tc>
          <w:tcPr>
            <w:tcW w:w="3444" w:type="pct"/>
          </w:tcPr>
          <w:p w14:paraId="1621630D" w14:textId="77777777" w:rsidR="00E24113" w:rsidRPr="00A6689B" w:rsidRDefault="00E24113" w:rsidP="00C93F66">
            <w:pPr>
              <w:rPr>
                <w:i/>
              </w:rPr>
            </w:pPr>
            <w:r>
              <w:rPr>
                <w:i/>
              </w:rPr>
              <w:t>+32 25469426</w:t>
            </w:r>
          </w:p>
        </w:tc>
      </w:tr>
      <w:tr w:rsidR="00E24113" w:rsidRPr="00A6689B" w14:paraId="1C9F667C" w14:textId="77777777" w:rsidTr="00C93F66">
        <w:tc>
          <w:tcPr>
            <w:tcW w:w="1556" w:type="pct"/>
          </w:tcPr>
          <w:p w14:paraId="7F63FEAE" w14:textId="77777777" w:rsidR="00E24113" w:rsidRPr="00A6689B" w:rsidRDefault="00E24113" w:rsidP="00C93F66">
            <w:pPr>
              <w:rPr>
                <w:i/>
              </w:rPr>
            </w:pPr>
            <w:r>
              <w:rPr>
                <w:i/>
              </w:rPr>
              <w:t>Courriel</w:t>
            </w:r>
          </w:p>
        </w:tc>
        <w:tc>
          <w:tcPr>
            <w:tcW w:w="3444" w:type="pct"/>
          </w:tcPr>
          <w:p w14:paraId="3A2E487B" w14:textId="77777777" w:rsidR="00E24113" w:rsidRPr="009A2735" w:rsidRDefault="00CB508B" w:rsidP="00C93F66">
            <w:pPr>
              <w:rPr>
                <w:rStyle w:val="Hyperlink"/>
              </w:rPr>
            </w:pPr>
            <w:hyperlink r:id="rId49" w:history="1">
              <w:r w:rsidR="00E24113">
                <w:rPr>
                  <w:rStyle w:val="Hyperlink"/>
                  <w:i/>
                </w:rPr>
                <w:t>Alessia.Cova@eesc.europa.eu</w:t>
              </w:r>
            </w:hyperlink>
            <w:r w:rsidR="00E24113">
              <w:rPr>
                <w:rStyle w:val="Hyperlink"/>
              </w:rPr>
              <w:t xml:space="preserve"> </w:t>
            </w:r>
          </w:p>
        </w:tc>
      </w:tr>
    </w:tbl>
    <w:p w14:paraId="586DD90E" w14:textId="77777777" w:rsidR="00F31327" w:rsidRDefault="00F31327" w:rsidP="00F31327">
      <w:pPr>
        <w:jc w:val="left"/>
        <w:rPr>
          <w:lang w:val="en-GB"/>
        </w:rPr>
      </w:pPr>
    </w:p>
    <w:p w14:paraId="092CC6F4" w14:textId="77777777" w:rsidR="00F31327" w:rsidRDefault="00F31327" w:rsidP="00F31327">
      <w:pPr>
        <w:spacing w:after="160" w:line="259" w:lineRule="auto"/>
        <w:jc w:val="left"/>
        <w:rPr>
          <w:lang w:val="en-GB"/>
        </w:rPr>
      </w:pPr>
      <w:r>
        <w:rPr>
          <w:lang w:val="en-GB"/>
        </w:rPr>
        <w:br w:type="page"/>
      </w:r>
    </w:p>
    <w:p w14:paraId="15D94274" w14:textId="21FF7F0B" w:rsidR="00F31327" w:rsidRPr="00EA2195" w:rsidRDefault="000C15BA" w:rsidP="00F31327">
      <w:pPr>
        <w:pStyle w:val="Heading1"/>
        <w:keepNext/>
        <w:keepLines/>
        <w:ind w:left="567" w:hanging="567"/>
        <w:rPr>
          <w:b/>
        </w:rPr>
      </w:pPr>
      <w:bookmarkStart w:id="109" w:name="_Toc210738623"/>
      <w:bookmarkStart w:id="110" w:name="_Toc210738624"/>
      <w:bookmarkStart w:id="111" w:name="_Toc210738625"/>
      <w:bookmarkStart w:id="112" w:name="_Toc210738626"/>
      <w:bookmarkStart w:id="113" w:name="_Toc211333695"/>
      <w:bookmarkEnd w:id="109"/>
      <w:bookmarkEnd w:id="110"/>
      <w:bookmarkEnd w:id="111"/>
      <w:bookmarkEnd w:id="112"/>
      <w:r w:rsidRPr="000C15BA">
        <w:rPr>
          <w:b/>
        </w:rPr>
        <w:lastRenderedPageBreak/>
        <w:t>TRANSPORTS, ÉNERGIE, INFRASTRUCTURES ET SOCIÉTÉ DE L’INFORMATION</w:t>
      </w:r>
      <w:bookmarkEnd w:id="113"/>
    </w:p>
    <w:p w14:paraId="4AD71E60" w14:textId="77777777" w:rsidR="00F31327" w:rsidRDefault="00F31327" w:rsidP="00F31327">
      <w:pPr>
        <w:keepNext/>
        <w:keepLines/>
      </w:pPr>
    </w:p>
    <w:p w14:paraId="0160A45D" w14:textId="77724D9A" w:rsidR="00213074" w:rsidRPr="00AA61CF" w:rsidRDefault="00CB508B" w:rsidP="00213074">
      <w:pPr>
        <w:widowControl w:val="0"/>
        <w:numPr>
          <w:ilvl w:val="0"/>
          <w:numId w:val="19"/>
        </w:numPr>
        <w:overflowPunct w:val="0"/>
        <w:autoSpaceDE w:val="0"/>
        <w:autoSpaceDN w:val="0"/>
        <w:adjustRightInd w:val="0"/>
        <w:ind w:hanging="567"/>
        <w:textAlignment w:val="baseline"/>
        <w:rPr>
          <w:b/>
        </w:rPr>
      </w:pPr>
      <w:hyperlink r:id="rId50" w:history="1">
        <w:r w:rsidR="00213074">
          <w:rPr>
            <w:rStyle w:val="Hyperlink"/>
            <w:b/>
            <w:i/>
            <w:sz w:val="28"/>
          </w:rPr>
          <w:t>Vers un plan européen pour des logements abordables — la contribution de la société civile</w:t>
        </w:r>
      </w:hyperlink>
    </w:p>
    <w:p w14:paraId="738E40EC" w14:textId="77777777" w:rsidR="00213074" w:rsidRPr="00AA61CF" w:rsidRDefault="00213074" w:rsidP="00213074">
      <w:pPr>
        <w:widowControl w:val="0"/>
        <w:ind w:left="266"/>
        <w:rPr>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213074" w:rsidRPr="00A6689B" w14:paraId="55E09864" w14:textId="77777777" w:rsidTr="00C93F66">
        <w:tc>
          <w:tcPr>
            <w:tcW w:w="1701" w:type="dxa"/>
          </w:tcPr>
          <w:p w14:paraId="335DA655" w14:textId="77777777" w:rsidR="00213074" w:rsidRDefault="00213074" w:rsidP="00C93F66">
            <w:pPr>
              <w:tabs>
                <w:tab w:val="center" w:pos="284"/>
              </w:tabs>
              <w:ind w:left="266" w:hanging="266"/>
              <w:rPr>
                <w:b/>
              </w:rPr>
            </w:pPr>
            <w:r>
              <w:rPr>
                <w:b/>
              </w:rPr>
              <w:t>Rapporteur</w:t>
            </w:r>
          </w:p>
          <w:p w14:paraId="2AC2CEFE" w14:textId="77777777" w:rsidR="00213074" w:rsidRPr="00A6689B" w:rsidRDefault="00213074" w:rsidP="00C93F66">
            <w:pPr>
              <w:tabs>
                <w:tab w:val="center" w:pos="284"/>
              </w:tabs>
              <w:ind w:left="266" w:hanging="266"/>
              <w:rPr>
                <w:b/>
              </w:rPr>
            </w:pPr>
            <w:r>
              <w:rPr>
                <w:b/>
              </w:rPr>
              <w:t>Corapporteur</w:t>
            </w:r>
          </w:p>
        </w:tc>
        <w:tc>
          <w:tcPr>
            <w:tcW w:w="7621" w:type="dxa"/>
          </w:tcPr>
          <w:p w14:paraId="0E8B9E06" w14:textId="77777777" w:rsidR="00213074" w:rsidRDefault="00213074" w:rsidP="00C93F66">
            <w:pPr>
              <w:tabs>
                <w:tab w:val="center" w:pos="284"/>
              </w:tabs>
              <w:ind w:left="266" w:hanging="266"/>
              <w:rPr>
                <w:bCs/>
              </w:rPr>
            </w:pPr>
            <w:r>
              <w:t>John COMER (groupe des organisations de la société civile — IE)</w:t>
            </w:r>
          </w:p>
          <w:p w14:paraId="1D3A050D" w14:textId="77777777" w:rsidR="00213074" w:rsidRPr="00C83397" w:rsidRDefault="00213074" w:rsidP="00C93F66">
            <w:pPr>
              <w:tabs>
                <w:tab w:val="center" w:pos="284"/>
              </w:tabs>
              <w:ind w:left="266" w:hanging="266"/>
              <w:rPr>
                <w:bCs/>
              </w:rPr>
            </w:pPr>
            <w:r>
              <w:t>Thomas KATTNIG (groupe des travailleurs — AT)</w:t>
            </w:r>
          </w:p>
        </w:tc>
      </w:tr>
      <w:tr w:rsidR="00213074" w:rsidRPr="00A6689B" w14:paraId="3CF9087B" w14:textId="77777777" w:rsidTr="00C93F66">
        <w:tc>
          <w:tcPr>
            <w:tcW w:w="9322" w:type="dxa"/>
            <w:gridSpan w:val="2"/>
          </w:tcPr>
          <w:p w14:paraId="244317E9" w14:textId="77777777" w:rsidR="00213074" w:rsidRPr="00A6689B" w:rsidRDefault="00213074" w:rsidP="00C93F66">
            <w:pPr>
              <w:tabs>
                <w:tab w:val="center" w:pos="284"/>
              </w:tabs>
              <w:spacing w:line="160" w:lineRule="exact"/>
              <w:ind w:left="266" w:hanging="266"/>
              <w:rPr>
                <w:lang w:val="en-US"/>
              </w:rPr>
            </w:pPr>
          </w:p>
        </w:tc>
      </w:tr>
      <w:tr w:rsidR="00213074" w:rsidRPr="00AA61CF" w14:paraId="7DFFA0A6" w14:textId="77777777" w:rsidTr="00C93F66">
        <w:tc>
          <w:tcPr>
            <w:tcW w:w="1701" w:type="dxa"/>
          </w:tcPr>
          <w:p w14:paraId="38C7316C" w14:textId="77777777" w:rsidR="00213074" w:rsidRPr="00A6689B" w:rsidRDefault="00213074" w:rsidP="00C93F66">
            <w:pPr>
              <w:tabs>
                <w:tab w:val="center" w:pos="284"/>
              </w:tabs>
              <w:ind w:left="266" w:hanging="266"/>
              <w:rPr>
                <w:b/>
              </w:rPr>
            </w:pPr>
            <w:r>
              <w:rPr>
                <w:b/>
              </w:rPr>
              <w:t>Références</w:t>
            </w:r>
          </w:p>
        </w:tc>
        <w:tc>
          <w:tcPr>
            <w:tcW w:w="7621" w:type="dxa"/>
          </w:tcPr>
          <w:p w14:paraId="71BA312B" w14:textId="77777777" w:rsidR="001129B2" w:rsidRDefault="001129B2" w:rsidP="001129B2">
            <w:pPr>
              <w:tabs>
                <w:tab w:val="center" w:pos="284"/>
              </w:tabs>
              <w:ind w:left="266" w:right="-3091" w:hanging="266"/>
            </w:pPr>
            <w:r>
              <w:t>Avis exploratoire à la demande de la présidence danoise du Conseil</w:t>
            </w:r>
          </w:p>
          <w:p w14:paraId="76538AC5" w14:textId="77777777" w:rsidR="00213074" w:rsidRPr="00AA61CF" w:rsidRDefault="00213074" w:rsidP="00C93F66">
            <w:pPr>
              <w:tabs>
                <w:tab w:val="center" w:pos="284"/>
              </w:tabs>
              <w:ind w:left="266" w:hanging="266"/>
            </w:pPr>
            <w:r>
              <w:t>EESC-2025-00436-00-00-AC</w:t>
            </w:r>
          </w:p>
        </w:tc>
      </w:tr>
    </w:tbl>
    <w:p w14:paraId="52C2EE86" w14:textId="77777777" w:rsidR="00213074" w:rsidRPr="00AA61CF" w:rsidRDefault="00213074" w:rsidP="00213074">
      <w:pPr>
        <w:tabs>
          <w:tab w:val="center" w:pos="284"/>
        </w:tabs>
        <w:ind w:left="266" w:hanging="266"/>
      </w:pPr>
    </w:p>
    <w:p w14:paraId="1B456C04" w14:textId="77777777" w:rsidR="00213074" w:rsidRPr="00A6689B" w:rsidRDefault="00213074" w:rsidP="00213074">
      <w:pPr>
        <w:keepNext/>
        <w:keepLines/>
        <w:tabs>
          <w:tab w:val="center" w:pos="284"/>
        </w:tabs>
        <w:ind w:left="266" w:hanging="266"/>
        <w:rPr>
          <w:b/>
        </w:rPr>
      </w:pPr>
      <w:r>
        <w:rPr>
          <w:b/>
        </w:rPr>
        <w:t>Points clés</w:t>
      </w:r>
    </w:p>
    <w:p w14:paraId="514D870E" w14:textId="77777777" w:rsidR="00213074" w:rsidRDefault="00213074" w:rsidP="00213074">
      <w:pPr>
        <w:keepNext/>
        <w:keepLines/>
        <w:tabs>
          <w:tab w:val="center" w:pos="284"/>
        </w:tabs>
        <w:ind w:left="266" w:hanging="266"/>
        <w:rPr>
          <w:b/>
        </w:rPr>
      </w:pPr>
    </w:p>
    <w:p w14:paraId="2643075E" w14:textId="77777777" w:rsidR="00213074" w:rsidRDefault="00213074" w:rsidP="00213074">
      <w:pPr>
        <w:keepNext/>
        <w:keepLines/>
        <w:tabs>
          <w:tab w:val="center" w:pos="284"/>
        </w:tabs>
        <w:ind w:left="266" w:hanging="266"/>
        <w:rPr>
          <w:bCs/>
        </w:rPr>
      </w:pPr>
      <w:r>
        <w:t xml:space="preserve">Le </w:t>
      </w:r>
      <w:proofErr w:type="gramStart"/>
      <w:r>
        <w:t>CESE:</w:t>
      </w:r>
      <w:proofErr w:type="gramEnd"/>
    </w:p>
    <w:p w14:paraId="747E6E79" w14:textId="77777777" w:rsidR="00213074" w:rsidRPr="00C04256" w:rsidRDefault="00213074" w:rsidP="00213074">
      <w:pPr>
        <w:pStyle w:val="ListParagraph"/>
        <w:numPr>
          <w:ilvl w:val="0"/>
          <w:numId w:val="17"/>
        </w:numPr>
        <w:ind w:left="567" w:hanging="567"/>
      </w:pPr>
      <w:proofErr w:type="gramStart"/>
      <w:r>
        <w:t>invite</w:t>
      </w:r>
      <w:proofErr w:type="gramEnd"/>
      <w:r>
        <w:t xml:space="preserve"> la Commission à élaborer un plan d’action pour </w:t>
      </w:r>
      <w:r>
        <w:rPr>
          <w:b/>
        </w:rPr>
        <w:t>faire respecter le droit fondamental au logement</w:t>
      </w:r>
      <w:r>
        <w:t>, en soulignant qu’il convient de l’inscrire formellement dans le droit primaire de l’Union;</w:t>
      </w:r>
    </w:p>
    <w:p w14:paraId="3161032E" w14:textId="77777777" w:rsidR="00213074" w:rsidRPr="00C04256" w:rsidRDefault="00213074" w:rsidP="00213074">
      <w:pPr>
        <w:pStyle w:val="ListParagraph"/>
        <w:numPr>
          <w:ilvl w:val="0"/>
          <w:numId w:val="17"/>
        </w:numPr>
        <w:ind w:left="567" w:hanging="567"/>
      </w:pPr>
      <w:proofErr w:type="gramStart"/>
      <w:r>
        <w:t>demande</w:t>
      </w:r>
      <w:proofErr w:type="gramEnd"/>
      <w:r>
        <w:t xml:space="preserve"> instamment de </w:t>
      </w:r>
      <w:r>
        <w:rPr>
          <w:b/>
        </w:rPr>
        <w:t>réviser les règles en matière d’aides d’État</w:t>
      </w:r>
      <w:r>
        <w:t xml:space="preserve"> afin d’élargir l’accès au logement social. La définition actuelle du service d’intérêt économique général (SIEG) exclut des groupes clés et limite la capacité des États membres à répondre à la demande </w:t>
      </w:r>
      <w:proofErr w:type="gramStart"/>
      <w:r>
        <w:t>croissante;</w:t>
      </w:r>
      <w:proofErr w:type="gramEnd"/>
    </w:p>
    <w:p w14:paraId="71C3D2DA" w14:textId="77777777" w:rsidR="00213074" w:rsidRPr="00C04256" w:rsidRDefault="00213074" w:rsidP="00213074">
      <w:pPr>
        <w:pStyle w:val="ListParagraph"/>
        <w:numPr>
          <w:ilvl w:val="0"/>
          <w:numId w:val="17"/>
        </w:numPr>
        <w:ind w:left="567" w:hanging="567"/>
      </w:pPr>
      <w:proofErr w:type="gramStart"/>
      <w:r>
        <w:t>met</w:t>
      </w:r>
      <w:proofErr w:type="gramEnd"/>
      <w:r>
        <w:t xml:space="preserve"> en avant </w:t>
      </w:r>
      <w:r>
        <w:rPr>
          <w:b/>
        </w:rPr>
        <w:t>l’urgence d’adopter une approche coordonnée au niveau de l’UE</w:t>
      </w:r>
      <w:r>
        <w:t xml:space="preserve"> pour remédier à la pénurie de logements abordables et durables, tout en respectant le principe de subsidiarité, étant donné que la politique du logement relève principalement de la compétence des États membres;</w:t>
      </w:r>
    </w:p>
    <w:p w14:paraId="007CD88E" w14:textId="77777777" w:rsidR="00213074" w:rsidRPr="00C04256" w:rsidRDefault="00213074" w:rsidP="00213074">
      <w:pPr>
        <w:pStyle w:val="ListParagraph"/>
        <w:numPr>
          <w:ilvl w:val="0"/>
          <w:numId w:val="17"/>
        </w:numPr>
        <w:ind w:left="567" w:hanging="567"/>
      </w:pPr>
      <w:proofErr w:type="gramStart"/>
      <w:r>
        <w:t>recommande</w:t>
      </w:r>
      <w:proofErr w:type="gramEnd"/>
      <w:r>
        <w:t xml:space="preserve"> que l’UE se dote d’un plan d’action en matière de logement afin de mettre en place une politique cohérente pour faire face à la crise du logement et que tous les États membres adoptent des </w:t>
      </w:r>
      <w:r>
        <w:rPr>
          <w:b/>
        </w:rPr>
        <w:t>programmes obéissant au principe du «logement d’abord»</w:t>
      </w:r>
      <w:r>
        <w:t xml:space="preserve"> pour lutter contre le sans-abrisme afin de réduire les inégalités et les privations sociales.</w:t>
      </w:r>
    </w:p>
    <w:p w14:paraId="508C6DAB" w14:textId="77777777" w:rsidR="00213074" w:rsidRPr="000624A9" w:rsidRDefault="00213074" w:rsidP="00213074">
      <w:pPr>
        <w:widowControl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13074" w:rsidRPr="00A6689B" w14:paraId="4D413887" w14:textId="77777777" w:rsidTr="00C93F66">
        <w:tc>
          <w:tcPr>
            <w:tcW w:w="1418" w:type="dxa"/>
          </w:tcPr>
          <w:p w14:paraId="365807CC" w14:textId="77777777" w:rsidR="00213074" w:rsidRPr="00A6689B" w:rsidRDefault="00213074" w:rsidP="00C93F66">
            <w:pPr>
              <w:spacing w:line="240" w:lineRule="auto"/>
              <w:rPr>
                <w:i/>
              </w:rPr>
            </w:pPr>
            <w:r>
              <w:rPr>
                <w:b/>
                <w:i/>
              </w:rPr>
              <w:t>Contact</w:t>
            </w:r>
          </w:p>
        </w:tc>
        <w:tc>
          <w:tcPr>
            <w:tcW w:w="5670" w:type="dxa"/>
          </w:tcPr>
          <w:p w14:paraId="6A2FF7C5" w14:textId="22C20906" w:rsidR="00213074" w:rsidRPr="00A6689B" w:rsidRDefault="00213074" w:rsidP="00C93F66">
            <w:pPr>
              <w:spacing w:line="240" w:lineRule="auto"/>
              <w:rPr>
                <w:i/>
              </w:rPr>
            </w:pPr>
            <w:r>
              <w:rPr>
                <w:i/>
              </w:rPr>
              <w:t>Francesco</w:t>
            </w:r>
            <w:r w:rsidR="006031D5">
              <w:rPr>
                <w:i/>
              </w:rPr>
              <w:t> </w:t>
            </w:r>
            <w:r w:rsidR="001129B2">
              <w:rPr>
                <w:i/>
              </w:rPr>
              <w:t>NAPOLITANO</w:t>
            </w:r>
          </w:p>
        </w:tc>
      </w:tr>
      <w:tr w:rsidR="00213074" w:rsidRPr="00A6689B" w14:paraId="06A1F126" w14:textId="77777777" w:rsidTr="00C93F66">
        <w:tc>
          <w:tcPr>
            <w:tcW w:w="1418" w:type="dxa"/>
          </w:tcPr>
          <w:p w14:paraId="5A226576" w14:textId="77777777" w:rsidR="00213074" w:rsidRPr="00A6689B" w:rsidRDefault="00213074" w:rsidP="00C93F66">
            <w:pPr>
              <w:spacing w:line="240" w:lineRule="auto"/>
              <w:rPr>
                <w:i/>
              </w:rPr>
            </w:pPr>
            <w:r>
              <w:rPr>
                <w:i/>
              </w:rPr>
              <w:t>Tél.</w:t>
            </w:r>
          </w:p>
        </w:tc>
        <w:tc>
          <w:tcPr>
            <w:tcW w:w="5670" w:type="dxa"/>
          </w:tcPr>
          <w:p w14:paraId="749B5893" w14:textId="77777777" w:rsidR="00213074" w:rsidRPr="00A6689B" w:rsidRDefault="00213074" w:rsidP="00C93F66">
            <w:pPr>
              <w:spacing w:line="240" w:lineRule="auto"/>
              <w:rPr>
                <w:i/>
              </w:rPr>
            </w:pPr>
            <w:r>
              <w:rPr>
                <w:i/>
              </w:rPr>
              <w:t>+32 2 546 8921</w:t>
            </w:r>
          </w:p>
        </w:tc>
      </w:tr>
      <w:tr w:rsidR="00213074" w:rsidRPr="00A6689B" w14:paraId="57CDAE46" w14:textId="77777777" w:rsidTr="00C93F66">
        <w:tc>
          <w:tcPr>
            <w:tcW w:w="1418" w:type="dxa"/>
          </w:tcPr>
          <w:p w14:paraId="0DACE818" w14:textId="77777777" w:rsidR="00213074" w:rsidRPr="00A6689B" w:rsidRDefault="00213074" w:rsidP="00C93F66">
            <w:pPr>
              <w:spacing w:line="240" w:lineRule="auto"/>
              <w:rPr>
                <w:i/>
              </w:rPr>
            </w:pPr>
            <w:r>
              <w:rPr>
                <w:i/>
              </w:rPr>
              <w:t>Courriel</w:t>
            </w:r>
          </w:p>
        </w:tc>
        <w:tc>
          <w:tcPr>
            <w:tcW w:w="5670" w:type="dxa"/>
          </w:tcPr>
          <w:p w14:paraId="3D50976B" w14:textId="77777777" w:rsidR="00213074" w:rsidRPr="00A33CBD" w:rsidRDefault="00CB508B" w:rsidP="00C93F66">
            <w:pPr>
              <w:rPr>
                <w:i/>
                <w:iCs/>
              </w:rPr>
            </w:pPr>
            <w:hyperlink r:id="rId51" w:history="1">
              <w:r w:rsidR="00213074">
                <w:rPr>
                  <w:rStyle w:val="Hyperlink"/>
                  <w:i/>
                </w:rPr>
                <w:t>Francesco.Napolitano@eesc.europa.eu</w:t>
              </w:r>
            </w:hyperlink>
            <w:r w:rsidR="00213074">
              <w:rPr>
                <w:i/>
              </w:rPr>
              <w:t xml:space="preserve"> </w:t>
            </w:r>
          </w:p>
        </w:tc>
      </w:tr>
    </w:tbl>
    <w:p w14:paraId="08A39B6F" w14:textId="77777777" w:rsidR="00213074" w:rsidRDefault="00213074" w:rsidP="00213074">
      <w:pPr>
        <w:jc w:val="center"/>
      </w:pPr>
    </w:p>
    <w:p w14:paraId="3C4C361C" w14:textId="77777777" w:rsidR="00F31327" w:rsidRDefault="00F31327" w:rsidP="00F31327">
      <w:pPr>
        <w:jc w:val="left"/>
        <w:rPr>
          <w:lang w:val="en-GB"/>
        </w:rPr>
      </w:pPr>
    </w:p>
    <w:p w14:paraId="52C4B4F4" w14:textId="77777777" w:rsidR="00F31327" w:rsidRDefault="00F31327" w:rsidP="00F31327">
      <w:pPr>
        <w:jc w:val="left"/>
        <w:rPr>
          <w:lang w:val="en-GB"/>
        </w:rPr>
      </w:pPr>
      <w:r>
        <w:rPr>
          <w:lang w:val="en-GB"/>
        </w:rPr>
        <w:br w:type="page"/>
      </w:r>
    </w:p>
    <w:p w14:paraId="665F0AB2" w14:textId="4D18FC2A" w:rsidR="00D43DE9" w:rsidRPr="00AA61CF" w:rsidRDefault="00CB508B" w:rsidP="00D43DE9">
      <w:pPr>
        <w:widowControl w:val="0"/>
        <w:numPr>
          <w:ilvl w:val="0"/>
          <w:numId w:val="19"/>
        </w:numPr>
        <w:overflowPunct w:val="0"/>
        <w:autoSpaceDE w:val="0"/>
        <w:autoSpaceDN w:val="0"/>
        <w:adjustRightInd w:val="0"/>
        <w:ind w:hanging="567"/>
        <w:textAlignment w:val="baseline"/>
        <w:rPr>
          <w:b/>
        </w:rPr>
      </w:pPr>
      <w:hyperlink r:id="rId52" w:history="1">
        <w:r w:rsidR="00D43DE9">
          <w:rPr>
            <w:rStyle w:val="Hyperlink"/>
            <w:b/>
            <w:i/>
            <w:sz w:val="28"/>
          </w:rPr>
          <w:t xml:space="preserve">Train de mesures sur l’énergie </w:t>
        </w:r>
        <w:proofErr w:type="gramStart"/>
        <w:r w:rsidR="00D43DE9">
          <w:rPr>
            <w:rStyle w:val="Hyperlink"/>
            <w:b/>
            <w:i/>
            <w:sz w:val="28"/>
          </w:rPr>
          <w:t>citoyenne:</w:t>
        </w:r>
        <w:proofErr w:type="gramEnd"/>
        <w:r w:rsidR="00D43DE9">
          <w:rPr>
            <w:rStyle w:val="Hyperlink"/>
            <w:b/>
            <w:i/>
            <w:sz w:val="28"/>
          </w:rPr>
          <w:t xml:space="preserve"> engagement des citoyens, communautés énergétiques et </w:t>
        </w:r>
        <w:proofErr w:type="spellStart"/>
        <w:r w:rsidR="00D43DE9">
          <w:rPr>
            <w:rStyle w:val="Hyperlink"/>
            <w:b/>
            <w:i/>
            <w:sz w:val="28"/>
          </w:rPr>
          <w:t>prosumérisme</w:t>
        </w:r>
        <w:proofErr w:type="spellEnd"/>
      </w:hyperlink>
    </w:p>
    <w:p w14:paraId="672A3ADC" w14:textId="77777777" w:rsidR="00D43DE9" w:rsidRPr="00AA61CF" w:rsidRDefault="00D43DE9" w:rsidP="00D43DE9">
      <w:pPr>
        <w:widowControl w:val="0"/>
        <w:ind w:left="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D43DE9" w:rsidRPr="00A6689B" w14:paraId="60008FCC" w14:textId="77777777" w:rsidTr="001129B2">
        <w:tc>
          <w:tcPr>
            <w:tcW w:w="1701" w:type="dxa"/>
          </w:tcPr>
          <w:p w14:paraId="5A20EED9" w14:textId="77777777" w:rsidR="00D43DE9" w:rsidRPr="00A6689B" w:rsidRDefault="00D43DE9" w:rsidP="00C93F66">
            <w:pPr>
              <w:tabs>
                <w:tab w:val="center" w:pos="284"/>
              </w:tabs>
              <w:ind w:left="266" w:hanging="266"/>
              <w:rPr>
                <w:b/>
              </w:rPr>
            </w:pPr>
            <w:proofErr w:type="spellStart"/>
            <w:r>
              <w:rPr>
                <w:b/>
              </w:rPr>
              <w:t>Rapporteure</w:t>
            </w:r>
            <w:proofErr w:type="spellEnd"/>
          </w:p>
        </w:tc>
        <w:tc>
          <w:tcPr>
            <w:tcW w:w="7479" w:type="dxa"/>
          </w:tcPr>
          <w:p w14:paraId="3C77EE5F" w14:textId="77777777" w:rsidR="00D43DE9" w:rsidRPr="00C83397" w:rsidRDefault="00D43DE9" w:rsidP="00C93F66">
            <w:pPr>
              <w:tabs>
                <w:tab w:val="center" w:pos="284"/>
              </w:tabs>
              <w:ind w:left="266" w:hanging="266"/>
              <w:rPr>
                <w:bCs/>
              </w:rPr>
            </w:pPr>
            <w:r>
              <w:t>Corina MURAFA BENGA (groupe des organisations de la société civile — RO)</w:t>
            </w:r>
          </w:p>
        </w:tc>
      </w:tr>
      <w:tr w:rsidR="00D43DE9" w:rsidRPr="00A6689B" w14:paraId="67AE3882" w14:textId="77777777" w:rsidTr="001129B2">
        <w:tc>
          <w:tcPr>
            <w:tcW w:w="9180" w:type="dxa"/>
            <w:gridSpan w:val="2"/>
          </w:tcPr>
          <w:p w14:paraId="1099646C" w14:textId="77777777" w:rsidR="00D43DE9" w:rsidRPr="00A6689B" w:rsidRDefault="00D43DE9" w:rsidP="00C93F66">
            <w:pPr>
              <w:tabs>
                <w:tab w:val="center" w:pos="284"/>
              </w:tabs>
              <w:spacing w:line="160" w:lineRule="exact"/>
              <w:ind w:left="266" w:hanging="266"/>
              <w:rPr>
                <w:lang w:val="en-US"/>
              </w:rPr>
            </w:pPr>
          </w:p>
        </w:tc>
      </w:tr>
      <w:tr w:rsidR="00D43DE9" w:rsidRPr="00AA61CF" w14:paraId="3E666424" w14:textId="77777777" w:rsidTr="001129B2">
        <w:tc>
          <w:tcPr>
            <w:tcW w:w="1701" w:type="dxa"/>
            <w:vMerge w:val="restart"/>
          </w:tcPr>
          <w:p w14:paraId="21BAB2B0" w14:textId="77777777" w:rsidR="00D43DE9" w:rsidRPr="00A6689B" w:rsidRDefault="00D43DE9" w:rsidP="00C93F66">
            <w:pPr>
              <w:tabs>
                <w:tab w:val="center" w:pos="284"/>
              </w:tabs>
              <w:ind w:left="266" w:hanging="266"/>
              <w:rPr>
                <w:b/>
              </w:rPr>
            </w:pPr>
            <w:r>
              <w:rPr>
                <w:b/>
              </w:rPr>
              <w:t>Références</w:t>
            </w:r>
          </w:p>
        </w:tc>
        <w:tc>
          <w:tcPr>
            <w:tcW w:w="7479" w:type="dxa"/>
          </w:tcPr>
          <w:p w14:paraId="1265CD27" w14:textId="77777777" w:rsidR="00D43DE9" w:rsidRPr="00AA61CF" w:rsidRDefault="00D43DE9" w:rsidP="00C93F66">
            <w:pPr>
              <w:tabs>
                <w:tab w:val="center" w:pos="284"/>
              </w:tabs>
              <w:ind w:left="266" w:hanging="266"/>
            </w:pPr>
            <w:r>
              <w:t>Avis exploratoire à la demande de la Commission européenne</w:t>
            </w:r>
          </w:p>
          <w:p w14:paraId="667C0205" w14:textId="77777777" w:rsidR="00D43DE9" w:rsidRPr="00AA61CF" w:rsidRDefault="00D43DE9" w:rsidP="00C93F66">
            <w:pPr>
              <w:tabs>
                <w:tab w:val="center" w:pos="284"/>
              </w:tabs>
              <w:ind w:left="266" w:hanging="266"/>
            </w:pPr>
            <w:r>
              <w:t>EESC-2025-01467-00-00-AC</w:t>
            </w:r>
          </w:p>
        </w:tc>
      </w:tr>
      <w:tr w:rsidR="00D43DE9" w:rsidRPr="00AA61CF" w14:paraId="28950A91" w14:textId="77777777" w:rsidTr="001129B2">
        <w:tc>
          <w:tcPr>
            <w:tcW w:w="1701" w:type="dxa"/>
            <w:vMerge/>
          </w:tcPr>
          <w:p w14:paraId="791C8940" w14:textId="77777777" w:rsidR="00D43DE9" w:rsidRPr="00AA61CF" w:rsidRDefault="00D43DE9" w:rsidP="00C93F66">
            <w:pPr>
              <w:tabs>
                <w:tab w:val="center" w:pos="284"/>
              </w:tabs>
              <w:ind w:left="266" w:hanging="266"/>
              <w:rPr>
                <w:b/>
              </w:rPr>
            </w:pPr>
          </w:p>
        </w:tc>
        <w:tc>
          <w:tcPr>
            <w:tcW w:w="7479" w:type="dxa"/>
          </w:tcPr>
          <w:p w14:paraId="56CA43BA" w14:textId="77777777" w:rsidR="00D43DE9" w:rsidRPr="00AA61CF" w:rsidRDefault="00D43DE9" w:rsidP="00C93F66">
            <w:pPr>
              <w:tabs>
                <w:tab w:val="center" w:pos="284"/>
              </w:tabs>
              <w:ind w:left="266" w:hanging="266"/>
            </w:pPr>
          </w:p>
        </w:tc>
      </w:tr>
    </w:tbl>
    <w:p w14:paraId="78C327E7" w14:textId="77777777" w:rsidR="00D43DE9" w:rsidRPr="00AA61CF" w:rsidRDefault="00D43DE9" w:rsidP="00D43DE9">
      <w:pPr>
        <w:tabs>
          <w:tab w:val="center" w:pos="284"/>
        </w:tabs>
        <w:ind w:left="266" w:hanging="266"/>
      </w:pPr>
    </w:p>
    <w:p w14:paraId="71DEB0D7" w14:textId="77777777" w:rsidR="00D43DE9" w:rsidRPr="00A6689B" w:rsidRDefault="00D43DE9" w:rsidP="00D43DE9">
      <w:pPr>
        <w:keepNext/>
        <w:keepLines/>
        <w:tabs>
          <w:tab w:val="center" w:pos="284"/>
        </w:tabs>
        <w:ind w:left="266" w:hanging="266"/>
        <w:rPr>
          <w:b/>
        </w:rPr>
      </w:pPr>
      <w:r>
        <w:rPr>
          <w:b/>
        </w:rPr>
        <w:t>Points clés</w:t>
      </w:r>
    </w:p>
    <w:p w14:paraId="073325EA" w14:textId="77777777" w:rsidR="00D43DE9" w:rsidRDefault="00D43DE9" w:rsidP="00D43DE9">
      <w:pPr>
        <w:keepNext/>
        <w:keepLines/>
        <w:tabs>
          <w:tab w:val="center" w:pos="284"/>
        </w:tabs>
        <w:ind w:left="266" w:hanging="266"/>
        <w:rPr>
          <w:b/>
        </w:rPr>
      </w:pPr>
    </w:p>
    <w:p w14:paraId="50423495" w14:textId="77777777" w:rsidR="00D43DE9" w:rsidRPr="009A7D26" w:rsidRDefault="00D43DE9" w:rsidP="00D43DE9">
      <w:pPr>
        <w:keepNext/>
        <w:keepLines/>
        <w:tabs>
          <w:tab w:val="center" w:pos="284"/>
        </w:tabs>
        <w:ind w:left="266" w:hanging="266"/>
        <w:rPr>
          <w:bCs/>
        </w:rPr>
      </w:pPr>
      <w:r>
        <w:t xml:space="preserve">Le </w:t>
      </w:r>
      <w:proofErr w:type="gramStart"/>
      <w:r>
        <w:t>CESE:</w:t>
      </w:r>
      <w:proofErr w:type="gramEnd"/>
    </w:p>
    <w:p w14:paraId="16E82946" w14:textId="77777777" w:rsidR="00D43DE9" w:rsidRPr="004A1ED7" w:rsidRDefault="00D43DE9" w:rsidP="00D43DE9">
      <w:pPr>
        <w:pStyle w:val="ListParagraph"/>
        <w:numPr>
          <w:ilvl w:val="0"/>
          <w:numId w:val="17"/>
        </w:numPr>
        <w:spacing w:after="200" w:line="276" w:lineRule="auto"/>
        <w:ind w:hanging="513"/>
        <w:rPr>
          <w:bCs/>
          <w:iCs/>
        </w:rPr>
      </w:pPr>
      <w:proofErr w:type="gramStart"/>
      <w:r>
        <w:t>souligne</w:t>
      </w:r>
      <w:proofErr w:type="gramEnd"/>
      <w:r>
        <w:t xml:space="preserve"> que jusqu’à présent, la Commission peine à placer le citoyen au cœur de l’union de l’énergie, et se félicite dès lors du train de mesures sur l’énergie citoyenne, qui vise à faire activement participer les citoyens et les communautés, mais souligne toutefois que celui-ci doit garantir la pleine participation des citoyens à la </w:t>
      </w:r>
      <w:r>
        <w:rPr>
          <w:b/>
        </w:rPr>
        <w:t>mise en place d’un système énergétique juste, sûr et durable</w:t>
      </w:r>
      <w:r>
        <w:t xml:space="preserve">. Il demande également que soient menées des actions plus vigoureuses pour lutter contre la précarité énergétique, assorties d’une définition unifiée de ce concept et d’un recensement des ménages qui en souffrent, établi sur la base de données en partant de l’échelon </w:t>
      </w:r>
      <w:proofErr w:type="gramStart"/>
      <w:r>
        <w:t>local;</w:t>
      </w:r>
      <w:proofErr w:type="gramEnd"/>
    </w:p>
    <w:p w14:paraId="6384208B" w14:textId="77777777" w:rsidR="00D43DE9" w:rsidRPr="004A1ED7" w:rsidRDefault="00D43DE9" w:rsidP="00D43DE9">
      <w:pPr>
        <w:pStyle w:val="ListParagraph"/>
        <w:numPr>
          <w:ilvl w:val="0"/>
          <w:numId w:val="17"/>
        </w:numPr>
        <w:spacing w:after="200" w:line="276" w:lineRule="auto"/>
        <w:ind w:hanging="513"/>
        <w:rPr>
          <w:bCs/>
          <w:iCs/>
        </w:rPr>
      </w:pPr>
      <w:proofErr w:type="gramStart"/>
      <w:r>
        <w:t>fait</w:t>
      </w:r>
      <w:proofErr w:type="gramEnd"/>
      <w:r>
        <w:t xml:space="preserve"> valoir que le train de mesures devrait donner la </w:t>
      </w:r>
      <w:r>
        <w:rPr>
          <w:b/>
        </w:rPr>
        <w:t>priorité au financement</w:t>
      </w:r>
      <w:r>
        <w:t xml:space="preserve"> des communautés énergétiques et </w:t>
      </w:r>
      <w:r>
        <w:rPr>
          <w:b/>
        </w:rPr>
        <w:t>clarifier les concepts clés en lien avec l’énergie communautaire</w:t>
      </w:r>
      <w:r>
        <w:t xml:space="preserve">, qui sont actuellement interprétés de façon très différente par les États membres. Les financements devraient viser à faire participer les jeunes, à favoriser la connaissance des enjeux énergétiques et à développer les compétences vertes, autant de domaines pour lesquels ils devraient être conditionnés à la réalisation de normes </w:t>
      </w:r>
      <w:proofErr w:type="gramStart"/>
      <w:r>
        <w:t>minimales;</w:t>
      </w:r>
      <w:proofErr w:type="gramEnd"/>
    </w:p>
    <w:p w14:paraId="5EE16496" w14:textId="77777777" w:rsidR="00D43DE9" w:rsidRPr="004A1ED7" w:rsidRDefault="00D43DE9" w:rsidP="00D43DE9">
      <w:pPr>
        <w:pStyle w:val="ListParagraph"/>
        <w:numPr>
          <w:ilvl w:val="0"/>
          <w:numId w:val="17"/>
        </w:numPr>
        <w:spacing w:after="200" w:line="276" w:lineRule="auto"/>
        <w:ind w:hanging="513"/>
        <w:rPr>
          <w:bCs/>
          <w:iCs/>
        </w:rPr>
      </w:pPr>
      <w:r>
        <w:t>pour enclencher l’autonomisation des citoyens et la mise en place des conditions nécessaires à l’atténuation de la précarité énergétique, recommande que l’Union européenne: 1) </w:t>
      </w:r>
      <w:r>
        <w:rPr>
          <w:b/>
          <w:bCs/>
        </w:rPr>
        <w:t>impose sur l’ensemble de son territoire une interdiction des coupures d’énergie</w:t>
      </w:r>
      <w:r>
        <w:t xml:space="preserve"> pour les ménages; 2) </w:t>
      </w:r>
      <w:r>
        <w:rPr>
          <w:b/>
          <w:bCs/>
        </w:rPr>
        <w:t>renonce au système de préséance économique</w:t>
      </w:r>
      <w:r>
        <w:t xml:space="preserve"> qui lie les prix de l’électricité à ceux du gaz; 3) </w:t>
      </w:r>
      <w:r>
        <w:rPr>
          <w:b/>
          <w:bCs/>
        </w:rPr>
        <w:t>rectifie sa politique linguistique</w:t>
      </w:r>
      <w:r>
        <w:t xml:space="preserve"> pour ce qui est de l’énergie, et utilise le terme de «citoyens» au lieu de celui de «consommateurs»; et 4) institue un </w:t>
      </w:r>
      <w:r>
        <w:rPr>
          <w:b/>
          <w:bCs/>
        </w:rPr>
        <w:t>médiateur européen de l’énergie</w:t>
      </w:r>
      <w:r>
        <w:t>.</w:t>
      </w:r>
    </w:p>
    <w:p w14:paraId="07DCC482" w14:textId="77777777" w:rsidR="00D43DE9" w:rsidRPr="004A1ED7" w:rsidRDefault="00D43DE9" w:rsidP="00D43DE9">
      <w:pPr>
        <w:pStyle w:val="ListParagraph"/>
        <w:ind w:left="1080"/>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D43DE9" w:rsidRPr="00A6689B" w14:paraId="7323B97F" w14:textId="77777777" w:rsidTr="00C93F66">
        <w:tc>
          <w:tcPr>
            <w:tcW w:w="1418" w:type="dxa"/>
          </w:tcPr>
          <w:p w14:paraId="3B6B65ED" w14:textId="77777777" w:rsidR="00D43DE9" w:rsidRPr="00A6689B" w:rsidRDefault="00D43DE9" w:rsidP="00C93F66">
            <w:pPr>
              <w:spacing w:line="240" w:lineRule="auto"/>
              <w:rPr>
                <w:i/>
              </w:rPr>
            </w:pPr>
            <w:r>
              <w:rPr>
                <w:b/>
                <w:i/>
              </w:rPr>
              <w:t>Contact</w:t>
            </w:r>
          </w:p>
        </w:tc>
        <w:tc>
          <w:tcPr>
            <w:tcW w:w="5670" w:type="dxa"/>
          </w:tcPr>
          <w:p w14:paraId="2231FF81" w14:textId="435689FB" w:rsidR="00D43DE9" w:rsidRPr="00A6689B" w:rsidRDefault="00D43DE9" w:rsidP="00C93F66">
            <w:pPr>
              <w:spacing w:line="240" w:lineRule="auto"/>
              <w:rPr>
                <w:i/>
              </w:rPr>
            </w:pPr>
            <w:r>
              <w:rPr>
                <w:i/>
              </w:rPr>
              <w:t>Francesco</w:t>
            </w:r>
            <w:r w:rsidR="006031D5">
              <w:rPr>
                <w:i/>
              </w:rPr>
              <w:t> </w:t>
            </w:r>
            <w:r>
              <w:rPr>
                <w:i/>
              </w:rPr>
              <w:t>NAPOLITANO</w:t>
            </w:r>
          </w:p>
        </w:tc>
      </w:tr>
      <w:tr w:rsidR="00D43DE9" w:rsidRPr="00A6689B" w14:paraId="2FCAA27F" w14:textId="77777777" w:rsidTr="00C93F66">
        <w:tc>
          <w:tcPr>
            <w:tcW w:w="1418" w:type="dxa"/>
          </w:tcPr>
          <w:p w14:paraId="3C9041D6" w14:textId="77777777" w:rsidR="00D43DE9" w:rsidRPr="00A6689B" w:rsidRDefault="00D43DE9" w:rsidP="00C93F66">
            <w:pPr>
              <w:spacing w:line="240" w:lineRule="auto"/>
              <w:rPr>
                <w:i/>
              </w:rPr>
            </w:pPr>
            <w:r>
              <w:rPr>
                <w:i/>
              </w:rPr>
              <w:t>Tél.</w:t>
            </w:r>
          </w:p>
        </w:tc>
        <w:tc>
          <w:tcPr>
            <w:tcW w:w="5670" w:type="dxa"/>
          </w:tcPr>
          <w:p w14:paraId="053A7C99" w14:textId="77777777" w:rsidR="00D43DE9" w:rsidRPr="00A6689B" w:rsidRDefault="00D43DE9" w:rsidP="00C93F66">
            <w:pPr>
              <w:spacing w:line="240" w:lineRule="auto"/>
              <w:rPr>
                <w:i/>
              </w:rPr>
            </w:pPr>
            <w:r>
              <w:rPr>
                <w:i/>
              </w:rPr>
              <w:t>+32 25468921</w:t>
            </w:r>
          </w:p>
        </w:tc>
      </w:tr>
      <w:tr w:rsidR="00D43DE9" w:rsidRPr="00A33CBD" w14:paraId="22AB284E" w14:textId="77777777" w:rsidTr="00C93F66">
        <w:tc>
          <w:tcPr>
            <w:tcW w:w="1418" w:type="dxa"/>
          </w:tcPr>
          <w:p w14:paraId="0BC89C5C" w14:textId="77777777" w:rsidR="00D43DE9" w:rsidRPr="00A6689B" w:rsidRDefault="00D43DE9" w:rsidP="00C93F66">
            <w:pPr>
              <w:spacing w:line="240" w:lineRule="auto"/>
              <w:rPr>
                <w:i/>
              </w:rPr>
            </w:pPr>
            <w:r>
              <w:rPr>
                <w:i/>
              </w:rPr>
              <w:t>Courriel</w:t>
            </w:r>
          </w:p>
        </w:tc>
        <w:tc>
          <w:tcPr>
            <w:tcW w:w="5670" w:type="dxa"/>
          </w:tcPr>
          <w:p w14:paraId="2A232E12" w14:textId="77777777" w:rsidR="00D43DE9" w:rsidRPr="00A33CBD" w:rsidRDefault="00CB508B" w:rsidP="00C93F66">
            <w:pPr>
              <w:rPr>
                <w:i/>
                <w:iCs/>
              </w:rPr>
            </w:pPr>
            <w:hyperlink r:id="rId53" w:history="1">
              <w:r w:rsidR="00D43DE9">
                <w:rPr>
                  <w:rStyle w:val="Hyperlink"/>
                  <w:i/>
                </w:rPr>
                <w:t>Francesco.Napolitano@eesc.europa.eu</w:t>
              </w:r>
            </w:hyperlink>
            <w:r w:rsidR="00D43DE9">
              <w:rPr>
                <w:i/>
              </w:rPr>
              <w:t xml:space="preserve"> </w:t>
            </w:r>
          </w:p>
        </w:tc>
      </w:tr>
    </w:tbl>
    <w:p w14:paraId="7FFC60EB" w14:textId="77777777" w:rsidR="00F31327" w:rsidRDefault="00F31327" w:rsidP="00F31327">
      <w:pPr>
        <w:jc w:val="left"/>
        <w:rPr>
          <w:lang w:val="en-GB"/>
        </w:rPr>
      </w:pPr>
    </w:p>
    <w:p w14:paraId="101F0260" w14:textId="77777777" w:rsidR="00F31327" w:rsidRDefault="00F31327" w:rsidP="00F31327">
      <w:pPr>
        <w:jc w:val="left"/>
        <w:rPr>
          <w:lang w:val="en-GB"/>
        </w:rPr>
      </w:pPr>
      <w:r>
        <w:rPr>
          <w:lang w:val="en-GB"/>
        </w:rPr>
        <w:br w:type="page"/>
      </w:r>
    </w:p>
    <w:p w14:paraId="26B3D731" w14:textId="75E2090D" w:rsidR="0090146A" w:rsidRPr="0003586F" w:rsidRDefault="00CB508B" w:rsidP="0090146A">
      <w:pPr>
        <w:widowControl w:val="0"/>
        <w:numPr>
          <w:ilvl w:val="0"/>
          <w:numId w:val="19"/>
        </w:numPr>
        <w:overflowPunct w:val="0"/>
        <w:autoSpaceDE w:val="0"/>
        <w:autoSpaceDN w:val="0"/>
        <w:adjustRightInd w:val="0"/>
        <w:ind w:hanging="567"/>
        <w:textAlignment w:val="baseline"/>
        <w:rPr>
          <w:sz w:val="20"/>
        </w:rPr>
      </w:pPr>
      <w:hyperlink r:id="rId54" w:history="1">
        <w:r w:rsidR="0090146A">
          <w:rPr>
            <w:rStyle w:val="Hyperlink"/>
            <w:b/>
            <w:i/>
            <w:sz w:val="28"/>
          </w:rPr>
          <w:t>Révision des directives composant le paquet</w:t>
        </w:r>
        <w:proofErr w:type="gramStart"/>
        <w:r w:rsidR="0090146A">
          <w:rPr>
            <w:rStyle w:val="Hyperlink"/>
            <w:b/>
            <w:i/>
            <w:sz w:val="28"/>
          </w:rPr>
          <w:t xml:space="preserve"> «contrôle</w:t>
        </w:r>
        <w:proofErr w:type="gramEnd"/>
        <w:r w:rsidR="0090146A">
          <w:rPr>
            <w:rStyle w:val="Hyperlink"/>
            <w:b/>
            <w:i/>
            <w:sz w:val="28"/>
          </w:rPr>
          <w:t xml:space="preserve"> technique»</w:t>
        </w:r>
      </w:hyperlink>
    </w:p>
    <w:p w14:paraId="5C534525" w14:textId="77777777" w:rsidR="0090146A" w:rsidRPr="00A6689B" w:rsidRDefault="0090146A" w:rsidP="0090146A">
      <w:pPr>
        <w:tabs>
          <w:tab w:val="center" w:pos="284"/>
        </w:tabs>
        <w:ind w:left="266" w:hanging="266"/>
        <w:rPr>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90146A" w:rsidRPr="00A6689B" w14:paraId="490A8687" w14:textId="77777777" w:rsidTr="00C93F66">
        <w:tc>
          <w:tcPr>
            <w:tcW w:w="1701" w:type="dxa"/>
          </w:tcPr>
          <w:p w14:paraId="01908E30" w14:textId="77777777" w:rsidR="0090146A" w:rsidRPr="00A6689B" w:rsidRDefault="0090146A" w:rsidP="00C93F66">
            <w:pPr>
              <w:tabs>
                <w:tab w:val="center" w:pos="284"/>
              </w:tabs>
              <w:ind w:left="266" w:hanging="266"/>
              <w:rPr>
                <w:b/>
              </w:rPr>
            </w:pPr>
            <w:r>
              <w:rPr>
                <w:b/>
              </w:rPr>
              <w:t>Rapporteur</w:t>
            </w:r>
          </w:p>
        </w:tc>
        <w:tc>
          <w:tcPr>
            <w:tcW w:w="7621" w:type="dxa"/>
          </w:tcPr>
          <w:p w14:paraId="21AB7093" w14:textId="77777777" w:rsidR="0090146A" w:rsidRPr="00C83397" w:rsidRDefault="0090146A" w:rsidP="00C93F66">
            <w:pPr>
              <w:tabs>
                <w:tab w:val="center" w:pos="284"/>
              </w:tabs>
              <w:ind w:left="266" w:hanging="266"/>
              <w:rPr>
                <w:bCs/>
              </w:rPr>
            </w:pPr>
            <w:r>
              <w:t>Giulia BARBUCCI (groupe des travailleurs — IT)</w:t>
            </w:r>
          </w:p>
        </w:tc>
      </w:tr>
      <w:tr w:rsidR="0090146A" w:rsidRPr="00F23DD2" w14:paraId="56B1D2B1" w14:textId="77777777" w:rsidTr="00C93F66">
        <w:tc>
          <w:tcPr>
            <w:tcW w:w="1701" w:type="dxa"/>
          </w:tcPr>
          <w:p w14:paraId="33D7C731" w14:textId="77777777" w:rsidR="0090146A" w:rsidRPr="00A6689B" w:rsidRDefault="0090146A" w:rsidP="00C93F66">
            <w:pPr>
              <w:tabs>
                <w:tab w:val="center" w:pos="284"/>
              </w:tabs>
              <w:ind w:left="266" w:hanging="266"/>
              <w:rPr>
                <w:b/>
              </w:rPr>
            </w:pPr>
            <w:r>
              <w:rPr>
                <w:b/>
              </w:rPr>
              <w:t>Référence(s)</w:t>
            </w:r>
          </w:p>
        </w:tc>
        <w:tc>
          <w:tcPr>
            <w:tcW w:w="7621" w:type="dxa"/>
          </w:tcPr>
          <w:p w14:paraId="6DA63125" w14:textId="77777777" w:rsidR="001129B2" w:rsidRDefault="0090146A" w:rsidP="00C93F66">
            <w:pPr>
              <w:tabs>
                <w:tab w:val="center" w:pos="284"/>
              </w:tabs>
              <w:ind w:left="266" w:hanging="266"/>
            </w:pPr>
            <w:proofErr w:type="gramStart"/>
            <w:r>
              <w:t>COM(</w:t>
            </w:r>
            <w:proofErr w:type="gramEnd"/>
            <w:r>
              <w:t>2025) 179 final</w:t>
            </w:r>
          </w:p>
          <w:p w14:paraId="7801725F" w14:textId="1DE17730" w:rsidR="0090146A" w:rsidRPr="00781586" w:rsidRDefault="0090146A" w:rsidP="00C93F66">
            <w:pPr>
              <w:tabs>
                <w:tab w:val="center" w:pos="284"/>
              </w:tabs>
              <w:ind w:left="266" w:hanging="266"/>
            </w:pPr>
            <w:proofErr w:type="gramStart"/>
            <w:r>
              <w:t>COM(</w:t>
            </w:r>
            <w:proofErr w:type="gramEnd"/>
            <w:r>
              <w:t>2025) 180</w:t>
            </w:r>
            <w:r w:rsidR="006031D5">
              <w:t> </w:t>
            </w:r>
            <w:r>
              <w:t>final</w:t>
            </w:r>
          </w:p>
          <w:p w14:paraId="6A8DA2F7" w14:textId="77777777" w:rsidR="0090146A" w:rsidRPr="00781586" w:rsidRDefault="0090146A" w:rsidP="00C93F66">
            <w:pPr>
              <w:tabs>
                <w:tab w:val="center" w:pos="284"/>
              </w:tabs>
              <w:ind w:left="266" w:hanging="266"/>
            </w:pPr>
            <w:r>
              <w:t>EESC-2025-01216-00-00-AC</w:t>
            </w:r>
          </w:p>
        </w:tc>
      </w:tr>
    </w:tbl>
    <w:p w14:paraId="7EECBEE4" w14:textId="77777777" w:rsidR="0090146A" w:rsidRPr="00781586" w:rsidRDefault="0090146A" w:rsidP="0090146A">
      <w:pPr>
        <w:tabs>
          <w:tab w:val="center" w:pos="284"/>
        </w:tabs>
        <w:ind w:left="266" w:hanging="266"/>
        <w:rPr>
          <w:lang w:val="pt-PT"/>
        </w:rPr>
      </w:pPr>
    </w:p>
    <w:p w14:paraId="5B6434ED" w14:textId="77777777" w:rsidR="0090146A" w:rsidRPr="00A6689B" w:rsidRDefault="0090146A" w:rsidP="0090146A">
      <w:pPr>
        <w:keepNext/>
        <w:keepLines/>
        <w:tabs>
          <w:tab w:val="center" w:pos="284"/>
        </w:tabs>
        <w:ind w:left="266" w:hanging="266"/>
        <w:rPr>
          <w:b/>
        </w:rPr>
      </w:pPr>
      <w:r>
        <w:rPr>
          <w:b/>
        </w:rPr>
        <w:t>Points clés</w:t>
      </w:r>
    </w:p>
    <w:p w14:paraId="2E4F4AEE" w14:textId="77777777" w:rsidR="0090146A" w:rsidRDefault="0090146A" w:rsidP="0090146A">
      <w:pPr>
        <w:keepNext/>
        <w:keepLines/>
        <w:tabs>
          <w:tab w:val="center" w:pos="284"/>
        </w:tabs>
        <w:ind w:left="266" w:hanging="266"/>
        <w:rPr>
          <w:b/>
        </w:rPr>
      </w:pPr>
    </w:p>
    <w:p w14:paraId="32FA5657" w14:textId="77777777" w:rsidR="0090146A" w:rsidRPr="009A7D26" w:rsidRDefault="0090146A" w:rsidP="0090146A">
      <w:pPr>
        <w:keepNext/>
        <w:keepLines/>
        <w:tabs>
          <w:tab w:val="center" w:pos="284"/>
        </w:tabs>
        <w:ind w:left="266" w:hanging="266"/>
        <w:rPr>
          <w:bCs/>
        </w:rPr>
      </w:pPr>
      <w:r>
        <w:t xml:space="preserve">Le </w:t>
      </w:r>
      <w:proofErr w:type="gramStart"/>
      <w:r>
        <w:t>CESE:</w:t>
      </w:r>
      <w:proofErr w:type="gramEnd"/>
    </w:p>
    <w:p w14:paraId="48CF2531" w14:textId="77777777" w:rsidR="0090146A" w:rsidRDefault="0090146A" w:rsidP="0090146A">
      <w:pPr>
        <w:pStyle w:val="ListParagraph"/>
        <w:numPr>
          <w:ilvl w:val="0"/>
          <w:numId w:val="17"/>
        </w:numPr>
        <w:ind w:left="567" w:hanging="567"/>
        <w:rPr>
          <w:bCs/>
          <w:iCs/>
        </w:rPr>
      </w:pPr>
      <w:proofErr w:type="gramStart"/>
      <w:r>
        <w:t>considère</w:t>
      </w:r>
      <w:proofErr w:type="gramEnd"/>
      <w:r>
        <w:t xml:space="preserve"> la sécurité routière comme une priorité absolue, l’objectif général étant de parvenir à zéro décès sur la route d’ici à 2050. La protection de la vie, la réduction du nombre de blessures et la prévention des dommages aux personnes, aux biens et aux infrastructures sont des éléments essentiels de cet effort. La sécurité routière n’est pas seulement une question de normes techniques, mais aussi de responsabilité sociale et de bonne gouvernance, et elle doit être au cœur des stratégies de mobilité </w:t>
      </w:r>
      <w:proofErr w:type="gramStart"/>
      <w:r>
        <w:t>durable;</w:t>
      </w:r>
      <w:proofErr w:type="gramEnd"/>
    </w:p>
    <w:p w14:paraId="4DD29D9E" w14:textId="77777777" w:rsidR="0090146A" w:rsidRPr="00C879F8" w:rsidRDefault="0090146A" w:rsidP="0090146A">
      <w:pPr>
        <w:pStyle w:val="ListParagraph"/>
        <w:numPr>
          <w:ilvl w:val="0"/>
          <w:numId w:val="17"/>
        </w:numPr>
        <w:ind w:left="567" w:hanging="567"/>
        <w:rPr>
          <w:bCs/>
          <w:iCs/>
        </w:rPr>
      </w:pPr>
      <w:proofErr w:type="gramStart"/>
      <w:r>
        <w:t>souligne</w:t>
      </w:r>
      <w:proofErr w:type="gramEnd"/>
      <w:r>
        <w:t xml:space="preserve"> la nécessité d’une approche systémique qui, outre l’amélioration technique des véhicules, vise également à parfaire la formation des opérateurs du secteur et à accroître la qualité des infrastructures routières, et assure une gouvernance intégrée et participative du système de sécurité.</w:t>
      </w:r>
    </w:p>
    <w:p w14:paraId="23F5A7EB" w14:textId="77777777" w:rsidR="0090146A" w:rsidRDefault="0090146A" w:rsidP="0090146A">
      <w:pPr>
        <w:pStyle w:val="ListParagraph"/>
        <w:numPr>
          <w:ilvl w:val="0"/>
          <w:numId w:val="17"/>
        </w:numPr>
        <w:ind w:left="567" w:hanging="567"/>
        <w:rPr>
          <w:bCs/>
          <w:iCs/>
        </w:rPr>
      </w:pPr>
      <w:proofErr w:type="gramStart"/>
      <w:r>
        <w:t>invite</w:t>
      </w:r>
      <w:proofErr w:type="gramEnd"/>
      <w:r>
        <w:t xml:space="preserve"> la Commission et les États membres à prévoir des mesures de soutien afin de veiller à ce que la mise en conformité avec les nouvelles règles ne creuse pas les inégalités sociales, en accordant une attention particulière aux ménages à faibles revenus et aux microentreprises;</w:t>
      </w:r>
    </w:p>
    <w:p w14:paraId="22379CF8" w14:textId="77777777" w:rsidR="0090146A" w:rsidRPr="00786317" w:rsidRDefault="0090146A" w:rsidP="0090146A">
      <w:pPr>
        <w:pStyle w:val="ListParagraph"/>
        <w:numPr>
          <w:ilvl w:val="0"/>
          <w:numId w:val="17"/>
        </w:numPr>
        <w:ind w:left="567" w:hanging="567"/>
        <w:rPr>
          <w:bCs/>
          <w:iCs/>
        </w:rPr>
      </w:pPr>
      <w:proofErr w:type="gramStart"/>
      <w:r>
        <w:t>insiste</w:t>
      </w:r>
      <w:proofErr w:type="gramEnd"/>
      <w:r>
        <w:t xml:space="preserve"> sur l’urgence de normaliser les contrôles pour les véhicules électriques et les systèmes avancés d’aide à la conduite, en garantissant la disponibilité de techniciens qualifiés et d’équipements modernes dans les centres d’inspection, et recommande la mise en place d’un cadre européen pour la formation et la certification du personnel d’inspection.</w:t>
      </w:r>
    </w:p>
    <w:p w14:paraId="4A8D8B38" w14:textId="77777777" w:rsidR="0090146A" w:rsidRPr="000624A9" w:rsidRDefault="0090146A" w:rsidP="0090146A">
      <w:pPr>
        <w:widowControl w:val="0"/>
        <w:ind w:left="709"/>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90146A" w:rsidRPr="00A6689B" w14:paraId="624FDFE9" w14:textId="77777777" w:rsidTr="00C93F66">
        <w:tc>
          <w:tcPr>
            <w:tcW w:w="1418" w:type="dxa"/>
          </w:tcPr>
          <w:p w14:paraId="3322B4DE" w14:textId="77777777" w:rsidR="0090146A" w:rsidRPr="00A6689B" w:rsidRDefault="0090146A" w:rsidP="00C93F66">
            <w:pPr>
              <w:rPr>
                <w:i/>
              </w:rPr>
            </w:pPr>
            <w:r>
              <w:rPr>
                <w:b/>
                <w:i/>
              </w:rPr>
              <w:t>Contact</w:t>
            </w:r>
          </w:p>
        </w:tc>
        <w:tc>
          <w:tcPr>
            <w:tcW w:w="7904" w:type="dxa"/>
          </w:tcPr>
          <w:p w14:paraId="5581741A" w14:textId="74B03200" w:rsidR="0090146A" w:rsidRPr="00A6689B" w:rsidRDefault="0090146A" w:rsidP="00C93F66">
            <w:pPr>
              <w:rPr>
                <w:i/>
              </w:rPr>
            </w:pPr>
            <w:r>
              <w:rPr>
                <w:i/>
              </w:rPr>
              <w:t>Albert</w:t>
            </w:r>
            <w:r w:rsidR="006031D5">
              <w:rPr>
                <w:i/>
              </w:rPr>
              <w:t> </w:t>
            </w:r>
            <w:r>
              <w:rPr>
                <w:i/>
              </w:rPr>
              <w:t>PRECUP</w:t>
            </w:r>
          </w:p>
        </w:tc>
      </w:tr>
      <w:tr w:rsidR="0090146A" w:rsidRPr="00A6689B" w14:paraId="580E9AE6" w14:textId="77777777" w:rsidTr="00C93F66">
        <w:tc>
          <w:tcPr>
            <w:tcW w:w="1418" w:type="dxa"/>
          </w:tcPr>
          <w:p w14:paraId="2D4DDF03" w14:textId="77777777" w:rsidR="0090146A" w:rsidRPr="00A6689B" w:rsidRDefault="0090146A" w:rsidP="00C93F66">
            <w:pPr>
              <w:rPr>
                <w:i/>
              </w:rPr>
            </w:pPr>
            <w:r>
              <w:rPr>
                <w:i/>
              </w:rPr>
              <w:t>Tél.</w:t>
            </w:r>
          </w:p>
        </w:tc>
        <w:tc>
          <w:tcPr>
            <w:tcW w:w="7904" w:type="dxa"/>
          </w:tcPr>
          <w:p w14:paraId="1F71491D" w14:textId="77777777" w:rsidR="0090146A" w:rsidRPr="00A6689B" w:rsidRDefault="0090146A" w:rsidP="00C93F66">
            <w:pPr>
              <w:rPr>
                <w:i/>
              </w:rPr>
            </w:pPr>
            <w:r>
              <w:rPr>
                <w:i/>
              </w:rPr>
              <w:t>+32 25469326</w:t>
            </w:r>
          </w:p>
        </w:tc>
      </w:tr>
      <w:tr w:rsidR="0090146A" w:rsidRPr="00A6689B" w14:paraId="4C92C36C" w14:textId="77777777" w:rsidTr="00C93F66">
        <w:tc>
          <w:tcPr>
            <w:tcW w:w="1418" w:type="dxa"/>
          </w:tcPr>
          <w:p w14:paraId="435960B1" w14:textId="77777777" w:rsidR="0090146A" w:rsidRPr="00A6689B" w:rsidRDefault="0090146A" w:rsidP="00C93F66">
            <w:pPr>
              <w:rPr>
                <w:i/>
              </w:rPr>
            </w:pPr>
            <w:r>
              <w:rPr>
                <w:i/>
              </w:rPr>
              <w:t>Courriel</w:t>
            </w:r>
          </w:p>
        </w:tc>
        <w:tc>
          <w:tcPr>
            <w:tcW w:w="7904" w:type="dxa"/>
          </w:tcPr>
          <w:p w14:paraId="56DF38CC" w14:textId="77777777" w:rsidR="0090146A" w:rsidRPr="00A33CBD" w:rsidRDefault="00CB508B" w:rsidP="00C93F66">
            <w:pPr>
              <w:rPr>
                <w:i/>
                <w:iCs/>
              </w:rPr>
            </w:pPr>
            <w:hyperlink r:id="rId55" w:history="1">
              <w:r w:rsidR="0090146A">
                <w:rPr>
                  <w:rStyle w:val="Hyperlink"/>
                  <w:i/>
                </w:rPr>
                <w:t>Albert.Precup@eesc.europa.eu</w:t>
              </w:r>
            </w:hyperlink>
          </w:p>
        </w:tc>
      </w:tr>
    </w:tbl>
    <w:p w14:paraId="7B839A07" w14:textId="77777777" w:rsidR="00F31327" w:rsidRDefault="00F31327" w:rsidP="00F31327">
      <w:pPr>
        <w:jc w:val="left"/>
        <w:rPr>
          <w:lang w:val="en-GB"/>
        </w:rPr>
      </w:pPr>
    </w:p>
    <w:p w14:paraId="02B8EA5E" w14:textId="77777777" w:rsidR="00F31327" w:rsidRDefault="00F31327" w:rsidP="00F31327">
      <w:pPr>
        <w:jc w:val="left"/>
        <w:rPr>
          <w:lang w:val="en-GB"/>
        </w:rPr>
      </w:pPr>
      <w:r>
        <w:rPr>
          <w:lang w:val="en-GB"/>
        </w:rPr>
        <w:br w:type="page"/>
      </w:r>
    </w:p>
    <w:p w14:paraId="03CDC6ED" w14:textId="2DD02406" w:rsidR="007B7409" w:rsidRPr="00691A87" w:rsidRDefault="00CB508B" w:rsidP="007B7409">
      <w:pPr>
        <w:widowControl w:val="0"/>
        <w:numPr>
          <w:ilvl w:val="0"/>
          <w:numId w:val="19"/>
        </w:numPr>
        <w:overflowPunct w:val="0"/>
        <w:autoSpaceDE w:val="0"/>
        <w:autoSpaceDN w:val="0"/>
        <w:adjustRightInd w:val="0"/>
        <w:ind w:left="266" w:hanging="266"/>
        <w:textAlignment w:val="baseline"/>
        <w:rPr>
          <w:b/>
        </w:rPr>
      </w:pPr>
      <w:hyperlink r:id="rId56" w:history="1">
        <w:r w:rsidR="007B7409">
          <w:rPr>
            <w:rStyle w:val="Hyperlink"/>
            <w:b/>
            <w:i/>
            <w:sz w:val="28"/>
          </w:rPr>
          <w:t>Mettre fin aux importations d’énergie russe</w:t>
        </w:r>
      </w:hyperlink>
    </w:p>
    <w:p w14:paraId="08551D7C" w14:textId="77777777" w:rsidR="007B7409" w:rsidRPr="00691A87" w:rsidRDefault="007B7409" w:rsidP="007B7409">
      <w:pPr>
        <w:widowControl w:val="0"/>
        <w:ind w:left="266"/>
        <w:rPr>
          <w:b/>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7B7409" w:rsidRPr="00A6689B" w14:paraId="7D28F992" w14:textId="77777777" w:rsidTr="00C93F66">
        <w:tc>
          <w:tcPr>
            <w:tcW w:w="1701" w:type="dxa"/>
          </w:tcPr>
          <w:p w14:paraId="4458D80B" w14:textId="77777777" w:rsidR="007B7409" w:rsidRPr="00A6689B" w:rsidRDefault="007B7409" w:rsidP="00C93F66">
            <w:pPr>
              <w:tabs>
                <w:tab w:val="center" w:pos="284"/>
              </w:tabs>
              <w:ind w:left="266" w:hanging="266"/>
              <w:rPr>
                <w:b/>
              </w:rPr>
            </w:pPr>
            <w:r>
              <w:rPr>
                <w:b/>
              </w:rPr>
              <w:t>Rapporteur</w:t>
            </w:r>
          </w:p>
        </w:tc>
        <w:tc>
          <w:tcPr>
            <w:tcW w:w="6521" w:type="dxa"/>
          </w:tcPr>
          <w:p w14:paraId="1F64E81A" w14:textId="5442EAFA" w:rsidR="007B7409" w:rsidRPr="00C83397" w:rsidRDefault="007B7409" w:rsidP="00C93F66">
            <w:pPr>
              <w:tabs>
                <w:tab w:val="center" w:pos="284"/>
              </w:tabs>
              <w:ind w:left="266" w:hanging="266"/>
              <w:rPr>
                <w:bCs/>
              </w:rPr>
            </w:pPr>
            <w:r>
              <w:t>Jacek KRAWCZYK (groupe des employeurs </w:t>
            </w:r>
            <w:r w:rsidR="006031D5">
              <w:t>—</w:t>
            </w:r>
            <w:r>
              <w:t xml:space="preserve"> PL)</w:t>
            </w:r>
          </w:p>
        </w:tc>
      </w:tr>
      <w:tr w:rsidR="007B7409" w:rsidRPr="00A6689B" w14:paraId="6D8D7845" w14:textId="77777777" w:rsidTr="00C93F66">
        <w:tc>
          <w:tcPr>
            <w:tcW w:w="8222" w:type="dxa"/>
            <w:gridSpan w:val="2"/>
          </w:tcPr>
          <w:p w14:paraId="27FB44DC" w14:textId="77777777" w:rsidR="007B7409" w:rsidRPr="00A6689B" w:rsidRDefault="007B7409" w:rsidP="00C93F66">
            <w:pPr>
              <w:tabs>
                <w:tab w:val="center" w:pos="284"/>
              </w:tabs>
              <w:spacing w:line="160" w:lineRule="exact"/>
              <w:ind w:left="266" w:hanging="266"/>
              <w:rPr>
                <w:lang w:val="en-US"/>
              </w:rPr>
            </w:pPr>
          </w:p>
        </w:tc>
      </w:tr>
      <w:tr w:rsidR="007B7409" w:rsidRPr="00AA61CF" w14:paraId="17055D43" w14:textId="77777777" w:rsidTr="00C93F66">
        <w:tc>
          <w:tcPr>
            <w:tcW w:w="1701" w:type="dxa"/>
          </w:tcPr>
          <w:p w14:paraId="674BF2CA" w14:textId="77777777" w:rsidR="007B7409" w:rsidRPr="00A6689B" w:rsidRDefault="007B7409" w:rsidP="00C93F66">
            <w:pPr>
              <w:tabs>
                <w:tab w:val="center" w:pos="284"/>
              </w:tabs>
              <w:ind w:left="266" w:hanging="266"/>
              <w:rPr>
                <w:b/>
              </w:rPr>
            </w:pPr>
            <w:r>
              <w:rPr>
                <w:b/>
              </w:rPr>
              <w:t>Références</w:t>
            </w:r>
          </w:p>
        </w:tc>
        <w:tc>
          <w:tcPr>
            <w:tcW w:w="6521" w:type="dxa"/>
          </w:tcPr>
          <w:p w14:paraId="67AE15CF" w14:textId="77777777" w:rsidR="007B7409" w:rsidRPr="00AA61CF" w:rsidRDefault="007B7409" w:rsidP="00C93F66">
            <w:pPr>
              <w:tabs>
                <w:tab w:val="center" w:pos="284"/>
              </w:tabs>
              <w:ind w:left="266" w:hanging="266"/>
            </w:pPr>
            <w:proofErr w:type="gramStart"/>
            <w:r>
              <w:t>COM(</w:t>
            </w:r>
            <w:proofErr w:type="gramEnd"/>
            <w:r>
              <w:t>2025) 828 final</w:t>
            </w:r>
          </w:p>
          <w:p w14:paraId="1C878BA8" w14:textId="77777777" w:rsidR="007B7409" w:rsidRPr="00AA61CF" w:rsidRDefault="007B7409" w:rsidP="00C93F66">
            <w:pPr>
              <w:tabs>
                <w:tab w:val="center" w:pos="284"/>
              </w:tabs>
              <w:ind w:left="266" w:hanging="266"/>
            </w:pPr>
            <w:r>
              <w:t>EESC-2025-02179-00-00-AC-TRA</w:t>
            </w:r>
          </w:p>
        </w:tc>
      </w:tr>
    </w:tbl>
    <w:p w14:paraId="43D793C7" w14:textId="77777777" w:rsidR="007B7409" w:rsidRPr="00AA61CF" w:rsidRDefault="007B7409" w:rsidP="007B7409">
      <w:pPr>
        <w:tabs>
          <w:tab w:val="center" w:pos="284"/>
        </w:tabs>
        <w:ind w:left="266" w:hanging="266"/>
      </w:pPr>
    </w:p>
    <w:p w14:paraId="404D1B39" w14:textId="77777777" w:rsidR="007B7409" w:rsidRPr="00A6689B" w:rsidRDefault="007B7409" w:rsidP="007B7409">
      <w:pPr>
        <w:keepNext/>
        <w:keepLines/>
        <w:tabs>
          <w:tab w:val="center" w:pos="284"/>
        </w:tabs>
        <w:ind w:left="266" w:hanging="266"/>
        <w:rPr>
          <w:b/>
        </w:rPr>
      </w:pPr>
      <w:r>
        <w:rPr>
          <w:b/>
        </w:rPr>
        <w:t>Points clés</w:t>
      </w:r>
    </w:p>
    <w:p w14:paraId="691A430E" w14:textId="77777777" w:rsidR="007B7409" w:rsidRDefault="007B7409" w:rsidP="007B7409">
      <w:pPr>
        <w:keepNext/>
        <w:keepLines/>
        <w:tabs>
          <w:tab w:val="center" w:pos="284"/>
        </w:tabs>
        <w:ind w:left="266" w:hanging="266"/>
        <w:rPr>
          <w:b/>
        </w:rPr>
      </w:pPr>
    </w:p>
    <w:p w14:paraId="2F8B58C3" w14:textId="77777777" w:rsidR="007B7409" w:rsidRPr="009A7D26" w:rsidRDefault="007B7409" w:rsidP="007B7409">
      <w:pPr>
        <w:keepNext/>
        <w:keepLines/>
        <w:tabs>
          <w:tab w:val="center" w:pos="284"/>
        </w:tabs>
        <w:ind w:left="266" w:hanging="266"/>
        <w:rPr>
          <w:bCs/>
        </w:rPr>
      </w:pPr>
      <w:r>
        <w:t xml:space="preserve">Le </w:t>
      </w:r>
      <w:proofErr w:type="gramStart"/>
      <w:r>
        <w:t>CESE:</w:t>
      </w:r>
      <w:proofErr w:type="gramEnd"/>
    </w:p>
    <w:p w14:paraId="0FD9012B" w14:textId="2BC94FC8" w:rsidR="007B7409" w:rsidRPr="00780E3E" w:rsidRDefault="007B7409" w:rsidP="007B7409">
      <w:pPr>
        <w:pStyle w:val="ListParagraph"/>
        <w:numPr>
          <w:ilvl w:val="0"/>
          <w:numId w:val="17"/>
        </w:numPr>
        <w:spacing w:line="276" w:lineRule="auto"/>
        <w:ind w:left="567" w:hanging="567"/>
        <w:rPr>
          <w:bCs/>
          <w:iCs/>
        </w:rPr>
      </w:pPr>
      <w:proofErr w:type="gramStart"/>
      <w:r>
        <w:t>se</w:t>
      </w:r>
      <w:proofErr w:type="gramEnd"/>
      <w:r>
        <w:t xml:space="preserve"> félicite de la proposition mais est également conscient que l’UE doit accorder la priorité à l’abandon progressif du gaz et du pétrole russes en 2026, en veillant à ce que cet objectif soit pleinement et définitivement atteint d’ici la fin de l’année 2027 au plus tard, et reconnaît qu’il est urgent de cesser de financer l’effort de guerre de la Russie et de placer la sécurité de l’UE au-dessus des gains financiers à court terme supposés de quelques États membres. Le nouvel article 7 proposé par le CESE mettrait les importations de pétrole sur un pied d’égalité avec les importations de </w:t>
      </w:r>
      <w:proofErr w:type="gramStart"/>
      <w:r>
        <w:t>gaz;</w:t>
      </w:r>
      <w:proofErr w:type="gramEnd"/>
    </w:p>
    <w:p w14:paraId="130E774F" w14:textId="77777777" w:rsidR="007B7409" w:rsidRPr="00780E3E" w:rsidRDefault="007B7409" w:rsidP="007B7409">
      <w:pPr>
        <w:pStyle w:val="ListParagraph"/>
        <w:numPr>
          <w:ilvl w:val="0"/>
          <w:numId w:val="17"/>
        </w:numPr>
        <w:spacing w:line="276" w:lineRule="auto"/>
        <w:ind w:left="567" w:hanging="567"/>
        <w:rPr>
          <w:bCs/>
          <w:iCs/>
        </w:rPr>
      </w:pPr>
      <w:proofErr w:type="gramStart"/>
      <w:r>
        <w:t>accueille</w:t>
      </w:r>
      <w:proofErr w:type="gramEnd"/>
      <w:r>
        <w:t xml:space="preserve"> favorablement les instruments plus puissants proposés pour le suivi des dépendances énergétiques; suggère toutefois que ces mécanismes fassent l’objet d’un contrôle parlementaire renforcé; recommande également d’associer les partenaires sociaux et la société civile organisée à l’évaluation des dépendances stratégiques;</w:t>
      </w:r>
    </w:p>
    <w:p w14:paraId="2D03DD61" w14:textId="77777777" w:rsidR="007B7409" w:rsidRPr="00780E3E" w:rsidRDefault="007B7409" w:rsidP="007B7409">
      <w:pPr>
        <w:pStyle w:val="ListParagraph"/>
        <w:numPr>
          <w:ilvl w:val="0"/>
          <w:numId w:val="17"/>
        </w:numPr>
        <w:spacing w:line="276" w:lineRule="auto"/>
        <w:ind w:left="567" w:hanging="567"/>
        <w:rPr>
          <w:bCs/>
          <w:iCs/>
        </w:rPr>
      </w:pPr>
      <w:proofErr w:type="gramStart"/>
      <w:r>
        <w:t>propose</w:t>
      </w:r>
      <w:proofErr w:type="gramEnd"/>
      <w:r>
        <w:t xml:space="preserve"> de supprimer la possibilité de dérogation prévue à l’article 15 de la proposition, laquelle compromet en effet les finalités stratégiques de la proposition en diluant son objectif principal;</w:t>
      </w:r>
    </w:p>
    <w:p w14:paraId="08509740" w14:textId="77777777" w:rsidR="007B7409" w:rsidRPr="00691A87" w:rsidRDefault="007B7409" w:rsidP="007B7409">
      <w:pPr>
        <w:pStyle w:val="ListParagraph"/>
        <w:numPr>
          <w:ilvl w:val="0"/>
          <w:numId w:val="17"/>
        </w:numPr>
        <w:ind w:left="567" w:hanging="567"/>
        <w:rPr>
          <w:bCs/>
          <w:iCs/>
        </w:rPr>
      </w:pPr>
      <w:proofErr w:type="gramStart"/>
      <w:r>
        <w:t>prie</w:t>
      </w:r>
      <w:proofErr w:type="gramEnd"/>
      <w:r>
        <w:t xml:space="preserve"> instamment la Commission de poursuivre une approche proactive et coordonnée afin de continuer à déceler et à éliminer les opérations des flottes fantômes. Il souligne toutefois l’importance d’introduire des dispositions adéquates visant l’uranium, ses dérivés et la technologie et l’expertise qui y sont associées le plus rapidement possible et en toute sécurité.</w:t>
      </w:r>
    </w:p>
    <w:p w14:paraId="16C730E5" w14:textId="77777777" w:rsidR="007B7409" w:rsidRPr="000624A9" w:rsidRDefault="007B7409" w:rsidP="007B7409">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7B7409" w:rsidRPr="00A6689B" w14:paraId="1942F699" w14:textId="77777777" w:rsidTr="00C93F66">
        <w:tc>
          <w:tcPr>
            <w:tcW w:w="1418" w:type="dxa"/>
          </w:tcPr>
          <w:p w14:paraId="72AB6EF8" w14:textId="77777777" w:rsidR="007B7409" w:rsidRPr="00A6689B" w:rsidRDefault="007B7409" w:rsidP="00C93F66">
            <w:pPr>
              <w:spacing w:line="240" w:lineRule="auto"/>
              <w:rPr>
                <w:i/>
              </w:rPr>
            </w:pPr>
            <w:r>
              <w:rPr>
                <w:b/>
                <w:i/>
              </w:rPr>
              <w:t>Contact</w:t>
            </w:r>
          </w:p>
        </w:tc>
        <w:tc>
          <w:tcPr>
            <w:tcW w:w="5670" w:type="dxa"/>
          </w:tcPr>
          <w:p w14:paraId="35CD1F9F" w14:textId="39D80BC7" w:rsidR="007B7409" w:rsidRPr="00A6689B" w:rsidRDefault="007B7409" w:rsidP="00C93F66">
            <w:pPr>
              <w:spacing w:line="240" w:lineRule="auto"/>
              <w:rPr>
                <w:i/>
              </w:rPr>
            </w:pPr>
            <w:proofErr w:type="spellStart"/>
            <w:r>
              <w:rPr>
                <w:i/>
              </w:rPr>
              <w:t>Giorgia</w:t>
            </w:r>
            <w:proofErr w:type="spellEnd"/>
            <w:r>
              <w:rPr>
                <w:i/>
              </w:rPr>
              <w:t xml:space="preserve"> </w:t>
            </w:r>
            <w:r w:rsidR="001129B2">
              <w:rPr>
                <w:i/>
              </w:rPr>
              <w:t>BORDIGNON</w:t>
            </w:r>
          </w:p>
        </w:tc>
      </w:tr>
      <w:tr w:rsidR="007B7409" w:rsidRPr="00A6689B" w14:paraId="2F3B4ED5" w14:textId="77777777" w:rsidTr="00C93F66">
        <w:tc>
          <w:tcPr>
            <w:tcW w:w="1418" w:type="dxa"/>
          </w:tcPr>
          <w:p w14:paraId="38FB0B46" w14:textId="77777777" w:rsidR="007B7409" w:rsidRPr="00A6689B" w:rsidRDefault="007B7409" w:rsidP="00C93F66">
            <w:pPr>
              <w:spacing w:line="240" w:lineRule="auto"/>
              <w:rPr>
                <w:i/>
              </w:rPr>
            </w:pPr>
            <w:r>
              <w:rPr>
                <w:i/>
              </w:rPr>
              <w:t>Tél.</w:t>
            </w:r>
          </w:p>
        </w:tc>
        <w:tc>
          <w:tcPr>
            <w:tcW w:w="5670" w:type="dxa"/>
          </w:tcPr>
          <w:p w14:paraId="11EC3F0B" w14:textId="77777777" w:rsidR="007B7409" w:rsidRPr="00A6689B" w:rsidRDefault="007B7409" w:rsidP="00C93F66">
            <w:pPr>
              <w:spacing w:line="240" w:lineRule="auto"/>
              <w:rPr>
                <w:i/>
              </w:rPr>
            </w:pPr>
            <w:r>
              <w:rPr>
                <w:i/>
              </w:rPr>
              <w:t>+32 2 546 8535</w:t>
            </w:r>
          </w:p>
        </w:tc>
      </w:tr>
      <w:tr w:rsidR="007B7409" w:rsidRPr="00A6689B" w14:paraId="3557B3A4" w14:textId="77777777" w:rsidTr="00C93F66">
        <w:tc>
          <w:tcPr>
            <w:tcW w:w="1418" w:type="dxa"/>
          </w:tcPr>
          <w:p w14:paraId="114BFFF2" w14:textId="77777777" w:rsidR="007B7409" w:rsidRPr="00A6689B" w:rsidRDefault="007B7409" w:rsidP="00C93F66">
            <w:pPr>
              <w:spacing w:line="240" w:lineRule="auto"/>
              <w:rPr>
                <w:i/>
              </w:rPr>
            </w:pPr>
            <w:r>
              <w:rPr>
                <w:i/>
              </w:rPr>
              <w:t>Courriel</w:t>
            </w:r>
          </w:p>
        </w:tc>
        <w:tc>
          <w:tcPr>
            <w:tcW w:w="5670" w:type="dxa"/>
          </w:tcPr>
          <w:p w14:paraId="2BA6B417" w14:textId="77777777" w:rsidR="007B7409" w:rsidRPr="00691A87" w:rsidRDefault="00CB508B" w:rsidP="00C93F66">
            <w:pPr>
              <w:rPr>
                <w:i/>
                <w:iCs/>
              </w:rPr>
            </w:pPr>
            <w:hyperlink r:id="rId57" w:history="1">
              <w:r w:rsidR="007B7409">
                <w:rPr>
                  <w:rStyle w:val="Hyperlink"/>
                  <w:i/>
                </w:rPr>
                <w:t>GiorgiaAndrea.Bordignon@eesc.europa.eu</w:t>
              </w:r>
            </w:hyperlink>
            <w:r w:rsidR="007B7409">
              <w:rPr>
                <w:i/>
              </w:rPr>
              <w:t xml:space="preserve"> </w:t>
            </w:r>
          </w:p>
        </w:tc>
      </w:tr>
    </w:tbl>
    <w:p w14:paraId="66DD06D0" w14:textId="77777777" w:rsidR="00F31327" w:rsidRDefault="00F31327" w:rsidP="00F31327">
      <w:pPr>
        <w:tabs>
          <w:tab w:val="left" w:pos="180"/>
        </w:tabs>
        <w:overflowPunct w:val="0"/>
        <w:autoSpaceDE w:val="0"/>
        <w:autoSpaceDN w:val="0"/>
        <w:adjustRightInd w:val="0"/>
        <w:textAlignment w:val="baseline"/>
        <w:rPr>
          <w:szCs w:val="20"/>
          <w:lang w:val="en-GB"/>
        </w:rPr>
      </w:pPr>
    </w:p>
    <w:p w14:paraId="485B5844" w14:textId="77777777" w:rsidR="00F31327" w:rsidRDefault="00F31327" w:rsidP="00F31327">
      <w:pPr>
        <w:jc w:val="left"/>
        <w:rPr>
          <w:szCs w:val="20"/>
          <w:lang w:val="en-GB"/>
        </w:rPr>
      </w:pPr>
      <w:r>
        <w:rPr>
          <w:szCs w:val="20"/>
          <w:lang w:val="en-GB"/>
        </w:rPr>
        <w:br w:type="page"/>
      </w:r>
    </w:p>
    <w:p w14:paraId="33CD70F9" w14:textId="069B8144" w:rsidR="006E34D6" w:rsidRPr="001723DF" w:rsidRDefault="00CB508B" w:rsidP="006E34D6">
      <w:pPr>
        <w:widowControl w:val="0"/>
        <w:numPr>
          <w:ilvl w:val="0"/>
          <w:numId w:val="19"/>
        </w:numPr>
        <w:overflowPunct w:val="0"/>
        <w:autoSpaceDE w:val="0"/>
        <w:autoSpaceDN w:val="0"/>
        <w:adjustRightInd w:val="0"/>
        <w:ind w:hanging="567"/>
        <w:textAlignment w:val="baseline"/>
        <w:rPr>
          <w:sz w:val="20"/>
        </w:rPr>
      </w:pPr>
      <w:hyperlink r:id="rId58" w:history="1">
        <w:r w:rsidR="006E34D6">
          <w:rPr>
            <w:rStyle w:val="Hyperlink"/>
            <w:b/>
            <w:i/>
            <w:sz w:val="28"/>
          </w:rPr>
          <w:t>Extension de la directive</w:t>
        </w:r>
        <w:proofErr w:type="gramStart"/>
        <w:r w:rsidR="006E34D6">
          <w:rPr>
            <w:rStyle w:val="Hyperlink"/>
            <w:b/>
            <w:i/>
            <w:sz w:val="28"/>
          </w:rPr>
          <w:t xml:space="preserve"> «</w:t>
        </w:r>
        <w:proofErr w:type="spellStart"/>
        <w:r w:rsidR="006E34D6">
          <w:rPr>
            <w:rStyle w:val="Hyperlink"/>
            <w:b/>
            <w:i/>
            <w:sz w:val="28"/>
          </w:rPr>
          <w:t>Eurovignette</w:t>
        </w:r>
        <w:proofErr w:type="spellEnd"/>
        <w:proofErr w:type="gramEnd"/>
        <w:r w:rsidR="006E34D6">
          <w:rPr>
            <w:rStyle w:val="Hyperlink"/>
            <w:b/>
            <w:i/>
            <w:sz w:val="28"/>
          </w:rPr>
          <w:t>» (1999/62/CE)</w:t>
        </w:r>
      </w:hyperlink>
    </w:p>
    <w:p w14:paraId="6B73D845" w14:textId="77777777" w:rsidR="006E34D6" w:rsidRPr="001723DF" w:rsidRDefault="006E34D6" w:rsidP="006E34D6">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430"/>
      </w:tblGrid>
      <w:tr w:rsidR="006E34D6" w:rsidRPr="001723DF" w14:paraId="1596497C" w14:textId="77777777" w:rsidTr="00C93F66">
        <w:tc>
          <w:tcPr>
            <w:tcW w:w="1061" w:type="pct"/>
          </w:tcPr>
          <w:p w14:paraId="563CCAC6" w14:textId="77777777" w:rsidR="006E34D6" w:rsidRPr="001723DF" w:rsidRDefault="006E34D6" w:rsidP="00C93F66">
            <w:pPr>
              <w:tabs>
                <w:tab w:val="center" w:pos="284"/>
              </w:tabs>
              <w:ind w:left="266" w:hanging="266"/>
              <w:rPr>
                <w:b/>
              </w:rPr>
            </w:pPr>
            <w:r>
              <w:rPr>
                <w:b/>
              </w:rPr>
              <w:t xml:space="preserve">Rapporteur </w:t>
            </w:r>
          </w:p>
        </w:tc>
        <w:tc>
          <w:tcPr>
            <w:tcW w:w="3939" w:type="pct"/>
          </w:tcPr>
          <w:p w14:paraId="753BE392" w14:textId="77777777" w:rsidR="006E34D6" w:rsidRPr="001723DF" w:rsidRDefault="006E34D6" w:rsidP="00C93F66">
            <w:pPr>
              <w:tabs>
                <w:tab w:val="center" w:pos="284"/>
              </w:tabs>
              <w:ind w:left="266" w:hanging="266"/>
            </w:pPr>
            <w:r>
              <w:t>Dumitru FORNEA (groupe des travailleurs — RO)</w:t>
            </w:r>
          </w:p>
        </w:tc>
      </w:tr>
      <w:tr w:rsidR="006E34D6" w:rsidRPr="00BB778C" w14:paraId="2126301B" w14:textId="77777777" w:rsidTr="00C93F66">
        <w:trPr>
          <w:trHeight w:val="70"/>
        </w:trPr>
        <w:tc>
          <w:tcPr>
            <w:tcW w:w="1061" w:type="pct"/>
          </w:tcPr>
          <w:p w14:paraId="418DCDD3" w14:textId="77777777" w:rsidR="006E34D6" w:rsidRPr="001723DF" w:rsidRDefault="006E34D6" w:rsidP="00C93F66">
            <w:pPr>
              <w:tabs>
                <w:tab w:val="center" w:pos="284"/>
              </w:tabs>
              <w:ind w:left="266" w:hanging="266"/>
              <w:rPr>
                <w:b/>
              </w:rPr>
            </w:pPr>
            <w:r>
              <w:rPr>
                <w:b/>
              </w:rPr>
              <w:t>Références</w:t>
            </w:r>
          </w:p>
        </w:tc>
        <w:tc>
          <w:tcPr>
            <w:tcW w:w="3939" w:type="pct"/>
          </w:tcPr>
          <w:p w14:paraId="781DDED5" w14:textId="566C0F7F" w:rsidR="006E34D6" w:rsidRPr="00BB778C" w:rsidRDefault="006E34D6" w:rsidP="00C93F66">
            <w:pPr>
              <w:tabs>
                <w:tab w:val="center" w:pos="284"/>
              </w:tabs>
              <w:ind w:left="266" w:hanging="266"/>
            </w:pPr>
            <w:proofErr w:type="gramStart"/>
            <w:r>
              <w:t>COM(</w:t>
            </w:r>
            <w:proofErr w:type="gramEnd"/>
            <w:r>
              <w:t>2025) 348</w:t>
            </w:r>
            <w:r w:rsidR="006031D5">
              <w:t> </w:t>
            </w:r>
            <w:r>
              <w:t>final</w:t>
            </w:r>
          </w:p>
          <w:p w14:paraId="2CFA80A6" w14:textId="77777777" w:rsidR="006E34D6" w:rsidRPr="00BB778C" w:rsidRDefault="006E34D6" w:rsidP="00C93F66">
            <w:pPr>
              <w:tabs>
                <w:tab w:val="center" w:pos="284"/>
              </w:tabs>
              <w:ind w:left="266" w:hanging="266"/>
            </w:pPr>
            <w:r>
              <w:t>EESC-2025-02488-00-00-AC</w:t>
            </w:r>
          </w:p>
        </w:tc>
      </w:tr>
    </w:tbl>
    <w:p w14:paraId="51104071" w14:textId="77777777" w:rsidR="006E34D6" w:rsidRPr="00BB778C" w:rsidRDefault="006E34D6" w:rsidP="006E34D6">
      <w:pPr>
        <w:tabs>
          <w:tab w:val="center" w:pos="284"/>
        </w:tabs>
        <w:ind w:left="266" w:hanging="266"/>
        <w:rPr>
          <w:lang w:val="pt-PT"/>
        </w:rPr>
      </w:pPr>
    </w:p>
    <w:p w14:paraId="77851793" w14:textId="77777777" w:rsidR="006E34D6" w:rsidRPr="00A6689B" w:rsidRDefault="006E34D6" w:rsidP="006E34D6">
      <w:pPr>
        <w:keepNext/>
        <w:keepLines/>
        <w:tabs>
          <w:tab w:val="center" w:pos="284"/>
        </w:tabs>
        <w:ind w:left="266" w:hanging="266"/>
        <w:rPr>
          <w:b/>
        </w:rPr>
      </w:pPr>
      <w:r>
        <w:rPr>
          <w:b/>
        </w:rPr>
        <w:t>Points clés</w:t>
      </w:r>
    </w:p>
    <w:p w14:paraId="47E64B27" w14:textId="77777777" w:rsidR="006E34D6" w:rsidRPr="00A6689B" w:rsidRDefault="006E34D6" w:rsidP="006E34D6">
      <w:pPr>
        <w:keepNext/>
        <w:keepLines/>
        <w:tabs>
          <w:tab w:val="center" w:pos="284"/>
        </w:tabs>
        <w:ind w:left="266" w:hanging="266"/>
        <w:rPr>
          <w:b/>
        </w:rPr>
      </w:pPr>
    </w:p>
    <w:p w14:paraId="68DDEE9B" w14:textId="77777777" w:rsidR="006E34D6" w:rsidRPr="00A6689B" w:rsidRDefault="006E34D6" w:rsidP="006E34D6">
      <w:pPr>
        <w:rPr>
          <w:bCs/>
          <w:iCs/>
        </w:rPr>
      </w:pPr>
      <w:r>
        <w:t xml:space="preserve">Le </w:t>
      </w:r>
      <w:proofErr w:type="gramStart"/>
      <w:r>
        <w:t>CESE:</w:t>
      </w:r>
      <w:proofErr w:type="gramEnd"/>
    </w:p>
    <w:p w14:paraId="2517AF8A" w14:textId="77777777" w:rsidR="006E34D6" w:rsidRPr="00767413" w:rsidRDefault="006E34D6" w:rsidP="006E34D6">
      <w:pPr>
        <w:widowControl w:val="0"/>
        <w:numPr>
          <w:ilvl w:val="0"/>
          <w:numId w:val="19"/>
        </w:numPr>
        <w:overflowPunct w:val="0"/>
        <w:autoSpaceDE w:val="0"/>
        <w:autoSpaceDN w:val="0"/>
        <w:adjustRightInd w:val="0"/>
        <w:ind w:hanging="567"/>
        <w:textAlignment w:val="baseline"/>
        <w:rPr>
          <w:bCs/>
          <w:iCs/>
        </w:rPr>
      </w:pPr>
      <w:r>
        <w:t>accueille favorablement la proposition de directive de la Commission européenne visant à prolonger la période pendant laquelle les véhicules utilitaires lourds à émissions nulles bénéficient d’une réduction considérable ou d’une exonération des redevances d’infrastructure ou des droits d’usage, estimant cette mesure opportune et nécessaire afin de soutenir la décarbonation du transport routier, et soutient l’idée de prolonger cette période jusqu’au 30 juin 2031 afin d’apporter une plus grande sécurité sur les plans de la réglementation et des investissements, de s’aligner sur les normes de performance en matière d’émissions de CO</w:t>
      </w:r>
      <w:r>
        <w:rPr>
          <w:vertAlign w:val="subscript"/>
        </w:rPr>
        <w:t>2</w:t>
      </w:r>
      <w:r>
        <w:t xml:space="preserve"> et, en agissant sur la demande, d’inciter de manière concrète les opérateurs à se tourner vers des technologies plus propres;</w:t>
      </w:r>
    </w:p>
    <w:p w14:paraId="18B604F2" w14:textId="77777777" w:rsidR="006E34D6" w:rsidRDefault="006E34D6" w:rsidP="006E34D6">
      <w:pPr>
        <w:widowControl w:val="0"/>
        <w:numPr>
          <w:ilvl w:val="0"/>
          <w:numId w:val="19"/>
        </w:numPr>
        <w:overflowPunct w:val="0"/>
        <w:autoSpaceDE w:val="0"/>
        <w:autoSpaceDN w:val="0"/>
        <w:adjustRightInd w:val="0"/>
        <w:ind w:hanging="567"/>
        <w:textAlignment w:val="baseline"/>
      </w:pPr>
      <w:proofErr w:type="gramStart"/>
      <w:r>
        <w:t>réaffirme</w:t>
      </w:r>
      <w:proofErr w:type="gramEnd"/>
      <w:r>
        <w:t xml:space="preserve"> ses positions antérieures en faveur d’une approche juste, inclusive et équilibrée de la transition écologique des transports commerciaux par la route, et attire l’attention sur la nécessité de veiller à ce que les petits et moyens opérateurs de transport ne soient pas laissés pour compte, et souligne l’urgence d’accélérer le déploiement d’infrastructures de recharge et de ravitaillement le long des réseaux central et global RTE-T;</w:t>
      </w:r>
    </w:p>
    <w:p w14:paraId="19E87A27" w14:textId="64C3F8E4" w:rsidR="006E34D6" w:rsidRPr="00767413" w:rsidRDefault="006E34D6" w:rsidP="006E34D6">
      <w:pPr>
        <w:widowControl w:val="0"/>
        <w:numPr>
          <w:ilvl w:val="0"/>
          <w:numId w:val="19"/>
        </w:numPr>
        <w:overflowPunct w:val="0"/>
        <w:autoSpaceDE w:val="0"/>
        <w:autoSpaceDN w:val="0"/>
        <w:adjustRightInd w:val="0"/>
        <w:ind w:hanging="567"/>
        <w:textAlignment w:val="baseline"/>
      </w:pPr>
      <w:r>
        <w:t>recommande d’affecter des recettes provenant des péages liés aux émissions de CO</w:t>
      </w:r>
      <w:r>
        <w:rPr>
          <w:vertAlign w:val="subscript"/>
        </w:rPr>
        <w:t>2</w:t>
      </w:r>
      <w:r>
        <w:t xml:space="preserve"> au déploiement des infrastructures et à la mise en place de mécanismes de soutien financier aux opérateurs qui investissent dans des véhicules à émissions nulles ou faibles, et invite instamment les colégislateurs à lier les politiques de tarification routière aux normes de performance en matière d’émissions de CO</w:t>
      </w:r>
      <w:r>
        <w:rPr>
          <w:vertAlign w:val="subscript"/>
        </w:rPr>
        <w:t>2</w:t>
      </w:r>
      <w:r>
        <w:t>, et à créer une synergie avec le système d’échange de quotas d’émission de l’UE</w:t>
      </w:r>
      <w:r w:rsidR="006031D5">
        <w:t> </w:t>
      </w:r>
      <w:r>
        <w:t>2 (SEQE</w:t>
      </w:r>
      <w:r w:rsidR="006031D5">
        <w:t> </w:t>
      </w:r>
      <w:r>
        <w:t>2) et les autres instruments en faveur du climat.</w:t>
      </w:r>
    </w:p>
    <w:p w14:paraId="06A2F387" w14:textId="77777777" w:rsidR="006E34D6" w:rsidRPr="000624A9" w:rsidRDefault="006E34D6" w:rsidP="006E34D6">
      <w:pPr>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6E34D6" w:rsidRPr="00A6689B" w14:paraId="628EF307" w14:textId="77777777" w:rsidTr="00C93F66">
        <w:tc>
          <w:tcPr>
            <w:tcW w:w="1077" w:type="pct"/>
          </w:tcPr>
          <w:p w14:paraId="34652EDA" w14:textId="77777777" w:rsidR="006E34D6" w:rsidRPr="00A6689B" w:rsidRDefault="006E34D6" w:rsidP="00C93F66">
            <w:pPr>
              <w:spacing w:line="240" w:lineRule="auto"/>
              <w:rPr>
                <w:i/>
              </w:rPr>
            </w:pPr>
            <w:r>
              <w:rPr>
                <w:b/>
                <w:i/>
              </w:rPr>
              <w:t>Contact</w:t>
            </w:r>
          </w:p>
        </w:tc>
        <w:tc>
          <w:tcPr>
            <w:tcW w:w="3923" w:type="pct"/>
          </w:tcPr>
          <w:p w14:paraId="28C32C80" w14:textId="16D3C4E7" w:rsidR="006E34D6" w:rsidRPr="00875410" w:rsidRDefault="006E34D6" w:rsidP="00C93F66">
            <w:pPr>
              <w:spacing w:line="240" w:lineRule="auto"/>
              <w:rPr>
                <w:i/>
              </w:rPr>
            </w:pPr>
            <w:r>
              <w:rPr>
                <w:i/>
              </w:rPr>
              <w:t xml:space="preserve">Maja </w:t>
            </w:r>
            <w:r w:rsidR="001129B2">
              <w:rPr>
                <w:i/>
              </w:rPr>
              <w:t>RADMAN</w:t>
            </w:r>
          </w:p>
        </w:tc>
      </w:tr>
      <w:tr w:rsidR="006E34D6" w:rsidRPr="00A6689B" w14:paraId="2C34EA76" w14:textId="77777777" w:rsidTr="00C93F66">
        <w:tc>
          <w:tcPr>
            <w:tcW w:w="1077" w:type="pct"/>
          </w:tcPr>
          <w:p w14:paraId="210E4D27" w14:textId="77777777" w:rsidR="006E34D6" w:rsidRPr="00A6689B" w:rsidRDefault="006E34D6" w:rsidP="00C93F66">
            <w:pPr>
              <w:spacing w:line="240" w:lineRule="auto"/>
              <w:rPr>
                <w:i/>
              </w:rPr>
            </w:pPr>
            <w:r>
              <w:rPr>
                <w:i/>
              </w:rPr>
              <w:t>Tél.</w:t>
            </w:r>
          </w:p>
        </w:tc>
        <w:tc>
          <w:tcPr>
            <w:tcW w:w="3923" w:type="pct"/>
          </w:tcPr>
          <w:p w14:paraId="3CB2A371" w14:textId="77777777" w:rsidR="006E34D6" w:rsidRPr="00875410" w:rsidRDefault="006E34D6" w:rsidP="00C93F66">
            <w:pPr>
              <w:spacing w:line="240" w:lineRule="auto"/>
              <w:rPr>
                <w:i/>
              </w:rPr>
            </w:pPr>
            <w:r>
              <w:rPr>
                <w:i/>
              </w:rPr>
              <w:t>+32 2 546 9051</w:t>
            </w:r>
          </w:p>
        </w:tc>
      </w:tr>
      <w:tr w:rsidR="006E34D6" w:rsidRPr="00A6689B" w14:paraId="04CAC111" w14:textId="77777777" w:rsidTr="00C93F66">
        <w:tc>
          <w:tcPr>
            <w:tcW w:w="1077" w:type="pct"/>
          </w:tcPr>
          <w:p w14:paraId="0513847E" w14:textId="77777777" w:rsidR="006E34D6" w:rsidRPr="00A6689B" w:rsidRDefault="006E34D6" w:rsidP="00C93F66">
            <w:pPr>
              <w:spacing w:line="240" w:lineRule="auto"/>
              <w:rPr>
                <w:i/>
              </w:rPr>
            </w:pPr>
            <w:r>
              <w:rPr>
                <w:i/>
              </w:rPr>
              <w:t>Courriel</w:t>
            </w:r>
          </w:p>
        </w:tc>
        <w:tc>
          <w:tcPr>
            <w:tcW w:w="3923" w:type="pct"/>
          </w:tcPr>
          <w:p w14:paraId="58CE7E29" w14:textId="77777777" w:rsidR="006E34D6" w:rsidRPr="00875410" w:rsidRDefault="00CB508B" w:rsidP="00C93F66">
            <w:pPr>
              <w:spacing w:line="240" w:lineRule="auto"/>
              <w:rPr>
                <w:i/>
              </w:rPr>
            </w:pPr>
            <w:hyperlink r:id="rId59" w:history="1">
              <w:r w:rsidR="006E34D6">
                <w:rPr>
                  <w:rStyle w:val="Hyperlink"/>
                  <w:i/>
                </w:rPr>
                <w:t>Maja.Radman@eesc.europa.eu</w:t>
              </w:r>
            </w:hyperlink>
          </w:p>
        </w:tc>
      </w:tr>
    </w:tbl>
    <w:p w14:paraId="6AC869A8" w14:textId="77777777" w:rsidR="00F31327" w:rsidRPr="002A422B" w:rsidRDefault="00F31327" w:rsidP="00F31327">
      <w:pPr>
        <w:tabs>
          <w:tab w:val="left" w:pos="180"/>
        </w:tabs>
        <w:overflowPunct w:val="0"/>
        <w:autoSpaceDE w:val="0"/>
        <w:autoSpaceDN w:val="0"/>
        <w:adjustRightInd w:val="0"/>
        <w:textAlignment w:val="baseline"/>
        <w:rPr>
          <w:szCs w:val="20"/>
          <w:lang w:val="en-GB"/>
        </w:rPr>
      </w:pPr>
    </w:p>
    <w:p w14:paraId="258A340A" w14:textId="77777777" w:rsidR="00F31327" w:rsidRDefault="00F31327" w:rsidP="00F31327">
      <w:pPr>
        <w:jc w:val="left"/>
        <w:rPr>
          <w:lang w:val="en-GB"/>
        </w:rPr>
      </w:pPr>
      <w:r>
        <w:rPr>
          <w:lang w:val="en-GB"/>
        </w:rPr>
        <w:br w:type="page"/>
      </w:r>
    </w:p>
    <w:p w14:paraId="41FB2D96" w14:textId="1528382B" w:rsidR="00F31327" w:rsidRDefault="006E03AA" w:rsidP="00F31327">
      <w:pPr>
        <w:pStyle w:val="Heading1"/>
        <w:keepNext/>
        <w:keepLines/>
        <w:ind w:left="567" w:hanging="567"/>
        <w:rPr>
          <w:b/>
        </w:rPr>
      </w:pPr>
      <w:bookmarkStart w:id="114" w:name="_Toc211333696"/>
      <w:r w:rsidRPr="006E03AA">
        <w:rPr>
          <w:b/>
        </w:rPr>
        <w:lastRenderedPageBreak/>
        <w:t>MARCHÉ UNIQUE, PRODUCTION ET CONSOMMATION</w:t>
      </w:r>
      <w:bookmarkEnd w:id="114"/>
    </w:p>
    <w:p w14:paraId="5C10B80B" w14:textId="77777777" w:rsidR="00F31327" w:rsidRDefault="00F31327" w:rsidP="00F31327">
      <w:pPr>
        <w:keepNext/>
        <w:keepLines/>
      </w:pPr>
    </w:p>
    <w:p w14:paraId="2AAC7E13" w14:textId="3BCBE921" w:rsidR="00C740A5" w:rsidRPr="005E4210" w:rsidRDefault="00CB508B" w:rsidP="00C740A5">
      <w:pPr>
        <w:widowControl w:val="0"/>
        <w:numPr>
          <w:ilvl w:val="0"/>
          <w:numId w:val="99"/>
        </w:numPr>
        <w:overflowPunct w:val="0"/>
        <w:autoSpaceDE w:val="0"/>
        <w:autoSpaceDN w:val="0"/>
        <w:adjustRightInd w:val="0"/>
        <w:ind w:left="266" w:hanging="266"/>
        <w:textAlignment w:val="baseline"/>
        <w:rPr>
          <w:b/>
        </w:rPr>
      </w:pPr>
      <w:hyperlink r:id="rId60" w:history="1">
        <w:r w:rsidR="00C740A5">
          <w:rPr>
            <w:rStyle w:val="Hyperlink"/>
            <w:b/>
            <w:i/>
            <w:sz w:val="28"/>
          </w:rPr>
          <w:t>Train de mesures sur les entreprises à moyenne capitalisation</w:t>
        </w:r>
      </w:hyperlink>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6926"/>
      </w:tblGrid>
      <w:tr w:rsidR="00C740A5" w:rsidRPr="00A6689B" w14:paraId="37487D5C" w14:textId="77777777" w:rsidTr="00C93F66">
        <w:tc>
          <w:tcPr>
            <w:tcW w:w="1148" w:type="pct"/>
          </w:tcPr>
          <w:p w14:paraId="366D5ED1" w14:textId="77777777" w:rsidR="00C740A5" w:rsidRDefault="00C740A5" w:rsidP="00C93F66">
            <w:pPr>
              <w:tabs>
                <w:tab w:val="center" w:pos="284"/>
              </w:tabs>
              <w:ind w:left="266" w:hanging="266"/>
              <w:rPr>
                <w:b/>
                <w:lang w:val="en-US"/>
              </w:rPr>
            </w:pPr>
          </w:p>
          <w:p w14:paraId="1CDB4F72" w14:textId="77777777" w:rsidR="00C740A5" w:rsidRDefault="00C740A5" w:rsidP="00C93F66">
            <w:pPr>
              <w:tabs>
                <w:tab w:val="center" w:pos="284"/>
              </w:tabs>
              <w:ind w:left="266" w:hanging="374"/>
              <w:rPr>
                <w:b/>
              </w:rPr>
            </w:pPr>
            <w:proofErr w:type="spellStart"/>
            <w:r>
              <w:rPr>
                <w:b/>
              </w:rPr>
              <w:t>Rapporteure</w:t>
            </w:r>
            <w:proofErr w:type="spellEnd"/>
          </w:p>
          <w:p w14:paraId="248381E3" w14:textId="77777777" w:rsidR="00C740A5" w:rsidRPr="00A6689B" w:rsidRDefault="00C740A5" w:rsidP="00C93F66">
            <w:pPr>
              <w:tabs>
                <w:tab w:val="center" w:pos="284"/>
              </w:tabs>
              <w:ind w:left="266" w:hanging="374"/>
              <w:rPr>
                <w:b/>
              </w:rPr>
            </w:pPr>
            <w:r>
              <w:rPr>
                <w:b/>
              </w:rPr>
              <w:t>Corapporteur</w:t>
            </w:r>
          </w:p>
        </w:tc>
        <w:tc>
          <w:tcPr>
            <w:tcW w:w="3852" w:type="pct"/>
          </w:tcPr>
          <w:p w14:paraId="641AA127" w14:textId="77777777" w:rsidR="00C740A5" w:rsidRDefault="00C740A5" w:rsidP="00C93F66">
            <w:pPr>
              <w:tabs>
                <w:tab w:val="center" w:pos="284"/>
              </w:tabs>
              <w:ind w:left="266" w:hanging="266"/>
              <w:rPr>
                <w:lang w:val="en-US"/>
              </w:rPr>
            </w:pPr>
          </w:p>
          <w:p w14:paraId="6CA53E24" w14:textId="77777777" w:rsidR="00C740A5" w:rsidRDefault="00C740A5" w:rsidP="00C93F66">
            <w:pPr>
              <w:tabs>
                <w:tab w:val="center" w:pos="284"/>
              </w:tabs>
              <w:ind w:left="266" w:hanging="266"/>
            </w:pPr>
            <w:proofErr w:type="spellStart"/>
            <w:r>
              <w:t>Katrīna</w:t>
            </w:r>
            <w:proofErr w:type="spellEnd"/>
            <w:r>
              <w:t> ZARIŅA (groupe des employeurs — LV)</w:t>
            </w:r>
          </w:p>
          <w:p w14:paraId="1A4DD747" w14:textId="77777777" w:rsidR="00C740A5" w:rsidRPr="000235C4" w:rsidRDefault="00C740A5" w:rsidP="00C93F66">
            <w:pPr>
              <w:tabs>
                <w:tab w:val="center" w:pos="284"/>
              </w:tabs>
              <w:ind w:left="266" w:hanging="266"/>
            </w:pPr>
            <w:proofErr w:type="spellStart"/>
            <w:r>
              <w:t>Panagiotis</w:t>
            </w:r>
            <w:proofErr w:type="spellEnd"/>
            <w:r>
              <w:t xml:space="preserve"> GKOFAS (groupe des organisations de la société civile — EL)</w:t>
            </w:r>
          </w:p>
        </w:tc>
      </w:tr>
      <w:tr w:rsidR="00C740A5" w:rsidRPr="00A6689B" w14:paraId="15436DDF" w14:textId="77777777" w:rsidTr="00C93F66">
        <w:tc>
          <w:tcPr>
            <w:tcW w:w="5000" w:type="pct"/>
            <w:gridSpan w:val="2"/>
          </w:tcPr>
          <w:p w14:paraId="72FDFF98" w14:textId="77777777" w:rsidR="00C740A5" w:rsidRPr="00A6689B" w:rsidRDefault="00C740A5" w:rsidP="00C93F66">
            <w:pPr>
              <w:tabs>
                <w:tab w:val="center" w:pos="284"/>
              </w:tabs>
              <w:spacing w:line="240" w:lineRule="auto"/>
              <w:ind w:left="266" w:hanging="266"/>
              <w:rPr>
                <w:lang w:val="en-US"/>
              </w:rPr>
            </w:pPr>
          </w:p>
        </w:tc>
      </w:tr>
      <w:tr w:rsidR="00C740A5" w:rsidRPr="0021040D" w14:paraId="461CF6E1" w14:textId="77777777" w:rsidTr="00C93F66">
        <w:tc>
          <w:tcPr>
            <w:tcW w:w="1148" w:type="pct"/>
            <w:vMerge w:val="restart"/>
          </w:tcPr>
          <w:p w14:paraId="56DABD08" w14:textId="77777777" w:rsidR="00C740A5" w:rsidRPr="00A6689B" w:rsidRDefault="00C740A5" w:rsidP="00C93F66">
            <w:pPr>
              <w:tabs>
                <w:tab w:val="center" w:pos="284"/>
              </w:tabs>
              <w:ind w:left="266" w:hanging="374"/>
              <w:rPr>
                <w:b/>
              </w:rPr>
            </w:pPr>
            <w:r>
              <w:rPr>
                <w:b/>
              </w:rPr>
              <w:t>Références</w:t>
            </w:r>
          </w:p>
        </w:tc>
        <w:tc>
          <w:tcPr>
            <w:tcW w:w="3852" w:type="pct"/>
          </w:tcPr>
          <w:p w14:paraId="2092BE84" w14:textId="05739CD9" w:rsidR="00C740A5" w:rsidRDefault="00C740A5" w:rsidP="00C93F66">
            <w:pPr>
              <w:tabs>
                <w:tab w:val="center" w:pos="284"/>
              </w:tabs>
              <w:ind w:left="266" w:hanging="266"/>
            </w:pPr>
            <w:proofErr w:type="gramStart"/>
            <w:r>
              <w:t>COM(</w:t>
            </w:r>
            <w:proofErr w:type="gramEnd"/>
            <w:r>
              <w:t>2025) 501</w:t>
            </w:r>
            <w:r w:rsidR="006031D5">
              <w:t> </w:t>
            </w:r>
            <w:r>
              <w:t xml:space="preserve">final — 2025/0130 (COD) </w:t>
            </w:r>
          </w:p>
          <w:p w14:paraId="38A382EE" w14:textId="36B91D05" w:rsidR="00C740A5" w:rsidRDefault="00C740A5" w:rsidP="00C93F66">
            <w:pPr>
              <w:tabs>
                <w:tab w:val="center" w:pos="284"/>
              </w:tabs>
              <w:ind w:left="266" w:hanging="266"/>
            </w:pPr>
            <w:proofErr w:type="gramStart"/>
            <w:r>
              <w:t>COM(</w:t>
            </w:r>
            <w:proofErr w:type="gramEnd"/>
            <w:r>
              <w:t>2025) 502</w:t>
            </w:r>
            <w:r w:rsidR="006031D5">
              <w:t> </w:t>
            </w:r>
            <w:r>
              <w:t xml:space="preserve">final — 2025/0131 (COD) </w:t>
            </w:r>
          </w:p>
          <w:p w14:paraId="73E2A80B" w14:textId="35D2D821" w:rsidR="00C740A5" w:rsidRDefault="00C740A5" w:rsidP="00C93F66">
            <w:pPr>
              <w:tabs>
                <w:tab w:val="center" w:pos="284"/>
              </w:tabs>
              <w:ind w:left="266" w:hanging="266"/>
            </w:pPr>
            <w:proofErr w:type="gramStart"/>
            <w:r>
              <w:t>COM(</w:t>
            </w:r>
            <w:proofErr w:type="gramEnd"/>
            <w:r>
              <w:t>2025) 503</w:t>
            </w:r>
            <w:r w:rsidR="006031D5">
              <w:t> </w:t>
            </w:r>
            <w:r>
              <w:t xml:space="preserve">final — 2025/0133 (COD) </w:t>
            </w:r>
          </w:p>
          <w:p w14:paraId="5955A80E" w14:textId="2952E77B" w:rsidR="00C740A5" w:rsidRPr="00242732" w:rsidRDefault="00C740A5" w:rsidP="00C93F66">
            <w:pPr>
              <w:tabs>
                <w:tab w:val="center" w:pos="284"/>
              </w:tabs>
              <w:ind w:left="266" w:hanging="266"/>
            </w:pPr>
            <w:proofErr w:type="gramStart"/>
            <w:r>
              <w:t>COM(</w:t>
            </w:r>
            <w:proofErr w:type="gramEnd"/>
            <w:r>
              <w:t>2025) 504</w:t>
            </w:r>
            <w:r w:rsidR="006031D5">
              <w:t> </w:t>
            </w:r>
            <w:r>
              <w:t>final — 2025/0134 (COD)</w:t>
            </w:r>
          </w:p>
        </w:tc>
      </w:tr>
      <w:tr w:rsidR="00C740A5" w:rsidRPr="00A6689B" w14:paraId="14055F48" w14:textId="77777777" w:rsidTr="00C93F66">
        <w:tc>
          <w:tcPr>
            <w:tcW w:w="1148" w:type="pct"/>
            <w:vMerge/>
          </w:tcPr>
          <w:p w14:paraId="6037EEC0" w14:textId="77777777" w:rsidR="00C740A5" w:rsidRPr="00242732" w:rsidRDefault="00C740A5" w:rsidP="00C93F66">
            <w:pPr>
              <w:tabs>
                <w:tab w:val="center" w:pos="284"/>
              </w:tabs>
              <w:ind w:left="266" w:hanging="266"/>
              <w:rPr>
                <w:b/>
                <w:lang w:val="pt-PT"/>
              </w:rPr>
            </w:pPr>
          </w:p>
        </w:tc>
        <w:tc>
          <w:tcPr>
            <w:tcW w:w="3852" w:type="pct"/>
          </w:tcPr>
          <w:p w14:paraId="5CCF33DC" w14:textId="77777777" w:rsidR="00C740A5" w:rsidRPr="00A6689B" w:rsidRDefault="00C740A5" w:rsidP="00C93F66">
            <w:pPr>
              <w:tabs>
                <w:tab w:val="center" w:pos="284"/>
              </w:tabs>
              <w:ind w:left="266" w:hanging="266"/>
            </w:pPr>
            <w:r>
              <w:t>EESC-2025-01910-00-00-AC</w:t>
            </w:r>
          </w:p>
        </w:tc>
      </w:tr>
    </w:tbl>
    <w:p w14:paraId="2D251743" w14:textId="77777777" w:rsidR="00C740A5" w:rsidRPr="00A6689B" w:rsidRDefault="00C740A5" w:rsidP="00C740A5">
      <w:pPr>
        <w:tabs>
          <w:tab w:val="center" w:pos="284"/>
        </w:tabs>
        <w:ind w:left="266" w:hanging="266"/>
      </w:pPr>
    </w:p>
    <w:p w14:paraId="02FA3179" w14:textId="77777777" w:rsidR="00C740A5" w:rsidRPr="00A6689B" w:rsidRDefault="00C740A5" w:rsidP="00C740A5">
      <w:pPr>
        <w:keepNext/>
        <w:keepLines/>
        <w:tabs>
          <w:tab w:val="center" w:pos="284"/>
        </w:tabs>
        <w:ind w:left="266" w:hanging="266"/>
        <w:rPr>
          <w:b/>
        </w:rPr>
      </w:pPr>
      <w:r>
        <w:rPr>
          <w:b/>
        </w:rPr>
        <w:t>Points clés</w:t>
      </w:r>
    </w:p>
    <w:p w14:paraId="5348910C" w14:textId="77777777" w:rsidR="00C740A5" w:rsidRPr="00A6689B" w:rsidRDefault="00C740A5" w:rsidP="00C740A5">
      <w:pPr>
        <w:keepNext/>
        <w:keepLines/>
        <w:tabs>
          <w:tab w:val="center" w:pos="284"/>
        </w:tabs>
        <w:ind w:left="266" w:hanging="266"/>
        <w:rPr>
          <w:b/>
        </w:rPr>
      </w:pPr>
    </w:p>
    <w:p w14:paraId="21F16C01" w14:textId="77777777" w:rsidR="00C740A5" w:rsidRPr="00A6689B" w:rsidRDefault="00C740A5" w:rsidP="00C740A5">
      <w:pPr>
        <w:rPr>
          <w:bCs/>
          <w:iCs/>
        </w:rPr>
      </w:pPr>
      <w:r>
        <w:t xml:space="preserve">Le </w:t>
      </w:r>
      <w:proofErr w:type="gramStart"/>
      <w:r>
        <w:t>CESE:</w:t>
      </w:r>
      <w:proofErr w:type="gramEnd"/>
    </w:p>
    <w:p w14:paraId="5145E906" w14:textId="77777777" w:rsidR="00C740A5" w:rsidRDefault="00C740A5" w:rsidP="00C740A5">
      <w:pPr>
        <w:widowControl w:val="0"/>
        <w:numPr>
          <w:ilvl w:val="0"/>
          <w:numId w:val="99"/>
        </w:numPr>
        <w:overflowPunct w:val="0"/>
        <w:autoSpaceDE w:val="0"/>
        <w:autoSpaceDN w:val="0"/>
        <w:adjustRightInd w:val="0"/>
        <w:ind w:hanging="567"/>
        <w:textAlignment w:val="baseline"/>
      </w:pPr>
      <w:proofErr w:type="gramStart"/>
      <w:r>
        <w:t>salue</w:t>
      </w:r>
      <w:proofErr w:type="gramEnd"/>
      <w:r>
        <w:t xml:space="preserve"> les efforts déployés par la Commission européenne pour simplifier la législation et réduire les charges administratives spécifiques, mais s’inquiète toutefois de l’inadéquation du processus de consultation, de la modicité du débat sur les modifications proposées et de l’absence d’analyses d’impact;</w:t>
      </w:r>
    </w:p>
    <w:p w14:paraId="02096326" w14:textId="77777777" w:rsidR="00C740A5" w:rsidRDefault="00C740A5" w:rsidP="00C740A5">
      <w:pPr>
        <w:widowControl w:val="0"/>
        <w:numPr>
          <w:ilvl w:val="0"/>
          <w:numId w:val="99"/>
        </w:numPr>
        <w:overflowPunct w:val="0"/>
        <w:autoSpaceDE w:val="0"/>
        <w:autoSpaceDN w:val="0"/>
        <w:adjustRightInd w:val="0"/>
        <w:ind w:hanging="567"/>
        <w:textAlignment w:val="baseline"/>
      </w:pPr>
      <w:proofErr w:type="gramStart"/>
      <w:r>
        <w:t>invite</w:t>
      </w:r>
      <w:proofErr w:type="gramEnd"/>
      <w:r>
        <w:t xml:space="preserve"> la Commission à cartographier de manière exhaustive l’environnement des entreprises de l’UE en fonction de leur taille et des caractéristiques spécifiques aux États membres, de sorte à garantir l’adéquation des seuils et du champ d’application de la catégorie des petites entreprises à moyenne capitalisation (PEMC);</w:t>
      </w:r>
    </w:p>
    <w:p w14:paraId="3D2D65B9" w14:textId="77777777" w:rsidR="00C740A5" w:rsidRDefault="00C740A5" w:rsidP="00C740A5">
      <w:pPr>
        <w:widowControl w:val="0"/>
        <w:numPr>
          <w:ilvl w:val="0"/>
          <w:numId w:val="99"/>
        </w:numPr>
        <w:overflowPunct w:val="0"/>
        <w:autoSpaceDE w:val="0"/>
        <w:autoSpaceDN w:val="0"/>
        <w:adjustRightInd w:val="0"/>
        <w:ind w:hanging="567"/>
        <w:textAlignment w:val="baseline"/>
      </w:pPr>
      <w:proofErr w:type="gramStart"/>
      <w:r>
        <w:t>invite</w:t>
      </w:r>
      <w:proofErr w:type="gramEnd"/>
      <w:r>
        <w:t xml:space="preserve"> la Commission à présenter de nouvelles mesures ciblées de simplification du RGPD, étant donné que de nombreuses entreprises sont toujours confrontées à des exigences disproportionnées en matière de conformité, notamment une tenue de registres élaborés;</w:t>
      </w:r>
    </w:p>
    <w:p w14:paraId="11A4378A" w14:textId="77777777" w:rsidR="00C740A5" w:rsidRDefault="00C740A5" w:rsidP="00C740A5">
      <w:pPr>
        <w:widowControl w:val="0"/>
        <w:numPr>
          <w:ilvl w:val="0"/>
          <w:numId w:val="99"/>
        </w:numPr>
        <w:overflowPunct w:val="0"/>
        <w:autoSpaceDE w:val="0"/>
        <w:autoSpaceDN w:val="0"/>
        <w:adjustRightInd w:val="0"/>
        <w:ind w:hanging="567"/>
        <w:textAlignment w:val="baseline"/>
      </w:pPr>
      <w:proofErr w:type="gramStart"/>
      <w:r>
        <w:t>s’inquiète</w:t>
      </w:r>
      <w:proofErr w:type="gramEnd"/>
      <w:r>
        <w:t xml:space="preserve"> de ce que la proposition de modification du règlement sur les gaz à effet de serre fluorés risque de créer une faille dans le cadre législatif qui régit les substances hautement nocives pour le climat;</w:t>
      </w:r>
    </w:p>
    <w:p w14:paraId="63F35EA1" w14:textId="77777777" w:rsidR="00C740A5" w:rsidRDefault="00C740A5" w:rsidP="00C740A5">
      <w:pPr>
        <w:widowControl w:val="0"/>
        <w:numPr>
          <w:ilvl w:val="0"/>
          <w:numId w:val="99"/>
        </w:numPr>
        <w:overflowPunct w:val="0"/>
        <w:autoSpaceDE w:val="0"/>
        <w:autoSpaceDN w:val="0"/>
        <w:adjustRightInd w:val="0"/>
        <w:ind w:hanging="567"/>
        <w:textAlignment w:val="baseline"/>
      </w:pPr>
      <w:proofErr w:type="gramStart"/>
      <w:r>
        <w:t>insiste</w:t>
      </w:r>
      <w:proofErr w:type="gramEnd"/>
      <w:r>
        <w:t xml:space="preserve"> sur le fait que les spécifications communes devraient reposer sur une approche harmonisée et être considérées comme une solution de secours soumise à des critères stricts, de manière à garantir la clarté et la transparence des processus qui sous-tendent leur élaboration et leur adoption, et d’éviter la mise en place d’un système parallèle.</w:t>
      </w:r>
    </w:p>
    <w:p w14:paraId="0A823ADB" w14:textId="77777777" w:rsidR="00C740A5" w:rsidRPr="000624A9" w:rsidRDefault="00C740A5" w:rsidP="00C740A5">
      <w:pPr>
        <w:widowControl w:val="0"/>
        <w:ind w:left="709"/>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C740A5" w:rsidRPr="00A6689B" w14:paraId="58BC6505" w14:textId="77777777" w:rsidTr="00C93F66">
        <w:tc>
          <w:tcPr>
            <w:tcW w:w="1556" w:type="pct"/>
          </w:tcPr>
          <w:p w14:paraId="41189A68" w14:textId="77777777" w:rsidR="00C740A5" w:rsidRPr="00A6689B" w:rsidRDefault="00C740A5" w:rsidP="00C93F66">
            <w:pPr>
              <w:spacing w:line="240" w:lineRule="auto"/>
              <w:rPr>
                <w:i/>
              </w:rPr>
            </w:pPr>
            <w:r>
              <w:rPr>
                <w:b/>
                <w:i/>
              </w:rPr>
              <w:t>Contact</w:t>
            </w:r>
          </w:p>
        </w:tc>
        <w:tc>
          <w:tcPr>
            <w:tcW w:w="3444" w:type="pct"/>
          </w:tcPr>
          <w:p w14:paraId="67E8601F" w14:textId="68BC3402" w:rsidR="00C740A5" w:rsidRPr="00A6689B" w:rsidRDefault="00C740A5" w:rsidP="00C93F66">
            <w:pPr>
              <w:spacing w:line="240" w:lineRule="auto"/>
              <w:rPr>
                <w:i/>
              </w:rPr>
            </w:pPr>
            <w:r>
              <w:rPr>
                <w:i/>
              </w:rPr>
              <w:t>Marco</w:t>
            </w:r>
            <w:r w:rsidR="006031D5">
              <w:rPr>
                <w:i/>
              </w:rPr>
              <w:t> </w:t>
            </w:r>
            <w:r w:rsidR="001129B2">
              <w:rPr>
                <w:i/>
              </w:rPr>
              <w:t>MANFRONI</w:t>
            </w:r>
          </w:p>
        </w:tc>
      </w:tr>
      <w:tr w:rsidR="00C740A5" w:rsidRPr="00A6689B" w14:paraId="5B222720" w14:textId="77777777" w:rsidTr="00C93F66">
        <w:tc>
          <w:tcPr>
            <w:tcW w:w="1556" w:type="pct"/>
          </w:tcPr>
          <w:p w14:paraId="4E7C4FE6" w14:textId="77777777" w:rsidR="00C740A5" w:rsidRPr="00A6689B" w:rsidRDefault="00C740A5" w:rsidP="00C93F66">
            <w:pPr>
              <w:spacing w:line="240" w:lineRule="auto"/>
              <w:rPr>
                <w:i/>
              </w:rPr>
            </w:pPr>
            <w:r>
              <w:rPr>
                <w:i/>
              </w:rPr>
              <w:t>Tél.</w:t>
            </w:r>
          </w:p>
        </w:tc>
        <w:tc>
          <w:tcPr>
            <w:tcW w:w="3444" w:type="pct"/>
          </w:tcPr>
          <w:p w14:paraId="121217A7" w14:textId="77777777" w:rsidR="00C740A5" w:rsidRPr="00A6689B" w:rsidRDefault="00C740A5" w:rsidP="00C93F66">
            <w:pPr>
              <w:spacing w:line="240" w:lineRule="auto"/>
              <w:rPr>
                <w:i/>
              </w:rPr>
            </w:pPr>
            <w:r>
              <w:rPr>
                <w:i/>
              </w:rPr>
              <w:t>+32 2 546 9140</w:t>
            </w:r>
          </w:p>
        </w:tc>
      </w:tr>
      <w:tr w:rsidR="00C740A5" w:rsidRPr="00A6689B" w14:paraId="7F66BDFC" w14:textId="77777777" w:rsidTr="00C93F66">
        <w:tc>
          <w:tcPr>
            <w:tcW w:w="1556" w:type="pct"/>
          </w:tcPr>
          <w:p w14:paraId="4843DF13" w14:textId="77777777" w:rsidR="00C740A5" w:rsidRPr="00A6689B" w:rsidRDefault="00C740A5" w:rsidP="00C93F66">
            <w:pPr>
              <w:spacing w:line="240" w:lineRule="auto"/>
              <w:rPr>
                <w:i/>
              </w:rPr>
            </w:pPr>
            <w:r>
              <w:rPr>
                <w:i/>
              </w:rPr>
              <w:t>Courriel</w:t>
            </w:r>
          </w:p>
        </w:tc>
        <w:tc>
          <w:tcPr>
            <w:tcW w:w="3444" w:type="pct"/>
          </w:tcPr>
          <w:p w14:paraId="6ED1BDAE" w14:textId="77777777" w:rsidR="00C740A5" w:rsidRPr="00A6689B" w:rsidRDefault="00CB508B" w:rsidP="00C93F66">
            <w:pPr>
              <w:spacing w:line="240" w:lineRule="auto"/>
              <w:rPr>
                <w:i/>
                <w:lang w:val="en-US"/>
              </w:rPr>
            </w:pPr>
            <w:hyperlink r:id="rId61" w:history="1">
              <w:r w:rsidR="00C740A5">
                <w:rPr>
                  <w:rStyle w:val="Hyperlink"/>
                  <w:i/>
                </w:rPr>
                <w:t>Marco.Manfroni@eesc.europa.eu</w:t>
              </w:r>
            </w:hyperlink>
          </w:p>
        </w:tc>
      </w:tr>
    </w:tbl>
    <w:p w14:paraId="3A14D842" w14:textId="77777777" w:rsidR="00F31327" w:rsidRDefault="00F31327" w:rsidP="00F31327">
      <w:pPr>
        <w:jc w:val="left"/>
        <w:rPr>
          <w:b/>
          <w:i/>
          <w:sz w:val="28"/>
          <w:szCs w:val="28"/>
          <w:lang w:val="en-GB"/>
        </w:rPr>
      </w:pPr>
    </w:p>
    <w:p w14:paraId="4CB93C8F" w14:textId="77777777" w:rsidR="00F31327" w:rsidRDefault="00F31327" w:rsidP="00F31327">
      <w:pPr>
        <w:jc w:val="left"/>
        <w:rPr>
          <w:b/>
          <w:i/>
          <w:sz w:val="28"/>
          <w:szCs w:val="28"/>
          <w:lang w:val="en-GB"/>
        </w:rPr>
      </w:pPr>
      <w:r>
        <w:rPr>
          <w:b/>
          <w:i/>
          <w:sz w:val="28"/>
          <w:szCs w:val="28"/>
          <w:lang w:val="en-GB"/>
        </w:rPr>
        <w:br w:type="page"/>
      </w:r>
    </w:p>
    <w:p w14:paraId="44B09562" w14:textId="1B0A66A2" w:rsidR="00C740A5" w:rsidRPr="0003586F" w:rsidRDefault="00CB508B" w:rsidP="00C740A5">
      <w:pPr>
        <w:widowControl w:val="0"/>
        <w:numPr>
          <w:ilvl w:val="0"/>
          <w:numId w:val="19"/>
        </w:numPr>
        <w:overflowPunct w:val="0"/>
        <w:autoSpaceDE w:val="0"/>
        <w:autoSpaceDN w:val="0"/>
        <w:adjustRightInd w:val="0"/>
        <w:ind w:hanging="567"/>
        <w:textAlignment w:val="baseline"/>
        <w:rPr>
          <w:sz w:val="20"/>
        </w:rPr>
      </w:pPr>
      <w:hyperlink r:id="rId62" w:history="1">
        <w:r w:rsidR="00C740A5" w:rsidRPr="00C740A5">
          <w:rPr>
            <w:rStyle w:val="Hyperlink"/>
            <w:b/>
            <w:i/>
            <w:sz w:val="28"/>
          </w:rPr>
          <w:t xml:space="preserve">Un défi pour le marché </w:t>
        </w:r>
        <w:proofErr w:type="gramStart"/>
        <w:r w:rsidR="00C740A5" w:rsidRPr="00C740A5">
          <w:rPr>
            <w:rStyle w:val="Hyperlink"/>
            <w:b/>
            <w:i/>
            <w:sz w:val="28"/>
          </w:rPr>
          <w:t>unique:</w:t>
        </w:r>
        <w:proofErr w:type="gramEnd"/>
        <w:r w:rsidR="00C740A5" w:rsidRPr="00C740A5">
          <w:rPr>
            <w:rStyle w:val="Hyperlink"/>
            <w:b/>
            <w:i/>
            <w:sz w:val="28"/>
          </w:rPr>
          <w:t xml:space="preserve"> une politique européenne de défense bien équilibrée par rapport aux besoins des citoyens</w:t>
        </w:r>
      </w:hyperlink>
    </w:p>
    <w:p w14:paraId="455FB814" w14:textId="77777777" w:rsidR="00C740A5" w:rsidRPr="00662CE5" w:rsidRDefault="00C740A5" w:rsidP="00C740A5">
      <w:pPr>
        <w:tabs>
          <w:tab w:val="center" w:pos="284"/>
        </w:tabs>
        <w:ind w:left="266" w:hanging="266"/>
        <w:rPr>
          <w:b/>
          <w:sz w:val="18"/>
          <w:szCs w:val="18"/>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C740A5" w:rsidRPr="00A6689B" w14:paraId="0D97DCB7" w14:textId="77777777" w:rsidTr="00C93F66">
        <w:tc>
          <w:tcPr>
            <w:tcW w:w="1701" w:type="dxa"/>
          </w:tcPr>
          <w:p w14:paraId="0425AB30" w14:textId="77777777" w:rsidR="00C740A5" w:rsidRPr="00A6689B" w:rsidRDefault="00C740A5" w:rsidP="00C93F66">
            <w:pPr>
              <w:tabs>
                <w:tab w:val="center" w:pos="284"/>
              </w:tabs>
              <w:ind w:left="266" w:hanging="266"/>
              <w:rPr>
                <w:b/>
              </w:rPr>
            </w:pPr>
            <w:r>
              <w:rPr>
                <w:b/>
                <w:bCs/>
              </w:rPr>
              <w:t>Rapporteur</w:t>
            </w:r>
          </w:p>
        </w:tc>
        <w:tc>
          <w:tcPr>
            <w:tcW w:w="7513" w:type="dxa"/>
          </w:tcPr>
          <w:p w14:paraId="342514B3" w14:textId="77777777" w:rsidR="00C740A5" w:rsidRPr="00A6689B" w:rsidRDefault="00C740A5" w:rsidP="00C93F66">
            <w:pPr>
              <w:tabs>
                <w:tab w:val="center" w:pos="284"/>
              </w:tabs>
              <w:ind w:left="266" w:hanging="266"/>
            </w:pPr>
            <w:r>
              <w:t>Angelo PAGLIARA (groupe des travailleurs — IT)</w:t>
            </w:r>
          </w:p>
        </w:tc>
      </w:tr>
      <w:tr w:rsidR="00C740A5" w:rsidRPr="00A6689B" w14:paraId="3F06F7AE" w14:textId="77777777" w:rsidTr="00C93F66">
        <w:tc>
          <w:tcPr>
            <w:tcW w:w="1701" w:type="dxa"/>
          </w:tcPr>
          <w:p w14:paraId="15FB091D" w14:textId="77777777" w:rsidR="00C740A5" w:rsidRPr="00A6689B" w:rsidRDefault="00C740A5" w:rsidP="00C93F66">
            <w:pPr>
              <w:tabs>
                <w:tab w:val="center" w:pos="284"/>
              </w:tabs>
              <w:ind w:left="266" w:hanging="266"/>
              <w:rPr>
                <w:b/>
              </w:rPr>
            </w:pPr>
            <w:r>
              <w:rPr>
                <w:b/>
              </w:rPr>
              <w:t>Références</w:t>
            </w:r>
          </w:p>
        </w:tc>
        <w:tc>
          <w:tcPr>
            <w:tcW w:w="7513" w:type="dxa"/>
          </w:tcPr>
          <w:p w14:paraId="5A994C97" w14:textId="77777777" w:rsidR="00C740A5" w:rsidRPr="00A368B8" w:rsidRDefault="00C740A5" w:rsidP="00C93F66">
            <w:pPr>
              <w:tabs>
                <w:tab w:val="center" w:pos="284"/>
              </w:tabs>
              <w:ind w:left="266" w:hanging="266"/>
            </w:pPr>
            <w:r>
              <w:t>Avis d’initiative</w:t>
            </w:r>
          </w:p>
          <w:p w14:paraId="461C1964" w14:textId="77777777" w:rsidR="00C740A5" w:rsidRPr="00A6689B" w:rsidRDefault="00C740A5" w:rsidP="00C93F66">
            <w:pPr>
              <w:tabs>
                <w:tab w:val="center" w:pos="284"/>
              </w:tabs>
              <w:ind w:left="266" w:hanging="266"/>
            </w:pPr>
            <w:r>
              <w:t>EESC-2025-00634-00-00-AC</w:t>
            </w:r>
          </w:p>
        </w:tc>
      </w:tr>
    </w:tbl>
    <w:p w14:paraId="0958ACB3" w14:textId="77777777" w:rsidR="00C740A5" w:rsidRDefault="00C740A5" w:rsidP="00C740A5">
      <w:pPr>
        <w:keepNext/>
        <w:keepLines/>
        <w:tabs>
          <w:tab w:val="center" w:pos="284"/>
        </w:tabs>
        <w:ind w:left="266" w:hanging="266"/>
        <w:rPr>
          <w:b/>
        </w:rPr>
      </w:pPr>
    </w:p>
    <w:p w14:paraId="29E60461" w14:textId="77777777" w:rsidR="00C740A5" w:rsidRDefault="00C740A5" w:rsidP="00C740A5">
      <w:pPr>
        <w:keepNext/>
        <w:keepLines/>
        <w:tabs>
          <w:tab w:val="center" w:pos="284"/>
        </w:tabs>
        <w:ind w:left="266" w:hanging="266"/>
        <w:rPr>
          <w:b/>
        </w:rPr>
      </w:pPr>
      <w:r>
        <w:rPr>
          <w:b/>
        </w:rPr>
        <w:t>Points clés</w:t>
      </w:r>
    </w:p>
    <w:p w14:paraId="7842BD4D" w14:textId="77777777" w:rsidR="00C740A5" w:rsidRPr="00662CE5" w:rsidRDefault="00C740A5" w:rsidP="00C740A5">
      <w:pPr>
        <w:keepNext/>
        <w:keepLines/>
        <w:tabs>
          <w:tab w:val="center" w:pos="284"/>
        </w:tabs>
        <w:ind w:left="266" w:hanging="266"/>
        <w:rPr>
          <w:b/>
          <w:sz w:val="20"/>
        </w:rPr>
      </w:pPr>
    </w:p>
    <w:p w14:paraId="3365186D" w14:textId="77777777" w:rsidR="00C740A5" w:rsidRPr="00A6689B" w:rsidRDefault="00C740A5" w:rsidP="00C740A5">
      <w:pPr>
        <w:rPr>
          <w:bCs/>
          <w:iCs/>
        </w:rPr>
      </w:pPr>
      <w:r>
        <w:t>Le CESE</w:t>
      </w:r>
    </w:p>
    <w:p w14:paraId="4866E557" w14:textId="77777777" w:rsidR="00C740A5" w:rsidRDefault="00C740A5" w:rsidP="00C740A5">
      <w:pPr>
        <w:widowControl w:val="0"/>
        <w:numPr>
          <w:ilvl w:val="0"/>
          <w:numId w:val="19"/>
        </w:numPr>
        <w:overflowPunct w:val="0"/>
        <w:autoSpaceDE w:val="0"/>
        <w:autoSpaceDN w:val="0"/>
        <w:adjustRightInd w:val="0"/>
        <w:ind w:hanging="567"/>
        <w:textAlignment w:val="baseline"/>
        <w:rPr>
          <w:bCs/>
          <w:iCs/>
        </w:rPr>
      </w:pPr>
      <w:proofErr w:type="gramStart"/>
      <w:r>
        <w:t>rappelle</w:t>
      </w:r>
      <w:proofErr w:type="gramEnd"/>
      <w:r>
        <w:t xml:space="preserve"> que le renforcement des capacités de défense de l’Union européenne doit avoir lieu dans le respect de ses valeurs fondamentales, et s’inscrire dans un projet axé sur le bien-être des citoyens;</w:t>
      </w:r>
    </w:p>
    <w:p w14:paraId="2E7908FB" w14:textId="77777777" w:rsidR="00C740A5" w:rsidRPr="00A368B8" w:rsidRDefault="00C740A5" w:rsidP="00C740A5">
      <w:pPr>
        <w:widowControl w:val="0"/>
        <w:numPr>
          <w:ilvl w:val="0"/>
          <w:numId w:val="19"/>
        </w:numPr>
        <w:overflowPunct w:val="0"/>
        <w:autoSpaceDE w:val="0"/>
        <w:autoSpaceDN w:val="0"/>
        <w:adjustRightInd w:val="0"/>
        <w:ind w:hanging="567"/>
        <w:textAlignment w:val="baseline"/>
        <w:rPr>
          <w:bCs/>
          <w:iCs/>
        </w:rPr>
      </w:pPr>
      <w:proofErr w:type="gramStart"/>
      <w:r>
        <w:t>estime</w:t>
      </w:r>
      <w:proofErr w:type="gramEnd"/>
      <w:r>
        <w:t xml:space="preserve"> que l’Union européenne doit se doter d’une politique de défense conjointe, dans le cadre d’une politique étrangère et de sécurité commune, et construire un solide pilier européen de la défense pour dépasser les modèles nationaux;</w:t>
      </w:r>
    </w:p>
    <w:p w14:paraId="745A5EDF" w14:textId="77777777" w:rsidR="00C740A5" w:rsidRPr="00A368B8" w:rsidRDefault="00C740A5" w:rsidP="00C740A5">
      <w:pPr>
        <w:widowControl w:val="0"/>
        <w:numPr>
          <w:ilvl w:val="0"/>
          <w:numId w:val="19"/>
        </w:numPr>
        <w:overflowPunct w:val="0"/>
        <w:autoSpaceDE w:val="0"/>
        <w:autoSpaceDN w:val="0"/>
        <w:adjustRightInd w:val="0"/>
        <w:ind w:hanging="567"/>
        <w:textAlignment w:val="baseline"/>
        <w:rPr>
          <w:bCs/>
          <w:iCs/>
        </w:rPr>
      </w:pPr>
      <w:proofErr w:type="gramStart"/>
      <w:r>
        <w:t>plaide</w:t>
      </w:r>
      <w:proofErr w:type="gramEnd"/>
      <w:r>
        <w:t xml:space="preserve"> en faveur d’une approche intégrée de la sécurité européenne comprenant des dimensions sociale, industrielle, environnementale et sanitaire, et s’appuyant sur des systèmes publics robustes et sur la confiance des citoyens;</w:t>
      </w:r>
    </w:p>
    <w:p w14:paraId="49F67B1C" w14:textId="77777777" w:rsidR="00C740A5" w:rsidRPr="00A368B8" w:rsidRDefault="00C740A5" w:rsidP="00C740A5">
      <w:pPr>
        <w:widowControl w:val="0"/>
        <w:numPr>
          <w:ilvl w:val="0"/>
          <w:numId w:val="19"/>
        </w:numPr>
        <w:overflowPunct w:val="0"/>
        <w:autoSpaceDE w:val="0"/>
        <w:autoSpaceDN w:val="0"/>
        <w:adjustRightInd w:val="0"/>
        <w:ind w:hanging="567"/>
        <w:textAlignment w:val="baseline"/>
        <w:rPr>
          <w:bCs/>
          <w:iCs/>
        </w:rPr>
      </w:pPr>
      <w:proofErr w:type="gramStart"/>
      <w:r>
        <w:t>souligne</w:t>
      </w:r>
      <w:proofErr w:type="gramEnd"/>
      <w:r>
        <w:t xml:space="preserve"> qu’il est urgent de promouvoir une politique industrielle européenne commune qui renforce la compétitivité de l’industrie dans le respect des principes de transparence, d’efficacité et de durabilité. Le Comité demande également l’adoption d’instruments spécifiques de financement </w:t>
      </w:r>
      <w:proofErr w:type="gramStart"/>
      <w:r>
        <w:t>conjoint;</w:t>
      </w:r>
      <w:proofErr w:type="gramEnd"/>
    </w:p>
    <w:p w14:paraId="0FDDC2CF" w14:textId="77777777" w:rsidR="00C740A5" w:rsidRPr="00A368B8" w:rsidRDefault="00C740A5" w:rsidP="00C740A5">
      <w:pPr>
        <w:widowControl w:val="0"/>
        <w:numPr>
          <w:ilvl w:val="0"/>
          <w:numId w:val="19"/>
        </w:numPr>
        <w:overflowPunct w:val="0"/>
        <w:autoSpaceDE w:val="0"/>
        <w:autoSpaceDN w:val="0"/>
        <w:adjustRightInd w:val="0"/>
        <w:ind w:hanging="567"/>
        <w:textAlignment w:val="baseline"/>
        <w:rPr>
          <w:bCs/>
          <w:iCs/>
        </w:rPr>
      </w:pPr>
      <w:proofErr w:type="gramStart"/>
      <w:r>
        <w:t>recommande</w:t>
      </w:r>
      <w:proofErr w:type="gramEnd"/>
      <w:r>
        <w:t xml:space="preserve"> que les investissements en matière de défense visent à renforcer la base industrielle et technologique de défense européenne, en y associant activement les partenaires sociaux et les petites et moyennes entreprises. Il est indispensable de promouvoir l’emploi qualifié et de prévenir les pratiques préjudiciables que constituent le dumping ou la </w:t>
      </w:r>
      <w:proofErr w:type="gramStart"/>
      <w:r>
        <w:t>délocalisation;</w:t>
      </w:r>
      <w:proofErr w:type="gramEnd"/>
    </w:p>
    <w:p w14:paraId="49872650" w14:textId="77777777" w:rsidR="00C740A5" w:rsidRDefault="00C740A5" w:rsidP="00C740A5">
      <w:pPr>
        <w:widowControl w:val="0"/>
        <w:numPr>
          <w:ilvl w:val="0"/>
          <w:numId w:val="19"/>
        </w:numPr>
        <w:overflowPunct w:val="0"/>
        <w:autoSpaceDE w:val="0"/>
        <w:autoSpaceDN w:val="0"/>
        <w:adjustRightInd w:val="0"/>
        <w:ind w:hanging="567"/>
        <w:textAlignment w:val="baseline"/>
        <w:rPr>
          <w:bCs/>
          <w:iCs/>
        </w:rPr>
      </w:pPr>
      <w:proofErr w:type="gramStart"/>
      <w:r>
        <w:t>estime</w:t>
      </w:r>
      <w:proofErr w:type="gramEnd"/>
      <w:r>
        <w:t xml:space="preserve"> essentiel d’assurer une coordination adéquate entre les instruments de financement européens et le cadre budgétaire de l’UE en prévoyant des règles visant à exclure du calcul du déficit les investissements stratégiques, y compris dans le domaine de la défense;</w:t>
      </w:r>
    </w:p>
    <w:p w14:paraId="60D59DDB" w14:textId="77777777" w:rsidR="00C740A5" w:rsidRPr="00A368B8" w:rsidRDefault="00C740A5" w:rsidP="00C740A5">
      <w:pPr>
        <w:widowControl w:val="0"/>
        <w:numPr>
          <w:ilvl w:val="0"/>
          <w:numId w:val="19"/>
        </w:numPr>
        <w:overflowPunct w:val="0"/>
        <w:autoSpaceDE w:val="0"/>
        <w:autoSpaceDN w:val="0"/>
        <w:adjustRightInd w:val="0"/>
        <w:ind w:hanging="567"/>
        <w:textAlignment w:val="baseline"/>
        <w:rPr>
          <w:bCs/>
          <w:iCs/>
        </w:rPr>
      </w:pPr>
      <w:proofErr w:type="gramStart"/>
      <w:r>
        <w:t>invite</w:t>
      </w:r>
      <w:proofErr w:type="gramEnd"/>
      <w:r>
        <w:t xml:space="preserve"> la Commission et les États membres à garantir une transparence totale en ce qui concerne l’origine, la destination et la gouvernance des fonds destinés à la défense;</w:t>
      </w:r>
    </w:p>
    <w:p w14:paraId="7E15CFBE" w14:textId="77777777" w:rsidR="00C740A5" w:rsidRDefault="00C740A5" w:rsidP="00C740A5">
      <w:pPr>
        <w:widowControl w:val="0"/>
        <w:numPr>
          <w:ilvl w:val="0"/>
          <w:numId w:val="19"/>
        </w:numPr>
        <w:overflowPunct w:val="0"/>
        <w:autoSpaceDE w:val="0"/>
        <w:autoSpaceDN w:val="0"/>
        <w:adjustRightInd w:val="0"/>
        <w:ind w:hanging="567"/>
        <w:textAlignment w:val="baseline"/>
        <w:rPr>
          <w:bCs/>
          <w:iCs/>
        </w:rPr>
      </w:pPr>
      <w:proofErr w:type="gramStart"/>
      <w:r>
        <w:t>encourage</w:t>
      </w:r>
      <w:proofErr w:type="gramEnd"/>
      <w:r>
        <w:t xml:space="preserve"> la création d’un observatoire interinstitutionnel intégré de la sécurité (auquel participeraient le CESE, le CdR, la Commission et le Parlement européen) dans le but de mesurer l’impact des politiques européennes de défense à l’échelon local et de recueillir la perception du public et le niveau de confiance des citoyens.</w:t>
      </w:r>
    </w:p>
    <w:p w14:paraId="25CFAF86" w14:textId="77777777" w:rsidR="00C740A5" w:rsidRPr="00662CE5" w:rsidRDefault="00C740A5" w:rsidP="00C740A5">
      <w:pPr>
        <w:widowControl w:val="0"/>
        <w:ind w:left="567"/>
        <w:rPr>
          <w:bCs/>
          <w:iCs/>
          <w:sz w:val="16"/>
          <w:szCs w:val="16"/>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C740A5" w:rsidRPr="00A6689B" w14:paraId="7CFB1B8B" w14:textId="77777777" w:rsidTr="00C93F66">
        <w:tc>
          <w:tcPr>
            <w:tcW w:w="1418" w:type="dxa"/>
          </w:tcPr>
          <w:p w14:paraId="2B8D7921" w14:textId="77777777" w:rsidR="00C740A5" w:rsidRPr="00A6689B" w:rsidRDefault="00C740A5" w:rsidP="00C93F66">
            <w:pPr>
              <w:rPr>
                <w:i/>
              </w:rPr>
            </w:pPr>
            <w:r>
              <w:rPr>
                <w:b/>
                <w:bCs/>
                <w:i/>
              </w:rPr>
              <w:t>Contact</w:t>
            </w:r>
          </w:p>
        </w:tc>
        <w:tc>
          <w:tcPr>
            <w:tcW w:w="7796" w:type="dxa"/>
          </w:tcPr>
          <w:p w14:paraId="6D6CAB78" w14:textId="4B25292F" w:rsidR="00C740A5" w:rsidRPr="00A6689B" w:rsidRDefault="00C740A5" w:rsidP="00C93F66">
            <w:pPr>
              <w:rPr>
                <w:i/>
              </w:rPr>
            </w:pPr>
            <w:proofErr w:type="spellStart"/>
            <w:r>
              <w:rPr>
                <w:i/>
              </w:rPr>
              <w:t>Annalisa</w:t>
            </w:r>
            <w:proofErr w:type="spellEnd"/>
            <w:r>
              <w:rPr>
                <w:i/>
              </w:rPr>
              <w:t xml:space="preserve"> </w:t>
            </w:r>
            <w:r w:rsidR="001129B2">
              <w:rPr>
                <w:i/>
              </w:rPr>
              <w:t>TESSAROLO</w:t>
            </w:r>
          </w:p>
        </w:tc>
      </w:tr>
      <w:tr w:rsidR="00C740A5" w:rsidRPr="00A6689B" w14:paraId="296C8D60" w14:textId="77777777" w:rsidTr="00C93F66">
        <w:tc>
          <w:tcPr>
            <w:tcW w:w="1418" w:type="dxa"/>
          </w:tcPr>
          <w:p w14:paraId="485C9490" w14:textId="77777777" w:rsidR="00C740A5" w:rsidRPr="00A6689B" w:rsidRDefault="00C740A5" w:rsidP="00C93F66">
            <w:pPr>
              <w:rPr>
                <w:i/>
              </w:rPr>
            </w:pPr>
            <w:r>
              <w:rPr>
                <w:i/>
              </w:rPr>
              <w:t>Tél.</w:t>
            </w:r>
          </w:p>
        </w:tc>
        <w:tc>
          <w:tcPr>
            <w:tcW w:w="7796" w:type="dxa"/>
            <w:shd w:val="clear" w:color="auto" w:fill="auto"/>
          </w:tcPr>
          <w:p w14:paraId="22BC35E6" w14:textId="77777777" w:rsidR="00C740A5" w:rsidRPr="00A6689B" w:rsidRDefault="00C740A5" w:rsidP="00C93F66">
            <w:pPr>
              <w:rPr>
                <w:i/>
              </w:rPr>
            </w:pPr>
            <w:r>
              <w:rPr>
                <w:i/>
              </w:rPr>
              <w:t>+32 2 546 9732</w:t>
            </w:r>
          </w:p>
        </w:tc>
      </w:tr>
      <w:tr w:rsidR="00C740A5" w:rsidRPr="00A6689B" w14:paraId="7FF101FC" w14:textId="77777777" w:rsidTr="00C93F66">
        <w:tc>
          <w:tcPr>
            <w:tcW w:w="1418" w:type="dxa"/>
          </w:tcPr>
          <w:p w14:paraId="44786707" w14:textId="77777777" w:rsidR="00C740A5" w:rsidRPr="00A6689B" w:rsidRDefault="00C740A5" w:rsidP="00C93F66">
            <w:pPr>
              <w:rPr>
                <w:i/>
              </w:rPr>
            </w:pPr>
            <w:r>
              <w:rPr>
                <w:i/>
              </w:rPr>
              <w:t>Courriel</w:t>
            </w:r>
          </w:p>
        </w:tc>
        <w:tc>
          <w:tcPr>
            <w:tcW w:w="7796" w:type="dxa"/>
          </w:tcPr>
          <w:p w14:paraId="5A155880" w14:textId="77777777" w:rsidR="00C740A5" w:rsidRPr="00A6689B" w:rsidRDefault="00CB508B" w:rsidP="00C93F66">
            <w:pPr>
              <w:rPr>
                <w:i/>
              </w:rPr>
            </w:pPr>
            <w:hyperlink r:id="rId63" w:history="1">
              <w:r w:rsidR="00C740A5">
                <w:rPr>
                  <w:rStyle w:val="Hyperlink"/>
                  <w:i/>
                </w:rPr>
                <w:t>Annalisa.Tessarolo@eesc.europa.eu</w:t>
              </w:r>
            </w:hyperlink>
          </w:p>
        </w:tc>
      </w:tr>
    </w:tbl>
    <w:p w14:paraId="3C2E3F3F" w14:textId="77777777" w:rsidR="00F31327" w:rsidRPr="00D20AB4" w:rsidRDefault="00F31327" w:rsidP="00F31327">
      <w:pPr>
        <w:jc w:val="left"/>
      </w:pPr>
    </w:p>
    <w:p w14:paraId="553D215D" w14:textId="77777777" w:rsidR="00F31327" w:rsidRPr="00D20AB4" w:rsidRDefault="00F31327" w:rsidP="00F31327">
      <w:pPr>
        <w:jc w:val="left"/>
      </w:pPr>
      <w:r w:rsidRPr="00D20AB4">
        <w:br w:type="page"/>
      </w:r>
    </w:p>
    <w:p w14:paraId="40D526D1" w14:textId="3A4ACD1F" w:rsidR="00CE4FE2" w:rsidRPr="00CD1017" w:rsidRDefault="00CB508B" w:rsidP="00CE4FE2">
      <w:pPr>
        <w:widowControl w:val="0"/>
        <w:numPr>
          <w:ilvl w:val="0"/>
          <w:numId w:val="19"/>
        </w:numPr>
        <w:overflowPunct w:val="0"/>
        <w:autoSpaceDE w:val="0"/>
        <w:autoSpaceDN w:val="0"/>
        <w:adjustRightInd w:val="0"/>
        <w:ind w:hanging="567"/>
        <w:textAlignment w:val="baseline"/>
        <w:rPr>
          <w:sz w:val="20"/>
        </w:rPr>
      </w:pPr>
      <w:hyperlink r:id="rId64" w:history="1">
        <w:r w:rsidR="001129B2">
          <w:rPr>
            <w:rStyle w:val="Hyperlink"/>
            <w:b/>
            <w:i/>
            <w:sz w:val="28"/>
          </w:rPr>
          <w:t>Appel en vue d’organiser une concurrence loyale en ce qui concerne les plateformes de pays tiers</w:t>
        </w:r>
      </w:hyperlink>
    </w:p>
    <w:p w14:paraId="4C3F0980" w14:textId="77777777" w:rsidR="00CE4FE2" w:rsidRPr="00CD1017" w:rsidRDefault="00CE4FE2" w:rsidP="00CE4FE2">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7373"/>
      </w:tblGrid>
      <w:tr w:rsidR="00CE4FE2" w:rsidRPr="00CD1017" w14:paraId="47AF0702" w14:textId="77777777" w:rsidTr="00C93F66">
        <w:trPr>
          <w:trHeight w:val="406"/>
        </w:trPr>
        <w:tc>
          <w:tcPr>
            <w:tcW w:w="1091" w:type="pct"/>
          </w:tcPr>
          <w:p w14:paraId="295C4AB8" w14:textId="77777777" w:rsidR="00CE4FE2" w:rsidRPr="00CD1017" w:rsidRDefault="00CE4FE2" w:rsidP="00C93F66">
            <w:pPr>
              <w:tabs>
                <w:tab w:val="center" w:pos="284"/>
              </w:tabs>
              <w:ind w:left="266" w:hanging="266"/>
              <w:rPr>
                <w:b/>
              </w:rPr>
            </w:pPr>
            <w:proofErr w:type="spellStart"/>
            <w:r>
              <w:rPr>
                <w:b/>
              </w:rPr>
              <w:t>Rapporteure</w:t>
            </w:r>
            <w:proofErr w:type="spellEnd"/>
          </w:p>
        </w:tc>
        <w:tc>
          <w:tcPr>
            <w:tcW w:w="3909" w:type="pct"/>
          </w:tcPr>
          <w:p w14:paraId="54AB38CE" w14:textId="77777777" w:rsidR="00CE4FE2" w:rsidRPr="00CD1017" w:rsidRDefault="00CE4FE2" w:rsidP="00C93F66">
            <w:pPr>
              <w:tabs>
                <w:tab w:val="center" w:pos="0"/>
              </w:tabs>
              <w:ind w:left="266" w:hanging="266"/>
            </w:pPr>
            <w:proofErr w:type="spellStart"/>
            <w:r>
              <w:t>Antje</w:t>
            </w:r>
            <w:proofErr w:type="spellEnd"/>
            <w:r>
              <w:t> GERSTEIN (groupe des employeurs — DE)</w:t>
            </w:r>
          </w:p>
        </w:tc>
      </w:tr>
      <w:tr w:rsidR="00CE4FE2" w:rsidRPr="00CD1017" w14:paraId="630A0055" w14:textId="77777777" w:rsidTr="00C93F66">
        <w:tc>
          <w:tcPr>
            <w:tcW w:w="1091" w:type="pct"/>
          </w:tcPr>
          <w:p w14:paraId="20ACBF34" w14:textId="77777777" w:rsidR="00CE4FE2" w:rsidRPr="00CD1017" w:rsidRDefault="00CE4FE2" w:rsidP="00C93F66">
            <w:pPr>
              <w:tabs>
                <w:tab w:val="center" w:pos="284"/>
              </w:tabs>
              <w:ind w:left="266" w:hanging="266"/>
              <w:rPr>
                <w:b/>
              </w:rPr>
            </w:pPr>
            <w:r>
              <w:rPr>
                <w:b/>
              </w:rPr>
              <w:t>Référence</w:t>
            </w:r>
          </w:p>
        </w:tc>
        <w:tc>
          <w:tcPr>
            <w:tcW w:w="3909" w:type="pct"/>
          </w:tcPr>
          <w:p w14:paraId="1E3001D0" w14:textId="77777777" w:rsidR="00CE4FE2" w:rsidRPr="00CD1017" w:rsidRDefault="00CE4FE2" w:rsidP="00C93F66">
            <w:pPr>
              <w:tabs>
                <w:tab w:val="center" w:pos="284"/>
              </w:tabs>
              <w:ind w:left="266" w:hanging="266"/>
            </w:pPr>
            <w:r>
              <w:t>Avis d’initiative</w:t>
            </w:r>
          </w:p>
          <w:p w14:paraId="32C24CD3" w14:textId="77777777" w:rsidR="00CE4FE2" w:rsidRPr="00CD1017" w:rsidRDefault="00CE4FE2" w:rsidP="00C93F66">
            <w:pPr>
              <w:tabs>
                <w:tab w:val="center" w:pos="284"/>
              </w:tabs>
              <w:ind w:left="266" w:hanging="266"/>
            </w:pPr>
            <w:r>
              <w:t>EESC-2025-00882-00-00-AC</w:t>
            </w:r>
          </w:p>
        </w:tc>
      </w:tr>
    </w:tbl>
    <w:p w14:paraId="11BBBA3D" w14:textId="77777777" w:rsidR="00CE4FE2" w:rsidRPr="00CD1017" w:rsidRDefault="00CE4FE2" w:rsidP="00CE4FE2">
      <w:pPr>
        <w:keepNext/>
        <w:keepLines/>
        <w:tabs>
          <w:tab w:val="center" w:pos="284"/>
        </w:tabs>
        <w:ind w:left="266" w:hanging="266"/>
        <w:rPr>
          <w:b/>
        </w:rPr>
      </w:pPr>
    </w:p>
    <w:p w14:paraId="69E46537" w14:textId="77777777" w:rsidR="00CE4FE2" w:rsidRPr="00CD1017" w:rsidRDefault="00CE4FE2" w:rsidP="00CE4FE2">
      <w:pPr>
        <w:keepNext/>
        <w:keepLines/>
        <w:tabs>
          <w:tab w:val="center" w:pos="284"/>
        </w:tabs>
        <w:ind w:left="266" w:hanging="266"/>
        <w:rPr>
          <w:b/>
        </w:rPr>
      </w:pPr>
      <w:r>
        <w:rPr>
          <w:b/>
        </w:rPr>
        <w:t>Points clés</w:t>
      </w:r>
    </w:p>
    <w:p w14:paraId="7A0BCB84" w14:textId="77777777" w:rsidR="00CE4FE2" w:rsidRPr="00CD1017" w:rsidRDefault="00CE4FE2" w:rsidP="00CE4FE2">
      <w:pPr>
        <w:keepNext/>
        <w:keepLines/>
        <w:tabs>
          <w:tab w:val="center" w:pos="284"/>
        </w:tabs>
        <w:ind w:left="266" w:hanging="266"/>
        <w:rPr>
          <w:bCs/>
        </w:rPr>
      </w:pPr>
    </w:p>
    <w:p w14:paraId="318B6D4E" w14:textId="77777777" w:rsidR="00CE4FE2" w:rsidRPr="00CD1017" w:rsidRDefault="00CE4FE2" w:rsidP="00CE4FE2">
      <w:pPr>
        <w:rPr>
          <w:bCs/>
          <w:iCs/>
        </w:rPr>
      </w:pPr>
      <w:r>
        <w:t xml:space="preserve">Le </w:t>
      </w:r>
      <w:proofErr w:type="gramStart"/>
      <w:r>
        <w:t>CESE:</w:t>
      </w:r>
      <w:proofErr w:type="gramEnd"/>
    </w:p>
    <w:p w14:paraId="4CED27F8" w14:textId="77777777" w:rsidR="00CE4FE2" w:rsidRPr="00CD1017" w:rsidRDefault="00CE4FE2" w:rsidP="00CE4FE2">
      <w:pPr>
        <w:pStyle w:val="ListParagraph"/>
        <w:numPr>
          <w:ilvl w:val="0"/>
          <w:numId w:val="19"/>
        </w:numPr>
        <w:ind w:hanging="567"/>
        <w:rPr>
          <w:bCs/>
          <w:iCs/>
        </w:rPr>
      </w:pPr>
      <w:proofErr w:type="gramStart"/>
      <w:r>
        <w:t>constate</w:t>
      </w:r>
      <w:proofErr w:type="gramEnd"/>
      <w:r>
        <w:t xml:space="preserve"> avec inquiétude que l’expansion de plateformes de commerce électronique de pays tiers telles que </w:t>
      </w:r>
      <w:proofErr w:type="spellStart"/>
      <w:r>
        <w:t>Temu</w:t>
      </w:r>
      <w:proofErr w:type="spellEnd"/>
      <w:r>
        <w:t xml:space="preserve"> et </w:t>
      </w:r>
      <w:proofErr w:type="spellStart"/>
      <w:r>
        <w:t>Shein</w:t>
      </w:r>
      <w:proofErr w:type="spellEnd"/>
      <w:r>
        <w:t xml:space="preserve"> entraîne des défis considérables en matière de concurrence loyale, de protection des consommateurs et de respect de la réglementation;</w:t>
      </w:r>
    </w:p>
    <w:p w14:paraId="41233EBE" w14:textId="77777777" w:rsidR="00CE4FE2" w:rsidRPr="00CD1017" w:rsidRDefault="00CE4FE2" w:rsidP="00CE4FE2">
      <w:pPr>
        <w:pStyle w:val="ListParagraph"/>
        <w:numPr>
          <w:ilvl w:val="0"/>
          <w:numId w:val="19"/>
        </w:numPr>
        <w:ind w:hanging="567"/>
        <w:rPr>
          <w:bCs/>
          <w:iCs/>
        </w:rPr>
      </w:pPr>
      <w:proofErr w:type="gramStart"/>
      <w:r>
        <w:t>appelle</w:t>
      </w:r>
      <w:proofErr w:type="gramEnd"/>
      <w:r>
        <w:t xml:space="preserve"> de ses vœux, afin de protéger notre marché unique, la mise en œuvre rapide de la boîte à outils de l’Union pour un commerce électronique sûr et durable, ainsi qu’une approche coordonnée et une application plus stricte des règles existantes aux niveaux européen, national et régional;</w:t>
      </w:r>
    </w:p>
    <w:p w14:paraId="002ADD36" w14:textId="77777777" w:rsidR="00CE4FE2" w:rsidRPr="00CD1017" w:rsidRDefault="00CE4FE2" w:rsidP="00CE4FE2">
      <w:pPr>
        <w:pStyle w:val="ListParagraph"/>
        <w:numPr>
          <w:ilvl w:val="0"/>
          <w:numId w:val="19"/>
        </w:numPr>
        <w:ind w:hanging="567"/>
        <w:rPr>
          <w:bCs/>
          <w:iCs/>
        </w:rPr>
      </w:pPr>
      <w:proofErr w:type="gramStart"/>
      <w:r>
        <w:t>plaide</w:t>
      </w:r>
      <w:proofErr w:type="gramEnd"/>
      <w:r>
        <w:t xml:space="preserve"> en faveur de la mise en œuvre de la réforme douanière de l’UE dans les plus brefs délais, notamment en ce qui concerne le commerce électronique, et invite instamment les États membres de l’Union à donner sans tarder à la Commission européenne le mandat de mettre au point la plateforme des données douanières;</w:t>
      </w:r>
    </w:p>
    <w:p w14:paraId="07752076" w14:textId="77777777" w:rsidR="00CE4FE2" w:rsidRPr="00CD1017" w:rsidRDefault="00CE4FE2" w:rsidP="00CE4FE2">
      <w:pPr>
        <w:pStyle w:val="ListParagraph"/>
        <w:numPr>
          <w:ilvl w:val="0"/>
          <w:numId w:val="19"/>
        </w:numPr>
        <w:ind w:hanging="567"/>
        <w:rPr>
          <w:bCs/>
          <w:iCs/>
        </w:rPr>
      </w:pPr>
      <w:proofErr w:type="gramStart"/>
      <w:r>
        <w:t>insiste</w:t>
      </w:r>
      <w:proofErr w:type="gramEnd"/>
      <w:r>
        <w:t xml:space="preserve"> pour que toutes les plateformes de pays tiers désignent un opérateur économique responsable établi dans l’UE qui assume pleinement la responsabilité juridique et qu’elles soient reconnues comme des actrices centrales dans les procédures de retour de la chaîne d’approvisionnement;</w:t>
      </w:r>
    </w:p>
    <w:p w14:paraId="336AF90E" w14:textId="77777777" w:rsidR="00CE4FE2" w:rsidRPr="00CD1017" w:rsidRDefault="00CE4FE2" w:rsidP="00CE4FE2">
      <w:pPr>
        <w:pStyle w:val="ListParagraph"/>
        <w:numPr>
          <w:ilvl w:val="0"/>
          <w:numId w:val="19"/>
        </w:numPr>
        <w:ind w:hanging="567"/>
        <w:rPr>
          <w:bCs/>
          <w:iCs/>
        </w:rPr>
      </w:pPr>
      <w:proofErr w:type="gramStart"/>
      <w:r>
        <w:t>demande</w:t>
      </w:r>
      <w:proofErr w:type="gramEnd"/>
      <w:r>
        <w:t xml:space="preserve"> une application plus stricte de la législation en matière de protection des consommateurs et de la directive sur l’indication des prix en réponse aux violations répétées par les plateformes ne respectant pas les obligations qui, en outre, négligent également les règles de l’Union en matière de déchets et d’emballages, en transférant les coûts d’élimination vers d’autres acteurs;</w:t>
      </w:r>
    </w:p>
    <w:p w14:paraId="29E15A0E" w14:textId="77777777" w:rsidR="00CE4FE2" w:rsidRPr="00CD1017" w:rsidRDefault="00CE4FE2" w:rsidP="00CE4FE2">
      <w:pPr>
        <w:pStyle w:val="ListParagraph"/>
        <w:numPr>
          <w:ilvl w:val="0"/>
          <w:numId w:val="19"/>
        </w:numPr>
        <w:ind w:hanging="567"/>
        <w:rPr>
          <w:bCs/>
          <w:iCs/>
        </w:rPr>
      </w:pPr>
      <w:proofErr w:type="gramStart"/>
      <w:r>
        <w:t>propose</w:t>
      </w:r>
      <w:proofErr w:type="gramEnd"/>
      <w:r>
        <w:t xml:space="preserve"> une série de mesures à court, moyen et long terme qui conduiront à une concurrence loyale et répondront ainsi aux exigences d’une économie sociale de marché énoncées à l’article 3, paragraphe 3, du traité sur l’Union européenne.</w:t>
      </w:r>
    </w:p>
    <w:p w14:paraId="45489CB8" w14:textId="77777777" w:rsidR="00CE4FE2" w:rsidRPr="00CD1017" w:rsidRDefault="00CE4FE2" w:rsidP="00CE4FE2">
      <w:pPr>
        <w:pStyle w:val="ListParagraph"/>
        <w:ind w:left="567"/>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8031"/>
      </w:tblGrid>
      <w:tr w:rsidR="00CE4FE2" w:rsidRPr="00CD1017" w14:paraId="53A5BDF6" w14:textId="77777777" w:rsidTr="00C93F66">
        <w:tc>
          <w:tcPr>
            <w:tcW w:w="742" w:type="pct"/>
          </w:tcPr>
          <w:p w14:paraId="0DB127EF" w14:textId="77777777" w:rsidR="00CE4FE2" w:rsidRPr="00CD1017" w:rsidRDefault="00CE4FE2" w:rsidP="00C93F66">
            <w:pPr>
              <w:rPr>
                <w:i/>
              </w:rPr>
            </w:pPr>
            <w:r>
              <w:rPr>
                <w:b/>
                <w:i/>
              </w:rPr>
              <w:t>Contact</w:t>
            </w:r>
          </w:p>
        </w:tc>
        <w:tc>
          <w:tcPr>
            <w:tcW w:w="4258" w:type="pct"/>
          </w:tcPr>
          <w:p w14:paraId="6055B8F7" w14:textId="77777777" w:rsidR="00CE4FE2" w:rsidRPr="00CD1017" w:rsidRDefault="00CE4FE2" w:rsidP="00C93F66">
            <w:pPr>
              <w:rPr>
                <w:i/>
              </w:rPr>
            </w:pPr>
            <w:proofErr w:type="spellStart"/>
            <w:r>
              <w:rPr>
                <w:i/>
              </w:rPr>
              <w:t>Radoslava</w:t>
            </w:r>
            <w:proofErr w:type="spellEnd"/>
            <w:r>
              <w:rPr>
                <w:i/>
              </w:rPr>
              <w:t> STEFANKOVA</w:t>
            </w:r>
          </w:p>
        </w:tc>
      </w:tr>
      <w:tr w:rsidR="00CE4FE2" w:rsidRPr="00CD1017" w14:paraId="5EFCEE29" w14:textId="77777777" w:rsidTr="00C93F66">
        <w:tc>
          <w:tcPr>
            <w:tcW w:w="742" w:type="pct"/>
          </w:tcPr>
          <w:p w14:paraId="1875653B" w14:textId="77777777" w:rsidR="00CE4FE2" w:rsidRPr="00CD1017" w:rsidRDefault="00CE4FE2" w:rsidP="00C93F66">
            <w:pPr>
              <w:rPr>
                <w:i/>
              </w:rPr>
            </w:pPr>
            <w:r>
              <w:rPr>
                <w:i/>
              </w:rPr>
              <w:t>Tél.</w:t>
            </w:r>
          </w:p>
        </w:tc>
        <w:tc>
          <w:tcPr>
            <w:tcW w:w="4258" w:type="pct"/>
          </w:tcPr>
          <w:p w14:paraId="6AB93A42" w14:textId="77777777" w:rsidR="00CE4FE2" w:rsidRPr="00CD1017" w:rsidRDefault="00CE4FE2" w:rsidP="00C93F66">
            <w:pPr>
              <w:rPr>
                <w:i/>
              </w:rPr>
            </w:pPr>
            <w:r>
              <w:rPr>
                <w:i/>
              </w:rPr>
              <w:t>+32 25468188</w:t>
            </w:r>
          </w:p>
        </w:tc>
      </w:tr>
      <w:tr w:rsidR="00CE4FE2" w:rsidRPr="00CD1017" w14:paraId="007674CF" w14:textId="77777777" w:rsidTr="00C93F66">
        <w:tc>
          <w:tcPr>
            <w:tcW w:w="742" w:type="pct"/>
          </w:tcPr>
          <w:p w14:paraId="28498239" w14:textId="77777777" w:rsidR="00CE4FE2" w:rsidRPr="00CD1017" w:rsidRDefault="00CE4FE2" w:rsidP="00C93F66">
            <w:pPr>
              <w:rPr>
                <w:i/>
              </w:rPr>
            </w:pPr>
            <w:r>
              <w:rPr>
                <w:i/>
              </w:rPr>
              <w:t>Courriel</w:t>
            </w:r>
          </w:p>
        </w:tc>
        <w:tc>
          <w:tcPr>
            <w:tcW w:w="4258" w:type="pct"/>
          </w:tcPr>
          <w:p w14:paraId="27158AB1" w14:textId="77777777" w:rsidR="00CE4FE2" w:rsidRPr="00CD1017" w:rsidRDefault="00CB508B" w:rsidP="00C93F66">
            <w:pPr>
              <w:rPr>
                <w:i/>
                <w:iCs/>
                <w:sz w:val="20"/>
              </w:rPr>
            </w:pPr>
            <w:hyperlink r:id="rId65" w:history="1">
              <w:r w:rsidR="00CE4FE2">
                <w:rPr>
                  <w:rStyle w:val="Hyperlink"/>
                  <w:i/>
                  <w:sz w:val="20"/>
                </w:rPr>
                <w:t>Radoslava.Stefankova@eesc.europa.eu</w:t>
              </w:r>
            </w:hyperlink>
          </w:p>
        </w:tc>
      </w:tr>
    </w:tbl>
    <w:p w14:paraId="44DF965F" w14:textId="77777777" w:rsidR="00F31327" w:rsidRDefault="00F31327" w:rsidP="00F31327">
      <w:pPr>
        <w:jc w:val="left"/>
        <w:rPr>
          <w:b/>
          <w:i/>
          <w:sz w:val="28"/>
          <w:szCs w:val="28"/>
          <w:lang w:val="en-GB"/>
        </w:rPr>
      </w:pPr>
    </w:p>
    <w:p w14:paraId="5098A5BC" w14:textId="77777777" w:rsidR="00F31327" w:rsidRDefault="00F31327" w:rsidP="00F31327">
      <w:pPr>
        <w:jc w:val="left"/>
        <w:rPr>
          <w:b/>
          <w:i/>
          <w:sz w:val="28"/>
          <w:szCs w:val="28"/>
          <w:lang w:val="en-GB"/>
        </w:rPr>
      </w:pPr>
      <w:r>
        <w:rPr>
          <w:b/>
          <w:i/>
          <w:sz w:val="28"/>
          <w:szCs w:val="28"/>
          <w:lang w:val="en-GB"/>
        </w:rPr>
        <w:br w:type="page"/>
      </w:r>
    </w:p>
    <w:p w14:paraId="1ECC51B7" w14:textId="020D05DF" w:rsidR="00E46694" w:rsidRPr="007B22B6" w:rsidRDefault="00CB508B" w:rsidP="00E46694">
      <w:pPr>
        <w:widowControl w:val="0"/>
        <w:numPr>
          <w:ilvl w:val="0"/>
          <w:numId w:val="19"/>
        </w:numPr>
        <w:overflowPunct w:val="0"/>
        <w:autoSpaceDE w:val="0"/>
        <w:autoSpaceDN w:val="0"/>
        <w:adjustRightInd w:val="0"/>
        <w:ind w:hanging="567"/>
        <w:textAlignment w:val="baseline"/>
        <w:rPr>
          <w:b/>
          <w:bCs/>
          <w:i/>
          <w:iCs/>
          <w:sz w:val="28"/>
          <w:szCs w:val="28"/>
        </w:rPr>
      </w:pPr>
      <w:hyperlink r:id="rId66" w:tgtFrame="_blank" w:history="1">
        <w:r w:rsidR="00E46694">
          <w:rPr>
            <w:rStyle w:val="Hyperlink"/>
            <w:b/>
            <w:i/>
            <w:sz w:val="28"/>
          </w:rPr>
          <w:t>Train de mesures omnibus dans le domaine de la défense</w:t>
        </w:r>
      </w:hyperlink>
    </w:p>
    <w:p w14:paraId="1F679A5F" w14:textId="77777777" w:rsidR="00E46694" w:rsidRPr="007B22B6" w:rsidRDefault="00E46694" w:rsidP="00E46694">
      <w:pPr>
        <w:widowControl w:val="0"/>
        <w:ind w:left="567"/>
        <w:rPr>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E46694" w:rsidRPr="007B22B6" w14:paraId="519D78AE" w14:textId="77777777" w:rsidTr="00C93F66">
        <w:tc>
          <w:tcPr>
            <w:tcW w:w="1701" w:type="dxa"/>
          </w:tcPr>
          <w:p w14:paraId="6499ED86" w14:textId="77777777" w:rsidR="00E46694" w:rsidRPr="00C66C4F" w:rsidRDefault="00E46694" w:rsidP="00C93F66">
            <w:pPr>
              <w:tabs>
                <w:tab w:val="center" w:pos="284"/>
              </w:tabs>
              <w:ind w:left="266" w:hanging="266"/>
              <w:rPr>
                <w:b/>
              </w:rPr>
            </w:pPr>
            <w:r>
              <w:rPr>
                <w:b/>
              </w:rPr>
              <w:t>Rapporteur</w:t>
            </w:r>
          </w:p>
        </w:tc>
        <w:tc>
          <w:tcPr>
            <w:tcW w:w="7621" w:type="dxa"/>
          </w:tcPr>
          <w:p w14:paraId="003A24AC" w14:textId="77777777" w:rsidR="00E46694" w:rsidRPr="007B22B6" w:rsidRDefault="00E46694" w:rsidP="00C93F66">
            <w:pPr>
              <w:tabs>
                <w:tab w:val="center" w:pos="284"/>
              </w:tabs>
              <w:ind w:left="266" w:hanging="266"/>
            </w:pPr>
            <w:r>
              <w:t>Maurizio MENSI (groupe des organisations de la société civile — IT)</w:t>
            </w:r>
          </w:p>
        </w:tc>
      </w:tr>
      <w:tr w:rsidR="00E46694" w:rsidRPr="00C66C4F" w14:paraId="3B76F740" w14:textId="77777777" w:rsidTr="00C93F66">
        <w:tc>
          <w:tcPr>
            <w:tcW w:w="1701" w:type="dxa"/>
            <w:vMerge w:val="restart"/>
          </w:tcPr>
          <w:p w14:paraId="212B8CC5" w14:textId="77777777" w:rsidR="00E46694" w:rsidRPr="00C66C4F" w:rsidRDefault="00E46694" w:rsidP="00C93F66">
            <w:pPr>
              <w:tabs>
                <w:tab w:val="center" w:pos="284"/>
              </w:tabs>
              <w:ind w:left="266" w:hanging="266"/>
              <w:rPr>
                <w:b/>
              </w:rPr>
            </w:pPr>
            <w:r>
              <w:rPr>
                <w:b/>
              </w:rPr>
              <w:t>Références</w:t>
            </w:r>
          </w:p>
        </w:tc>
        <w:tc>
          <w:tcPr>
            <w:tcW w:w="7621" w:type="dxa"/>
          </w:tcPr>
          <w:p w14:paraId="1EC43676" w14:textId="18DEF838" w:rsidR="00E46694" w:rsidRPr="007B22B6" w:rsidRDefault="00E46694" w:rsidP="00C93F66">
            <w:pPr>
              <w:tabs>
                <w:tab w:val="center" w:pos="284"/>
              </w:tabs>
              <w:ind w:left="266" w:hanging="266"/>
            </w:pPr>
            <w:r>
              <w:t>COM (2025) 821</w:t>
            </w:r>
            <w:r w:rsidR="006031D5">
              <w:t> </w:t>
            </w:r>
            <w:r>
              <w:t xml:space="preserve">final </w:t>
            </w:r>
            <w:r w:rsidR="006031D5">
              <w:t>—</w:t>
            </w:r>
            <w:r>
              <w:t xml:space="preserve"> 2025/0172 (COD)</w:t>
            </w:r>
          </w:p>
          <w:p w14:paraId="686A1EFD" w14:textId="3F7F5BED" w:rsidR="00E46694" w:rsidRPr="007B22B6" w:rsidRDefault="00E46694" w:rsidP="00C93F66">
            <w:pPr>
              <w:tabs>
                <w:tab w:val="center" w:pos="284"/>
              </w:tabs>
              <w:ind w:left="266" w:hanging="266"/>
            </w:pPr>
            <w:r>
              <w:t>COM (2025) 822</w:t>
            </w:r>
            <w:r w:rsidR="006031D5">
              <w:t> </w:t>
            </w:r>
            <w:r>
              <w:t xml:space="preserve">final </w:t>
            </w:r>
            <w:r w:rsidR="006031D5">
              <w:t>—</w:t>
            </w:r>
            <w:r>
              <w:t xml:space="preserve"> 2025/0176 (COD)</w:t>
            </w:r>
          </w:p>
          <w:p w14:paraId="4A33ACBF" w14:textId="707BBC52" w:rsidR="00E46694" w:rsidRPr="00C66C4F" w:rsidRDefault="00E46694" w:rsidP="00C93F66">
            <w:pPr>
              <w:tabs>
                <w:tab w:val="center" w:pos="284"/>
              </w:tabs>
              <w:ind w:left="266" w:hanging="266"/>
            </w:pPr>
            <w:r>
              <w:t>COM (2025) 823</w:t>
            </w:r>
            <w:r w:rsidR="006031D5">
              <w:t> </w:t>
            </w:r>
            <w:r>
              <w:t xml:space="preserve">final </w:t>
            </w:r>
            <w:r w:rsidR="006031D5">
              <w:t>—</w:t>
            </w:r>
            <w:r>
              <w:t xml:space="preserve"> 2025/0177 (COD)</w:t>
            </w:r>
          </w:p>
        </w:tc>
      </w:tr>
      <w:tr w:rsidR="00E46694" w:rsidRPr="00C66C4F" w14:paraId="1EEFCB36" w14:textId="77777777" w:rsidTr="00C93F66">
        <w:tc>
          <w:tcPr>
            <w:tcW w:w="1701" w:type="dxa"/>
            <w:vMerge/>
          </w:tcPr>
          <w:p w14:paraId="5DF82040" w14:textId="77777777" w:rsidR="00E46694" w:rsidRPr="00C66C4F" w:rsidRDefault="00E46694" w:rsidP="00C93F66">
            <w:pPr>
              <w:tabs>
                <w:tab w:val="center" w:pos="284"/>
              </w:tabs>
              <w:ind w:left="266" w:hanging="266"/>
              <w:rPr>
                <w:b/>
                <w:lang w:val="en-US"/>
              </w:rPr>
            </w:pPr>
          </w:p>
        </w:tc>
        <w:tc>
          <w:tcPr>
            <w:tcW w:w="7621" w:type="dxa"/>
          </w:tcPr>
          <w:p w14:paraId="12FA1477" w14:textId="77777777" w:rsidR="00E46694" w:rsidRPr="00C66C4F" w:rsidRDefault="00E46694" w:rsidP="00C93F66">
            <w:pPr>
              <w:tabs>
                <w:tab w:val="center" w:pos="284"/>
              </w:tabs>
              <w:ind w:left="266" w:hanging="266"/>
            </w:pPr>
            <w:r>
              <w:t>EESC-2025-02672-00-00-AC</w:t>
            </w:r>
          </w:p>
        </w:tc>
      </w:tr>
    </w:tbl>
    <w:p w14:paraId="70539002" w14:textId="77777777" w:rsidR="00E46694" w:rsidRDefault="00E46694" w:rsidP="00E46694">
      <w:pPr>
        <w:keepNext/>
        <w:keepLines/>
        <w:tabs>
          <w:tab w:val="center" w:pos="284"/>
        </w:tabs>
        <w:ind w:left="266" w:hanging="266"/>
        <w:rPr>
          <w:b/>
        </w:rPr>
      </w:pPr>
    </w:p>
    <w:p w14:paraId="50C8A22C" w14:textId="77777777" w:rsidR="00E46694" w:rsidRPr="00C66C4F" w:rsidRDefault="00E46694" w:rsidP="00E46694">
      <w:pPr>
        <w:keepNext/>
        <w:keepLines/>
        <w:tabs>
          <w:tab w:val="center" w:pos="284"/>
        </w:tabs>
        <w:ind w:left="266" w:hanging="266"/>
        <w:rPr>
          <w:b/>
        </w:rPr>
      </w:pPr>
      <w:r>
        <w:rPr>
          <w:b/>
        </w:rPr>
        <w:t>Points clés</w:t>
      </w:r>
    </w:p>
    <w:p w14:paraId="3C025F28" w14:textId="77777777" w:rsidR="00E46694" w:rsidRPr="00C66C4F" w:rsidRDefault="00E46694" w:rsidP="00E46694">
      <w:pPr>
        <w:keepNext/>
        <w:keepLines/>
        <w:tabs>
          <w:tab w:val="center" w:pos="284"/>
        </w:tabs>
        <w:ind w:left="266" w:hanging="266"/>
        <w:rPr>
          <w:b/>
        </w:rPr>
      </w:pPr>
    </w:p>
    <w:p w14:paraId="42094DF5" w14:textId="77777777" w:rsidR="00E46694" w:rsidRDefault="00E46694" w:rsidP="00E46694">
      <w:pPr>
        <w:rPr>
          <w:bCs/>
          <w:iCs/>
        </w:rPr>
      </w:pPr>
      <w:r>
        <w:t xml:space="preserve">Le </w:t>
      </w:r>
      <w:proofErr w:type="gramStart"/>
      <w:r>
        <w:t>CESE:</w:t>
      </w:r>
      <w:proofErr w:type="gramEnd"/>
    </w:p>
    <w:p w14:paraId="7A009454" w14:textId="77777777" w:rsidR="00E46694" w:rsidRPr="001830A7" w:rsidRDefault="00E46694" w:rsidP="00E46694">
      <w:pPr>
        <w:pStyle w:val="ListParagraph"/>
        <w:numPr>
          <w:ilvl w:val="0"/>
          <w:numId w:val="18"/>
        </w:numPr>
        <w:ind w:left="567" w:hanging="567"/>
      </w:pPr>
      <w:proofErr w:type="gramStart"/>
      <w:r>
        <w:t>souligne</w:t>
      </w:r>
      <w:proofErr w:type="gramEnd"/>
      <w:r>
        <w:t xml:space="preserve"> la nécessité de prévoir des mécanismes de vérification de l’application, au niveau national, des adaptations proposées du cadre réglementaire;</w:t>
      </w:r>
    </w:p>
    <w:p w14:paraId="0347630A" w14:textId="77777777" w:rsidR="00E46694" w:rsidRPr="001830A7" w:rsidRDefault="00E46694" w:rsidP="00E46694">
      <w:pPr>
        <w:pStyle w:val="ListParagraph"/>
        <w:numPr>
          <w:ilvl w:val="0"/>
          <w:numId w:val="18"/>
        </w:numPr>
        <w:ind w:left="567" w:hanging="567"/>
      </w:pPr>
      <w:proofErr w:type="gramStart"/>
      <w:r>
        <w:t>recommande</w:t>
      </w:r>
      <w:proofErr w:type="gramEnd"/>
      <w:r>
        <w:t xml:space="preserve"> de renforcer le règlement relatif à l’accélération des procédures d’octroi des autorisations;</w:t>
      </w:r>
    </w:p>
    <w:p w14:paraId="64AF284F" w14:textId="77777777" w:rsidR="00E46694" w:rsidRPr="001830A7" w:rsidRDefault="00E46694" w:rsidP="00E46694">
      <w:pPr>
        <w:pStyle w:val="ListParagraph"/>
        <w:numPr>
          <w:ilvl w:val="0"/>
          <w:numId w:val="18"/>
        </w:numPr>
        <w:ind w:left="567" w:hanging="567"/>
      </w:pPr>
      <w:proofErr w:type="gramStart"/>
      <w:r>
        <w:t>recommande</w:t>
      </w:r>
      <w:proofErr w:type="gramEnd"/>
      <w:r>
        <w:t xml:space="preserve"> l’utilisation systématique et prioritaire des licences générales de transfert pour tous les projets financés ou coordonnés au niveau de l’Union, ainsi que l’extension et l’harmonisation de ces dispositifs dans les systèmes nationaux;</w:t>
      </w:r>
    </w:p>
    <w:p w14:paraId="2EAA48F4" w14:textId="77777777" w:rsidR="00E46694" w:rsidRPr="001830A7" w:rsidRDefault="00E46694" w:rsidP="00E46694">
      <w:pPr>
        <w:pStyle w:val="ListParagraph"/>
        <w:numPr>
          <w:ilvl w:val="0"/>
          <w:numId w:val="18"/>
        </w:numPr>
        <w:ind w:left="567" w:hanging="567"/>
      </w:pPr>
      <w:proofErr w:type="gramStart"/>
      <w:r>
        <w:t>recommande</w:t>
      </w:r>
      <w:proofErr w:type="gramEnd"/>
      <w:r>
        <w:t xml:space="preserve"> de vérifier l’efficacité des mesures de simplification;</w:t>
      </w:r>
    </w:p>
    <w:p w14:paraId="55BD727C" w14:textId="77777777" w:rsidR="00E46694" w:rsidRPr="001830A7" w:rsidRDefault="00E46694" w:rsidP="00E46694">
      <w:pPr>
        <w:pStyle w:val="ListParagraph"/>
        <w:numPr>
          <w:ilvl w:val="0"/>
          <w:numId w:val="18"/>
        </w:numPr>
        <w:ind w:left="567" w:hanging="567"/>
      </w:pPr>
      <w:proofErr w:type="gramStart"/>
      <w:r>
        <w:t>recommande</w:t>
      </w:r>
      <w:proofErr w:type="gramEnd"/>
      <w:r>
        <w:t xml:space="preserve"> que la possibilité pour les États membres d’autoriser des exemptions au niveau national pour des substances chimiques, «lorsque cela s’avère nécessaire aux intérêts de la Défense», soit soumise à des procédures appropriées de vérification et de compatibilité environnementales;</w:t>
      </w:r>
    </w:p>
    <w:p w14:paraId="5FDDE193" w14:textId="77777777" w:rsidR="00E46694" w:rsidRPr="001830A7" w:rsidRDefault="00E46694" w:rsidP="00E46694">
      <w:pPr>
        <w:pStyle w:val="ListParagraph"/>
        <w:numPr>
          <w:ilvl w:val="0"/>
          <w:numId w:val="18"/>
        </w:numPr>
        <w:ind w:left="567" w:hanging="567"/>
      </w:pPr>
      <w:proofErr w:type="gramStart"/>
      <w:r>
        <w:t>recommande</w:t>
      </w:r>
      <w:proofErr w:type="gramEnd"/>
      <w:r>
        <w:t xml:space="preserve"> de rendre la gestion du Fonds européen de la défense plus souple et plus transparente;</w:t>
      </w:r>
    </w:p>
    <w:p w14:paraId="5E23BF22" w14:textId="77777777" w:rsidR="00E46694" w:rsidRPr="001830A7" w:rsidRDefault="00E46694" w:rsidP="00E46694">
      <w:pPr>
        <w:pStyle w:val="ListParagraph"/>
        <w:numPr>
          <w:ilvl w:val="0"/>
          <w:numId w:val="18"/>
        </w:numPr>
        <w:ind w:left="567" w:hanging="567"/>
      </w:pPr>
      <w:proofErr w:type="gramStart"/>
      <w:r>
        <w:t>recommande</w:t>
      </w:r>
      <w:proofErr w:type="gramEnd"/>
      <w:r>
        <w:t xml:space="preserve"> de fournir des clarifications interprétatives pour des instruments tels qu’</w:t>
      </w:r>
      <w:proofErr w:type="spellStart"/>
      <w:r>
        <w:t>InvestEU</w:t>
      </w:r>
      <w:proofErr w:type="spellEnd"/>
      <w:r>
        <w:t xml:space="preserve"> et le cadre pour la finance durable, en simplifiant les procédures et en protégeant la confidentialité des informations sensibles;</w:t>
      </w:r>
    </w:p>
    <w:p w14:paraId="1C68696C" w14:textId="77777777" w:rsidR="00E46694" w:rsidRPr="001830A7" w:rsidRDefault="00E46694" w:rsidP="00E46694">
      <w:pPr>
        <w:pStyle w:val="ListParagraph"/>
        <w:numPr>
          <w:ilvl w:val="0"/>
          <w:numId w:val="18"/>
        </w:numPr>
        <w:ind w:left="567" w:hanging="567"/>
      </w:pPr>
      <w:proofErr w:type="gramStart"/>
      <w:r>
        <w:t>recommande</w:t>
      </w:r>
      <w:proofErr w:type="gramEnd"/>
      <w:r>
        <w:t xml:space="preserve"> à la Commission de coordonner et de superviser la mise en place d’académies, de centres de compétence et d’excellence, de programmes de mobilité et de programmes Erasmus+ ciblant l’industrie de la défense.</w:t>
      </w:r>
    </w:p>
    <w:p w14:paraId="6CA1278D" w14:textId="77777777" w:rsidR="00E46694" w:rsidRDefault="00E46694" w:rsidP="00E4669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E46694" w:rsidRPr="00A6689B" w14:paraId="200E9847" w14:textId="77777777" w:rsidTr="00C93F66">
        <w:tc>
          <w:tcPr>
            <w:tcW w:w="1418" w:type="dxa"/>
          </w:tcPr>
          <w:p w14:paraId="7D774BD2" w14:textId="77777777" w:rsidR="00E46694" w:rsidRPr="00A6689B" w:rsidRDefault="00E46694" w:rsidP="00C93F66">
            <w:pPr>
              <w:rPr>
                <w:i/>
              </w:rPr>
            </w:pPr>
            <w:r>
              <w:rPr>
                <w:b/>
                <w:i/>
              </w:rPr>
              <w:t>Contact</w:t>
            </w:r>
          </w:p>
        </w:tc>
        <w:tc>
          <w:tcPr>
            <w:tcW w:w="7904" w:type="dxa"/>
          </w:tcPr>
          <w:p w14:paraId="64A4C461" w14:textId="77777777" w:rsidR="00E46694" w:rsidRPr="00A6689B" w:rsidRDefault="00E46694" w:rsidP="00C93F66">
            <w:pPr>
              <w:rPr>
                <w:i/>
              </w:rPr>
            </w:pPr>
            <w:proofErr w:type="spellStart"/>
            <w:r>
              <w:rPr>
                <w:i/>
              </w:rPr>
              <w:t>Annalisa</w:t>
            </w:r>
            <w:proofErr w:type="spellEnd"/>
            <w:r>
              <w:rPr>
                <w:i/>
              </w:rPr>
              <w:t> TESSAROLO</w:t>
            </w:r>
          </w:p>
        </w:tc>
      </w:tr>
      <w:tr w:rsidR="00E46694" w:rsidRPr="00A6689B" w14:paraId="06BED250" w14:textId="77777777" w:rsidTr="00C93F66">
        <w:tc>
          <w:tcPr>
            <w:tcW w:w="1418" w:type="dxa"/>
          </w:tcPr>
          <w:p w14:paraId="6AF4A9DE" w14:textId="77777777" w:rsidR="00E46694" w:rsidRPr="00A6689B" w:rsidRDefault="00E46694" w:rsidP="00C93F66">
            <w:pPr>
              <w:rPr>
                <w:i/>
              </w:rPr>
            </w:pPr>
            <w:r>
              <w:rPr>
                <w:i/>
              </w:rPr>
              <w:t>Tél.</w:t>
            </w:r>
          </w:p>
        </w:tc>
        <w:tc>
          <w:tcPr>
            <w:tcW w:w="7904" w:type="dxa"/>
          </w:tcPr>
          <w:p w14:paraId="47258DD4" w14:textId="77777777" w:rsidR="00E46694" w:rsidRPr="00A6689B" w:rsidRDefault="00E46694" w:rsidP="00C93F66">
            <w:pPr>
              <w:rPr>
                <w:i/>
              </w:rPr>
            </w:pPr>
            <w:r>
              <w:rPr>
                <w:i/>
              </w:rPr>
              <w:t>+32 25469732</w:t>
            </w:r>
          </w:p>
        </w:tc>
      </w:tr>
      <w:tr w:rsidR="00E46694" w:rsidRPr="00A6689B" w14:paraId="49FC5BDF" w14:textId="77777777" w:rsidTr="00C93F66">
        <w:tc>
          <w:tcPr>
            <w:tcW w:w="1418" w:type="dxa"/>
          </w:tcPr>
          <w:p w14:paraId="619707CC" w14:textId="77777777" w:rsidR="00E46694" w:rsidRPr="00A6689B" w:rsidRDefault="00E46694" w:rsidP="00C93F66">
            <w:pPr>
              <w:rPr>
                <w:i/>
              </w:rPr>
            </w:pPr>
            <w:r>
              <w:rPr>
                <w:i/>
              </w:rPr>
              <w:t>Courriel</w:t>
            </w:r>
          </w:p>
        </w:tc>
        <w:tc>
          <w:tcPr>
            <w:tcW w:w="7904" w:type="dxa"/>
          </w:tcPr>
          <w:p w14:paraId="7A131AE9" w14:textId="77777777" w:rsidR="00E46694" w:rsidRPr="008F69DA" w:rsidRDefault="00CB508B" w:rsidP="00C93F66">
            <w:pPr>
              <w:rPr>
                <w:i/>
                <w:iCs/>
              </w:rPr>
            </w:pPr>
            <w:hyperlink r:id="rId67" w:history="1">
              <w:r w:rsidR="00E46694">
                <w:rPr>
                  <w:rStyle w:val="Hyperlink"/>
                  <w:i/>
                </w:rPr>
                <w:t>Annalisa.Tessarolo@eesc.europa.eu</w:t>
              </w:r>
            </w:hyperlink>
          </w:p>
        </w:tc>
      </w:tr>
    </w:tbl>
    <w:p w14:paraId="126CEF58" w14:textId="77777777" w:rsidR="00F31327" w:rsidRDefault="00F31327" w:rsidP="00F31327">
      <w:pPr>
        <w:jc w:val="left"/>
        <w:rPr>
          <w:b/>
          <w:i/>
          <w:sz w:val="28"/>
          <w:szCs w:val="28"/>
          <w:lang w:val="en-GB"/>
        </w:rPr>
      </w:pPr>
    </w:p>
    <w:p w14:paraId="7826C427" w14:textId="77777777" w:rsidR="00F31327" w:rsidRDefault="00F31327" w:rsidP="00F31327">
      <w:pPr>
        <w:jc w:val="left"/>
        <w:rPr>
          <w:b/>
          <w:i/>
          <w:sz w:val="28"/>
          <w:szCs w:val="28"/>
          <w:lang w:val="en-GB"/>
        </w:rPr>
      </w:pPr>
      <w:r>
        <w:rPr>
          <w:b/>
          <w:i/>
          <w:sz w:val="28"/>
          <w:szCs w:val="28"/>
          <w:lang w:val="en-GB"/>
        </w:rPr>
        <w:br w:type="page"/>
      </w:r>
    </w:p>
    <w:p w14:paraId="5962294B" w14:textId="2A4B58FC" w:rsidR="00781677" w:rsidRDefault="00781677" w:rsidP="00781677">
      <w:pPr>
        <w:widowControl w:val="0"/>
        <w:jc w:val="center"/>
        <w:rPr>
          <w:bCs/>
          <w:iCs/>
        </w:rPr>
      </w:pPr>
    </w:p>
    <w:p w14:paraId="25D712B7" w14:textId="782D7037" w:rsidR="00781677" w:rsidRPr="0003586F" w:rsidRDefault="00CB508B" w:rsidP="00781677">
      <w:pPr>
        <w:widowControl w:val="0"/>
        <w:numPr>
          <w:ilvl w:val="0"/>
          <w:numId w:val="19"/>
        </w:numPr>
        <w:overflowPunct w:val="0"/>
        <w:autoSpaceDE w:val="0"/>
        <w:autoSpaceDN w:val="0"/>
        <w:adjustRightInd w:val="0"/>
        <w:ind w:hanging="567"/>
        <w:textAlignment w:val="baseline"/>
        <w:rPr>
          <w:sz w:val="20"/>
        </w:rPr>
      </w:pPr>
      <w:hyperlink r:id="rId68" w:tgtFrame="_blank" w:history="1">
        <w:r w:rsidR="00781677">
          <w:rPr>
            <w:rStyle w:val="Hyperlink"/>
            <w:b/>
            <w:i/>
            <w:sz w:val="28"/>
          </w:rPr>
          <w:t>Entreprise commune européenne pour le calcul à haute performance</w:t>
        </w:r>
      </w:hyperlink>
    </w:p>
    <w:p w14:paraId="46F5C29C" w14:textId="77777777" w:rsidR="00781677" w:rsidRPr="00A6689B" w:rsidRDefault="00781677" w:rsidP="00781677">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2"/>
        <w:gridCol w:w="4110"/>
        <w:gridCol w:w="851"/>
      </w:tblGrid>
      <w:tr w:rsidR="00781677" w:rsidRPr="00A6689B" w14:paraId="73C30818" w14:textId="77777777" w:rsidTr="00C93F66">
        <w:tc>
          <w:tcPr>
            <w:tcW w:w="2127" w:type="dxa"/>
            <w:gridSpan w:val="2"/>
          </w:tcPr>
          <w:p w14:paraId="5D37A320" w14:textId="77777777" w:rsidR="00781677" w:rsidRPr="00A6689B" w:rsidRDefault="00781677" w:rsidP="00C93F66">
            <w:pPr>
              <w:tabs>
                <w:tab w:val="center" w:pos="284"/>
              </w:tabs>
              <w:ind w:left="266" w:hanging="266"/>
              <w:jc w:val="left"/>
              <w:rPr>
                <w:b/>
              </w:rPr>
            </w:pPr>
            <w:r>
              <w:rPr>
                <w:b/>
              </w:rPr>
              <w:t>Avis de catégorie C</w:t>
            </w:r>
          </w:p>
        </w:tc>
        <w:tc>
          <w:tcPr>
            <w:tcW w:w="4961" w:type="dxa"/>
            <w:gridSpan w:val="2"/>
          </w:tcPr>
          <w:p w14:paraId="3A79F544" w14:textId="77777777" w:rsidR="00781677" w:rsidRPr="00A6689B" w:rsidRDefault="00781677" w:rsidP="00C93F66">
            <w:pPr>
              <w:tabs>
                <w:tab w:val="center" w:pos="284"/>
              </w:tabs>
              <w:ind w:left="266" w:hanging="266"/>
              <w:jc w:val="left"/>
              <w:rPr>
                <w:lang w:val="en-US"/>
              </w:rPr>
            </w:pPr>
          </w:p>
        </w:tc>
      </w:tr>
      <w:tr w:rsidR="00781677" w:rsidRPr="00A6689B" w14:paraId="3C8C350A" w14:textId="77777777" w:rsidTr="00C93F66">
        <w:trPr>
          <w:gridAfter w:val="1"/>
          <w:wAfter w:w="851" w:type="dxa"/>
        </w:trPr>
        <w:tc>
          <w:tcPr>
            <w:tcW w:w="6237" w:type="dxa"/>
            <w:gridSpan w:val="3"/>
          </w:tcPr>
          <w:p w14:paraId="1C1A6B1F" w14:textId="77777777" w:rsidR="00781677" w:rsidRPr="00A6689B" w:rsidRDefault="00781677" w:rsidP="00C93F66">
            <w:pPr>
              <w:tabs>
                <w:tab w:val="center" w:pos="284"/>
              </w:tabs>
              <w:spacing w:line="160" w:lineRule="exact"/>
              <w:ind w:left="266" w:hanging="266"/>
              <w:rPr>
                <w:lang w:val="en-US"/>
              </w:rPr>
            </w:pPr>
          </w:p>
        </w:tc>
      </w:tr>
      <w:tr w:rsidR="00781677" w:rsidRPr="00A6689B" w14:paraId="6681B2FD" w14:textId="77777777" w:rsidTr="00C93F66">
        <w:trPr>
          <w:gridAfter w:val="1"/>
          <w:wAfter w:w="851" w:type="dxa"/>
        </w:trPr>
        <w:tc>
          <w:tcPr>
            <w:tcW w:w="1985" w:type="dxa"/>
            <w:vMerge w:val="restart"/>
          </w:tcPr>
          <w:p w14:paraId="69DBA3FC" w14:textId="77777777" w:rsidR="00781677" w:rsidRPr="00A6689B" w:rsidRDefault="00781677" w:rsidP="00C93F66">
            <w:pPr>
              <w:tabs>
                <w:tab w:val="center" w:pos="284"/>
              </w:tabs>
              <w:ind w:left="266" w:hanging="266"/>
              <w:rPr>
                <w:b/>
              </w:rPr>
            </w:pPr>
            <w:r>
              <w:rPr>
                <w:b/>
              </w:rPr>
              <w:t>Références</w:t>
            </w:r>
          </w:p>
        </w:tc>
        <w:tc>
          <w:tcPr>
            <w:tcW w:w="4252" w:type="dxa"/>
            <w:gridSpan w:val="2"/>
          </w:tcPr>
          <w:p w14:paraId="78C929DD" w14:textId="77777777" w:rsidR="0007261B" w:rsidRDefault="0007261B" w:rsidP="00C93F66">
            <w:pPr>
              <w:tabs>
                <w:tab w:val="center" w:pos="284"/>
              </w:tabs>
              <w:ind w:left="266" w:hanging="266"/>
            </w:pPr>
            <w:r>
              <w:t>Avis de catégorie C</w:t>
            </w:r>
          </w:p>
          <w:p w14:paraId="2A2EF535" w14:textId="331647B1" w:rsidR="00781677" w:rsidRPr="00A6689B" w:rsidRDefault="00781677" w:rsidP="00C93F66">
            <w:pPr>
              <w:tabs>
                <w:tab w:val="center" w:pos="284"/>
              </w:tabs>
              <w:ind w:left="266" w:hanging="266"/>
            </w:pPr>
            <w:proofErr w:type="gramStart"/>
            <w:r>
              <w:t>COM(</w:t>
            </w:r>
            <w:proofErr w:type="gramEnd"/>
            <w:r>
              <w:t>2025) 414 final</w:t>
            </w:r>
          </w:p>
        </w:tc>
      </w:tr>
      <w:tr w:rsidR="00781677" w:rsidRPr="00A6689B" w14:paraId="45140424" w14:textId="77777777" w:rsidTr="00C93F66">
        <w:trPr>
          <w:gridAfter w:val="1"/>
          <w:wAfter w:w="851" w:type="dxa"/>
        </w:trPr>
        <w:tc>
          <w:tcPr>
            <w:tcW w:w="1985" w:type="dxa"/>
            <w:vMerge/>
          </w:tcPr>
          <w:p w14:paraId="18BC91B8" w14:textId="77777777" w:rsidR="00781677" w:rsidRPr="00A6689B" w:rsidRDefault="00781677" w:rsidP="00C93F66">
            <w:pPr>
              <w:tabs>
                <w:tab w:val="center" w:pos="284"/>
              </w:tabs>
              <w:ind w:left="266" w:hanging="266"/>
              <w:rPr>
                <w:b/>
                <w:lang w:val="en-US"/>
              </w:rPr>
            </w:pPr>
          </w:p>
        </w:tc>
        <w:tc>
          <w:tcPr>
            <w:tcW w:w="4252" w:type="dxa"/>
            <w:gridSpan w:val="2"/>
          </w:tcPr>
          <w:p w14:paraId="152EF259" w14:textId="77777777" w:rsidR="00781677" w:rsidRPr="00A6689B" w:rsidRDefault="00781677" w:rsidP="00C93F66">
            <w:pPr>
              <w:tabs>
                <w:tab w:val="center" w:pos="284"/>
              </w:tabs>
              <w:ind w:left="266" w:hanging="266"/>
            </w:pPr>
            <w:r>
              <w:t>EESC-2025-02965-00-00-AC</w:t>
            </w:r>
          </w:p>
        </w:tc>
      </w:tr>
    </w:tbl>
    <w:p w14:paraId="2BEFC1AE" w14:textId="77777777" w:rsidR="00781677" w:rsidRDefault="00781677" w:rsidP="00781677">
      <w:pPr>
        <w:tabs>
          <w:tab w:val="center" w:pos="284"/>
        </w:tabs>
        <w:ind w:left="266" w:hanging="266"/>
      </w:pPr>
    </w:p>
    <w:p w14:paraId="27E5F991" w14:textId="77777777" w:rsidR="00781677" w:rsidRPr="00A6689B" w:rsidRDefault="00781677" w:rsidP="00781677">
      <w:pPr>
        <w:tabs>
          <w:tab w:val="center" w:pos="284"/>
        </w:tabs>
        <w:ind w:left="266" w:hanging="266"/>
      </w:pPr>
    </w:p>
    <w:p w14:paraId="3CA402D9" w14:textId="77777777" w:rsidR="00781677" w:rsidRPr="00A6689B" w:rsidRDefault="00781677" w:rsidP="00781677">
      <w:pPr>
        <w:keepNext/>
        <w:keepLines/>
        <w:tabs>
          <w:tab w:val="center" w:pos="284"/>
        </w:tabs>
        <w:ind w:left="266" w:hanging="266"/>
        <w:rPr>
          <w:b/>
        </w:rPr>
      </w:pPr>
      <w:r>
        <w:rPr>
          <w:b/>
        </w:rPr>
        <w:t xml:space="preserve">Points </w:t>
      </w:r>
      <w:proofErr w:type="gramStart"/>
      <w:r>
        <w:rPr>
          <w:b/>
        </w:rPr>
        <w:t>clés:</w:t>
      </w:r>
      <w:proofErr w:type="gramEnd"/>
    </w:p>
    <w:p w14:paraId="7B0E0A22" w14:textId="77777777" w:rsidR="00781677" w:rsidRPr="00A6689B" w:rsidRDefault="00781677" w:rsidP="00781677">
      <w:pPr>
        <w:keepNext/>
        <w:keepLines/>
        <w:tabs>
          <w:tab w:val="center" w:pos="284"/>
        </w:tabs>
        <w:ind w:left="266" w:hanging="266"/>
        <w:rPr>
          <w:b/>
        </w:rPr>
      </w:pPr>
    </w:p>
    <w:p w14:paraId="64A7A93E" w14:textId="77777777" w:rsidR="00781677" w:rsidRPr="00A6689B" w:rsidRDefault="00781677" w:rsidP="00781677">
      <w:pPr>
        <w:rPr>
          <w:bCs/>
          <w:iCs/>
        </w:rPr>
      </w:pPr>
      <w:r>
        <w:t>Le CESE estime que le contenu de la proposition est satisfaisant et n’appelle aucun commentaire de sa part.</w:t>
      </w:r>
    </w:p>
    <w:p w14:paraId="0F14A923" w14:textId="77777777" w:rsidR="00781677" w:rsidRDefault="00781677" w:rsidP="00781677">
      <w:pPr>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781677" w:rsidRPr="00611B53" w14:paraId="52798C6E" w14:textId="77777777" w:rsidTr="00C93F66">
        <w:tc>
          <w:tcPr>
            <w:tcW w:w="1418" w:type="dxa"/>
          </w:tcPr>
          <w:p w14:paraId="4BD43C6F" w14:textId="77777777" w:rsidR="00781677" w:rsidRPr="00611B53" w:rsidRDefault="00781677" w:rsidP="00C93F66">
            <w:pPr>
              <w:spacing w:line="240" w:lineRule="auto"/>
              <w:rPr>
                <w:i/>
              </w:rPr>
            </w:pPr>
            <w:r>
              <w:rPr>
                <w:b/>
                <w:i/>
              </w:rPr>
              <w:t>Contact</w:t>
            </w:r>
          </w:p>
        </w:tc>
        <w:tc>
          <w:tcPr>
            <w:tcW w:w="5670" w:type="dxa"/>
          </w:tcPr>
          <w:p w14:paraId="281F43D2" w14:textId="4542704C" w:rsidR="00781677" w:rsidRPr="00611B53" w:rsidRDefault="00781677" w:rsidP="00C93F66">
            <w:pPr>
              <w:spacing w:line="240" w:lineRule="auto"/>
              <w:rPr>
                <w:i/>
              </w:rPr>
            </w:pPr>
            <w:r>
              <w:rPr>
                <w:i/>
              </w:rPr>
              <w:t>Alice </w:t>
            </w:r>
            <w:r w:rsidR="0007261B">
              <w:rPr>
                <w:i/>
              </w:rPr>
              <w:t>TETU</w:t>
            </w:r>
          </w:p>
        </w:tc>
      </w:tr>
      <w:tr w:rsidR="00781677" w:rsidRPr="00611B53" w14:paraId="01B65397" w14:textId="77777777" w:rsidTr="00C93F66">
        <w:tc>
          <w:tcPr>
            <w:tcW w:w="1418" w:type="dxa"/>
          </w:tcPr>
          <w:p w14:paraId="1C0D3A32" w14:textId="77777777" w:rsidR="00781677" w:rsidRPr="00611B53" w:rsidRDefault="00781677" w:rsidP="00C93F66">
            <w:pPr>
              <w:spacing w:line="240" w:lineRule="auto"/>
              <w:rPr>
                <w:i/>
              </w:rPr>
            </w:pPr>
            <w:r>
              <w:rPr>
                <w:i/>
              </w:rPr>
              <w:t>Tél.</w:t>
            </w:r>
          </w:p>
        </w:tc>
        <w:tc>
          <w:tcPr>
            <w:tcW w:w="5670" w:type="dxa"/>
          </w:tcPr>
          <w:p w14:paraId="427E48A9" w14:textId="77777777" w:rsidR="00781677" w:rsidRPr="00611B53" w:rsidRDefault="00781677" w:rsidP="00C93F66">
            <w:pPr>
              <w:spacing w:line="240" w:lineRule="auto"/>
              <w:rPr>
                <w:i/>
              </w:rPr>
            </w:pPr>
            <w:r>
              <w:rPr>
                <w:i/>
              </w:rPr>
              <w:t>+32 25468286</w:t>
            </w:r>
          </w:p>
        </w:tc>
      </w:tr>
      <w:tr w:rsidR="00781677" w:rsidRPr="00611B53" w14:paraId="1938F851" w14:textId="77777777" w:rsidTr="00C93F66">
        <w:tc>
          <w:tcPr>
            <w:tcW w:w="1418" w:type="dxa"/>
          </w:tcPr>
          <w:p w14:paraId="4AB17350" w14:textId="77777777" w:rsidR="00781677" w:rsidRPr="00611B53" w:rsidRDefault="00781677" w:rsidP="00C93F66">
            <w:pPr>
              <w:spacing w:line="240" w:lineRule="auto"/>
              <w:rPr>
                <w:i/>
              </w:rPr>
            </w:pPr>
            <w:r>
              <w:rPr>
                <w:i/>
              </w:rPr>
              <w:t>Courriel</w:t>
            </w:r>
          </w:p>
        </w:tc>
        <w:tc>
          <w:tcPr>
            <w:tcW w:w="5670" w:type="dxa"/>
          </w:tcPr>
          <w:p w14:paraId="14A1AB65" w14:textId="77777777" w:rsidR="00781677" w:rsidRPr="00611B53" w:rsidRDefault="00CB508B" w:rsidP="00C93F66">
            <w:pPr>
              <w:spacing w:line="240" w:lineRule="auto"/>
              <w:rPr>
                <w:i/>
              </w:rPr>
            </w:pPr>
            <w:hyperlink r:id="rId69" w:history="1">
              <w:r w:rsidR="00781677">
                <w:rPr>
                  <w:rStyle w:val="Hyperlink"/>
                  <w:i/>
                </w:rPr>
                <w:t>Alice.Tetu@eesc.europa.eu</w:t>
              </w:r>
            </w:hyperlink>
          </w:p>
        </w:tc>
      </w:tr>
    </w:tbl>
    <w:p w14:paraId="10E278BC" w14:textId="77777777" w:rsidR="00F31327" w:rsidRPr="00D20AB4" w:rsidRDefault="00F31327" w:rsidP="00F31327">
      <w:pPr>
        <w:jc w:val="left"/>
      </w:pPr>
    </w:p>
    <w:p w14:paraId="5B3E6D5B" w14:textId="77777777" w:rsidR="00F31327" w:rsidRPr="00D20AB4" w:rsidRDefault="00F31327" w:rsidP="00F31327">
      <w:pPr>
        <w:jc w:val="left"/>
      </w:pPr>
      <w:r w:rsidRPr="00D20AB4">
        <w:br w:type="page"/>
      </w:r>
    </w:p>
    <w:p w14:paraId="7BE0C72A" w14:textId="462C39AC" w:rsidR="00D062E5" w:rsidRPr="005E4210" w:rsidRDefault="00CB508B" w:rsidP="00D062E5">
      <w:pPr>
        <w:widowControl w:val="0"/>
        <w:numPr>
          <w:ilvl w:val="0"/>
          <w:numId w:val="99"/>
        </w:numPr>
        <w:overflowPunct w:val="0"/>
        <w:autoSpaceDE w:val="0"/>
        <w:autoSpaceDN w:val="0"/>
        <w:adjustRightInd w:val="0"/>
        <w:ind w:left="266" w:hanging="266"/>
        <w:textAlignment w:val="baseline"/>
        <w:rPr>
          <w:b/>
        </w:rPr>
      </w:pPr>
      <w:hyperlink r:id="rId70" w:history="1">
        <w:r w:rsidR="00D062E5">
          <w:rPr>
            <w:rStyle w:val="Hyperlink"/>
            <w:b/>
            <w:i/>
            <w:sz w:val="28"/>
          </w:rPr>
          <w:t>Start-up et scale-up</w:t>
        </w:r>
      </w:hyperlink>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6926"/>
      </w:tblGrid>
      <w:tr w:rsidR="00D062E5" w:rsidRPr="00A6689B" w14:paraId="3695AB29" w14:textId="77777777" w:rsidTr="00C93F66">
        <w:tc>
          <w:tcPr>
            <w:tcW w:w="1148" w:type="pct"/>
          </w:tcPr>
          <w:p w14:paraId="79459DCD" w14:textId="77777777" w:rsidR="00D062E5" w:rsidRDefault="00D062E5" w:rsidP="00C93F66">
            <w:pPr>
              <w:tabs>
                <w:tab w:val="center" w:pos="284"/>
              </w:tabs>
              <w:ind w:left="266" w:hanging="266"/>
              <w:rPr>
                <w:b/>
                <w:lang w:val="en-US"/>
              </w:rPr>
            </w:pPr>
          </w:p>
          <w:p w14:paraId="7EC3B1F0" w14:textId="77777777" w:rsidR="00D062E5" w:rsidRPr="00A6689B" w:rsidRDefault="00D062E5" w:rsidP="00C93F66">
            <w:pPr>
              <w:tabs>
                <w:tab w:val="center" w:pos="284"/>
              </w:tabs>
              <w:ind w:left="266" w:hanging="374"/>
              <w:rPr>
                <w:b/>
              </w:rPr>
            </w:pPr>
            <w:proofErr w:type="spellStart"/>
            <w:r>
              <w:rPr>
                <w:b/>
                <w:bCs/>
              </w:rPr>
              <w:t>Rapporteure</w:t>
            </w:r>
            <w:proofErr w:type="spellEnd"/>
          </w:p>
        </w:tc>
        <w:tc>
          <w:tcPr>
            <w:tcW w:w="3852" w:type="pct"/>
          </w:tcPr>
          <w:p w14:paraId="348E36C1" w14:textId="77777777" w:rsidR="00D062E5" w:rsidRDefault="00D062E5" w:rsidP="00C93F66">
            <w:pPr>
              <w:tabs>
                <w:tab w:val="center" w:pos="284"/>
              </w:tabs>
              <w:ind w:left="266" w:hanging="266"/>
              <w:rPr>
                <w:lang w:val="en-US"/>
              </w:rPr>
            </w:pPr>
          </w:p>
          <w:p w14:paraId="4ED7599D" w14:textId="3FB85B0E" w:rsidR="00D062E5" w:rsidRPr="00A6689B" w:rsidRDefault="00D062E5" w:rsidP="00C93F66">
            <w:pPr>
              <w:tabs>
                <w:tab w:val="center" w:pos="284"/>
              </w:tabs>
              <w:ind w:left="266" w:hanging="266"/>
              <w:rPr>
                <w:lang w:val="en-US"/>
              </w:rPr>
            </w:pPr>
            <w:r>
              <w:t>Mira-Maria DANISMAN (groupe des employeur</w:t>
            </w:r>
            <w:r w:rsidR="0007261B">
              <w:t>s - FI</w:t>
            </w:r>
            <w:r>
              <w:t>)</w:t>
            </w:r>
          </w:p>
        </w:tc>
      </w:tr>
      <w:tr w:rsidR="00D062E5" w:rsidRPr="00A6689B" w14:paraId="31719363" w14:textId="77777777" w:rsidTr="00C93F66">
        <w:tc>
          <w:tcPr>
            <w:tcW w:w="5000" w:type="pct"/>
            <w:gridSpan w:val="2"/>
          </w:tcPr>
          <w:p w14:paraId="26D4168B" w14:textId="77777777" w:rsidR="00D062E5" w:rsidRPr="00A6689B" w:rsidRDefault="00D062E5" w:rsidP="00C93F66">
            <w:pPr>
              <w:tabs>
                <w:tab w:val="center" w:pos="284"/>
              </w:tabs>
              <w:spacing w:line="160" w:lineRule="exact"/>
              <w:ind w:left="266" w:hanging="266"/>
              <w:rPr>
                <w:lang w:val="en-US"/>
              </w:rPr>
            </w:pPr>
          </w:p>
        </w:tc>
      </w:tr>
      <w:tr w:rsidR="00D062E5" w:rsidRPr="004D0B68" w14:paraId="64A675C2" w14:textId="77777777" w:rsidTr="00C93F66">
        <w:tc>
          <w:tcPr>
            <w:tcW w:w="1148" w:type="pct"/>
            <w:vMerge w:val="restart"/>
          </w:tcPr>
          <w:p w14:paraId="6D2FFBFA" w14:textId="77777777" w:rsidR="00D062E5" w:rsidRPr="00A6689B" w:rsidRDefault="00D062E5" w:rsidP="00C93F66">
            <w:pPr>
              <w:tabs>
                <w:tab w:val="center" w:pos="284"/>
              </w:tabs>
              <w:ind w:left="266" w:hanging="374"/>
              <w:rPr>
                <w:b/>
              </w:rPr>
            </w:pPr>
            <w:r>
              <w:rPr>
                <w:b/>
              </w:rPr>
              <w:t>Référence</w:t>
            </w:r>
          </w:p>
        </w:tc>
        <w:tc>
          <w:tcPr>
            <w:tcW w:w="3852" w:type="pct"/>
          </w:tcPr>
          <w:p w14:paraId="64E29CCE" w14:textId="16351A08" w:rsidR="00D062E5" w:rsidRPr="00242732" w:rsidRDefault="0007261B" w:rsidP="0007261B">
            <w:pPr>
              <w:tabs>
                <w:tab w:val="center" w:pos="284"/>
              </w:tabs>
              <w:ind w:left="266" w:right="-3091" w:hanging="266"/>
            </w:pPr>
            <w:r>
              <w:t>Avis exploratoire à la demande de la présidence danoise du Conseil</w:t>
            </w:r>
          </w:p>
        </w:tc>
      </w:tr>
      <w:tr w:rsidR="00D062E5" w:rsidRPr="00A6689B" w14:paraId="52A2C935" w14:textId="77777777" w:rsidTr="00C93F66">
        <w:tc>
          <w:tcPr>
            <w:tcW w:w="1148" w:type="pct"/>
            <w:vMerge/>
          </w:tcPr>
          <w:p w14:paraId="61007508" w14:textId="77777777" w:rsidR="00D062E5" w:rsidRPr="00242732" w:rsidRDefault="00D062E5" w:rsidP="00C93F66">
            <w:pPr>
              <w:tabs>
                <w:tab w:val="center" w:pos="284"/>
              </w:tabs>
              <w:ind w:left="266" w:hanging="266"/>
              <w:rPr>
                <w:b/>
                <w:lang w:val="pt-PT"/>
              </w:rPr>
            </w:pPr>
          </w:p>
        </w:tc>
        <w:tc>
          <w:tcPr>
            <w:tcW w:w="3852" w:type="pct"/>
          </w:tcPr>
          <w:p w14:paraId="6996A0C6" w14:textId="77777777" w:rsidR="00D062E5" w:rsidRPr="00A6689B" w:rsidRDefault="00D062E5" w:rsidP="00C93F66">
            <w:pPr>
              <w:tabs>
                <w:tab w:val="center" w:pos="284"/>
              </w:tabs>
              <w:ind w:left="266" w:hanging="266"/>
            </w:pPr>
            <w:r>
              <w:t>EESC-2025-01043-00-00-AC</w:t>
            </w:r>
          </w:p>
        </w:tc>
      </w:tr>
    </w:tbl>
    <w:p w14:paraId="4A0DEB11" w14:textId="77777777" w:rsidR="00D062E5" w:rsidRPr="00A6689B" w:rsidRDefault="00D062E5" w:rsidP="00D062E5">
      <w:pPr>
        <w:tabs>
          <w:tab w:val="center" w:pos="284"/>
        </w:tabs>
        <w:ind w:left="266" w:hanging="266"/>
      </w:pPr>
    </w:p>
    <w:p w14:paraId="12FFCBD6" w14:textId="77777777" w:rsidR="00D062E5" w:rsidRPr="00A6689B" w:rsidRDefault="00D062E5" w:rsidP="00D062E5">
      <w:pPr>
        <w:keepNext/>
        <w:keepLines/>
        <w:tabs>
          <w:tab w:val="center" w:pos="284"/>
        </w:tabs>
        <w:ind w:left="266" w:hanging="266"/>
        <w:rPr>
          <w:b/>
        </w:rPr>
      </w:pPr>
      <w:r>
        <w:rPr>
          <w:b/>
        </w:rPr>
        <w:t>Points clés</w:t>
      </w:r>
    </w:p>
    <w:p w14:paraId="7A3B905A" w14:textId="77777777" w:rsidR="00D062E5" w:rsidRPr="00894422" w:rsidRDefault="00D062E5" w:rsidP="00D062E5">
      <w:pPr>
        <w:keepNext/>
        <w:keepLines/>
        <w:tabs>
          <w:tab w:val="center" w:pos="284"/>
        </w:tabs>
        <w:ind w:left="266" w:hanging="266"/>
        <w:rPr>
          <w:bCs/>
        </w:rPr>
      </w:pPr>
    </w:p>
    <w:p w14:paraId="5A1DD510" w14:textId="77777777" w:rsidR="00D062E5" w:rsidRPr="00A6689B" w:rsidRDefault="00D062E5" w:rsidP="00D062E5">
      <w:pPr>
        <w:rPr>
          <w:bCs/>
          <w:iCs/>
        </w:rPr>
      </w:pPr>
      <w:r>
        <w:t xml:space="preserve">Le </w:t>
      </w:r>
      <w:proofErr w:type="gramStart"/>
      <w:r>
        <w:t>CESE:</w:t>
      </w:r>
      <w:proofErr w:type="gramEnd"/>
    </w:p>
    <w:p w14:paraId="4583B721" w14:textId="77777777" w:rsidR="00D062E5" w:rsidRPr="00A6689B" w:rsidRDefault="00D062E5" w:rsidP="00D062E5">
      <w:pPr>
        <w:rPr>
          <w:bCs/>
          <w:iCs/>
        </w:rPr>
      </w:pPr>
    </w:p>
    <w:p w14:paraId="6915518A" w14:textId="77777777" w:rsidR="00D062E5" w:rsidRDefault="00D062E5" w:rsidP="00D062E5">
      <w:pPr>
        <w:widowControl w:val="0"/>
        <w:numPr>
          <w:ilvl w:val="0"/>
          <w:numId w:val="99"/>
        </w:numPr>
        <w:overflowPunct w:val="0"/>
        <w:autoSpaceDE w:val="0"/>
        <w:autoSpaceDN w:val="0"/>
        <w:adjustRightInd w:val="0"/>
        <w:ind w:hanging="567"/>
        <w:textAlignment w:val="baseline"/>
      </w:pPr>
      <w:proofErr w:type="gramStart"/>
      <w:r>
        <w:t>souligne</w:t>
      </w:r>
      <w:proofErr w:type="gramEnd"/>
      <w:r>
        <w:t xml:space="preserve"> que pour prospérer, les start-up et les scale-up dépendent d’un accès concurrentiel aux ressources et aux marchés de produits ainsi que d’un environnement réglementaire et fiscal favorable à l’innovation, à l’investissement et au commerce;</w:t>
      </w:r>
    </w:p>
    <w:p w14:paraId="71E61231" w14:textId="77777777" w:rsidR="00D062E5" w:rsidRDefault="00D062E5" w:rsidP="00D062E5">
      <w:pPr>
        <w:widowControl w:val="0"/>
        <w:numPr>
          <w:ilvl w:val="0"/>
          <w:numId w:val="99"/>
        </w:numPr>
        <w:overflowPunct w:val="0"/>
        <w:autoSpaceDE w:val="0"/>
        <w:autoSpaceDN w:val="0"/>
        <w:adjustRightInd w:val="0"/>
        <w:ind w:hanging="567"/>
        <w:textAlignment w:val="baseline"/>
      </w:pPr>
      <w:proofErr w:type="gramStart"/>
      <w:r>
        <w:t>insiste</w:t>
      </w:r>
      <w:proofErr w:type="gramEnd"/>
      <w:r>
        <w:t xml:space="preserve"> sur la nécessité de déployer des efforts supplémentaires pour promouvoir plus largement l’esprit d’entreprise et le développement économique, y compris en prenant en compte une dimension d’expansion dans toutes les initiatives politiques et réglementaires liées aux entreprises;</w:t>
      </w:r>
    </w:p>
    <w:p w14:paraId="2254D3B2" w14:textId="77777777" w:rsidR="00D062E5" w:rsidRDefault="00D062E5" w:rsidP="00D062E5">
      <w:pPr>
        <w:widowControl w:val="0"/>
        <w:numPr>
          <w:ilvl w:val="0"/>
          <w:numId w:val="99"/>
        </w:numPr>
        <w:overflowPunct w:val="0"/>
        <w:autoSpaceDE w:val="0"/>
        <w:autoSpaceDN w:val="0"/>
        <w:adjustRightInd w:val="0"/>
        <w:ind w:hanging="567"/>
        <w:textAlignment w:val="baseline"/>
      </w:pPr>
      <w:proofErr w:type="gramStart"/>
      <w:r>
        <w:t>met</w:t>
      </w:r>
      <w:proofErr w:type="gramEnd"/>
      <w:r>
        <w:t xml:space="preserve"> en exergue l’importance du principe du «mieux légiférer», reposant sur des analyses d’impact approfondies qui couvrent l’ensemble des chaînes de valeur et toutes les étapes du processus législatif, et demande que le test de résistance lié à l’innovation et le contrôle de la compétitivité fassent l’objet d’une mise en œuvre et d’un suivi adéquats;</w:t>
      </w:r>
    </w:p>
    <w:p w14:paraId="2B4A0ABD" w14:textId="77777777" w:rsidR="00D062E5" w:rsidRDefault="00D062E5" w:rsidP="00D062E5">
      <w:pPr>
        <w:widowControl w:val="0"/>
        <w:numPr>
          <w:ilvl w:val="0"/>
          <w:numId w:val="99"/>
        </w:numPr>
        <w:overflowPunct w:val="0"/>
        <w:autoSpaceDE w:val="0"/>
        <w:autoSpaceDN w:val="0"/>
        <w:adjustRightInd w:val="0"/>
        <w:ind w:hanging="567"/>
        <w:textAlignment w:val="baseline"/>
      </w:pPr>
      <w:proofErr w:type="gramStart"/>
      <w:r>
        <w:t>affirme</w:t>
      </w:r>
      <w:proofErr w:type="gramEnd"/>
      <w:r>
        <w:t xml:space="preserve"> que les besoins financiers des scale-up nécessitent des solutions immédiates tout au long de la chaîne d’investissement, sans attendre le prochain cadre financier pluriannuel (CFP);</w:t>
      </w:r>
    </w:p>
    <w:p w14:paraId="528ABB8B" w14:textId="77777777" w:rsidR="00D062E5" w:rsidRDefault="00D062E5" w:rsidP="00D062E5">
      <w:pPr>
        <w:widowControl w:val="0"/>
        <w:numPr>
          <w:ilvl w:val="0"/>
          <w:numId w:val="99"/>
        </w:numPr>
        <w:overflowPunct w:val="0"/>
        <w:autoSpaceDE w:val="0"/>
        <w:autoSpaceDN w:val="0"/>
        <w:adjustRightInd w:val="0"/>
        <w:ind w:hanging="567"/>
        <w:textAlignment w:val="baseline"/>
      </w:pPr>
      <w:proofErr w:type="gramStart"/>
      <w:r>
        <w:t>préconise</w:t>
      </w:r>
      <w:proofErr w:type="gramEnd"/>
      <w:r>
        <w:t xml:space="preserve"> que l’on examine comment les conditions fiscales peuvent être améliorées pour les start-up et les scale-up, notamment en réalisant une étude des meilleures pratiques dans les États membres et une analyse comparative du traitement des fonds propres des start-up aux États-Unis et dans d’autres économies concurrentes;</w:t>
      </w:r>
    </w:p>
    <w:p w14:paraId="2F4996E5" w14:textId="77777777" w:rsidR="00D062E5" w:rsidRDefault="00D062E5" w:rsidP="00D062E5">
      <w:pPr>
        <w:widowControl w:val="0"/>
        <w:numPr>
          <w:ilvl w:val="0"/>
          <w:numId w:val="99"/>
        </w:numPr>
        <w:overflowPunct w:val="0"/>
        <w:autoSpaceDE w:val="0"/>
        <w:autoSpaceDN w:val="0"/>
        <w:adjustRightInd w:val="0"/>
        <w:ind w:hanging="567"/>
        <w:textAlignment w:val="baseline"/>
      </w:pPr>
      <w:proofErr w:type="gramStart"/>
      <w:r>
        <w:t>estime</w:t>
      </w:r>
      <w:proofErr w:type="gramEnd"/>
      <w:r>
        <w:t xml:space="preserve"> qu’il est primordial que les start-up aient accès à des infrastructures de recherche et de technologie de haut niveau telles que les supercalculateurs et les fabriques d’intelligence artificielle (IA), et bénéficient d’un soutien sur mesure pour pouvoir commercialiser leurs produits et services;</w:t>
      </w:r>
    </w:p>
    <w:p w14:paraId="352E8909" w14:textId="77777777" w:rsidR="00D062E5" w:rsidRPr="00336561" w:rsidRDefault="00D062E5" w:rsidP="00D062E5">
      <w:pPr>
        <w:widowControl w:val="0"/>
        <w:numPr>
          <w:ilvl w:val="0"/>
          <w:numId w:val="99"/>
        </w:numPr>
        <w:overflowPunct w:val="0"/>
        <w:autoSpaceDE w:val="0"/>
        <w:autoSpaceDN w:val="0"/>
        <w:adjustRightInd w:val="0"/>
        <w:ind w:hanging="567"/>
        <w:textAlignment w:val="baseline"/>
      </w:pPr>
      <w:proofErr w:type="gramStart"/>
      <w:r>
        <w:t>plaide</w:t>
      </w:r>
      <w:proofErr w:type="gramEnd"/>
      <w:r>
        <w:t xml:space="preserve"> en faveur de l’élaboration progressive d’indicateurs clés de performance (ICP), afin de permettre un suivi plus complet et axé sur les résultats des activités des start-up et des scale-up ainsi que la fixation d’objectifs plus spécifiques.</w:t>
      </w:r>
    </w:p>
    <w:p w14:paraId="554C00CD" w14:textId="77777777" w:rsidR="00D062E5" w:rsidRPr="000624A9" w:rsidRDefault="00D062E5" w:rsidP="00D062E5">
      <w:pPr>
        <w:widowControl w:val="0"/>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D062E5" w:rsidRPr="00A6689B" w14:paraId="28274BAB" w14:textId="77777777" w:rsidTr="00C93F66">
        <w:tc>
          <w:tcPr>
            <w:tcW w:w="1556" w:type="pct"/>
          </w:tcPr>
          <w:p w14:paraId="5FC78CD7" w14:textId="77777777" w:rsidR="00D062E5" w:rsidRPr="00A6689B" w:rsidRDefault="00D062E5" w:rsidP="00C93F66">
            <w:pPr>
              <w:spacing w:line="240" w:lineRule="auto"/>
              <w:rPr>
                <w:i/>
              </w:rPr>
            </w:pPr>
            <w:r>
              <w:rPr>
                <w:b/>
                <w:i/>
              </w:rPr>
              <w:t>Contact</w:t>
            </w:r>
          </w:p>
        </w:tc>
        <w:tc>
          <w:tcPr>
            <w:tcW w:w="3444" w:type="pct"/>
          </w:tcPr>
          <w:p w14:paraId="0573022E" w14:textId="0BB07C70" w:rsidR="00D062E5" w:rsidRPr="00A6689B" w:rsidRDefault="00D062E5" w:rsidP="00C93F66">
            <w:pPr>
              <w:spacing w:line="240" w:lineRule="auto"/>
              <w:rPr>
                <w:i/>
              </w:rPr>
            </w:pPr>
            <w:r>
              <w:rPr>
                <w:i/>
              </w:rPr>
              <w:t>Marco</w:t>
            </w:r>
            <w:r w:rsidR="006031D5">
              <w:rPr>
                <w:i/>
              </w:rPr>
              <w:t> </w:t>
            </w:r>
            <w:r w:rsidR="0007261B">
              <w:rPr>
                <w:i/>
              </w:rPr>
              <w:t>MANFRONI</w:t>
            </w:r>
          </w:p>
        </w:tc>
      </w:tr>
      <w:tr w:rsidR="00D062E5" w:rsidRPr="00A6689B" w14:paraId="35C814E6" w14:textId="77777777" w:rsidTr="00C93F66">
        <w:tc>
          <w:tcPr>
            <w:tcW w:w="1556" w:type="pct"/>
          </w:tcPr>
          <w:p w14:paraId="068EB85D" w14:textId="77777777" w:rsidR="00D062E5" w:rsidRPr="00A6689B" w:rsidRDefault="00D062E5" w:rsidP="00C93F66">
            <w:pPr>
              <w:spacing w:line="240" w:lineRule="auto"/>
              <w:rPr>
                <w:i/>
              </w:rPr>
            </w:pPr>
            <w:r>
              <w:rPr>
                <w:i/>
              </w:rPr>
              <w:t>Tél.</w:t>
            </w:r>
          </w:p>
        </w:tc>
        <w:tc>
          <w:tcPr>
            <w:tcW w:w="3444" w:type="pct"/>
          </w:tcPr>
          <w:p w14:paraId="2C438813" w14:textId="77777777" w:rsidR="00D062E5" w:rsidRPr="00A6689B" w:rsidRDefault="00D062E5" w:rsidP="00C93F66">
            <w:pPr>
              <w:spacing w:line="240" w:lineRule="auto"/>
              <w:rPr>
                <w:i/>
              </w:rPr>
            </w:pPr>
            <w:r>
              <w:rPr>
                <w:i/>
              </w:rPr>
              <w:t>+32 2 546 9140</w:t>
            </w:r>
          </w:p>
        </w:tc>
      </w:tr>
      <w:tr w:rsidR="00D062E5" w:rsidRPr="00A6689B" w14:paraId="2953C17F" w14:textId="77777777" w:rsidTr="00C93F66">
        <w:tc>
          <w:tcPr>
            <w:tcW w:w="1556" w:type="pct"/>
          </w:tcPr>
          <w:p w14:paraId="57D686C8" w14:textId="77777777" w:rsidR="00D062E5" w:rsidRPr="00A6689B" w:rsidRDefault="00D062E5" w:rsidP="00C93F66">
            <w:pPr>
              <w:spacing w:line="240" w:lineRule="auto"/>
              <w:rPr>
                <w:i/>
              </w:rPr>
            </w:pPr>
            <w:r>
              <w:rPr>
                <w:i/>
              </w:rPr>
              <w:t>Courriel</w:t>
            </w:r>
          </w:p>
        </w:tc>
        <w:tc>
          <w:tcPr>
            <w:tcW w:w="3444" w:type="pct"/>
          </w:tcPr>
          <w:p w14:paraId="5BFD8E95" w14:textId="77777777" w:rsidR="00D062E5" w:rsidRPr="00A6689B" w:rsidRDefault="00CB508B" w:rsidP="00C93F66">
            <w:pPr>
              <w:spacing w:line="240" w:lineRule="auto"/>
              <w:rPr>
                <w:i/>
              </w:rPr>
            </w:pPr>
            <w:hyperlink r:id="rId71" w:history="1">
              <w:r w:rsidR="00D062E5">
                <w:rPr>
                  <w:rStyle w:val="Hyperlink"/>
                  <w:i/>
                </w:rPr>
                <w:t>Marco.Manfroni@eesc.europa.eu</w:t>
              </w:r>
            </w:hyperlink>
          </w:p>
        </w:tc>
      </w:tr>
    </w:tbl>
    <w:p w14:paraId="79B44A70" w14:textId="77777777" w:rsidR="00F31327" w:rsidRDefault="00F31327" w:rsidP="00F31327">
      <w:pPr>
        <w:jc w:val="left"/>
        <w:rPr>
          <w:b/>
          <w:i/>
          <w:sz w:val="28"/>
          <w:szCs w:val="28"/>
        </w:rPr>
      </w:pPr>
    </w:p>
    <w:p w14:paraId="1498B109" w14:textId="77777777" w:rsidR="00F31327" w:rsidRDefault="00F31327" w:rsidP="00F31327">
      <w:pPr>
        <w:jc w:val="left"/>
        <w:rPr>
          <w:b/>
          <w:i/>
          <w:sz w:val="28"/>
          <w:szCs w:val="28"/>
        </w:rPr>
      </w:pPr>
      <w:r>
        <w:rPr>
          <w:b/>
          <w:i/>
          <w:sz w:val="28"/>
          <w:szCs w:val="28"/>
        </w:rPr>
        <w:br w:type="page"/>
      </w:r>
    </w:p>
    <w:p w14:paraId="2D16B339" w14:textId="0F60EE3B" w:rsidR="008E17B5" w:rsidRPr="008E17B5" w:rsidRDefault="00CB508B" w:rsidP="008E17B5">
      <w:pPr>
        <w:widowControl w:val="0"/>
        <w:numPr>
          <w:ilvl w:val="0"/>
          <w:numId w:val="19"/>
        </w:numPr>
        <w:overflowPunct w:val="0"/>
        <w:autoSpaceDE w:val="0"/>
        <w:autoSpaceDN w:val="0"/>
        <w:adjustRightInd w:val="0"/>
        <w:ind w:hanging="567"/>
        <w:textAlignment w:val="baseline"/>
        <w:rPr>
          <w:rStyle w:val="Hyperlink"/>
          <w:b/>
          <w:color w:val="auto"/>
          <w:u w:val="none"/>
        </w:rPr>
      </w:pPr>
      <w:hyperlink r:id="rId72" w:history="1">
        <w:r w:rsidR="008E17B5">
          <w:rPr>
            <w:rStyle w:val="Hyperlink"/>
            <w:b/>
            <w:i/>
            <w:sz w:val="28"/>
          </w:rPr>
          <w:t xml:space="preserve">Les interdépendances entre les applications d’IA et les services des professions </w:t>
        </w:r>
        <w:proofErr w:type="gramStart"/>
        <w:r w:rsidR="008E17B5">
          <w:rPr>
            <w:rStyle w:val="Hyperlink"/>
            <w:b/>
            <w:i/>
            <w:sz w:val="28"/>
          </w:rPr>
          <w:t>libérales:</w:t>
        </w:r>
        <w:proofErr w:type="gramEnd"/>
        <w:r w:rsidR="008E17B5">
          <w:rPr>
            <w:rStyle w:val="Hyperlink"/>
            <w:b/>
            <w:i/>
            <w:sz w:val="28"/>
          </w:rPr>
          <w:t xml:space="preserve"> répondre aux besoins sociétaux urgents</w:t>
        </w:r>
      </w:hyperlink>
    </w:p>
    <w:p w14:paraId="0911AC6B" w14:textId="77777777" w:rsidR="008E17B5" w:rsidRPr="005E4210" w:rsidRDefault="008E17B5" w:rsidP="008E17B5">
      <w:pPr>
        <w:widowControl w:val="0"/>
        <w:overflowPunct w:val="0"/>
        <w:autoSpaceDE w:val="0"/>
        <w:autoSpaceDN w:val="0"/>
        <w:adjustRightInd w:val="0"/>
        <w:ind w:left="567"/>
        <w:textAlignment w:val="baseline"/>
        <w:rPr>
          <w:b/>
        </w:rPr>
      </w:pPr>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6926"/>
      </w:tblGrid>
      <w:tr w:rsidR="008E17B5" w:rsidRPr="00A6689B" w14:paraId="0E75DBAA" w14:textId="77777777" w:rsidTr="00C93F66">
        <w:tc>
          <w:tcPr>
            <w:tcW w:w="1148" w:type="pct"/>
          </w:tcPr>
          <w:p w14:paraId="5AE6651A" w14:textId="77777777" w:rsidR="008E17B5" w:rsidRDefault="008E17B5" w:rsidP="00C93F66">
            <w:pPr>
              <w:tabs>
                <w:tab w:val="center" w:pos="284"/>
              </w:tabs>
              <w:ind w:left="266" w:hanging="266"/>
              <w:rPr>
                <w:b/>
                <w:lang w:val="en-US"/>
              </w:rPr>
            </w:pPr>
          </w:p>
          <w:p w14:paraId="53C176A7" w14:textId="77777777" w:rsidR="008E17B5" w:rsidRPr="00A6689B" w:rsidRDefault="008E17B5" w:rsidP="00C93F66">
            <w:pPr>
              <w:tabs>
                <w:tab w:val="center" w:pos="284"/>
              </w:tabs>
              <w:ind w:left="266" w:hanging="376"/>
              <w:rPr>
                <w:b/>
              </w:rPr>
            </w:pPr>
            <w:r>
              <w:rPr>
                <w:b/>
              </w:rPr>
              <w:t>Rapporteur</w:t>
            </w:r>
          </w:p>
        </w:tc>
        <w:tc>
          <w:tcPr>
            <w:tcW w:w="3852" w:type="pct"/>
          </w:tcPr>
          <w:p w14:paraId="3FF1C733" w14:textId="77777777" w:rsidR="008E17B5" w:rsidRDefault="008E17B5" w:rsidP="00C93F66">
            <w:pPr>
              <w:tabs>
                <w:tab w:val="center" w:pos="284"/>
              </w:tabs>
              <w:ind w:left="266" w:hanging="266"/>
              <w:rPr>
                <w:lang w:val="en-US"/>
              </w:rPr>
            </w:pPr>
          </w:p>
          <w:p w14:paraId="292F1643" w14:textId="019978D2" w:rsidR="008E17B5" w:rsidRPr="00A6689B" w:rsidRDefault="008E17B5" w:rsidP="0007261B">
            <w:pPr>
              <w:tabs>
                <w:tab w:val="center" w:pos="284"/>
              </w:tabs>
              <w:ind w:left="266" w:hanging="266"/>
              <w:rPr>
                <w:lang w:val="en-US"/>
              </w:rPr>
            </w:pPr>
            <w:r>
              <w:t xml:space="preserve">Rudolf KOLBE (groupe des organisations de la société civile — </w:t>
            </w:r>
            <w:r w:rsidR="0007261B">
              <w:t>AT</w:t>
            </w:r>
            <w:r>
              <w:t>)</w:t>
            </w:r>
          </w:p>
        </w:tc>
      </w:tr>
      <w:tr w:rsidR="008E17B5" w:rsidRPr="00A6689B" w14:paraId="2C2954DC" w14:textId="77777777" w:rsidTr="00C93F66">
        <w:tc>
          <w:tcPr>
            <w:tcW w:w="1148" w:type="pct"/>
            <w:vMerge w:val="restart"/>
          </w:tcPr>
          <w:p w14:paraId="5A78BBA2" w14:textId="77777777" w:rsidR="008E17B5" w:rsidRPr="00A6689B" w:rsidRDefault="008E17B5" w:rsidP="00C93F66">
            <w:pPr>
              <w:tabs>
                <w:tab w:val="center" w:pos="284"/>
              </w:tabs>
              <w:ind w:left="266" w:hanging="376"/>
              <w:rPr>
                <w:b/>
              </w:rPr>
            </w:pPr>
            <w:r>
              <w:rPr>
                <w:b/>
              </w:rPr>
              <w:t>Référence</w:t>
            </w:r>
          </w:p>
        </w:tc>
        <w:tc>
          <w:tcPr>
            <w:tcW w:w="3852" w:type="pct"/>
          </w:tcPr>
          <w:p w14:paraId="64C31C80" w14:textId="77777777" w:rsidR="008E17B5" w:rsidRPr="00A6689B" w:rsidRDefault="008E17B5" w:rsidP="00C93F66">
            <w:pPr>
              <w:tabs>
                <w:tab w:val="center" w:pos="284"/>
              </w:tabs>
              <w:ind w:left="266" w:hanging="266"/>
            </w:pPr>
            <w:r>
              <w:t>Avis d’initiative</w:t>
            </w:r>
          </w:p>
        </w:tc>
      </w:tr>
      <w:tr w:rsidR="008E17B5" w:rsidRPr="00A6689B" w14:paraId="32F4314D" w14:textId="77777777" w:rsidTr="00C93F66">
        <w:tc>
          <w:tcPr>
            <w:tcW w:w="1148" w:type="pct"/>
            <w:vMerge/>
          </w:tcPr>
          <w:p w14:paraId="48A94726" w14:textId="77777777" w:rsidR="008E17B5" w:rsidRPr="00A6689B" w:rsidRDefault="008E17B5" w:rsidP="00C93F66">
            <w:pPr>
              <w:tabs>
                <w:tab w:val="center" w:pos="284"/>
              </w:tabs>
              <w:ind w:left="266" w:hanging="266"/>
              <w:rPr>
                <w:b/>
                <w:lang w:val="en-US"/>
              </w:rPr>
            </w:pPr>
          </w:p>
        </w:tc>
        <w:tc>
          <w:tcPr>
            <w:tcW w:w="3852" w:type="pct"/>
          </w:tcPr>
          <w:p w14:paraId="211B64BC" w14:textId="50086F7E" w:rsidR="008E17B5" w:rsidRPr="00A6689B" w:rsidRDefault="008E17B5" w:rsidP="00C93F66">
            <w:pPr>
              <w:tabs>
                <w:tab w:val="center" w:pos="284"/>
              </w:tabs>
              <w:ind w:left="266" w:hanging="266"/>
            </w:pPr>
            <w:r w:rsidRPr="008E17B5">
              <w:t>EESC-2025-00849-00-00-AC-TRA</w:t>
            </w:r>
          </w:p>
        </w:tc>
      </w:tr>
    </w:tbl>
    <w:p w14:paraId="5D1428DE" w14:textId="77777777" w:rsidR="008E17B5" w:rsidRPr="00A6689B" w:rsidRDefault="008E17B5" w:rsidP="008E17B5">
      <w:pPr>
        <w:tabs>
          <w:tab w:val="center" w:pos="284"/>
        </w:tabs>
        <w:ind w:left="266" w:hanging="266"/>
      </w:pPr>
    </w:p>
    <w:p w14:paraId="6970BAF1" w14:textId="77777777" w:rsidR="008E17B5" w:rsidRPr="00A6689B" w:rsidRDefault="008E17B5" w:rsidP="008E17B5">
      <w:pPr>
        <w:keepNext/>
        <w:keepLines/>
        <w:tabs>
          <w:tab w:val="center" w:pos="284"/>
        </w:tabs>
        <w:ind w:left="266" w:hanging="266"/>
        <w:rPr>
          <w:b/>
        </w:rPr>
      </w:pPr>
      <w:r>
        <w:rPr>
          <w:b/>
        </w:rPr>
        <w:t>Points clés</w:t>
      </w:r>
    </w:p>
    <w:p w14:paraId="24C097C7" w14:textId="77777777" w:rsidR="008E17B5" w:rsidRPr="00A6689B" w:rsidRDefault="008E17B5" w:rsidP="008E17B5">
      <w:pPr>
        <w:keepNext/>
        <w:keepLines/>
        <w:tabs>
          <w:tab w:val="center" w:pos="284"/>
        </w:tabs>
        <w:ind w:left="266" w:hanging="266"/>
        <w:rPr>
          <w:b/>
        </w:rPr>
      </w:pPr>
    </w:p>
    <w:p w14:paraId="0B8B7A2C" w14:textId="77777777" w:rsidR="008E17B5" w:rsidRPr="00A6689B" w:rsidRDefault="008E17B5" w:rsidP="008E17B5">
      <w:pPr>
        <w:rPr>
          <w:bCs/>
          <w:iCs/>
        </w:rPr>
      </w:pPr>
      <w:r>
        <w:t xml:space="preserve">Le </w:t>
      </w:r>
      <w:proofErr w:type="gramStart"/>
      <w:r>
        <w:t>CESE:</w:t>
      </w:r>
      <w:proofErr w:type="gramEnd"/>
    </w:p>
    <w:p w14:paraId="5FEE317C" w14:textId="77777777" w:rsidR="008E17B5" w:rsidRDefault="008E17B5" w:rsidP="008E17B5">
      <w:pPr>
        <w:widowControl w:val="0"/>
        <w:numPr>
          <w:ilvl w:val="0"/>
          <w:numId w:val="19"/>
        </w:numPr>
        <w:overflowPunct w:val="0"/>
        <w:autoSpaceDE w:val="0"/>
        <w:autoSpaceDN w:val="0"/>
        <w:adjustRightInd w:val="0"/>
        <w:textAlignment w:val="baseline"/>
      </w:pPr>
      <w:proofErr w:type="gramStart"/>
      <w:r>
        <w:t>affirme</w:t>
      </w:r>
      <w:proofErr w:type="gramEnd"/>
      <w:r>
        <w:t xml:space="preserve"> que l’intelligence artificielle (IA) devrait rester un </w:t>
      </w:r>
      <w:r>
        <w:rPr>
          <w:b/>
          <w:bCs/>
        </w:rPr>
        <w:t>outil complémentaire</w:t>
      </w:r>
      <w:r>
        <w:t xml:space="preserve">, plutôt qu’un substitut. </w:t>
      </w:r>
      <w:r>
        <w:rPr>
          <w:b/>
          <w:bCs/>
        </w:rPr>
        <w:t>L’humain doit rester aux commandes</w:t>
      </w:r>
      <w:r>
        <w:t xml:space="preserve">, et être l’autorité finale qui prend les décisions dans des domaines sensibles tels que la santé, le droit ou la fiscalité, afin de préserver l’autonomie et la responsabilité des </w:t>
      </w:r>
      <w:proofErr w:type="gramStart"/>
      <w:r>
        <w:t>professionnels;</w:t>
      </w:r>
      <w:proofErr w:type="gramEnd"/>
      <w:r>
        <w:t xml:space="preserve"> </w:t>
      </w:r>
    </w:p>
    <w:p w14:paraId="5B2AD015" w14:textId="77777777" w:rsidR="008E17B5" w:rsidRDefault="008E17B5" w:rsidP="008E17B5">
      <w:pPr>
        <w:widowControl w:val="0"/>
        <w:numPr>
          <w:ilvl w:val="0"/>
          <w:numId w:val="19"/>
        </w:numPr>
        <w:overflowPunct w:val="0"/>
        <w:autoSpaceDE w:val="0"/>
        <w:autoSpaceDN w:val="0"/>
        <w:adjustRightInd w:val="0"/>
        <w:textAlignment w:val="baseline"/>
      </w:pPr>
      <w:proofErr w:type="gramStart"/>
      <w:r>
        <w:t>précise</w:t>
      </w:r>
      <w:proofErr w:type="gramEnd"/>
      <w:r>
        <w:t xml:space="preserve"> que la technologie peut alléger le </w:t>
      </w:r>
      <w:r>
        <w:rPr>
          <w:b/>
        </w:rPr>
        <w:t>fardeau administratif</w:t>
      </w:r>
      <w:r>
        <w:t xml:space="preserve"> et exécuter des tâches de routine, permettant aux professionnels de se concentrer sur des activités centrées sur l’humain, à plus forte valeur ajoutée, améliorant ainsi l’efficacité et la qualité des services fournis aux citoyens et aux entreprises;</w:t>
      </w:r>
    </w:p>
    <w:p w14:paraId="31F8491E" w14:textId="77777777" w:rsidR="008E17B5" w:rsidRDefault="008E17B5" w:rsidP="008E17B5">
      <w:pPr>
        <w:widowControl w:val="0"/>
        <w:numPr>
          <w:ilvl w:val="0"/>
          <w:numId w:val="19"/>
        </w:numPr>
        <w:overflowPunct w:val="0"/>
        <w:autoSpaceDE w:val="0"/>
        <w:autoSpaceDN w:val="0"/>
        <w:adjustRightInd w:val="0"/>
        <w:textAlignment w:val="baseline"/>
      </w:pPr>
      <w:proofErr w:type="gramStart"/>
      <w:r>
        <w:t>insiste</w:t>
      </w:r>
      <w:proofErr w:type="gramEnd"/>
      <w:r>
        <w:t xml:space="preserve"> sur le fait que les </w:t>
      </w:r>
      <w:r>
        <w:rPr>
          <w:b/>
          <w:bCs/>
        </w:rPr>
        <w:t>normes éthiques et professionnelles</w:t>
      </w:r>
      <w:r>
        <w:t xml:space="preserve"> doivent s’appliquer à l’utilisation de l’IA, pour assurer la transparence des décisions fondées sur celle-ci, éviter les biais et la discrimination et respecter la vie privée, la protection des données et les droits de propriété intellectuelle;</w:t>
      </w:r>
    </w:p>
    <w:p w14:paraId="02FADD3E" w14:textId="77777777" w:rsidR="008E17B5" w:rsidRDefault="008E17B5" w:rsidP="008E17B5">
      <w:pPr>
        <w:widowControl w:val="0"/>
        <w:numPr>
          <w:ilvl w:val="0"/>
          <w:numId w:val="19"/>
        </w:numPr>
        <w:overflowPunct w:val="0"/>
        <w:autoSpaceDE w:val="0"/>
        <w:autoSpaceDN w:val="0"/>
        <w:adjustRightInd w:val="0"/>
        <w:textAlignment w:val="baseline"/>
      </w:pPr>
      <w:proofErr w:type="gramStart"/>
      <w:r>
        <w:t>souligne</w:t>
      </w:r>
      <w:proofErr w:type="gramEnd"/>
      <w:r>
        <w:t xml:space="preserve"> qu’il est nécessaire de disposer de </w:t>
      </w:r>
      <w:r>
        <w:rPr>
          <w:b/>
          <w:bCs/>
        </w:rPr>
        <w:t>formations</w:t>
      </w:r>
      <w:r>
        <w:t xml:space="preserve"> continues et de </w:t>
      </w:r>
      <w:r>
        <w:rPr>
          <w:b/>
          <w:bCs/>
        </w:rPr>
        <w:t>normes professionnelles</w:t>
      </w:r>
      <w:r>
        <w:t xml:space="preserve">, afin de s’assurer que les professions libérales peuvent bénéficier de l’IA. Les comités d’éthique et les structures de gouvernance devraient être étroitement liés à la </w:t>
      </w:r>
      <w:proofErr w:type="gramStart"/>
      <w:r>
        <w:t>pratique:</w:t>
      </w:r>
      <w:proofErr w:type="gramEnd"/>
      <w:r>
        <w:t xml:space="preserve"> le </w:t>
      </w:r>
      <w:r>
        <w:rPr>
          <w:b/>
          <w:bCs/>
        </w:rPr>
        <w:t>dialogue social</w:t>
      </w:r>
      <w:r>
        <w:t xml:space="preserve"> et la </w:t>
      </w:r>
      <w:r>
        <w:rPr>
          <w:b/>
          <w:bCs/>
        </w:rPr>
        <w:t>participation des travailleurs</w:t>
      </w:r>
      <w:r>
        <w:t xml:space="preserve"> sont les clés qui permettront de répartir les tâches entre celles qui sont confiées aux machines et celles qui restent réservées à des humains;</w:t>
      </w:r>
    </w:p>
    <w:p w14:paraId="2606AF5B" w14:textId="77777777" w:rsidR="008E17B5" w:rsidRDefault="008E17B5" w:rsidP="008E17B5">
      <w:pPr>
        <w:widowControl w:val="0"/>
        <w:numPr>
          <w:ilvl w:val="0"/>
          <w:numId w:val="19"/>
        </w:numPr>
        <w:overflowPunct w:val="0"/>
        <w:autoSpaceDE w:val="0"/>
        <w:autoSpaceDN w:val="0"/>
        <w:adjustRightInd w:val="0"/>
        <w:textAlignment w:val="baseline"/>
      </w:pPr>
      <w:proofErr w:type="gramStart"/>
      <w:r>
        <w:t>est</w:t>
      </w:r>
      <w:proofErr w:type="gramEnd"/>
      <w:r>
        <w:t xml:space="preserve"> d’avis que, pour gagner la </w:t>
      </w:r>
      <w:r>
        <w:rPr>
          <w:b/>
          <w:bCs/>
        </w:rPr>
        <w:t>confiance du public</w:t>
      </w:r>
      <w:r>
        <w:t>, l’IA doit être développée dans le cadre d’un cycle réfléchi, qui garantit une utilisation juste, responsable et fiable, et se base sur une réglementation qui établit clairement les responsabilités tout en encourageant l’innovation et en protégeant les intérêts du public.</w:t>
      </w:r>
    </w:p>
    <w:p w14:paraId="6981FD9D" w14:textId="77777777" w:rsidR="008E17B5" w:rsidRDefault="008E17B5" w:rsidP="008E17B5">
      <w:pPr>
        <w:widowControl w:val="0"/>
        <w:ind w:left="567"/>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8E17B5" w:rsidRPr="00A6689B" w14:paraId="3FF8C99E" w14:textId="77777777" w:rsidTr="00C93F66">
        <w:tc>
          <w:tcPr>
            <w:tcW w:w="1556" w:type="pct"/>
          </w:tcPr>
          <w:p w14:paraId="3AEB5BC8" w14:textId="77777777" w:rsidR="008E17B5" w:rsidRPr="00A6689B" w:rsidRDefault="008E17B5" w:rsidP="00C93F66">
            <w:pPr>
              <w:spacing w:line="240" w:lineRule="auto"/>
              <w:rPr>
                <w:i/>
              </w:rPr>
            </w:pPr>
            <w:r>
              <w:rPr>
                <w:b/>
                <w:i/>
              </w:rPr>
              <w:t>Contact</w:t>
            </w:r>
          </w:p>
        </w:tc>
        <w:tc>
          <w:tcPr>
            <w:tcW w:w="3444" w:type="pct"/>
          </w:tcPr>
          <w:p w14:paraId="722CE923" w14:textId="4280AB89" w:rsidR="008E17B5" w:rsidRPr="00A6689B" w:rsidRDefault="008E17B5" w:rsidP="00C93F66">
            <w:pPr>
              <w:spacing w:line="240" w:lineRule="auto"/>
              <w:rPr>
                <w:i/>
              </w:rPr>
            </w:pPr>
            <w:proofErr w:type="spellStart"/>
            <w:r>
              <w:rPr>
                <w:i/>
              </w:rPr>
              <w:t>Yousra</w:t>
            </w:r>
            <w:proofErr w:type="spellEnd"/>
            <w:r>
              <w:rPr>
                <w:i/>
              </w:rPr>
              <w:t xml:space="preserve"> </w:t>
            </w:r>
            <w:proofErr w:type="spellStart"/>
            <w:r>
              <w:rPr>
                <w:i/>
              </w:rPr>
              <w:t>Asbouni</w:t>
            </w:r>
            <w:proofErr w:type="spellEnd"/>
            <w:r w:rsidR="006031D5">
              <w:rPr>
                <w:i/>
              </w:rPr>
              <w:t> </w:t>
            </w:r>
            <w:r w:rsidR="0007261B">
              <w:rPr>
                <w:i/>
              </w:rPr>
              <w:t>EL OUAHABI</w:t>
            </w:r>
          </w:p>
        </w:tc>
      </w:tr>
      <w:tr w:rsidR="008E17B5" w:rsidRPr="00A6689B" w14:paraId="61285004" w14:textId="77777777" w:rsidTr="00C93F66">
        <w:tc>
          <w:tcPr>
            <w:tcW w:w="1556" w:type="pct"/>
          </w:tcPr>
          <w:p w14:paraId="465B8D70" w14:textId="77777777" w:rsidR="008E17B5" w:rsidRPr="00A6689B" w:rsidRDefault="008E17B5" w:rsidP="00C93F66">
            <w:pPr>
              <w:spacing w:line="240" w:lineRule="auto"/>
              <w:rPr>
                <w:i/>
              </w:rPr>
            </w:pPr>
            <w:r>
              <w:rPr>
                <w:i/>
              </w:rPr>
              <w:t>Tél.</w:t>
            </w:r>
          </w:p>
        </w:tc>
        <w:tc>
          <w:tcPr>
            <w:tcW w:w="3444" w:type="pct"/>
          </w:tcPr>
          <w:p w14:paraId="414DCFC3" w14:textId="77777777" w:rsidR="008E17B5" w:rsidRPr="00A6689B" w:rsidRDefault="008E17B5" w:rsidP="00C93F66">
            <w:pPr>
              <w:spacing w:line="240" w:lineRule="auto"/>
              <w:rPr>
                <w:i/>
              </w:rPr>
            </w:pPr>
            <w:r>
              <w:rPr>
                <w:i/>
              </w:rPr>
              <w:t>+32 25468485</w:t>
            </w:r>
          </w:p>
        </w:tc>
      </w:tr>
      <w:tr w:rsidR="008E17B5" w:rsidRPr="00A6689B" w14:paraId="0FF3C3FC" w14:textId="77777777" w:rsidTr="00C93F66">
        <w:tc>
          <w:tcPr>
            <w:tcW w:w="1556" w:type="pct"/>
          </w:tcPr>
          <w:p w14:paraId="6292A409" w14:textId="77777777" w:rsidR="008E17B5" w:rsidRPr="00A6689B" w:rsidRDefault="008E17B5" w:rsidP="00C93F66">
            <w:pPr>
              <w:spacing w:line="240" w:lineRule="auto"/>
              <w:rPr>
                <w:i/>
              </w:rPr>
            </w:pPr>
            <w:r>
              <w:rPr>
                <w:i/>
              </w:rPr>
              <w:t>Courriel</w:t>
            </w:r>
          </w:p>
        </w:tc>
        <w:tc>
          <w:tcPr>
            <w:tcW w:w="3444" w:type="pct"/>
          </w:tcPr>
          <w:p w14:paraId="2EABCD67" w14:textId="77777777" w:rsidR="008E17B5" w:rsidRPr="001E002A" w:rsidRDefault="00CB508B" w:rsidP="00C93F66">
            <w:pPr>
              <w:spacing w:line="240" w:lineRule="auto"/>
              <w:rPr>
                <w:i/>
                <w:iCs/>
              </w:rPr>
            </w:pPr>
            <w:hyperlink r:id="rId73" w:history="1">
              <w:r w:rsidR="008E17B5">
                <w:rPr>
                  <w:rStyle w:val="Hyperlink"/>
                  <w:i/>
                </w:rPr>
                <w:t>Yousra.AsbouniElOuahabi@eesc.europa.eu</w:t>
              </w:r>
            </w:hyperlink>
          </w:p>
        </w:tc>
      </w:tr>
    </w:tbl>
    <w:p w14:paraId="31F3FB81" w14:textId="77777777" w:rsidR="00F31327" w:rsidRPr="00D20AB4" w:rsidRDefault="00F31327" w:rsidP="00F31327">
      <w:pPr>
        <w:jc w:val="left"/>
      </w:pPr>
    </w:p>
    <w:p w14:paraId="78044952" w14:textId="77777777" w:rsidR="00F31327" w:rsidRPr="00D20AB4" w:rsidRDefault="00F31327" w:rsidP="00F31327">
      <w:pPr>
        <w:jc w:val="left"/>
      </w:pPr>
      <w:r w:rsidRPr="00D20AB4">
        <w:br w:type="page"/>
      </w:r>
    </w:p>
    <w:p w14:paraId="3FF68037" w14:textId="76F53C6A" w:rsidR="0075368F" w:rsidRDefault="0075368F" w:rsidP="0075368F">
      <w:pPr>
        <w:widowControl w:val="0"/>
        <w:jc w:val="center"/>
        <w:rPr>
          <w:bCs/>
          <w:iCs/>
        </w:rPr>
      </w:pPr>
    </w:p>
    <w:p w14:paraId="6EA18EC0" w14:textId="16AE6DE1" w:rsidR="0075368F" w:rsidRPr="00100DBE" w:rsidRDefault="00CB508B" w:rsidP="0075368F">
      <w:pPr>
        <w:pStyle w:val="ListParagraph"/>
        <w:widowControl w:val="0"/>
        <w:numPr>
          <w:ilvl w:val="0"/>
          <w:numId w:val="20"/>
        </w:numPr>
        <w:spacing w:after="200" w:line="276" w:lineRule="auto"/>
        <w:ind w:left="426" w:hanging="426"/>
        <w:jc w:val="left"/>
        <w:rPr>
          <w:b/>
          <w:sz w:val="28"/>
          <w:szCs w:val="28"/>
        </w:rPr>
      </w:pPr>
      <w:hyperlink r:id="rId74" w:tgtFrame="_blank" w:history="1">
        <w:r w:rsidR="0075368F">
          <w:rPr>
            <w:rStyle w:val="Hyperlink"/>
            <w:b/>
            <w:i/>
            <w:sz w:val="28"/>
          </w:rPr>
          <w:t xml:space="preserve">Renforcer l’application des règles du marché </w:t>
        </w:r>
        <w:proofErr w:type="gramStart"/>
        <w:r w:rsidR="0075368F">
          <w:rPr>
            <w:rStyle w:val="Hyperlink"/>
            <w:b/>
            <w:i/>
            <w:sz w:val="28"/>
          </w:rPr>
          <w:t>unique:</w:t>
        </w:r>
        <w:proofErr w:type="gramEnd"/>
        <w:r w:rsidR="0075368F">
          <w:rPr>
            <w:rStyle w:val="Hyperlink"/>
            <w:b/>
            <w:i/>
            <w:sz w:val="28"/>
          </w:rPr>
          <w:t xml:space="preserve"> révision des outils et du cadre actuels</w:t>
        </w:r>
      </w:hyperlink>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6926"/>
      </w:tblGrid>
      <w:tr w:rsidR="0075368F" w:rsidRPr="00A6689B" w14:paraId="28F83A0A" w14:textId="77777777" w:rsidTr="00C93F66">
        <w:tc>
          <w:tcPr>
            <w:tcW w:w="1148" w:type="pct"/>
          </w:tcPr>
          <w:p w14:paraId="46EE549C" w14:textId="77777777" w:rsidR="0075368F" w:rsidRPr="00A6689B" w:rsidRDefault="0075368F" w:rsidP="00C93F66">
            <w:pPr>
              <w:tabs>
                <w:tab w:val="center" w:pos="284"/>
              </w:tabs>
              <w:ind w:left="266" w:hanging="376"/>
              <w:rPr>
                <w:b/>
              </w:rPr>
            </w:pPr>
            <w:proofErr w:type="spellStart"/>
            <w:r>
              <w:rPr>
                <w:b/>
                <w:bCs/>
              </w:rPr>
              <w:t>Rapporteure</w:t>
            </w:r>
            <w:proofErr w:type="spellEnd"/>
          </w:p>
        </w:tc>
        <w:tc>
          <w:tcPr>
            <w:tcW w:w="3852" w:type="pct"/>
          </w:tcPr>
          <w:p w14:paraId="4030BE10" w14:textId="2448961E" w:rsidR="0075368F" w:rsidRPr="00A6689B" w:rsidRDefault="0075368F" w:rsidP="00C93F66">
            <w:pPr>
              <w:tabs>
                <w:tab w:val="center" w:pos="284"/>
              </w:tabs>
              <w:ind w:left="266" w:hanging="266"/>
            </w:pPr>
            <w:proofErr w:type="spellStart"/>
            <w:r>
              <w:t>Ysabel</w:t>
            </w:r>
            <w:proofErr w:type="spellEnd"/>
            <w:r>
              <w:t xml:space="preserve"> IGLESIAS (groupe des employeurs </w:t>
            </w:r>
            <w:r w:rsidR="006031D5">
              <w:t>—</w:t>
            </w:r>
            <w:r>
              <w:t xml:space="preserve"> ES)</w:t>
            </w:r>
          </w:p>
        </w:tc>
      </w:tr>
      <w:tr w:rsidR="0075368F" w:rsidRPr="00A6689B" w14:paraId="56E1806F" w14:textId="77777777" w:rsidTr="00C93F66">
        <w:tc>
          <w:tcPr>
            <w:tcW w:w="1148" w:type="pct"/>
            <w:vMerge w:val="restart"/>
          </w:tcPr>
          <w:p w14:paraId="55D75D62" w14:textId="77777777" w:rsidR="0075368F" w:rsidRPr="00A6689B" w:rsidRDefault="0075368F" w:rsidP="00C93F66">
            <w:pPr>
              <w:tabs>
                <w:tab w:val="center" w:pos="284"/>
              </w:tabs>
              <w:ind w:left="266" w:hanging="376"/>
              <w:rPr>
                <w:b/>
              </w:rPr>
            </w:pPr>
            <w:r>
              <w:rPr>
                <w:b/>
              </w:rPr>
              <w:t>Référence</w:t>
            </w:r>
          </w:p>
        </w:tc>
        <w:tc>
          <w:tcPr>
            <w:tcW w:w="3852" w:type="pct"/>
          </w:tcPr>
          <w:p w14:paraId="42266AF1" w14:textId="77777777" w:rsidR="0075368F" w:rsidRPr="00A6689B" w:rsidRDefault="0075368F" w:rsidP="00C93F66">
            <w:pPr>
              <w:tabs>
                <w:tab w:val="center" w:pos="284"/>
              </w:tabs>
              <w:ind w:left="266" w:hanging="266"/>
            </w:pPr>
            <w:r>
              <w:t>Avis d’initiative</w:t>
            </w:r>
          </w:p>
        </w:tc>
      </w:tr>
      <w:tr w:rsidR="0075368F" w:rsidRPr="00A6689B" w14:paraId="22DC2D9E" w14:textId="77777777" w:rsidTr="00C93F66">
        <w:tc>
          <w:tcPr>
            <w:tcW w:w="1148" w:type="pct"/>
            <w:vMerge/>
          </w:tcPr>
          <w:p w14:paraId="2408F6D8" w14:textId="77777777" w:rsidR="0075368F" w:rsidRPr="00A6689B" w:rsidRDefault="0075368F" w:rsidP="00C93F66">
            <w:pPr>
              <w:tabs>
                <w:tab w:val="center" w:pos="284"/>
              </w:tabs>
              <w:ind w:left="266" w:hanging="266"/>
              <w:rPr>
                <w:b/>
                <w:lang w:val="en-US"/>
              </w:rPr>
            </w:pPr>
          </w:p>
        </w:tc>
        <w:tc>
          <w:tcPr>
            <w:tcW w:w="3852" w:type="pct"/>
          </w:tcPr>
          <w:p w14:paraId="06F2921E" w14:textId="77777777" w:rsidR="0075368F" w:rsidRPr="00A6689B" w:rsidRDefault="0075368F" w:rsidP="00C93F66">
            <w:pPr>
              <w:tabs>
                <w:tab w:val="center" w:pos="284"/>
              </w:tabs>
              <w:ind w:left="266" w:hanging="266"/>
            </w:pPr>
            <w:r>
              <w:t>EESC-2025-01127-00-00-AC</w:t>
            </w:r>
          </w:p>
        </w:tc>
      </w:tr>
    </w:tbl>
    <w:p w14:paraId="73CEBA05" w14:textId="77777777" w:rsidR="0075368F" w:rsidRDefault="0075368F" w:rsidP="0075368F">
      <w:pPr>
        <w:keepNext/>
        <w:keepLines/>
        <w:tabs>
          <w:tab w:val="center" w:pos="284"/>
        </w:tabs>
        <w:spacing w:line="269" w:lineRule="auto"/>
        <w:ind w:left="266" w:hanging="266"/>
        <w:rPr>
          <w:b/>
        </w:rPr>
      </w:pPr>
    </w:p>
    <w:p w14:paraId="5CC357C9" w14:textId="77777777" w:rsidR="0075368F" w:rsidRPr="00A6689B" w:rsidRDefault="0075368F" w:rsidP="0075368F">
      <w:pPr>
        <w:keepNext/>
        <w:keepLines/>
        <w:tabs>
          <w:tab w:val="center" w:pos="284"/>
        </w:tabs>
        <w:spacing w:line="269" w:lineRule="auto"/>
        <w:ind w:left="266" w:hanging="266"/>
        <w:rPr>
          <w:b/>
        </w:rPr>
      </w:pPr>
      <w:r>
        <w:rPr>
          <w:b/>
        </w:rPr>
        <w:t>Points clés</w:t>
      </w:r>
    </w:p>
    <w:p w14:paraId="4D0BB188" w14:textId="77777777" w:rsidR="0075368F" w:rsidRPr="00A6689B" w:rsidRDefault="0075368F" w:rsidP="0075368F">
      <w:pPr>
        <w:keepNext/>
        <w:keepLines/>
        <w:tabs>
          <w:tab w:val="center" w:pos="284"/>
        </w:tabs>
        <w:spacing w:line="269" w:lineRule="auto"/>
        <w:ind w:left="266" w:hanging="266"/>
        <w:rPr>
          <w:b/>
        </w:rPr>
      </w:pPr>
    </w:p>
    <w:p w14:paraId="54A67D61" w14:textId="77777777" w:rsidR="0075368F" w:rsidRPr="00A6689B" w:rsidRDefault="0075368F" w:rsidP="0075368F">
      <w:pPr>
        <w:spacing w:line="269" w:lineRule="auto"/>
        <w:rPr>
          <w:bCs/>
          <w:iCs/>
        </w:rPr>
      </w:pPr>
      <w:r>
        <w:t xml:space="preserve">Le </w:t>
      </w:r>
      <w:proofErr w:type="gramStart"/>
      <w:r>
        <w:t>CESE:</w:t>
      </w:r>
      <w:proofErr w:type="gramEnd"/>
    </w:p>
    <w:p w14:paraId="2B4B0F32" w14:textId="77777777" w:rsidR="0075368F" w:rsidRDefault="0075368F" w:rsidP="0075368F">
      <w:pPr>
        <w:widowControl w:val="0"/>
        <w:numPr>
          <w:ilvl w:val="0"/>
          <w:numId w:val="19"/>
        </w:numPr>
        <w:overflowPunct w:val="0"/>
        <w:autoSpaceDE w:val="0"/>
        <w:autoSpaceDN w:val="0"/>
        <w:adjustRightInd w:val="0"/>
        <w:spacing w:line="269" w:lineRule="auto"/>
        <w:ind w:left="284" w:hanging="284"/>
        <w:textAlignment w:val="baseline"/>
      </w:pPr>
      <w:proofErr w:type="gramStart"/>
      <w:r>
        <w:t>souligne</w:t>
      </w:r>
      <w:proofErr w:type="gramEnd"/>
      <w:r>
        <w:t xml:space="preserve"> le rôle central que joue la politique en matière d’application de la législation dans la réduction de la fragmentation du marché unique et invite la Commission à mettre en œuvre une approche claire et coordonnée qui associe les outils préventifs, collaboratifs et correctifs. Il insiste également sur l’obligation première des États membres de mettre en œuvre correctement et en temps utile le droit de </w:t>
      </w:r>
      <w:proofErr w:type="gramStart"/>
      <w:r>
        <w:t>l’Union;</w:t>
      </w:r>
      <w:proofErr w:type="gramEnd"/>
    </w:p>
    <w:p w14:paraId="7992AF6D" w14:textId="77777777" w:rsidR="0075368F" w:rsidRDefault="0075368F" w:rsidP="0075368F">
      <w:pPr>
        <w:widowControl w:val="0"/>
        <w:numPr>
          <w:ilvl w:val="0"/>
          <w:numId w:val="19"/>
        </w:numPr>
        <w:overflowPunct w:val="0"/>
        <w:autoSpaceDE w:val="0"/>
        <w:autoSpaceDN w:val="0"/>
        <w:adjustRightInd w:val="0"/>
        <w:spacing w:line="269" w:lineRule="auto"/>
        <w:ind w:left="284" w:hanging="284"/>
        <w:textAlignment w:val="baseline"/>
      </w:pPr>
      <w:proofErr w:type="gramStart"/>
      <w:r>
        <w:t>estime</w:t>
      </w:r>
      <w:proofErr w:type="gramEnd"/>
      <w:r>
        <w:t xml:space="preserve"> que l’application adéquate du droit de l’UE devrait être intégrée à toutes les étapes du processus législatif, et que la législation devrait inclure des clauses consacrées à sa mise en œuvre. Il convient d’éviter la </w:t>
      </w:r>
      <w:proofErr w:type="spellStart"/>
      <w:r>
        <w:t>surréglementation</w:t>
      </w:r>
      <w:proofErr w:type="spellEnd"/>
      <w:r>
        <w:t xml:space="preserve"> en limitant les possibilités de compléter la législation de l’Union par des exigences nationales supplémentaires. Il demande à cet égard un engagement actif des colégislateurs, tout comme des États </w:t>
      </w:r>
      <w:proofErr w:type="gramStart"/>
      <w:r>
        <w:t>membres;</w:t>
      </w:r>
      <w:proofErr w:type="gramEnd"/>
    </w:p>
    <w:p w14:paraId="0B60E6A1" w14:textId="77777777" w:rsidR="0075368F" w:rsidRDefault="0075368F" w:rsidP="0075368F">
      <w:pPr>
        <w:widowControl w:val="0"/>
        <w:numPr>
          <w:ilvl w:val="0"/>
          <w:numId w:val="19"/>
        </w:numPr>
        <w:overflowPunct w:val="0"/>
        <w:autoSpaceDE w:val="0"/>
        <w:autoSpaceDN w:val="0"/>
        <w:adjustRightInd w:val="0"/>
        <w:spacing w:line="269" w:lineRule="auto"/>
        <w:ind w:left="284" w:hanging="284"/>
        <w:textAlignment w:val="baseline"/>
      </w:pPr>
      <w:proofErr w:type="gramStart"/>
      <w:r>
        <w:t>invite</w:t>
      </w:r>
      <w:proofErr w:type="gramEnd"/>
      <w:r>
        <w:t xml:space="preserve"> la Commission à mettre à jour la communication sur l’application du droit de l’UE en vue de renforcer et de simplifier les instruments de mise en œuvre et d’accélérer le traitement des procédures d’infraction, tout en améliorant leur transparence;</w:t>
      </w:r>
    </w:p>
    <w:p w14:paraId="1F7C760C" w14:textId="77777777" w:rsidR="0075368F" w:rsidRDefault="0075368F" w:rsidP="0075368F">
      <w:pPr>
        <w:widowControl w:val="0"/>
        <w:numPr>
          <w:ilvl w:val="0"/>
          <w:numId w:val="19"/>
        </w:numPr>
        <w:overflowPunct w:val="0"/>
        <w:autoSpaceDE w:val="0"/>
        <w:autoSpaceDN w:val="0"/>
        <w:adjustRightInd w:val="0"/>
        <w:spacing w:line="269" w:lineRule="auto"/>
        <w:ind w:left="284" w:hanging="284"/>
        <w:textAlignment w:val="baseline"/>
      </w:pPr>
      <w:proofErr w:type="gramStart"/>
      <w:r>
        <w:t>signale</w:t>
      </w:r>
      <w:proofErr w:type="gramEnd"/>
      <w:r>
        <w:t xml:space="preserve"> qu’il importe d’utiliser efficacement les procédures d’infraction qui sont l’instrument le plus puissant pour garantir que les États membres appliquent correctement le droit de l’Union, et recommande de réduire la durée des procédures afin d’éviter toute insécurité juridique, ainsi que d’accroître la transparence;</w:t>
      </w:r>
    </w:p>
    <w:p w14:paraId="04C96FBF" w14:textId="77777777" w:rsidR="0075368F" w:rsidRDefault="0075368F" w:rsidP="0075368F">
      <w:pPr>
        <w:widowControl w:val="0"/>
        <w:numPr>
          <w:ilvl w:val="0"/>
          <w:numId w:val="19"/>
        </w:numPr>
        <w:overflowPunct w:val="0"/>
        <w:autoSpaceDE w:val="0"/>
        <w:autoSpaceDN w:val="0"/>
        <w:adjustRightInd w:val="0"/>
        <w:spacing w:line="269" w:lineRule="auto"/>
        <w:ind w:left="284" w:hanging="284"/>
        <w:textAlignment w:val="baseline"/>
      </w:pPr>
      <w:proofErr w:type="gramStart"/>
      <w:r>
        <w:t>affirme</w:t>
      </w:r>
      <w:proofErr w:type="gramEnd"/>
      <w:r>
        <w:t xml:space="preserve"> que le réseau SOVIT devrait être amélioré et relié aux autres outils d’application; il s’avère en outre nécessaire de consolider le groupe de travail sur le respect de l’application des règles du marché unique (SMET). Il serait par ailleurs utile d’étudier de nouvelles possibilités pour garantir la bonne application du droit de l’Union. Dans ce contexte, le Comité invite les États membres à fournir les ressources requises aux futurs sherpas du marché </w:t>
      </w:r>
      <w:proofErr w:type="gramStart"/>
      <w:r>
        <w:t>unique;</w:t>
      </w:r>
      <w:proofErr w:type="gramEnd"/>
    </w:p>
    <w:p w14:paraId="3ED0AD81" w14:textId="77777777" w:rsidR="0075368F" w:rsidRDefault="0075368F" w:rsidP="0075368F">
      <w:pPr>
        <w:widowControl w:val="0"/>
        <w:numPr>
          <w:ilvl w:val="0"/>
          <w:numId w:val="19"/>
        </w:numPr>
        <w:overflowPunct w:val="0"/>
        <w:autoSpaceDE w:val="0"/>
        <w:autoSpaceDN w:val="0"/>
        <w:adjustRightInd w:val="0"/>
        <w:spacing w:line="269" w:lineRule="auto"/>
        <w:ind w:left="284" w:hanging="284"/>
        <w:textAlignment w:val="baseline"/>
      </w:pPr>
      <w:proofErr w:type="gramStart"/>
      <w:r>
        <w:t>invite</w:t>
      </w:r>
      <w:proofErr w:type="gramEnd"/>
      <w:r>
        <w:t xml:space="preserve"> la Commission, en tant que gardienne des traités, à mettre rapidement en œuvre des mesures concrètes pour améliorer sa politique en matière d’application de la législation, et les États membres à réduire les obstacles existants et à s’abstenir d’en créer de nouveaux.</w:t>
      </w:r>
    </w:p>
    <w:p w14:paraId="669D13C4" w14:textId="77777777" w:rsidR="0075368F" w:rsidRDefault="0075368F" w:rsidP="0075368F">
      <w:pPr>
        <w:widowControl w:val="0"/>
        <w:spacing w:line="269" w:lineRule="auto"/>
        <w:ind w:left="567"/>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4076"/>
      </w:tblGrid>
      <w:tr w:rsidR="0075368F" w:rsidRPr="00A6689B" w14:paraId="619D72C2" w14:textId="77777777" w:rsidTr="00C93F66">
        <w:tc>
          <w:tcPr>
            <w:tcW w:w="1927" w:type="pct"/>
          </w:tcPr>
          <w:p w14:paraId="330C213E" w14:textId="77777777" w:rsidR="0075368F" w:rsidRPr="00A6689B" w:rsidRDefault="0075368F" w:rsidP="00C93F66">
            <w:pPr>
              <w:spacing w:line="269" w:lineRule="auto"/>
              <w:rPr>
                <w:i/>
              </w:rPr>
            </w:pPr>
            <w:r>
              <w:rPr>
                <w:b/>
                <w:i/>
              </w:rPr>
              <w:t>Contact</w:t>
            </w:r>
          </w:p>
        </w:tc>
        <w:tc>
          <w:tcPr>
            <w:tcW w:w="3073" w:type="pct"/>
          </w:tcPr>
          <w:p w14:paraId="73641599" w14:textId="4900EF7A" w:rsidR="0075368F" w:rsidRPr="00A6689B" w:rsidRDefault="0075368F" w:rsidP="00C93F66">
            <w:pPr>
              <w:spacing w:line="269" w:lineRule="auto"/>
              <w:rPr>
                <w:i/>
              </w:rPr>
            </w:pPr>
            <w:proofErr w:type="spellStart"/>
            <w:r>
              <w:rPr>
                <w:i/>
              </w:rPr>
              <w:t>Annalisa</w:t>
            </w:r>
            <w:proofErr w:type="spellEnd"/>
            <w:r>
              <w:rPr>
                <w:i/>
              </w:rPr>
              <w:t> </w:t>
            </w:r>
            <w:r w:rsidR="0007261B">
              <w:rPr>
                <w:i/>
              </w:rPr>
              <w:t>TESSAROLO</w:t>
            </w:r>
          </w:p>
        </w:tc>
      </w:tr>
      <w:tr w:rsidR="0075368F" w:rsidRPr="00A6689B" w14:paraId="0E424B96" w14:textId="77777777" w:rsidTr="00C93F66">
        <w:tc>
          <w:tcPr>
            <w:tcW w:w="1927" w:type="pct"/>
          </w:tcPr>
          <w:p w14:paraId="70487722" w14:textId="77777777" w:rsidR="0075368F" w:rsidRPr="00A6689B" w:rsidRDefault="0075368F" w:rsidP="00C93F66">
            <w:pPr>
              <w:spacing w:line="269" w:lineRule="auto"/>
              <w:rPr>
                <w:i/>
              </w:rPr>
            </w:pPr>
            <w:r>
              <w:rPr>
                <w:i/>
              </w:rPr>
              <w:t>Tél.</w:t>
            </w:r>
          </w:p>
        </w:tc>
        <w:tc>
          <w:tcPr>
            <w:tcW w:w="3073" w:type="pct"/>
          </w:tcPr>
          <w:p w14:paraId="270F3A74" w14:textId="77777777" w:rsidR="0075368F" w:rsidRPr="00A6689B" w:rsidRDefault="0075368F" w:rsidP="00C93F66">
            <w:pPr>
              <w:spacing w:line="269" w:lineRule="auto"/>
              <w:rPr>
                <w:i/>
              </w:rPr>
            </w:pPr>
            <w:r>
              <w:rPr>
                <w:i/>
              </w:rPr>
              <w:t>+32 25469732</w:t>
            </w:r>
          </w:p>
        </w:tc>
      </w:tr>
      <w:tr w:rsidR="0075368F" w:rsidRPr="00A6689B" w14:paraId="0ABBD304" w14:textId="77777777" w:rsidTr="00C93F66">
        <w:tc>
          <w:tcPr>
            <w:tcW w:w="1927" w:type="pct"/>
          </w:tcPr>
          <w:p w14:paraId="205A6BFF" w14:textId="77777777" w:rsidR="0075368F" w:rsidRPr="00A6689B" w:rsidRDefault="0075368F" w:rsidP="00C93F66">
            <w:pPr>
              <w:spacing w:line="269" w:lineRule="auto"/>
              <w:rPr>
                <w:i/>
              </w:rPr>
            </w:pPr>
            <w:r>
              <w:rPr>
                <w:i/>
              </w:rPr>
              <w:t>Adresse électronique</w:t>
            </w:r>
          </w:p>
        </w:tc>
        <w:tc>
          <w:tcPr>
            <w:tcW w:w="3073" w:type="pct"/>
          </w:tcPr>
          <w:p w14:paraId="47EDD972" w14:textId="77777777" w:rsidR="0075368F" w:rsidRPr="000D49D4" w:rsidRDefault="00CB508B" w:rsidP="00C93F66">
            <w:pPr>
              <w:spacing w:line="269" w:lineRule="auto"/>
              <w:rPr>
                <w:i/>
                <w:iCs/>
              </w:rPr>
            </w:pPr>
            <w:hyperlink r:id="rId75" w:history="1">
              <w:r w:rsidR="0075368F">
                <w:rPr>
                  <w:rStyle w:val="Hyperlink"/>
                  <w:i/>
                </w:rPr>
                <w:t>Annalisa.Tessarolo@eesc.europa.eu</w:t>
              </w:r>
            </w:hyperlink>
          </w:p>
        </w:tc>
      </w:tr>
    </w:tbl>
    <w:p w14:paraId="200D3041" w14:textId="77777777" w:rsidR="00F31327" w:rsidRDefault="00F31327" w:rsidP="00F31327">
      <w:pPr>
        <w:jc w:val="left"/>
        <w:rPr>
          <w:b/>
          <w:i/>
          <w:sz w:val="28"/>
          <w:szCs w:val="28"/>
          <w:lang w:val="en-GB"/>
        </w:rPr>
      </w:pPr>
      <w:r>
        <w:rPr>
          <w:b/>
          <w:i/>
          <w:sz w:val="28"/>
          <w:szCs w:val="28"/>
          <w:lang w:val="en-GB"/>
        </w:rPr>
        <w:br w:type="page"/>
      </w:r>
    </w:p>
    <w:p w14:paraId="7CC9ED91" w14:textId="0027EA90" w:rsidR="006C3DE6" w:rsidRPr="00126B20" w:rsidRDefault="00CB508B" w:rsidP="006C3DE6">
      <w:pPr>
        <w:widowControl w:val="0"/>
        <w:numPr>
          <w:ilvl w:val="0"/>
          <w:numId w:val="19"/>
        </w:numPr>
        <w:overflowPunct w:val="0"/>
        <w:autoSpaceDE w:val="0"/>
        <w:autoSpaceDN w:val="0"/>
        <w:adjustRightInd w:val="0"/>
        <w:ind w:hanging="567"/>
        <w:textAlignment w:val="baseline"/>
        <w:rPr>
          <w:sz w:val="20"/>
          <w:lang w:val="fr-BE"/>
        </w:rPr>
      </w:pPr>
      <w:hyperlink r:id="rId76" w:history="1">
        <w:r w:rsidR="006C3DE6" w:rsidRPr="006E36C8">
          <w:rPr>
            <w:rStyle w:val="Hyperlink"/>
            <w:b/>
            <w:bCs/>
            <w:i/>
            <w:iCs/>
            <w:sz w:val="28"/>
            <w:szCs w:val="28"/>
            <w:lang w:val="fr-BE"/>
          </w:rPr>
          <w:t>Les déterminants commerciaux de la santé</w:t>
        </w:r>
      </w:hyperlink>
      <w:r w:rsidR="006C3DE6" w:rsidRPr="00126B20">
        <w:rPr>
          <w:rFonts w:ascii="Candara" w:hAnsi="Candara"/>
          <w:b/>
          <w:bCs/>
          <w:sz w:val="28"/>
          <w:szCs w:val="28"/>
          <w:lang w:val="fr-BE"/>
        </w:rPr>
        <w:t xml:space="preserve"> </w:t>
      </w:r>
    </w:p>
    <w:p w14:paraId="69ABC6FD" w14:textId="77777777" w:rsidR="006C3DE6" w:rsidRPr="00126B20" w:rsidRDefault="006C3DE6" w:rsidP="006C3DE6">
      <w:pPr>
        <w:tabs>
          <w:tab w:val="center" w:pos="284"/>
        </w:tabs>
        <w:ind w:left="266" w:hanging="266"/>
        <w:rPr>
          <w:b/>
          <w:lang w:val="fr-B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7149"/>
      </w:tblGrid>
      <w:tr w:rsidR="006C3DE6" w:rsidRPr="00F37C9E" w14:paraId="0983AE2A" w14:textId="77777777" w:rsidTr="00C93F66">
        <w:trPr>
          <w:trHeight w:val="355"/>
        </w:trPr>
        <w:tc>
          <w:tcPr>
            <w:tcW w:w="1210" w:type="pct"/>
          </w:tcPr>
          <w:p w14:paraId="7DFDC6BA" w14:textId="77777777" w:rsidR="006C3DE6" w:rsidRPr="00A6689B" w:rsidRDefault="006C3DE6" w:rsidP="00C93F66">
            <w:pPr>
              <w:tabs>
                <w:tab w:val="center" w:pos="284"/>
              </w:tabs>
              <w:ind w:left="266" w:hanging="266"/>
              <w:rPr>
                <w:b/>
                <w:lang w:val="en-US"/>
              </w:rPr>
            </w:pPr>
            <w:r>
              <w:rPr>
                <w:b/>
                <w:lang w:val="en-US"/>
              </w:rPr>
              <w:t>Rapporteur</w:t>
            </w:r>
          </w:p>
        </w:tc>
        <w:tc>
          <w:tcPr>
            <w:tcW w:w="3790" w:type="pct"/>
          </w:tcPr>
          <w:p w14:paraId="0BBDC037" w14:textId="0E4A2D5F" w:rsidR="006C3DE6" w:rsidRPr="006E36C8" w:rsidRDefault="006C3DE6" w:rsidP="00C93F66">
            <w:pPr>
              <w:tabs>
                <w:tab w:val="center" w:pos="0"/>
              </w:tabs>
              <w:ind w:left="35" w:hanging="35"/>
            </w:pPr>
            <w:r w:rsidRPr="006E36C8">
              <w:rPr>
                <w:bCs/>
              </w:rPr>
              <w:t>Alain</w:t>
            </w:r>
            <w:r w:rsidR="006031D5">
              <w:rPr>
                <w:bCs/>
              </w:rPr>
              <w:t> </w:t>
            </w:r>
            <w:r w:rsidRPr="006E36C8">
              <w:rPr>
                <w:bCs/>
              </w:rPr>
              <w:t xml:space="preserve">COHEUR </w:t>
            </w:r>
            <w:r w:rsidRPr="006E36C8">
              <w:t>(Groupe des o</w:t>
            </w:r>
            <w:r>
              <w:t>rganisations de la société civile</w:t>
            </w:r>
            <w:r w:rsidRPr="006E36C8">
              <w:t xml:space="preserve"> </w:t>
            </w:r>
            <w:r w:rsidR="006031D5">
              <w:t>—</w:t>
            </w:r>
            <w:r w:rsidRPr="006E36C8">
              <w:t xml:space="preserve"> B</w:t>
            </w:r>
            <w:r>
              <w:t>E</w:t>
            </w:r>
            <w:r w:rsidRPr="006E36C8">
              <w:t>)</w:t>
            </w:r>
          </w:p>
        </w:tc>
      </w:tr>
      <w:tr w:rsidR="006C3DE6" w:rsidRPr="00F37C9E" w14:paraId="16B451F7" w14:textId="77777777" w:rsidTr="00C93F66">
        <w:trPr>
          <w:trHeight w:val="355"/>
        </w:trPr>
        <w:tc>
          <w:tcPr>
            <w:tcW w:w="1210" w:type="pct"/>
          </w:tcPr>
          <w:p w14:paraId="1BBD2CDE" w14:textId="77777777" w:rsidR="006C3DE6" w:rsidRDefault="006C3DE6" w:rsidP="00C93F66">
            <w:pPr>
              <w:tabs>
                <w:tab w:val="center" w:pos="284"/>
              </w:tabs>
              <w:ind w:left="266" w:hanging="266"/>
              <w:rPr>
                <w:b/>
                <w:lang w:val="en-US"/>
              </w:rPr>
            </w:pPr>
            <w:r>
              <w:rPr>
                <w:b/>
                <w:lang w:val="en-US"/>
              </w:rPr>
              <w:t>Co-rapporteur</w:t>
            </w:r>
          </w:p>
        </w:tc>
        <w:tc>
          <w:tcPr>
            <w:tcW w:w="3790" w:type="pct"/>
          </w:tcPr>
          <w:p w14:paraId="436F0F8C" w14:textId="0108CDCE" w:rsidR="006C3DE6" w:rsidRPr="006E36C8" w:rsidRDefault="006C3DE6" w:rsidP="00C93F66">
            <w:pPr>
              <w:tabs>
                <w:tab w:val="center" w:pos="0"/>
              </w:tabs>
              <w:ind w:left="35" w:hanging="35"/>
              <w:rPr>
                <w:bCs/>
              </w:rPr>
            </w:pPr>
            <w:r w:rsidRPr="006E36C8">
              <w:rPr>
                <w:bCs/>
              </w:rPr>
              <w:t>Christophe</w:t>
            </w:r>
            <w:r w:rsidR="006031D5">
              <w:rPr>
                <w:bCs/>
              </w:rPr>
              <w:t> </w:t>
            </w:r>
            <w:r w:rsidRPr="006E36C8">
              <w:rPr>
                <w:bCs/>
              </w:rPr>
              <w:t>LEFÈVRE (Groupe des travailleu</w:t>
            </w:r>
            <w:r>
              <w:rPr>
                <w:bCs/>
              </w:rPr>
              <w:t>rs</w:t>
            </w:r>
            <w:r w:rsidRPr="006E36C8">
              <w:rPr>
                <w:bCs/>
              </w:rPr>
              <w:t xml:space="preserve"> </w:t>
            </w:r>
            <w:r w:rsidR="006031D5">
              <w:rPr>
                <w:bCs/>
              </w:rPr>
              <w:t>—</w:t>
            </w:r>
            <w:r w:rsidRPr="006E36C8">
              <w:rPr>
                <w:bCs/>
              </w:rPr>
              <w:t xml:space="preserve"> F</w:t>
            </w:r>
            <w:r>
              <w:rPr>
                <w:bCs/>
              </w:rPr>
              <w:t>R</w:t>
            </w:r>
            <w:r w:rsidRPr="006E36C8">
              <w:rPr>
                <w:bCs/>
              </w:rPr>
              <w:t>)</w:t>
            </w:r>
          </w:p>
        </w:tc>
      </w:tr>
      <w:tr w:rsidR="006C3DE6" w:rsidRPr="00202087" w14:paraId="564F1E63" w14:textId="77777777" w:rsidTr="00C93F66">
        <w:trPr>
          <w:trHeight w:val="525"/>
        </w:trPr>
        <w:tc>
          <w:tcPr>
            <w:tcW w:w="1210" w:type="pct"/>
          </w:tcPr>
          <w:p w14:paraId="1EB93DFC" w14:textId="77777777" w:rsidR="006C3DE6" w:rsidRPr="00CB5569" w:rsidRDefault="006C3DE6" w:rsidP="00C93F66">
            <w:pPr>
              <w:tabs>
                <w:tab w:val="center" w:pos="284"/>
              </w:tabs>
              <w:ind w:left="266" w:hanging="266"/>
              <w:rPr>
                <w:b/>
                <w:lang w:val="en-US"/>
              </w:rPr>
            </w:pPr>
            <w:r w:rsidRPr="00CB5569">
              <w:rPr>
                <w:b/>
                <w:lang w:val="en-US"/>
              </w:rPr>
              <w:t>References</w:t>
            </w:r>
          </w:p>
        </w:tc>
        <w:tc>
          <w:tcPr>
            <w:tcW w:w="3790" w:type="pct"/>
          </w:tcPr>
          <w:p w14:paraId="438BAA70" w14:textId="14987102" w:rsidR="006C3DE6" w:rsidRPr="00126B20" w:rsidRDefault="006C3DE6" w:rsidP="00C93F66">
            <w:pPr>
              <w:tabs>
                <w:tab w:val="center" w:pos="284"/>
              </w:tabs>
              <w:ind w:left="266" w:hanging="266"/>
              <w:rPr>
                <w:lang w:val="fr-BE"/>
              </w:rPr>
            </w:pPr>
            <w:r w:rsidRPr="00126B20">
              <w:t>Avis d</w:t>
            </w:r>
            <w:r w:rsidR="006031D5">
              <w:t>’</w:t>
            </w:r>
            <w:r w:rsidRPr="00126B20">
              <w:t>initiative</w:t>
            </w:r>
          </w:p>
          <w:p w14:paraId="601665E0" w14:textId="77777777" w:rsidR="006C3DE6" w:rsidRPr="00126B20" w:rsidRDefault="006C3DE6" w:rsidP="00C93F66">
            <w:pPr>
              <w:tabs>
                <w:tab w:val="center" w:pos="284"/>
              </w:tabs>
              <w:ind w:left="266" w:hanging="266"/>
            </w:pPr>
            <w:r w:rsidRPr="00126B20">
              <w:t>EESC-2025-00420-00-00-AC</w:t>
            </w:r>
          </w:p>
        </w:tc>
      </w:tr>
    </w:tbl>
    <w:p w14:paraId="344D97E7" w14:textId="77777777" w:rsidR="006C3DE6" w:rsidRDefault="006C3DE6" w:rsidP="006C3DE6">
      <w:pPr>
        <w:keepNext/>
        <w:keepLines/>
        <w:tabs>
          <w:tab w:val="center" w:pos="284"/>
        </w:tabs>
        <w:ind w:left="266" w:hanging="266"/>
        <w:rPr>
          <w:b/>
        </w:rPr>
      </w:pPr>
    </w:p>
    <w:p w14:paraId="1FC94DE4" w14:textId="77777777" w:rsidR="006C3DE6" w:rsidRPr="00CB5569" w:rsidRDefault="006C3DE6" w:rsidP="006C3DE6">
      <w:pPr>
        <w:keepNext/>
        <w:keepLines/>
        <w:tabs>
          <w:tab w:val="center" w:pos="284"/>
        </w:tabs>
        <w:ind w:left="266" w:hanging="266"/>
        <w:rPr>
          <w:b/>
        </w:rPr>
      </w:pPr>
      <w:r>
        <w:rPr>
          <w:b/>
        </w:rPr>
        <w:t>Points clés</w:t>
      </w:r>
    </w:p>
    <w:p w14:paraId="08BDD68F" w14:textId="77777777" w:rsidR="006C3DE6" w:rsidRPr="00CB5569" w:rsidRDefault="006C3DE6" w:rsidP="006C3DE6">
      <w:pPr>
        <w:keepNext/>
        <w:keepLines/>
        <w:tabs>
          <w:tab w:val="center" w:pos="284"/>
        </w:tabs>
        <w:ind w:left="266" w:hanging="266"/>
        <w:rPr>
          <w:bCs/>
        </w:rPr>
      </w:pPr>
    </w:p>
    <w:p w14:paraId="75DCDE4C" w14:textId="77777777" w:rsidR="006C3DE6" w:rsidRPr="00C85861" w:rsidRDefault="006C3DE6" w:rsidP="006C3DE6">
      <w:pPr>
        <w:rPr>
          <w:bCs/>
          <w:iCs/>
        </w:rPr>
      </w:pPr>
      <w:r>
        <w:rPr>
          <w:bCs/>
          <w:iCs/>
        </w:rPr>
        <w:t xml:space="preserve">Le </w:t>
      </w:r>
      <w:proofErr w:type="gramStart"/>
      <w:r>
        <w:rPr>
          <w:bCs/>
          <w:iCs/>
        </w:rPr>
        <w:t>CESE</w:t>
      </w:r>
      <w:r w:rsidRPr="00CB5569">
        <w:rPr>
          <w:bCs/>
          <w:iCs/>
        </w:rPr>
        <w:t>:</w:t>
      </w:r>
      <w:proofErr w:type="gramEnd"/>
    </w:p>
    <w:p w14:paraId="35490C36" w14:textId="77777777" w:rsidR="006C3DE6" w:rsidRPr="00F757C5" w:rsidRDefault="006C3DE6" w:rsidP="006C3DE6">
      <w:pPr>
        <w:pStyle w:val="ListParagraph"/>
        <w:numPr>
          <w:ilvl w:val="0"/>
          <w:numId w:val="19"/>
        </w:numPr>
        <w:spacing w:after="200" w:line="276" w:lineRule="auto"/>
        <w:ind w:hanging="567"/>
        <w:rPr>
          <w:bCs/>
          <w:iCs/>
          <w:lang w:val="fr-BE"/>
        </w:rPr>
      </w:pPr>
      <w:proofErr w:type="gramStart"/>
      <w:r>
        <w:rPr>
          <w:bCs/>
          <w:iCs/>
          <w:lang w:val="fr-BE"/>
        </w:rPr>
        <w:t>s</w:t>
      </w:r>
      <w:r w:rsidRPr="00F757C5">
        <w:rPr>
          <w:bCs/>
          <w:iCs/>
          <w:lang w:val="fr-BE"/>
        </w:rPr>
        <w:t>ouligne</w:t>
      </w:r>
      <w:proofErr w:type="gramEnd"/>
      <w:r w:rsidRPr="00F757C5">
        <w:rPr>
          <w:bCs/>
          <w:iCs/>
          <w:lang w:val="fr-BE"/>
        </w:rPr>
        <w:t xml:space="preserve"> l’urgence d’une </w:t>
      </w:r>
      <w:r w:rsidRPr="00055341">
        <w:rPr>
          <w:b/>
          <w:iCs/>
          <w:lang w:val="fr-BE"/>
        </w:rPr>
        <w:t>approche globale, préventive</w:t>
      </w:r>
      <w:r w:rsidRPr="00F757C5">
        <w:rPr>
          <w:bCs/>
          <w:iCs/>
          <w:lang w:val="fr-BE"/>
        </w:rPr>
        <w:t xml:space="preserve"> </w:t>
      </w:r>
      <w:r w:rsidRPr="00055341">
        <w:rPr>
          <w:b/>
          <w:iCs/>
          <w:lang w:val="fr-BE"/>
        </w:rPr>
        <w:t>et fondée sur les droits humains pour faire face aux déterminants commerciaux de la santé</w:t>
      </w:r>
      <w:r w:rsidRPr="00F757C5">
        <w:rPr>
          <w:bCs/>
          <w:iCs/>
          <w:lang w:val="fr-BE"/>
        </w:rPr>
        <w:t>, définis comme les stratégies d’acteurs privés qui nuisent à la santé publique et aux équilibres démocratiques</w:t>
      </w:r>
      <w:r>
        <w:rPr>
          <w:bCs/>
          <w:iCs/>
          <w:lang w:val="fr-BE"/>
        </w:rPr>
        <w:t>;</w:t>
      </w:r>
    </w:p>
    <w:p w14:paraId="436BED8F" w14:textId="4A8C1500" w:rsidR="006C3DE6" w:rsidRPr="00F757C5" w:rsidRDefault="006C3DE6" w:rsidP="006C3DE6">
      <w:pPr>
        <w:pStyle w:val="ListParagraph"/>
        <w:numPr>
          <w:ilvl w:val="0"/>
          <w:numId w:val="19"/>
        </w:numPr>
        <w:spacing w:after="200" w:line="276" w:lineRule="auto"/>
        <w:ind w:hanging="567"/>
        <w:rPr>
          <w:bCs/>
          <w:iCs/>
          <w:lang w:val="fr-BE"/>
        </w:rPr>
      </w:pPr>
      <w:proofErr w:type="gramStart"/>
      <w:r>
        <w:rPr>
          <w:bCs/>
          <w:iCs/>
          <w:lang w:val="fr-BE"/>
        </w:rPr>
        <w:t>a</w:t>
      </w:r>
      <w:r w:rsidRPr="00F757C5">
        <w:rPr>
          <w:bCs/>
          <w:iCs/>
          <w:lang w:val="fr-BE"/>
        </w:rPr>
        <w:t>ppelle</w:t>
      </w:r>
      <w:proofErr w:type="gramEnd"/>
      <w:r w:rsidRPr="00F757C5">
        <w:rPr>
          <w:bCs/>
          <w:iCs/>
          <w:lang w:val="fr-BE"/>
        </w:rPr>
        <w:t xml:space="preserve"> l’UE et ses États membres à adopter des politiques ambitieuses et des financements stratégiques, notamment via le futur cadre financier pluriannuel</w:t>
      </w:r>
      <w:r w:rsidR="006031D5">
        <w:rPr>
          <w:bCs/>
          <w:iCs/>
          <w:lang w:val="fr-BE"/>
        </w:rPr>
        <w:t> </w:t>
      </w:r>
      <w:r w:rsidRPr="00F757C5">
        <w:rPr>
          <w:bCs/>
          <w:iCs/>
          <w:lang w:val="fr-BE"/>
        </w:rPr>
        <w:t xml:space="preserve">2028–2034, pour faire de la </w:t>
      </w:r>
      <w:r w:rsidRPr="00055341">
        <w:rPr>
          <w:b/>
          <w:iCs/>
          <w:lang w:val="fr-BE"/>
        </w:rPr>
        <w:t>santé un pilier central de la résilience européenne, en particulier dans une perspective de prévention</w:t>
      </w:r>
      <w:r>
        <w:rPr>
          <w:bCs/>
          <w:iCs/>
          <w:lang w:val="fr-BE"/>
        </w:rPr>
        <w:t>;</w:t>
      </w:r>
    </w:p>
    <w:p w14:paraId="7D4F3D84" w14:textId="77777777" w:rsidR="006C3DE6" w:rsidRPr="00F757C5" w:rsidRDefault="006C3DE6" w:rsidP="006C3DE6">
      <w:pPr>
        <w:pStyle w:val="ListParagraph"/>
        <w:numPr>
          <w:ilvl w:val="0"/>
          <w:numId w:val="19"/>
        </w:numPr>
        <w:spacing w:after="200" w:line="276" w:lineRule="auto"/>
        <w:ind w:hanging="567"/>
        <w:rPr>
          <w:bCs/>
          <w:iCs/>
          <w:lang w:val="fr-BE"/>
        </w:rPr>
      </w:pPr>
      <w:proofErr w:type="gramStart"/>
      <w:r>
        <w:rPr>
          <w:bCs/>
          <w:iCs/>
          <w:lang w:val="fr-BE"/>
        </w:rPr>
        <w:t>e</w:t>
      </w:r>
      <w:r w:rsidRPr="00F757C5">
        <w:rPr>
          <w:bCs/>
          <w:iCs/>
          <w:lang w:val="fr-BE"/>
        </w:rPr>
        <w:t>ncourage</w:t>
      </w:r>
      <w:proofErr w:type="gramEnd"/>
      <w:r w:rsidRPr="00F757C5">
        <w:rPr>
          <w:bCs/>
          <w:iCs/>
          <w:lang w:val="fr-BE"/>
        </w:rPr>
        <w:t xml:space="preserve"> la mise en place d’un c</w:t>
      </w:r>
      <w:r w:rsidRPr="000A6553">
        <w:rPr>
          <w:b/>
          <w:iCs/>
          <w:lang w:val="fr-BE"/>
        </w:rPr>
        <w:t>a</w:t>
      </w:r>
      <w:r w:rsidRPr="00055341">
        <w:rPr>
          <w:b/>
          <w:iCs/>
          <w:lang w:val="fr-BE"/>
        </w:rPr>
        <w:t>dre réglementaire équilibré permettant aux entreprises de transitionner vers des modèles respectueux de la santé publique</w:t>
      </w:r>
      <w:r w:rsidRPr="00F757C5">
        <w:rPr>
          <w:bCs/>
          <w:iCs/>
          <w:lang w:val="fr-BE"/>
        </w:rPr>
        <w:t>, en intégrant le principe de précaution, la transparence, et des clauses de vigilance dans les politiques publiques</w:t>
      </w:r>
      <w:r>
        <w:rPr>
          <w:bCs/>
          <w:iCs/>
          <w:lang w:val="fr-BE"/>
        </w:rPr>
        <w:t>;</w:t>
      </w:r>
    </w:p>
    <w:p w14:paraId="3BFC457C" w14:textId="77777777" w:rsidR="006C3DE6" w:rsidRPr="00F757C5" w:rsidRDefault="006C3DE6" w:rsidP="006C3DE6">
      <w:pPr>
        <w:pStyle w:val="ListParagraph"/>
        <w:numPr>
          <w:ilvl w:val="0"/>
          <w:numId w:val="19"/>
        </w:numPr>
        <w:spacing w:after="200" w:line="276" w:lineRule="auto"/>
        <w:ind w:hanging="567"/>
        <w:rPr>
          <w:bCs/>
          <w:iCs/>
          <w:lang w:val="fr-BE"/>
        </w:rPr>
      </w:pPr>
      <w:proofErr w:type="gramStart"/>
      <w:r>
        <w:rPr>
          <w:bCs/>
          <w:iCs/>
          <w:lang w:val="fr-BE"/>
        </w:rPr>
        <w:t>s</w:t>
      </w:r>
      <w:r w:rsidRPr="00F757C5">
        <w:rPr>
          <w:bCs/>
          <w:iCs/>
          <w:lang w:val="fr-BE"/>
        </w:rPr>
        <w:t>outient</w:t>
      </w:r>
      <w:proofErr w:type="gramEnd"/>
      <w:r w:rsidRPr="00F757C5">
        <w:rPr>
          <w:bCs/>
          <w:iCs/>
          <w:lang w:val="fr-BE"/>
        </w:rPr>
        <w:t xml:space="preserve"> la création d’un </w:t>
      </w:r>
      <w:r w:rsidRPr="00055341">
        <w:rPr>
          <w:b/>
          <w:iCs/>
          <w:lang w:val="fr-BE"/>
        </w:rPr>
        <w:t>Observatoire européen des déterminants commerciaux de la santé</w:t>
      </w:r>
      <w:r w:rsidRPr="00F757C5">
        <w:rPr>
          <w:bCs/>
          <w:iCs/>
          <w:lang w:val="fr-BE"/>
        </w:rPr>
        <w:t xml:space="preserve"> sous l’égide </w:t>
      </w:r>
      <w:r>
        <w:rPr>
          <w:bCs/>
          <w:iCs/>
          <w:lang w:val="fr-BE"/>
        </w:rPr>
        <w:t xml:space="preserve">du </w:t>
      </w:r>
      <w:r w:rsidRPr="00055341">
        <w:rPr>
          <w:bCs/>
          <w:iCs/>
          <w:lang w:val="fr-BE"/>
        </w:rPr>
        <w:t>Centre européen de prévention et de contrôle des maladies (ECDC)</w:t>
      </w:r>
      <w:r w:rsidRPr="00F757C5">
        <w:rPr>
          <w:bCs/>
          <w:iCs/>
          <w:lang w:val="fr-BE"/>
        </w:rPr>
        <w:t xml:space="preserve">, ainsi que d’un </w:t>
      </w:r>
      <w:r w:rsidRPr="00055341">
        <w:rPr>
          <w:b/>
          <w:iCs/>
          <w:lang w:val="fr-BE"/>
        </w:rPr>
        <w:t>label européen «Entreprise responsable pour la santé»</w:t>
      </w:r>
      <w:r w:rsidRPr="00F757C5">
        <w:rPr>
          <w:bCs/>
          <w:iCs/>
          <w:lang w:val="fr-BE"/>
        </w:rPr>
        <w:t xml:space="preserve"> fondé sur des critères rigoureux et inspiré de l’économie sociale et solidaire</w:t>
      </w:r>
      <w:r>
        <w:rPr>
          <w:bCs/>
          <w:iCs/>
          <w:lang w:val="fr-BE"/>
        </w:rPr>
        <w:t>;</w:t>
      </w:r>
    </w:p>
    <w:p w14:paraId="6F844094" w14:textId="77777777" w:rsidR="006C3DE6" w:rsidRPr="00F757C5" w:rsidRDefault="006C3DE6" w:rsidP="006C3DE6">
      <w:pPr>
        <w:pStyle w:val="ListParagraph"/>
        <w:numPr>
          <w:ilvl w:val="0"/>
          <w:numId w:val="19"/>
        </w:numPr>
        <w:spacing w:after="200" w:line="276" w:lineRule="auto"/>
        <w:ind w:hanging="567"/>
        <w:rPr>
          <w:bCs/>
          <w:iCs/>
          <w:lang w:val="fr-BE"/>
        </w:rPr>
      </w:pPr>
      <w:proofErr w:type="gramStart"/>
      <w:r>
        <w:rPr>
          <w:bCs/>
          <w:iCs/>
          <w:lang w:val="fr-BE"/>
        </w:rPr>
        <w:t>p</w:t>
      </w:r>
      <w:r w:rsidRPr="00F757C5">
        <w:rPr>
          <w:bCs/>
          <w:iCs/>
          <w:lang w:val="fr-BE"/>
        </w:rPr>
        <w:t>laide</w:t>
      </w:r>
      <w:proofErr w:type="gramEnd"/>
      <w:r w:rsidRPr="00F757C5">
        <w:rPr>
          <w:bCs/>
          <w:iCs/>
          <w:lang w:val="fr-BE"/>
        </w:rPr>
        <w:t xml:space="preserve"> pour une </w:t>
      </w:r>
      <w:r w:rsidRPr="00480AC8">
        <w:rPr>
          <w:b/>
          <w:iCs/>
          <w:lang w:val="fr-BE"/>
        </w:rPr>
        <w:t>implication active de la société civile et des organisations de patients</w:t>
      </w:r>
      <w:r w:rsidRPr="00F757C5">
        <w:rPr>
          <w:bCs/>
          <w:iCs/>
          <w:lang w:val="fr-BE"/>
        </w:rPr>
        <w:t xml:space="preserve"> à toutes les étapes de l’élaboration et de l’évaluation des politiques de santé, tout en garantissant la transparence des financements et l’indépendance vis-à-vis des industries influentes.</w:t>
      </w:r>
    </w:p>
    <w:p w14:paraId="3FAE6474" w14:textId="77777777" w:rsidR="006C3DE6" w:rsidRPr="00F757C5" w:rsidRDefault="006C3DE6" w:rsidP="006C3DE6">
      <w:pPr>
        <w:pStyle w:val="ListParagraph"/>
        <w:ind w:left="567"/>
        <w:rPr>
          <w:bCs/>
          <w:iCs/>
          <w:lang w:val="fr-B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3"/>
        <w:gridCol w:w="7958"/>
      </w:tblGrid>
      <w:tr w:rsidR="006C3DE6" w:rsidRPr="00A6689B" w14:paraId="7B0B57B0" w14:textId="77777777" w:rsidTr="00C93F66">
        <w:tc>
          <w:tcPr>
            <w:tcW w:w="781" w:type="pct"/>
          </w:tcPr>
          <w:p w14:paraId="20508531" w14:textId="77777777" w:rsidR="006C3DE6" w:rsidRPr="00A6689B" w:rsidRDefault="006C3DE6" w:rsidP="00C93F66">
            <w:pPr>
              <w:spacing w:line="240" w:lineRule="auto"/>
              <w:rPr>
                <w:i/>
                <w:lang w:val="en-US"/>
              </w:rPr>
            </w:pPr>
            <w:r>
              <w:rPr>
                <w:b/>
                <w:i/>
                <w:lang w:val="en-US"/>
              </w:rPr>
              <w:t>Contact</w:t>
            </w:r>
          </w:p>
        </w:tc>
        <w:tc>
          <w:tcPr>
            <w:tcW w:w="4219" w:type="pct"/>
          </w:tcPr>
          <w:p w14:paraId="4C12747A" w14:textId="30D59087" w:rsidR="006C3DE6" w:rsidRPr="00A6689B" w:rsidRDefault="006C3DE6" w:rsidP="00C93F66">
            <w:pPr>
              <w:spacing w:line="240" w:lineRule="auto"/>
              <w:rPr>
                <w:i/>
                <w:lang w:val="en-US"/>
              </w:rPr>
            </w:pPr>
            <w:r>
              <w:rPr>
                <w:i/>
                <w:lang w:val="en-US"/>
              </w:rPr>
              <w:t>Silvia</w:t>
            </w:r>
            <w:r w:rsidR="006031D5">
              <w:rPr>
                <w:i/>
                <w:lang w:val="en-US"/>
              </w:rPr>
              <w:t> </w:t>
            </w:r>
            <w:r>
              <w:rPr>
                <w:i/>
                <w:lang w:val="en-US"/>
              </w:rPr>
              <w:t>STAFFA</w:t>
            </w:r>
          </w:p>
        </w:tc>
      </w:tr>
      <w:tr w:rsidR="006C3DE6" w:rsidRPr="00A6689B" w14:paraId="4FC1F1EC" w14:textId="77777777" w:rsidTr="00C93F66">
        <w:tc>
          <w:tcPr>
            <w:tcW w:w="781" w:type="pct"/>
          </w:tcPr>
          <w:p w14:paraId="7D30064D" w14:textId="77777777" w:rsidR="006C3DE6" w:rsidRPr="00A6689B" w:rsidRDefault="006C3DE6" w:rsidP="00C93F66">
            <w:pPr>
              <w:spacing w:line="240" w:lineRule="auto"/>
              <w:rPr>
                <w:i/>
                <w:lang w:val="en-US"/>
              </w:rPr>
            </w:pPr>
            <w:proofErr w:type="spellStart"/>
            <w:r>
              <w:rPr>
                <w:i/>
                <w:lang w:val="en-US"/>
              </w:rPr>
              <w:t>Tél</w:t>
            </w:r>
            <w:proofErr w:type="spellEnd"/>
            <w:r>
              <w:rPr>
                <w:i/>
                <w:lang w:val="en-US"/>
              </w:rPr>
              <w:t>.</w:t>
            </w:r>
          </w:p>
        </w:tc>
        <w:tc>
          <w:tcPr>
            <w:tcW w:w="4219" w:type="pct"/>
          </w:tcPr>
          <w:p w14:paraId="366EB27B" w14:textId="77777777" w:rsidR="006C3DE6" w:rsidRPr="00A6689B" w:rsidRDefault="006C3DE6" w:rsidP="00C93F66">
            <w:pPr>
              <w:spacing w:line="240" w:lineRule="auto"/>
              <w:rPr>
                <w:i/>
                <w:lang w:val="en-US"/>
              </w:rPr>
            </w:pPr>
            <w:r>
              <w:rPr>
                <w:i/>
                <w:lang w:val="en-US"/>
              </w:rPr>
              <w:t>+ 32 25468378</w:t>
            </w:r>
          </w:p>
        </w:tc>
      </w:tr>
      <w:tr w:rsidR="006C3DE6" w:rsidRPr="00A6689B" w14:paraId="7C7F2698" w14:textId="77777777" w:rsidTr="00C93F66">
        <w:tc>
          <w:tcPr>
            <w:tcW w:w="781" w:type="pct"/>
          </w:tcPr>
          <w:p w14:paraId="5E6AD162" w14:textId="77777777" w:rsidR="006C3DE6" w:rsidRPr="00A6689B" w:rsidRDefault="006C3DE6" w:rsidP="00C93F66">
            <w:pPr>
              <w:spacing w:line="240" w:lineRule="auto"/>
              <w:rPr>
                <w:i/>
                <w:lang w:val="en-US"/>
              </w:rPr>
            </w:pPr>
            <w:r>
              <w:rPr>
                <w:i/>
                <w:lang w:val="en-US"/>
              </w:rPr>
              <w:t>Email</w:t>
            </w:r>
          </w:p>
        </w:tc>
        <w:tc>
          <w:tcPr>
            <w:tcW w:w="4219" w:type="pct"/>
          </w:tcPr>
          <w:p w14:paraId="42EF96F6" w14:textId="77777777" w:rsidR="006C3DE6" w:rsidRPr="00CB5569" w:rsidRDefault="00CB508B" w:rsidP="00C93F66">
            <w:pPr>
              <w:spacing w:line="240" w:lineRule="auto"/>
              <w:rPr>
                <w:i/>
                <w:iCs/>
                <w:sz w:val="20"/>
              </w:rPr>
            </w:pPr>
            <w:hyperlink r:id="rId77" w:history="1">
              <w:r w:rsidR="006C3DE6" w:rsidRPr="00D86AD7">
                <w:rPr>
                  <w:rStyle w:val="Hyperlink"/>
                  <w:i/>
                  <w:iCs/>
                  <w:sz w:val="20"/>
                </w:rPr>
                <w:t>S</w:t>
              </w:r>
              <w:r w:rsidR="006C3DE6" w:rsidRPr="00D86AD7">
                <w:rPr>
                  <w:rStyle w:val="Hyperlink"/>
                  <w:i/>
                  <w:iCs/>
                </w:rPr>
                <w:t>ilvi</w:t>
              </w:r>
              <w:r w:rsidR="006C3DE6" w:rsidRPr="00D86AD7">
                <w:rPr>
                  <w:rStyle w:val="Hyperlink"/>
                  <w:i/>
                  <w:iCs/>
                  <w:sz w:val="20"/>
                </w:rPr>
                <w:t>a.Staffa@eesc.europa.eu</w:t>
              </w:r>
            </w:hyperlink>
          </w:p>
        </w:tc>
      </w:tr>
    </w:tbl>
    <w:p w14:paraId="36C9018A" w14:textId="77777777" w:rsidR="00F31327" w:rsidRDefault="00F31327" w:rsidP="00F31327">
      <w:pPr>
        <w:jc w:val="left"/>
        <w:rPr>
          <w:b/>
          <w:i/>
          <w:sz w:val="28"/>
          <w:szCs w:val="28"/>
          <w:lang w:val="en-GB"/>
        </w:rPr>
      </w:pPr>
    </w:p>
    <w:p w14:paraId="584CCCEB" w14:textId="77777777" w:rsidR="00F31327" w:rsidRDefault="00F31327" w:rsidP="00F31327">
      <w:pPr>
        <w:jc w:val="left"/>
        <w:rPr>
          <w:b/>
          <w:i/>
          <w:sz w:val="28"/>
          <w:szCs w:val="28"/>
          <w:lang w:val="en-GB"/>
        </w:rPr>
      </w:pPr>
      <w:r>
        <w:rPr>
          <w:b/>
          <w:i/>
          <w:sz w:val="28"/>
          <w:szCs w:val="28"/>
          <w:lang w:val="en-GB"/>
        </w:rPr>
        <w:br w:type="page"/>
      </w:r>
    </w:p>
    <w:p w14:paraId="155E3FA5" w14:textId="4CE5E98A" w:rsidR="00F31327" w:rsidRDefault="00F31327" w:rsidP="00F31327">
      <w:pPr>
        <w:pStyle w:val="Heading1"/>
        <w:keepNext/>
        <w:keepLines/>
        <w:rPr>
          <w:b/>
        </w:rPr>
      </w:pPr>
      <w:bookmarkStart w:id="115" w:name="_Toc210738629"/>
      <w:bookmarkStart w:id="116" w:name="_Toc70322234"/>
      <w:bookmarkStart w:id="117" w:name="_Toc75527084"/>
      <w:bookmarkEnd w:id="115"/>
      <w:r w:rsidRPr="00EA2195">
        <w:rPr>
          <w:b/>
        </w:rPr>
        <w:lastRenderedPageBreak/>
        <w:tab/>
      </w:r>
      <w:bookmarkStart w:id="118" w:name="_Toc211333697"/>
      <w:bookmarkEnd w:id="116"/>
      <w:bookmarkEnd w:id="117"/>
      <w:r w:rsidR="00FA6FF2" w:rsidRPr="00FA6FF2">
        <w:rPr>
          <w:b/>
        </w:rPr>
        <w:t>AGRICULTURE, DÉVELOPPEMENT RURAL ET ENVIRONNEMENT</w:t>
      </w:r>
      <w:bookmarkEnd w:id="118"/>
    </w:p>
    <w:p w14:paraId="5BBC6279" w14:textId="1FF1D40F" w:rsidR="00F31327" w:rsidRDefault="00F31327" w:rsidP="00F31327">
      <w:pPr>
        <w:keepNext/>
        <w:keepLines/>
        <w:rPr>
          <w:sz w:val="16"/>
          <w:szCs w:val="16"/>
        </w:rPr>
      </w:pPr>
    </w:p>
    <w:p w14:paraId="72552F1C" w14:textId="7882A4AC" w:rsidR="00C45041" w:rsidRPr="00053DC6" w:rsidRDefault="00CB508B" w:rsidP="00C45041">
      <w:pPr>
        <w:pStyle w:val="ListParagraph"/>
        <w:numPr>
          <w:ilvl w:val="0"/>
          <w:numId w:val="23"/>
        </w:numPr>
        <w:spacing w:line="276" w:lineRule="auto"/>
        <w:ind w:left="567" w:hanging="567"/>
        <w:rPr>
          <w:i/>
          <w:iCs/>
        </w:rPr>
      </w:pPr>
      <w:hyperlink r:id="rId78" w:history="1">
        <w:r w:rsidR="00C45041">
          <w:rPr>
            <w:rStyle w:val="Hyperlink"/>
            <w:b/>
            <w:i/>
            <w:sz w:val="28"/>
          </w:rPr>
          <w:t>Modification de la législation européenne sur le climat</w:t>
        </w:r>
      </w:hyperlink>
    </w:p>
    <w:p w14:paraId="48FD4A05" w14:textId="77777777" w:rsidR="00C45041" w:rsidRPr="00DC1F18" w:rsidRDefault="00C45041" w:rsidP="00C45041">
      <w:pPr>
        <w:widowControl w:val="0"/>
        <w:ind w:left="567"/>
        <w:rPr>
          <w:b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C45041" w:rsidRPr="00A6689B" w14:paraId="0A346CF1" w14:textId="77777777" w:rsidTr="00C93F66">
        <w:tc>
          <w:tcPr>
            <w:tcW w:w="1701" w:type="dxa"/>
          </w:tcPr>
          <w:p w14:paraId="380D7D9B" w14:textId="77777777" w:rsidR="00C45041" w:rsidRPr="00A6689B" w:rsidRDefault="00C45041" w:rsidP="00C93F66">
            <w:pPr>
              <w:tabs>
                <w:tab w:val="center" w:pos="284"/>
              </w:tabs>
              <w:ind w:left="266" w:hanging="266"/>
              <w:rPr>
                <w:b/>
              </w:rPr>
            </w:pPr>
            <w:r>
              <w:rPr>
                <w:b/>
              </w:rPr>
              <w:t>Rapporteur</w:t>
            </w:r>
          </w:p>
        </w:tc>
        <w:tc>
          <w:tcPr>
            <w:tcW w:w="7621" w:type="dxa"/>
          </w:tcPr>
          <w:p w14:paraId="78986A56" w14:textId="77777777" w:rsidR="00C45041" w:rsidRPr="00385971" w:rsidRDefault="00C45041" w:rsidP="00C93F66">
            <w:pPr>
              <w:tabs>
                <w:tab w:val="center" w:pos="284"/>
              </w:tabs>
              <w:ind w:left="266" w:hanging="266"/>
              <w:rPr>
                <w:b/>
                <w:bCs/>
              </w:rPr>
            </w:pPr>
            <w:proofErr w:type="spellStart"/>
            <w:r w:rsidRPr="00D95AC0">
              <w:rPr>
                <w:bCs/>
              </w:rPr>
              <w:t>Teppo</w:t>
            </w:r>
            <w:proofErr w:type="spellEnd"/>
            <w:r w:rsidRPr="00D95AC0">
              <w:rPr>
                <w:bCs/>
              </w:rPr>
              <w:t> SÄKKINEN</w:t>
            </w:r>
            <w:r>
              <w:t xml:space="preserve"> (groupe des employeurs — FI)</w:t>
            </w:r>
          </w:p>
        </w:tc>
      </w:tr>
      <w:tr w:rsidR="00C45041" w:rsidRPr="00A6689B" w14:paraId="258004FF" w14:textId="77777777" w:rsidTr="00C93F66">
        <w:tc>
          <w:tcPr>
            <w:tcW w:w="1701" w:type="dxa"/>
          </w:tcPr>
          <w:p w14:paraId="18440B3B" w14:textId="77777777" w:rsidR="00C45041" w:rsidRPr="00597F63" w:rsidRDefault="00C45041" w:rsidP="00C93F66">
            <w:pPr>
              <w:tabs>
                <w:tab w:val="center" w:pos="284"/>
              </w:tabs>
              <w:ind w:left="266" w:hanging="266"/>
              <w:rPr>
                <w:b/>
              </w:rPr>
            </w:pPr>
            <w:r>
              <w:rPr>
                <w:b/>
              </w:rPr>
              <w:t>Références</w:t>
            </w:r>
          </w:p>
        </w:tc>
        <w:tc>
          <w:tcPr>
            <w:tcW w:w="7621" w:type="dxa"/>
          </w:tcPr>
          <w:p w14:paraId="6FA08CC6" w14:textId="77777777" w:rsidR="004977BD" w:rsidRDefault="004977BD" w:rsidP="004977BD">
            <w:pPr>
              <w:tabs>
                <w:tab w:val="center" w:pos="284"/>
              </w:tabs>
              <w:overflowPunct w:val="0"/>
              <w:autoSpaceDE w:val="0"/>
              <w:autoSpaceDN w:val="0"/>
              <w:adjustRightInd w:val="0"/>
              <w:ind w:left="266" w:hanging="266"/>
              <w:textAlignment w:val="baseline"/>
              <w:rPr>
                <w:lang w:val="en-GB"/>
              </w:rPr>
            </w:pPr>
            <w:proofErr w:type="gramStart"/>
            <w:r>
              <w:rPr>
                <w:lang w:val="en-GB"/>
              </w:rPr>
              <w:t>COM(</w:t>
            </w:r>
            <w:proofErr w:type="gramEnd"/>
            <w:r>
              <w:rPr>
                <w:lang w:val="en-GB"/>
              </w:rPr>
              <w:t>2025) 524 final</w:t>
            </w:r>
          </w:p>
          <w:p w14:paraId="056F9A53" w14:textId="77777777" w:rsidR="00C45041" w:rsidRPr="00597F63" w:rsidRDefault="00C45041" w:rsidP="00C93F66">
            <w:pPr>
              <w:tabs>
                <w:tab w:val="center" w:pos="284"/>
              </w:tabs>
              <w:ind w:left="266" w:hanging="266"/>
            </w:pPr>
            <w:r>
              <w:t>EESC-2025-02119-00-00-AC</w:t>
            </w:r>
          </w:p>
        </w:tc>
      </w:tr>
    </w:tbl>
    <w:p w14:paraId="3B4C6FDF" w14:textId="77777777" w:rsidR="00C45041" w:rsidRPr="00DC1F18" w:rsidRDefault="00C45041" w:rsidP="00C45041">
      <w:pPr>
        <w:keepNext/>
        <w:keepLines/>
        <w:tabs>
          <w:tab w:val="center" w:pos="284"/>
        </w:tabs>
        <w:ind w:left="266" w:hanging="266"/>
        <w:rPr>
          <w:bCs/>
        </w:rPr>
      </w:pPr>
    </w:p>
    <w:p w14:paraId="7E6C918E" w14:textId="77777777" w:rsidR="00C45041" w:rsidRPr="00DC1F18" w:rsidRDefault="00C45041" w:rsidP="00C45041">
      <w:pPr>
        <w:keepNext/>
        <w:keepLines/>
        <w:tabs>
          <w:tab w:val="center" w:pos="284"/>
        </w:tabs>
        <w:spacing w:line="276" w:lineRule="auto"/>
        <w:ind w:left="266" w:hanging="266"/>
        <w:rPr>
          <w:b/>
        </w:rPr>
      </w:pPr>
      <w:r>
        <w:rPr>
          <w:b/>
        </w:rPr>
        <w:t>Points clés</w:t>
      </w:r>
    </w:p>
    <w:p w14:paraId="2618E2BC" w14:textId="77777777" w:rsidR="00C45041" w:rsidRPr="00DC1F18" w:rsidRDefault="00C45041" w:rsidP="00C45041">
      <w:pPr>
        <w:keepNext/>
        <w:keepLines/>
        <w:tabs>
          <w:tab w:val="center" w:pos="284"/>
        </w:tabs>
        <w:spacing w:line="276" w:lineRule="auto"/>
        <w:ind w:left="266" w:hanging="266"/>
        <w:rPr>
          <w:bCs/>
          <w:lang w:val="fr-BE"/>
        </w:rPr>
      </w:pPr>
    </w:p>
    <w:p w14:paraId="23BEFA60" w14:textId="77777777" w:rsidR="00C45041" w:rsidRPr="00DC1F18" w:rsidRDefault="00C45041" w:rsidP="00C45041">
      <w:r>
        <w:t xml:space="preserve">Le </w:t>
      </w:r>
      <w:proofErr w:type="gramStart"/>
      <w:r>
        <w:t>CESE:</w:t>
      </w:r>
      <w:proofErr w:type="gramEnd"/>
    </w:p>
    <w:p w14:paraId="04883F9B" w14:textId="77777777" w:rsidR="00D95AC0" w:rsidRDefault="00C45041" w:rsidP="00D95AC0">
      <w:pPr>
        <w:pStyle w:val="ListParagraph"/>
        <w:numPr>
          <w:ilvl w:val="0"/>
          <w:numId w:val="19"/>
        </w:numPr>
        <w:spacing w:after="200" w:line="276" w:lineRule="auto"/>
        <w:ind w:hanging="567"/>
        <w:rPr>
          <w:bCs/>
          <w:iCs/>
          <w:lang w:val="fr-BE"/>
        </w:rPr>
      </w:pPr>
      <w:bookmarkStart w:id="119" w:name="_Toc211269774"/>
      <w:proofErr w:type="gramStart"/>
      <w:r w:rsidRPr="00D95AC0">
        <w:rPr>
          <w:bCs/>
          <w:iCs/>
          <w:lang w:val="fr-BE"/>
        </w:rPr>
        <w:t>se</w:t>
      </w:r>
      <w:proofErr w:type="gramEnd"/>
      <w:r w:rsidRPr="00D95AC0">
        <w:rPr>
          <w:bCs/>
          <w:iCs/>
          <w:lang w:val="fr-BE"/>
        </w:rPr>
        <w:t xml:space="preserve"> félicite de la modification attendue de la loi sur le climat, qui propose un objectif contraignant de réduction des émissions nettes de gaz à effet de serre de 90</w:t>
      </w:r>
      <w:r w:rsidR="006031D5" w:rsidRPr="00D95AC0">
        <w:rPr>
          <w:bCs/>
          <w:iCs/>
          <w:lang w:val="fr-BE"/>
        </w:rPr>
        <w:t> </w:t>
      </w:r>
      <w:r w:rsidRPr="00D95AC0">
        <w:rPr>
          <w:bCs/>
          <w:iCs/>
          <w:lang w:val="fr-BE"/>
        </w:rPr>
        <w:t xml:space="preserve">% d’ici à 2040 par rapport aux niveaux de 1990, et </w:t>
      </w:r>
      <w:r w:rsidRPr="00D95AC0">
        <w:rPr>
          <w:b/>
          <w:iCs/>
          <w:lang w:val="fr-BE"/>
        </w:rPr>
        <w:t>réaffirme son soutien à un objectif climatique consistant à réduire les émissions nettes de 90 % à l’horizon</w:t>
      </w:r>
      <w:r w:rsidR="006031D5" w:rsidRPr="00D95AC0">
        <w:rPr>
          <w:b/>
          <w:iCs/>
          <w:lang w:val="fr-BE"/>
        </w:rPr>
        <w:t> </w:t>
      </w:r>
      <w:r w:rsidRPr="00D95AC0">
        <w:rPr>
          <w:b/>
          <w:iCs/>
          <w:lang w:val="fr-BE"/>
        </w:rPr>
        <w:t>2040</w:t>
      </w:r>
      <w:r w:rsidRPr="00D95AC0">
        <w:rPr>
          <w:bCs/>
          <w:iCs/>
          <w:lang w:val="fr-BE"/>
        </w:rPr>
        <w:t>;</w:t>
      </w:r>
      <w:bookmarkStart w:id="120" w:name="_Toc211269775"/>
      <w:bookmarkEnd w:id="119"/>
    </w:p>
    <w:p w14:paraId="103BC7D4" w14:textId="77777777" w:rsidR="00D95AC0" w:rsidRPr="00D95AC0" w:rsidRDefault="00C45041" w:rsidP="00D95AC0">
      <w:pPr>
        <w:pStyle w:val="ListParagraph"/>
        <w:numPr>
          <w:ilvl w:val="0"/>
          <w:numId w:val="19"/>
        </w:numPr>
        <w:spacing w:after="200" w:line="276" w:lineRule="auto"/>
        <w:ind w:hanging="567"/>
        <w:rPr>
          <w:bCs/>
          <w:iCs/>
          <w:lang w:val="fr-BE"/>
        </w:rPr>
      </w:pPr>
      <w:proofErr w:type="gramStart"/>
      <w:r>
        <w:t>approuve</w:t>
      </w:r>
      <w:proofErr w:type="gramEnd"/>
      <w:r>
        <w:t xml:space="preserve"> l’approche adoptée par la Commission qui inclut, à l’article 1</w:t>
      </w:r>
      <w:r w:rsidRPr="00D95AC0">
        <w:rPr>
          <w:vertAlign w:val="superscript"/>
        </w:rPr>
        <w:t>er</w:t>
      </w:r>
      <w:r>
        <w:t xml:space="preserve"> de la modification de la loi sur le climat, </w:t>
      </w:r>
      <w:r w:rsidRPr="00D95AC0">
        <w:rPr>
          <w:b/>
        </w:rPr>
        <w:t>des lignes directrices pour un cadre facilitateur</w:t>
      </w:r>
      <w:r>
        <w:t xml:space="preserve">, conformément à la demande antérieure du CESE appelant à des politiques propices pour </w:t>
      </w:r>
      <w:r w:rsidRPr="00D95AC0">
        <w:rPr>
          <w:b/>
        </w:rPr>
        <w:t>garantir la compétitivité</w:t>
      </w:r>
      <w:r>
        <w:t xml:space="preserve"> des industries européennes et une </w:t>
      </w:r>
      <w:r w:rsidRPr="00D95AC0">
        <w:rPr>
          <w:b/>
        </w:rPr>
        <w:t>transition juste</w:t>
      </w:r>
      <w:r>
        <w:t>, ainsi qu’à une utilisation rentable de toutes les technologies à émissions faibles ou nulles de carbone, seul moyen d’atteindre l’objectif ambitieux de 90 %;</w:t>
      </w:r>
      <w:bookmarkStart w:id="121" w:name="_Toc211269776"/>
      <w:bookmarkEnd w:id="120"/>
    </w:p>
    <w:p w14:paraId="5F607EDF" w14:textId="77777777" w:rsidR="00D95AC0" w:rsidRPr="00D95AC0" w:rsidRDefault="00C45041" w:rsidP="00D95AC0">
      <w:pPr>
        <w:pStyle w:val="ListParagraph"/>
        <w:numPr>
          <w:ilvl w:val="0"/>
          <w:numId w:val="19"/>
        </w:numPr>
        <w:spacing w:after="200" w:line="276" w:lineRule="auto"/>
        <w:ind w:hanging="567"/>
        <w:rPr>
          <w:bCs/>
          <w:iCs/>
          <w:lang w:val="fr-BE"/>
        </w:rPr>
      </w:pPr>
      <w:proofErr w:type="gramStart"/>
      <w:r>
        <w:t>demande</w:t>
      </w:r>
      <w:proofErr w:type="gramEnd"/>
      <w:r>
        <w:t xml:space="preserve"> au Conseil et au Parlement de s’entendre sur un objectif climatique de réduction des émissions de 90 % pour 2040 et sur les contributions déterminées au niveau national (CDN) associées, et ce, d’ici respectivement septembre et début octobre 2025 au plus tard;</w:t>
      </w:r>
      <w:bookmarkStart w:id="122" w:name="_Toc211269777"/>
      <w:bookmarkEnd w:id="121"/>
    </w:p>
    <w:p w14:paraId="5C605897" w14:textId="77777777" w:rsidR="00D95AC0" w:rsidRPr="00D95AC0" w:rsidRDefault="00C45041" w:rsidP="00D95AC0">
      <w:pPr>
        <w:pStyle w:val="ListParagraph"/>
        <w:numPr>
          <w:ilvl w:val="0"/>
          <w:numId w:val="19"/>
        </w:numPr>
        <w:spacing w:after="200" w:line="276" w:lineRule="auto"/>
        <w:ind w:hanging="567"/>
        <w:rPr>
          <w:bCs/>
          <w:iCs/>
          <w:lang w:val="fr-BE"/>
        </w:rPr>
      </w:pPr>
      <w:proofErr w:type="gramStart"/>
      <w:r>
        <w:t>estime</w:t>
      </w:r>
      <w:proofErr w:type="gramEnd"/>
      <w:r>
        <w:t xml:space="preserve"> que la </w:t>
      </w:r>
      <w:r w:rsidRPr="00D95AC0">
        <w:rPr>
          <w:b/>
        </w:rPr>
        <w:t>réduction des émissions au sein de l’Union devrait être la principale priorité</w:t>
      </w:r>
      <w:r>
        <w:t xml:space="preserve"> de l’action pour le climat, reflétant le plus haut degré d’ambition;</w:t>
      </w:r>
      <w:bookmarkStart w:id="123" w:name="_Toc211269778"/>
      <w:bookmarkEnd w:id="122"/>
    </w:p>
    <w:p w14:paraId="669EC198" w14:textId="77777777" w:rsidR="00D95AC0" w:rsidRPr="00D95AC0" w:rsidRDefault="00C45041" w:rsidP="00D95AC0">
      <w:pPr>
        <w:pStyle w:val="ListParagraph"/>
        <w:numPr>
          <w:ilvl w:val="0"/>
          <w:numId w:val="19"/>
        </w:numPr>
        <w:spacing w:after="200" w:line="276" w:lineRule="auto"/>
        <w:ind w:hanging="567"/>
        <w:rPr>
          <w:bCs/>
          <w:iCs/>
          <w:lang w:val="fr-BE"/>
        </w:rPr>
      </w:pPr>
      <w:proofErr w:type="gramStart"/>
      <w:r>
        <w:t>reconnaît</w:t>
      </w:r>
      <w:proofErr w:type="gramEnd"/>
      <w:r>
        <w:t xml:space="preserve"> que les crédits internationaux de haute intégrité pourraient offrir la flexibilité nécessaire à la réalisation de l’objectif pour 2040, tout en évitant qu’ils ne se substituent aux mesures nationales en faveur du climat ou ne causent un préjudice social ou environnemental. Les crédits devraient également être en phase avec les autres politiques extérieures et intérieures de l’Union. Le CESE recommande de créer, à l’échelle européenne, une entité chargée de les acheter, de les contrôler et d’en garantir la qualité. </w:t>
      </w:r>
      <w:r w:rsidRPr="00D95AC0">
        <w:rPr>
          <w:b/>
        </w:rPr>
        <w:t>Les crédits internationaux</w:t>
      </w:r>
      <w:r>
        <w:t xml:space="preserve"> ne devraient </w:t>
      </w:r>
      <w:r w:rsidRPr="00D95AC0">
        <w:rPr>
          <w:b/>
        </w:rPr>
        <w:t>pas être autorisés à des fins de conformité au système d’échange de quotas d’émission (SEQE</w:t>
      </w:r>
      <w:proofErr w:type="gramStart"/>
      <w:r w:rsidRPr="00D95AC0">
        <w:rPr>
          <w:b/>
        </w:rPr>
        <w:t>)</w:t>
      </w:r>
      <w:r>
        <w:t>;</w:t>
      </w:r>
      <w:bookmarkStart w:id="124" w:name="_Toc211269779"/>
      <w:bookmarkEnd w:id="123"/>
      <w:proofErr w:type="gramEnd"/>
    </w:p>
    <w:p w14:paraId="546DDA62" w14:textId="77777777" w:rsidR="00D95AC0" w:rsidRPr="00D95AC0" w:rsidRDefault="00C45041" w:rsidP="00D95AC0">
      <w:pPr>
        <w:pStyle w:val="ListParagraph"/>
        <w:numPr>
          <w:ilvl w:val="0"/>
          <w:numId w:val="19"/>
        </w:numPr>
        <w:spacing w:after="200" w:line="276" w:lineRule="auto"/>
        <w:ind w:hanging="567"/>
        <w:rPr>
          <w:bCs/>
          <w:iCs/>
          <w:lang w:val="fr-BE"/>
        </w:rPr>
      </w:pPr>
      <w:proofErr w:type="gramStart"/>
      <w:r>
        <w:t>relève</w:t>
      </w:r>
      <w:proofErr w:type="gramEnd"/>
      <w:r>
        <w:t xml:space="preserve"> qu’un futur élargissement de l’Union européenne coïncidera probablement avec le calendrier fixé pour l’objectif</w:t>
      </w:r>
      <w:r w:rsidR="006031D5">
        <w:t> </w:t>
      </w:r>
      <w:r>
        <w:t xml:space="preserve">2040. Le CESE invite la Commission à </w:t>
      </w:r>
      <w:r w:rsidRPr="00D95AC0">
        <w:rPr>
          <w:b/>
        </w:rPr>
        <w:t>clarifier l’incidence d’un tel élargissement</w:t>
      </w:r>
      <w:r>
        <w:t xml:space="preserve"> sur l’objectif climatique à l’horizon</w:t>
      </w:r>
      <w:r w:rsidR="006031D5">
        <w:t> </w:t>
      </w:r>
      <w:r>
        <w:t>2040, en précisant notamment la manière dont l’année de référence</w:t>
      </w:r>
      <w:r w:rsidR="006031D5">
        <w:t> </w:t>
      </w:r>
      <w:r>
        <w:t xml:space="preserve">1990 et l’objectif de 90 % devront être calculés dans l’hypothèse d’une Union </w:t>
      </w:r>
      <w:proofErr w:type="gramStart"/>
      <w:r>
        <w:t>élargie;</w:t>
      </w:r>
      <w:bookmarkStart w:id="125" w:name="_Toc211269780"/>
      <w:bookmarkEnd w:id="124"/>
      <w:proofErr w:type="gramEnd"/>
    </w:p>
    <w:p w14:paraId="03439C98" w14:textId="77777777" w:rsidR="00D95AC0" w:rsidRPr="00D95AC0" w:rsidRDefault="00C45041" w:rsidP="00D95AC0">
      <w:pPr>
        <w:pStyle w:val="ListParagraph"/>
        <w:numPr>
          <w:ilvl w:val="0"/>
          <w:numId w:val="19"/>
        </w:numPr>
        <w:spacing w:after="200" w:line="276" w:lineRule="auto"/>
        <w:ind w:hanging="567"/>
        <w:rPr>
          <w:bCs/>
          <w:iCs/>
          <w:lang w:val="fr-BE"/>
        </w:rPr>
      </w:pPr>
      <w:proofErr w:type="gramStart"/>
      <w:r>
        <w:t>propose</w:t>
      </w:r>
      <w:proofErr w:type="gramEnd"/>
      <w:r>
        <w:t xml:space="preserve"> de donner la priorité aux crédits internationaux générés dans les pays candidats à l’adhésion, suggère d’autoriser, </w:t>
      </w:r>
      <w:r w:rsidRPr="00D95AC0">
        <w:rPr>
          <w:b/>
        </w:rPr>
        <w:t>à partir de 2031, la prise en compte des crédits internationaux issus de pays candidats dans les efforts de contribution à l’objectif</w:t>
      </w:r>
      <w:r w:rsidR="006031D5" w:rsidRPr="00D95AC0">
        <w:rPr>
          <w:b/>
        </w:rPr>
        <w:t> </w:t>
      </w:r>
      <w:r w:rsidRPr="00D95AC0">
        <w:rPr>
          <w:b/>
        </w:rPr>
        <w:t>2040</w:t>
      </w:r>
      <w:r>
        <w:t xml:space="preserve"> et demande à la Commission de fournir une synthèse d’analyse d’impact centrée sur l’objectif de 90 %, incluant les effets d’un recours aux crédits internationaux;</w:t>
      </w:r>
      <w:bookmarkStart w:id="126" w:name="_Toc211269781"/>
      <w:bookmarkEnd w:id="125"/>
    </w:p>
    <w:p w14:paraId="5C01B8A8" w14:textId="77777777" w:rsidR="00D95AC0" w:rsidRPr="00D95AC0" w:rsidRDefault="00C45041" w:rsidP="00D95AC0">
      <w:pPr>
        <w:pStyle w:val="ListParagraph"/>
        <w:numPr>
          <w:ilvl w:val="0"/>
          <w:numId w:val="19"/>
        </w:numPr>
        <w:spacing w:after="200" w:line="276" w:lineRule="auto"/>
        <w:ind w:hanging="567"/>
        <w:rPr>
          <w:bCs/>
          <w:iCs/>
          <w:lang w:val="fr-BE"/>
        </w:rPr>
      </w:pPr>
      <w:proofErr w:type="gramStart"/>
      <w:r>
        <w:t>recommande</w:t>
      </w:r>
      <w:proofErr w:type="gramEnd"/>
      <w:r>
        <w:t xml:space="preserve"> d’inclure l’</w:t>
      </w:r>
      <w:r w:rsidRPr="00D95AC0">
        <w:rPr>
          <w:b/>
        </w:rPr>
        <w:t>exportation de technologies propres</w:t>
      </w:r>
      <w:r>
        <w:t xml:space="preserve"> dans la modification de la loi sur le climat et de créer un </w:t>
      </w:r>
      <w:r w:rsidRPr="00D95AC0">
        <w:rPr>
          <w:b/>
        </w:rPr>
        <w:t>tableau de bord pour une industrie propre</w:t>
      </w:r>
      <w:r>
        <w:t xml:space="preserve"> qui mesurerait la croissance de l’emploi, de l’innovation et des exportations dans les secteurs «zéro net»;</w:t>
      </w:r>
      <w:bookmarkStart w:id="127" w:name="_Toc211269782"/>
      <w:bookmarkEnd w:id="126"/>
    </w:p>
    <w:p w14:paraId="3648A5D8" w14:textId="77777777" w:rsidR="00D95AC0" w:rsidRPr="00D95AC0" w:rsidRDefault="00C45041" w:rsidP="00D95AC0">
      <w:pPr>
        <w:pStyle w:val="ListParagraph"/>
        <w:numPr>
          <w:ilvl w:val="0"/>
          <w:numId w:val="19"/>
        </w:numPr>
        <w:spacing w:after="200" w:line="276" w:lineRule="auto"/>
        <w:ind w:hanging="567"/>
        <w:rPr>
          <w:bCs/>
          <w:iCs/>
          <w:lang w:val="fr-BE"/>
        </w:rPr>
      </w:pPr>
      <w:proofErr w:type="gramStart"/>
      <w:r w:rsidRPr="00D95AC0">
        <w:rPr>
          <w:b/>
        </w:rPr>
        <w:lastRenderedPageBreak/>
        <w:t>propose</w:t>
      </w:r>
      <w:proofErr w:type="gramEnd"/>
      <w:r w:rsidRPr="00D95AC0">
        <w:rPr>
          <w:b/>
        </w:rPr>
        <w:t xml:space="preserve"> d’intégrer la sécurité alimentaire dans la modification de la loi sur le climat</w:t>
      </w:r>
      <w:r>
        <w:t xml:space="preserve"> afin d’en tenir compte dans les propositions législatives ultérieures et rappelle le rôle unique qu’ont à jouer l’agriculture, la sylviculture et l’élevage en faveur de l’action climatique, de la préservation des ressources naturelles, de la biodiversité et d’écosystèmes sains, ainsi que de la prospérité des communautés rurales;</w:t>
      </w:r>
      <w:bookmarkStart w:id="128" w:name="_Toc211269783"/>
      <w:bookmarkEnd w:id="127"/>
    </w:p>
    <w:p w14:paraId="131DE832" w14:textId="77777777" w:rsidR="00D95AC0" w:rsidRPr="00D95AC0" w:rsidRDefault="00C45041" w:rsidP="00D95AC0">
      <w:pPr>
        <w:pStyle w:val="ListParagraph"/>
        <w:numPr>
          <w:ilvl w:val="0"/>
          <w:numId w:val="19"/>
        </w:numPr>
        <w:spacing w:after="200" w:line="276" w:lineRule="auto"/>
        <w:ind w:hanging="567"/>
        <w:rPr>
          <w:bCs/>
          <w:iCs/>
          <w:lang w:val="fr-BE"/>
        </w:rPr>
      </w:pPr>
      <w:proofErr w:type="gramStart"/>
      <w:r>
        <w:t>recommande</w:t>
      </w:r>
      <w:proofErr w:type="gramEnd"/>
      <w:r>
        <w:t xml:space="preserve"> que la </w:t>
      </w:r>
      <w:r w:rsidRPr="00D95AC0">
        <w:rPr>
          <w:b/>
        </w:rPr>
        <w:t>lutte contre la précarité énergétique</w:t>
      </w:r>
      <w:r>
        <w:t xml:space="preserve"> fasse l’objet d’une reconnaissance dans la modification de la loi sur le climat;</w:t>
      </w:r>
      <w:bookmarkStart w:id="129" w:name="_Toc211269784"/>
      <w:bookmarkEnd w:id="128"/>
    </w:p>
    <w:p w14:paraId="03395E0C" w14:textId="2AF4F9BF" w:rsidR="00C45041" w:rsidRPr="00D95AC0" w:rsidRDefault="00C45041" w:rsidP="00D95AC0">
      <w:pPr>
        <w:pStyle w:val="ListParagraph"/>
        <w:numPr>
          <w:ilvl w:val="0"/>
          <w:numId w:val="19"/>
        </w:numPr>
        <w:spacing w:after="200" w:line="276" w:lineRule="auto"/>
        <w:ind w:hanging="567"/>
        <w:rPr>
          <w:bCs/>
          <w:iCs/>
          <w:lang w:val="fr-BE"/>
        </w:rPr>
      </w:pPr>
      <w:proofErr w:type="gramStart"/>
      <w:r>
        <w:t>encourage</w:t>
      </w:r>
      <w:proofErr w:type="gramEnd"/>
      <w:r>
        <w:t xml:space="preserve"> la Commission à recenser et à promouvoir des solutions technologiques à double usage qui servent à la fois les intérêts de la défense et du climat.</w:t>
      </w:r>
      <w:bookmarkEnd w:id="129"/>
    </w:p>
    <w:p w14:paraId="4AD99AAC" w14:textId="77777777" w:rsidR="00C45041" w:rsidRPr="00DC1F18" w:rsidRDefault="00C45041" w:rsidP="00C45041">
      <w:pPr>
        <w:keepNext/>
        <w:keepLines/>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7546"/>
      </w:tblGrid>
      <w:tr w:rsidR="00C45041" w:rsidRPr="00DC1F18" w14:paraId="256672DE" w14:textId="77777777" w:rsidTr="00C93F66">
        <w:tc>
          <w:tcPr>
            <w:tcW w:w="1634" w:type="dxa"/>
          </w:tcPr>
          <w:p w14:paraId="190F87B0" w14:textId="77777777" w:rsidR="00C45041" w:rsidRPr="00DC1F18" w:rsidRDefault="00C45041" w:rsidP="00C93F66">
            <w:pPr>
              <w:keepNext/>
              <w:keepLines/>
              <w:spacing w:line="240" w:lineRule="auto"/>
              <w:ind w:left="142"/>
              <w:jc w:val="left"/>
              <w:rPr>
                <w:i/>
                <w:iCs/>
              </w:rPr>
            </w:pPr>
            <w:r>
              <w:rPr>
                <w:b/>
                <w:i/>
              </w:rPr>
              <w:t>Contact</w:t>
            </w:r>
          </w:p>
        </w:tc>
        <w:tc>
          <w:tcPr>
            <w:tcW w:w="7546" w:type="dxa"/>
          </w:tcPr>
          <w:p w14:paraId="03D53532" w14:textId="77777777" w:rsidR="00C45041" w:rsidRPr="00D95AC0" w:rsidRDefault="00C45041" w:rsidP="00C93F66">
            <w:pPr>
              <w:keepNext/>
              <w:keepLines/>
              <w:spacing w:line="240" w:lineRule="auto"/>
              <w:ind w:left="73"/>
              <w:rPr>
                <w:i/>
                <w:iCs/>
              </w:rPr>
            </w:pPr>
            <w:r w:rsidRPr="00D95AC0">
              <w:rPr>
                <w:i/>
                <w:iCs/>
              </w:rPr>
              <w:t xml:space="preserve">Caroline VERHELST, </w:t>
            </w:r>
            <w:proofErr w:type="spellStart"/>
            <w:r w:rsidRPr="00D95AC0">
              <w:rPr>
                <w:i/>
                <w:iCs/>
              </w:rPr>
              <w:t>Gaizka</w:t>
            </w:r>
            <w:proofErr w:type="spellEnd"/>
            <w:r w:rsidRPr="00D95AC0">
              <w:rPr>
                <w:i/>
                <w:iCs/>
              </w:rPr>
              <w:t xml:space="preserve"> MALO</w:t>
            </w:r>
          </w:p>
        </w:tc>
      </w:tr>
      <w:tr w:rsidR="00C45041" w:rsidRPr="00DC1F18" w14:paraId="51CE8969" w14:textId="77777777" w:rsidTr="00C93F66">
        <w:tc>
          <w:tcPr>
            <w:tcW w:w="1634" w:type="dxa"/>
          </w:tcPr>
          <w:p w14:paraId="66516EDC" w14:textId="77777777" w:rsidR="00C45041" w:rsidRPr="00DC1F18" w:rsidRDefault="00C45041" w:rsidP="00C93F66">
            <w:pPr>
              <w:spacing w:line="240" w:lineRule="auto"/>
              <w:ind w:left="142"/>
              <w:jc w:val="left"/>
              <w:rPr>
                <w:i/>
              </w:rPr>
            </w:pPr>
            <w:r>
              <w:rPr>
                <w:i/>
              </w:rPr>
              <w:t>Tél.</w:t>
            </w:r>
          </w:p>
        </w:tc>
        <w:tc>
          <w:tcPr>
            <w:tcW w:w="7546" w:type="dxa"/>
          </w:tcPr>
          <w:p w14:paraId="5D16E14F" w14:textId="77777777" w:rsidR="00C45041" w:rsidRPr="00DC1F18" w:rsidRDefault="00C45041" w:rsidP="00C93F66">
            <w:pPr>
              <w:spacing w:line="240" w:lineRule="auto"/>
              <w:ind w:left="73"/>
              <w:rPr>
                <w:i/>
                <w:iCs/>
              </w:rPr>
            </w:pPr>
            <w:r>
              <w:rPr>
                <w:i/>
              </w:rPr>
              <w:t>+32 25469497, +32 25468526</w:t>
            </w:r>
          </w:p>
        </w:tc>
      </w:tr>
      <w:tr w:rsidR="00C45041" w:rsidRPr="00DC1F18" w14:paraId="406BBACD" w14:textId="77777777" w:rsidTr="00C93F66">
        <w:tc>
          <w:tcPr>
            <w:tcW w:w="1634" w:type="dxa"/>
          </w:tcPr>
          <w:p w14:paraId="7B7A68B1" w14:textId="77777777" w:rsidR="00C45041" w:rsidRPr="00DC1F18" w:rsidRDefault="00C45041" w:rsidP="00C93F66">
            <w:pPr>
              <w:spacing w:line="240" w:lineRule="auto"/>
              <w:ind w:left="142"/>
              <w:jc w:val="left"/>
              <w:rPr>
                <w:i/>
              </w:rPr>
            </w:pPr>
            <w:r>
              <w:rPr>
                <w:i/>
              </w:rPr>
              <w:t>Courriel</w:t>
            </w:r>
          </w:p>
        </w:tc>
        <w:tc>
          <w:tcPr>
            <w:tcW w:w="7546" w:type="dxa"/>
          </w:tcPr>
          <w:p w14:paraId="220F4F8E" w14:textId="77777777" w:rsidR="00C45041" w:rsidRPr="00DC1F18" w:rsidRDefault="00CB508B" w:rsidP="00C93F66">
            <w:pPr>
              <w:spacing w:line="240" w:lineRule="auto"/>
              <w:ind w:left="73"/>
              <w:rPr>
                <w:i/>
                <w:iCs/>
                <w:color w:val="0000FF"/>
                <w:u w:val="single"/>
              </w:rPr>
            </w:pPr>
            <w:hyperlink r:id="rId79" w:history="1">
              <w:r w:rsidR="00C45041">
                <w:rPr>
                  <w:rStyle w:val="Hyperlink"/>
                  <w:i/>
                </w:rPr>
                <w:t>Caroline.Verhelst@eesc.europa.eu</w:t>
              </w:r>
            </w:hyperlink>
            <w:r w:rsidR="00C45041">
              <w:t xml:space="preserve">, </w:t>
            </w:r>
            <w:hyperlink r:id="rId80" w:history="1">
              <w:r w:rsidR="00C45041">
                <w:rPr>
                  <w:rStyle w:val="Hyperlink"/>
                  <w:i/>
                </w:rPr>
                <w:t>Gaizka.MaloElcoro-Iribe@eesc.europa.eu</w:t>
              </w:r>
            </w:hyperlink>
          </w:p>
        </w:tc>
      </w:tr>
    </w:tbl>
    <w:p w14:paraId="1B60F9A0" w14:textId="3BA1E3D2" w:rsidR="00C45041" w:rsidRDefault="00C45041" w:rsidP="00F31327">
      <w:pPr>
        <w:keepNext/>
        <w:keepLines/>
        <w:rPr>
          <w:sz w:val="16"/>
          <w:szCs w:val="16"/>
        </w:rPr>
      </w:pPr>
    </w:p>
    <w:p w14:paraId="4CADD438" w14:textId="77777777" w:rsidR="00C45041" w:rsidRDefault="00C45041">
      <w:pPr>
        <w:spacing w:after="160" w:line="259" w:lineRule="auto"/>
        <w:jc w:val="left"/>
        <w:rPr>
          <w:sz w:val="16"/>
          <w:szCs w:val="16"/>
        </w:rPr>
      </w:pPr>
      <w:r>
        <w:rPr>
          <w:sz w:val="16"/>
          <w:szCs w:val="16"/>
        </w:rPr>
        <w:br w:type="page"/>
      </w:r>
    </w:p>
    <w:p w14:paraId="37221FF9" w14:textId="626D1504" w:rsidR="00C45041" w:rsidRPr="0003586F" w:rsidRDefault="00CB508B" w:rsidP="00C45041">
      <w:pPr>
        <w:widowControl w:val="0"/>
        <w:numPr>
          <w:ilvl w:val="0"/>
          <w:numId w:val="19"/>
        </w:numPr>
        <w:overflowPunct w:val="0"/>
        <w:autoSpaceDE w:val="0"/>
        <w:autoSpaceDN w:val="0"/>
        <w:adjustRightInd w:val="0"/>
        <w:ind w:hanging="567"/>
        <w:textAlignment w:val="baseline"/>
        <w:rPr>
          <w:sz w:val="20"/>
        </w:rPr>
      </w:pPr>
      <w:hyperlink r:id="rId81" w:history="1">
        <w:r w:rsidR="00C45041">
          <w:rPr>
            <w:rStyle w:val="Hyperlink"/>
            <w:b/>
            <w:i/>
            <w:sz w:val="28"/>
          </w:rPr>
          <w:t>L’avenir des aliments biologiques et de qualité et la manière dont nous pouvons améliorer la consommation</w:t>
        </w:r>
      </w:hyperlink>
      <w:r w:rsidR="00C45041">
        <w:rPr>
          <w:b/>
          <w:i/>
          <w:sz w:val="28"/>
        </w:rPr>
        <w:t xml:space="preserve"> </w:t>
      </w:r>
    </w:p>
    <w:p w14:paraId="33316C19" w14:textId="77777777" w:rsidR="00C45041" w:rsidRPr="00A6689B" w:rsidRDefault="00C45041" w:rsidP="00C45041">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C45041" w:rsidRPr="00A6689B" w14:paraId="6466BAD7" w14:textId="77777777" w:rsidTr="00C93F66">
        <w:tc>
          <w:tcPr>
            <w:tcW w:w="1077" w:type="pct"/>
          </w:tcPr>
          <w:p w14:paraId="0A0CD05B" w14:textId="77777777" w:rsidR="00C45041" w:rsidRPr="00A6689B" w:rsidRDefault="00C45041" w:rsidP="00C93F66">
            <w:pPr>
              <w:tabs>
                <w:tab w:val="center" w:pos="284"/>
              </w:tabs>
              <w:ind w:left="266" w:hanging="266"/>
              <w:rPr>
                <w:b/>
              </w:rPr>
            </w:pPr>
            <w:r>
              <w:rPr>
                <w:b/>
              </w:rPr>
              <w:t>Rapporteur</w:t>
            </w:r>
          </w:p>
        </w:tc>
        <w:tc>
          <w:tcPr>
            <w:tcW w:w="3923" w:type="pct"/>
          </w:tcPr>
          <w:p w14:paraId="28A1DB4C" w14:textId="77777777" w:rsidR="00C45041" w:rsidRPr="00A6689B" w:rsidRDefault="00C45041" w:rsidP="00C93F66">
            <w:pPr>
              <w:tabs>
                <w:tab w:val="center" w:pos="284"/>
              </w:tabs>
              <w:ind w:left="266" w:right="-3091" w:hanging="266"/>
            </w:pPr>
            <w:proofErr w:type="spellStart"/>
            <w:r>
              <w:t>Decebal-Ștefăniță</w:t>
            </w:r>
            <w:proofErr w:type="spellEnd"/>
            <w:r>
              <w:t> PADURE (groupe des employeurs — RO)</w:t>
            </w:r>
          </w:p>
        </w:tc>
      </w:tr>
      <w:tr w:rsidR="00C45041" w:rsidRPr="00A6689B" w14:paraId="7BA47231" w14:textId="77777777" w:rsidTr="00C93F66">
        <w:tc>
          <w:tcPr>
            <w:tcW w:w="1077" w:type="pct"/>
          </w:tcPr>
          <w:p w14:paraId="541AA7D7" w14:textId="77777777" w:rsidR="00C45041" w:rsidRPr="00A6689B" w:rsidRDefault="00C45041" w:rsidP="00C93F66">
            <w:pPr>
              <w:tabs>
                <w:tab w:val="center" w:pos="284"/>
              </w:tabs>
              <w:ind w:left="266" w:hanging="266"/>
              <w:rPr>
                <w:b/>
              </w:rPr>
            </w:pPr>
            <w:r>
              <w:rPr>
                <w:b/>
              </w:rPr>
              <w:t>Corapporteure</w:t>
            </w:r>
          </w:p>
        </w:tc>
        <w:tc>
          <w:tcPr>
            <w:tcW w:w="3923" w:type="pct"/>
          </w:tcPr>
          <w:p w14:paraId="1DA5C5DD" w14:textId="77777777" w:rsidR="00C45041" w:rsidRPr="00A6689B" w:rsidRDefault="00C45041" w:rsidP="00C93F66">
            <w:pPr>
              <w:tabs>
                <w:tab w:val="center" w:pos="284"/>
              </w:tabs>
              <w:ind w:left="266" w:right="-3091" w:hanging="266"/>
            </w:pPr>
            <w:proofErr w:type="spellStart"/>
            <w:r>
              <w:t>Kerli</w:t>
            </w:r>
            <w:proofErr w:type="spellEnd"/>
            <w:r>
              <w:t> ATS (groupe des organisations de la société civile — EE)</w:t>
            </w:r>
          </w:p>
        </w:tc>
      </w:tr>
      <w:tr w:rsidR="00C45041" w:rsidRPr="00A6689B" w14:paraId="5FAD0B40" w14:textId="77777777" w:rsidTr="00C93F66">
        <w:tc>
          <w:tcPr>
            <w:tcW w:w="1077" w:type="pct"/>
          </w:tcPr>
          <w:p w14:paraId="6EBDC9DE" w14:textId="77777777" w:rsidR="00C45041" w:rsidRPr="00A6689B" w:rsidRDefault="00C45041" w:rsidP="00C93F66">
            <w:pPr>
              <w:tabs>
                <w:tab w:val="center" w:pos="284"/>
              </w:tabs>
              <w:ind w:left="266" w:hanging="266"/>
              <w:rPr>
                <w:b/>
              </w:rPr>
            </w:pPr>
            <w:r>
              <w:rPr>
                <w:b/>
              </w:rPr>
              <w:t>Référence</w:t>
            </w:r>
          </w:p>
        </w:tc>
        <w:tc>
          <w:tcPr>
            <w:tcW w:w="3923" w:type="pct"/>
          </w:tcPr>
          <w:p w14:paraId="2938891E" w14:textId="77777777" w:rsidR="00AB0BBF" w:rsidRDefault="00AB0BBF" w:rsidP="00C93F66">
            <w:pPr>
              <w:tabs>
                <w:tab w:val="center" w:pos="284"/>
              </w:tabs>
              <w:ind w:left="266" w:right="-3091" w:hanging="266"/>
            </w:pPr>
            <w:r>
              <w:t>Avis d'initiative</w:t>
            </w:r>
          </w:p>
          <w:p w14:paraId="01F64476" w14:textId="60D6BDB4" w:rsidR="00C45041" w:rsidRPr="00A6689B" w:rsidRDefault="00C45041" w:rsidP="00C93F66">
            <w:pPr>
              <w:tabs>
                <w:tab w:val="center" w:pos="284"/>
              </w:tabs>
              <w:ind w:left="266" w:right="-3091" w:hanging="266"/>
            </w:pPr>
            <w:r>
              <w:t>EESC-2025-00673-00-00-AC</w:t>
            </w:r>
          </w:p>
        </w:tc>
      </w:tr>
    </w:tbl>
    <w:p w14:paraId="0C9592C9" w14:textId="77777777" w:rsidR="00C45041" w:rsidRDefault="00C45041" w:rsidP="00C45041">
      <w:pPr>
        <w:tabs>
          <w:tab w:val="center" w:pos="284"/>
        </w:tabs>
        <w:ind w:left="266" w:hanging="266"/>
        <w:rPr>
          <w:b/>
        </w:rPr>
      </w:pPr>
    </w:p>
    <w:p w14:paraId="612CEF27" w14:textId="77777777" w:rsidR="00C45041" w:rsidRPr="00A6689B" w:rsidRDefault="00C45041" w:rsidP="00C45041">
      <w:pPr>
        <w:keepNext/>
        <w:keepLines/>
        <w:tabs>
          <w:tab w:val="center" w:pos="284"/>
        </w:tabs>
        <w:ind w:left="266" w:hanging="266"/>
        <w:rPr>
          <w:b/>
        </w:rPr>
      </w:pPr>
      <w:r>
        <w:rPr>
          <w:b/>
        </w:rPr>
        <w:t>Points clés</w:t>
      </w:r>
    </w:p>
    <w:p w14:paraId="13DF859C" w14:textId="77777777" w:rsidR="00C45041" w:rsidRPr="00A6689B" w:rsidRDefault="00C45041" w:rsidP="00C45041">
      <w:pPr>
        <w:keepNext/>
        <w:keepLines/>
        <w:tabs>
          <w:tab w:val="center" w:pos="284"/>
        </w:tabs>
        <w:ind w:left="266" w:hanging="266"/>
        <w:rPr>
          <w:b/>
        </w:rPr>
      </w:pPr>
    </w:p>
    <w:p w14:paraId="01156E5E" w14:textId="77777777" w:rsidR="00C45041" w:rsidRPr="00A6689B" w:rsidRDefault="00C45041" w:rsidP="00C45041">
      <w:pPr>
        <w:rPr>
          <w:bCs/>
          <w:iCs/>
        </w:rPr>
      </w:pPr>
      <w:r>
        <w:t xml:space="preserve">Le </w:t>
      </w:r>
      <w:proofErr w:type="gramStart"/>
      <w:r>
        <w:t>CESE:</w:t>
      </w:r>
      <w:proofErr w:type="gramEnd"/>
    </w:p>
    <w:p w14:paraId="2E37C492" w14:textId="77777777" w:rsidR="00C45041" w:rsidRPr="00E1747F" w:rsidRDefault="00C45041" w:rsidP="00C45041">
      <w:pPr>
        <w:pStyle w:val="Heading2"/>
        <w:numPr>
          <w:ilvl w:val="0"/>
          <w:numId w:val="21"/>
        </w:numPr>
        <w:ind w:left="567" w:hanging="567"/>
      </w:pPr>
      <w:bookmarkStart w:id="130" w:name="_Toc211269785"/>
      <w:bookmarkStart w:id="131" w:name="_Toc211333698"/>
      <w:proofErr w:type="gramStart"/>
      <w:r>
        <w:t>souligne</w:t>
      </w:r>
      <w:proofErr w:type="gramEnd"/>
      <w:r>
        <w:t xml:space="preserve"> la nécessité d’une politique alimentaire européenne transversale qui intègre l’agriculture biologique et les systèmes de qualité dans les stratégies en matière d’environnement, de santé, de climat et de développement rural;</w:t>
      </w:r>
      <w:bookmarkEnd w:id="130"/>
      <w:bookmarkEnd w:id="131"/>
    </w:p>
    <w:p w14:paraId="2C7CE644" w14:textId="77777777" w:rsidR="00C45041" w:rsidRPr="00E1747F" w:rsidRDefault="00C45041" w:rsidP="00C45041">
      <w:pPr>
        <w:pStyle w:val="Heading2"/>
        <w:numPr>
          <w:ilvl w:val="0"/>
          <w:numId w:val="21"/>
        </w:numPr>
        <w:ind w:left="567" w:hanging="567"/>
      </w:pPr>
      <w:bookmarkStart w:id="132" w:name="_Toc211269786"/>
      <w:bookmarkStart w:id="133" w:name="_Toc211333699"/>
      <w:proofErr w:type="gramStart"/>
      <w:r>
        <w:t>clame</w:t>
      </w:r>
      <w:proofErr w:type="gramEnd"/>
      <w:r>
        <w:t xml:space="preserve"> sa conviction que des mesures intégrées, comprenant notamment réduction de la TVA, marchés publics pour des produits de qualité, services de conseil et innovation, sont nécessaires pour soutenir le développement durable du secteur;</w:t>
      </w:r>
      <w:bookmarkEnd w:id="132"/>
      <w:bookmarkEnd w:id="133"/>
    </w:p>
    <w:p w14:paraId="4E9A79C9" w14:textId="77777777" w:rsidR="00C45041" w:rsidRPr="00E1747F" w:rsidRDefault="00C45041" w:rsidP="00C45041">
      <w:pPr>
        <w:pStyle w:val="Heading2"/>
        <w:numPr>
          <w:ilvl w:val="0"/>
          <w:numId w:val="21"/>
        </w:numPr>
        <w:ind w:left="567" w:hanging="567"/>
      </w:pPr>
      <w:bookmarkStart w:id="134" w:name="_Toc211269787"/>
      <w:bookmarkStart w:id="135" w:name="_Toc211333700"/>
      <w:proofErr w:type="gramStart"/>
      <w:r>
        <w:t>affirme</w:t>
      </w:r>
      <w:proofErr w:type="gramEnd"/>
      <w:r>
        <w:t xml:space="preserve"> qu’il est essentiel de renforcer les systèmes de contrôle, d’harmoniser les normes d’équivalence et de mettre en œuvre la traçabilité numérique, en particulier pour les importations;</w:t>
      </w:r>
      <w:bookmarkEnd w:id="134"/>
      <w:bookmarkEnd w:id="135"/>
    </w:p>
    <w:p w14:paraId="173EE342" w14:textId="77777777" w:rsidR="00C45041" w:rsidRPr="00E1747F" w:rsidRDefault="00C45041" w:rsidP="00C45041">
      <w:pPr>
        <w:pStyle w:val="Heading2"/>
        <w:numPr>
          <w:ilvl w:val="0"/>
          <w:numId w:val="21"/>
        </w:numPr>
        <w:ind w:left="567" w:hanging="567"/>
      </w:pPr>
      <w:bookmarkStart w:id="136" w:name="_Toc211269788"/>
      <w:bookmarkStart w:id="137" w:name="_Toc211333701"/>
      <w:proofErr w:type="gramStart"/>
      <w:r>
        <w:t>estime</w:t>
      </w:r>
      <w:proofErr w:type="gramEnd"/>
      <w:r>
        <w:t xml:space="preserve"> que des campagnes de promotion devraient comprendre éducation alimentaire, tourisme durable et marque territoriale, avec le soutien d’agences nationales spécialisées;</w:t>
      </w:r>
      <w:bookmarkEnd w:id="136"/>
      <w:bookmarkEnd w:id="137"/>
    </w:p>
    <w:p w14:paraId="62A124DB" w14:textId="77777777" w:rsidR="00C45041" w:rsidRPr="00E1747F" w:rsidRDefault="00C45041" w:rsidP="00C45041">
      <w:pPr>
        <w:pStyle w:val="Heading2"/>
        <w:numPr>
          <w:ilvl w:val="0"/>
          <w:numId w:val="21"/>
        </w:numPr>
        <w:ind w:left="567" w:hanging="567"/>
      </w:pPr>
      <w:bookmarkStart w:id="138" w:name="_Toc211269789"/>
      <w:bookmarkStart w:id="139" w:name="_Toc211333702"/>
      <w:proofErr w:type="gramStart"/>
      <w:r>
        <w:t>juge</w:t>
      </w:r>
      <w:proofErr w:type="gramEnd"/>
      <w:r>
        <w:t xml:space="preserve"> qu’une stratégie européenne assortie d’objectifs minimaux (par exemple, 25 % de produits de qualité dans les établissements scolaires et hospitaliers, les institutions publiques, etc.), de partenariats commerciaux et de campagnes thématiques est recommandée;</w:t>
      </w:r>
      <w:bookmarkEnd w:id="138"/>
      <w:bookmarkEnd w:id="139"/>
    </w:p>
    <w:p w14:paraId="5B0FC325" w14:textId="77777777" w:rsidR="00C45041" w:rsidRPr="00E1747F" w:rsidRDefault="00C45041" w:rsidP="00C45041">
      <w:pPr>
        <w:pStyle w:val="Heading2"/>
        <w:numPr>
          <w:ilvl w:val="0"/>
          <w:numId w:val="21"/>
        </w:numPr>
        <w:ind w:left="567" w:hanging="567"/>
      </w:pPr>
      <w:bookmarkStart w:id="140" w:name="_Toc211269790"/>
      <w:bookmarkStart w:id="141" w:name="_Toc211333703"/>
      <w:proofErr w:type="gramStart"/>
      <w:r>
        <w:t>invite</w:t>
      </w:r>
      <w:proofErr w:type="gramEnd"/>
      <w:r>
        <w:t xml:space="preserve"> la Commission à élaborer une solution fiscale harmonisée applicable dans tous les États membres, qui permette des taux réduits de TVA pour ces produits de qualité dans le but d’améliorer l’accès des consommateurs, de stimuler la demande et de favoriser la transition vers un système alimentaire durable;</w:t>
      </w:r>
      <w:bookmarkEnd w:id="140"/>
      <w:bookmarkEnd w:id="141"/>
    </w:p>
    <w:p w14:paraId="06BE3744" w14:textId="77777777" w:rsidR="00C45041" w:rsidRPr="00E1747F" w:rsidRDefault="00C45041" w:rsidP="00C45041">
      <w:pPr>
        <w:pStyle w:val="Heading2"/>
        <w:numPr>
          <w:ilvl w:val="0"/>
          <w:numId w:val="21"/>
        </w:numPr>
        <w:ind w:left="567" w:hanging="567"/>
      </w:pPr>
      <w:bookmarkStart w:id="142" w:name="_Toc211269791"/>
      <w:bookmarkStart w:id="143" w:name="_Toc211333704"/>
      <w:proofErr w:type="gramStart"/>
      <w:r>
        <w:t>soutient</w:t>
      </w:r>
      <w:proofErr w:type="gramEnd"/>
      <w:r>
        <w:t xml:space="preserve"> la mise en œuvre de mesures de la PAC ciblant les jeunes agriculteurs, les femmes, les exploitations familiales de petite taille et celles qui ont engagé une transition écologique, et recommande que, dans les pays candidats, ce soutien soit apporté au moyen d’instruments de financement de préadhésion;</w:t>
      </w:r>
      <w:bookmarkEnd w:id="142"/>
      <w:bookmarkEnd w:id="143"/>
    </w:p>
    <w:p w14:paraId="4A5AD07E" w14:textId="77777777" w:rsidR="00C45041" w:rsidRPr="00E1747F" w:rsidRDefault="00C45041" w:rsidP="00C45041">
      <w:pPr>
        <w:pStyle w:val="Heading2"/>
        <w:numPr>
          <w:ilvl w:val="0"/>
          <w:numId w:val="21"/>
        </w:numPr>
        <w:ind w:left="567" w:hanging="567"/>
      </w:pPr>
      <w:bookmarkStart w:id="144" w:name="_Toc211269792"/>
      <w:bookmarkStart w:id="145" w:name="_Toc211333705"/>
      <w:proofErr w:type="gramStart"/>
      <w:r>
        <w:t>préconise</w:t>
      </w:r>
      <w:proofErr w:type="gramEnd"/>
      <w:r>
        <w:t xml:space="preserve"> que des procédures de certification soient harmonisées et adaptées aux petits producteurs, y compris la certification de groupe ou les modèles numériques;</w:t>
      </w:r>
      <w:bookmarkEnd w:id="144"/>
      <w:bookmarkEnd w:id="145"/>
    </w:p>
    <w:p w14:paraId="18FD52BC" w14:textId="77777777" w:rsidR="00C45041" w:rsidRPr="00E1747F" w:rsidRDefault="00C45041" w:rsidP="00C45041">
      <w:pPr>
        <w:pStyle w:val="Heading2"/>
        <w:numPr>
          <w:ilvl w:val="0"/>
          <w:numId w:val="22"/>
        </w:numPr>
        <w:tabs>
          <w:tab w:val="num" w:pos="720"/>
        </w:tabs>
        <w:ind w:left="567" w:hanging="567"/>
      </w:pPr>
      <w:bookmarkStart w:id="146" w:name="_Toc211269793"/>
      <w:bookmarkStart w:id="147" w:name="_Toc211333706"/>
      <w:proofErr w:type="gramStart"/>
      <w:r>
        <w:t>prescrit</w:t>
      </w:r>
      <w:proofErr w:type="gramEnd"/>
      <w:r>
        <w:t xml:space="preserve"> de réglementer l’usage de termes tels que «naturel» ou «traditionnel» et de sanctionner l’utilisation trompeuse de symboles géographiques, en particulier pour les produits transformés;</w:t>
      </w:r>
      <w:bookmarkEnd w:id="146"/>
      <w:bookmarkEnd w:id="147"/>
    </w:p>
    <w:p w14:paraId="495BAB6C" w14:textId="77777777" w:rsidR="00C45041" w:rsidRPr="00E1747F" w:rsidRDefault="00C45041" w:rsidP="00C45041">
      <w:pPr>
        <w:pStyle w:val="Heading2"/>
        <w:numPr>
          <w:ilvl w:val="0"/>
          <w:numId w:val="22"/>
        </w:numPr>
        <w:tabs>
          <w:tab w:val="num" w:pos="720"/>
        </w:tabs>
        <w:ind w:left="567" w:hanging="567"/>
      </w:pPr>
      <w:bookmarkStart w:id="148" w:name="_Toc211269794"/>
      <w:bookmarkStart w:id="149" w:name="_Toc211333707"/>
      <w:proofErr w:type="gramStart"/>
      <w:r>
        <w:t>demande</w:t>
      </w:r>
      <w:proofErr w:type="gramEnd"/>
      <w:r>
        <w:t xml:space="preserve"> que les normes et les labels de qualité de l’Union européenne soient reconnus et protégés dans le commerce mondial, afin de promouvoir un modèle alimentaire équitable et durable.</w:t>
      </w:r>
      <w:bookmarkEnd w:id="148"/>
      <w:bookmarkEnd w:id="149"/>
    </w:p>
    <w:p w14:paraId="5CCC1FC1" w14:textId="77777777" w:rsidR="00C45041" w:rsidRPr="000624A9" w:rsidRDefault="00C45041" w:rsidP="00C45041">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C45041" w:rsidRPr="00A6689B" w14:paraId="230B1577" w14:textId="77777777" w:rsidTr="00C93F66">
        <w:tc>
          <w:tcPr>
            <w:tcW w:w="1077" w:type="pct"/>
          </w:tcPr>
          <w:p w14:paraId="1DEB20EF" w14:textId="77777777" w:rsidR="00C45041" w:rsidRPr="00A6689B" w:rsidRDefault="00C45041" w:rsidP="00C93F66">
            <w:pPr>
              <w:rPr>
                <w:i/>
              </w:rPr>
            </w:pPr>
            <w:r>
              <w:rPr>
                <w:b/>
                <w:i/>
              </w:rPr>
              <w:t>Contact</w:t>
            </w:r>
          </w:p>
        </w:tc>
        <w:tc>
          <w:tcPr>
            <w:tcW w:w="3923" w:type="pct"/>
          </w:tcPr>
          <w:p w14:paraId="605B20ED" w14:textId="77777777" w:rsidR="00C45041" w:rsidRPr="00A6689B" w:rsidRDefault="00C45041" w:rsidP="00C93F66">
            <w:pPr>
              <w:rPr>
                <w:i/>
              </w:rPr>
            </w:pPr>
            <w:proofErr w:type="spellStart"/>
            <w:r>
              <w:rPr>
                <w:i/>
              </w:rPr>
              <w:t>Myrto</w:t>
            </w:r>
            <w:proofErr w:type="spellEnd"/>
            <w:r>
              <w:rPr>
                <w:i/>
              </w:rPr>
              <w:t xml:space="preserve"> KOLYVA</w:t>
            </w:r>
          </w:p>
        </w:tc>
      </w:tr>
      <w:tr w:rsidR="00C45041" w:rsidRPr="00A6689B" w14:paraId="34321108" w14:textId="77777777" w:rsidTr="00C93F66">
        <w:tc>
          <w:tcPr>
            <w:tcW w:w="1077" w:type="pct"/>
          </w:tcPr>
          <w:p w14:paraId="7B43493F" w14:textId="77777777" w:rsidR="00C45041" w:rsidRPr="00A6689B" w:rsidRDefault="00C45041" w:rsidP="00C93F66">
            <w:pPr>
              <w:rPr>
                <w:i/>
              </w:rPr>
            </w:pPr>
            <w:proofErr w:type="gramStart"/>
            <w:r>
              <w:rPr>
                <w:i/>
              </w:rPr>
              <w:t>Tél.:</w:t>
            </w:r>
            <w:proofErr w:type="gramEnd"/>
          </w:p>
        </w:tc>
        <w:tc>
          <w:tcPr>
            <w:tcW w:w="3923" w:type="pct"/>
          </w:tcPr>
          <w:p w14:paraId="5F5DFFFA" w14:textId="77777777" w:rsidR="00C45041" w:rsidRPr="00A6689B" w:rsidRDefault="00C45041" w:rsidP="00C93F66">
            <w:pPr>
              <w:rPr>
                <w:i/>
              </w:rPr>
            </w:pPr>
            <w:r>
              <w:rPr>
                <w:i/>
              </w:rPr>
              <w:t>+32 2 546 8718</w:t>
            </w:r>
          </w:p>
        </w:tc>
      </w:tr>
      <w:tr w:rsidR="00C45041" w:rsidRPr="00A6689B" w14:paraId="2EA8D576" w14:textId="77777777" w:rsidTr="00C93F66">
        <w:tc>
          <w:tcPr>
            <w:tcW w:w="1077" w:type="pct"/>
          </w:tcPr>
          <w:p w14:paraId="7FC4395E" w14:textId="77777777" w:rsidR="00C45041" w:rsidRPr="00A6689B" w:rsidRDefault="00C45041" w:rsidP="00C93F66">
            <w:pPr>
              <w:rPr>
                <w:i/>
              </w:rPr>
            </w:pPr>
            <w:proofErr w:type="gramStart"/>
            <w:r>
              <w:rPr>
                <w:i/>
              </w:rPr>
              <w:t>Courriel:</w:t>
            </w:r>
            <w:proofErr w:type="gramEnd"/>
          </w:p>
        </w:tc>
        <w:tc>
          <w:tcPr>
            <w:tcW w:w="3923" w:type="pct"/>
          </w:tcPr>
          <w:p w14:paraId="25D9C6B5" w14:textId="77777777" w:rsidR="00C45041" w:rsidRPr="00A6689B" w:rsidRDefault="00CB508B" w:rsidP="00C93F66">
            <w:pPr>
              <w:rPr>
                <w:i/>
              </w:rPr>
            </w:pPr>
            <w:hyperlink r:id="rId82" w:history="1">
              <w:r w:rsidR="00C45041">
                <w:rPr>
                  <w:rStyle w:val="Hyperlink"/>
                  <w:i/>
                </w:rPr>
                <w:t>Myrto.Kolyva@eesc.europa.eu</w:t>
              </w:r>
            </w:hyperlink>
          </w:p>
        </w:tc>
      </w:tr>
    </w:tbl>
    <w:p w14:paraId="52CE072F" w14:textId="77777777" w:rsidR="00F31327" w:rsidRDefault="00F31327" w:rsidP="00F31327">
      <w:pPr>
        <w:jc w:val="left"/>
        <w:rPr>
          <w:rFonts w:ascii="Calibri" w:hAnsi="Calibri"/>
          <w:lang w:val="en-GB" w:eastAsia="zh-CN"/>
        </w:rPr>
      </w:pPr>
      <w:r>
        <w:rPr>
          <w:rFonts w:ascii="Calibri" w:hAnsi="Calibri"/>
          <w:lang w:val="en-GB" w:eastAsia="zh-CN"/>
        </w:rPr>
        <w:br w:type="page"/>
      </w:r>
    </w:p>
    <w:p w14:paraId="795D32E2" w14:textId="23479892" w:rsidR="00510281" w:rsidRPr="0003586F" w:rsidRDefault="00CB508B" w:rsidP="00510281">
      <w:pPr>
        <w:widowControl w:val="0"/>
        <w:numPr>
          <w:ilvl w:val="0"/>
          <w:numId w:val="31"/>
        </w:numPr>
        <w:overflowPunct w:val="0"/>
        <w:autoSpaceDE w:val="0"/>
        <w:autoSpaceDN w:val="0"/>
        <w:adjustRightInd w:val="0"/>
        <w:ind w:left="567" w:hanging="567"/>
        <w:textAlignment w:val="baseline"/>
        <w:rPr>
          <w:sz w:val="20"/>
        </w:rPr>
      </w:pPr>
      <w:hyperlink r:id="rId83">
        <w:r w:rsidR="00510281">
          <w:rPr>
            <w:rStyle w:val="Hyperlink"/>
            <w:b/>
            <w:i/>
            <w:sz w:val="28"/>
          </w:rPr>
          <w:t>Paquet de mesures de simplification de la PAC</w:t>
        </w:r>
      </w:hyperlink>
    </w:p>
    <w:p w14:paraId="077606BC" w14:textId="77777777" w:rsidR="00510281" w:rsidRPr="00A6689B" w:rsidRDefault="00510281" w:rsidP="00510281">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510281" w:rsidRPr="00A6689B" w14:paraId="498C94A6" w14:textId="77777777" w:rsidTr="00C93F66">
        <w:tc>
          <w:tcPr>
            <w:tcW w:w="1077" w:type="pct"/>
          </w:tcPr>
          <w:p w14:paraId="55ED0CDF" w14:textId="77777777" w:rsidR="00510281" w:rsidRPr="00A6689B" w:rsidRDefault="00510281" w:rsidP="00C93F66">
            <w:pPr>
              <w:tabs>
                <w:tab w:val="center" w:pos="284"/>
              </w:tabs>
              <w:ind w:left="266" w:hanging="266"/>
              <w:rPr>
                <w:b/>
              </w:rPr>
            </w:pPr>
            <w:r>
              <w:rPr>
                <w:b/>
              </w:rPr>
              <w:t>Rapporteur</w:t>
            </w:r>
          </w:p>
        </w:tc>
        <w:tc>
          <w:tcPr>
            <w:tcW w:w="3923" w:type="pct"/>
          </w:tcPr>
          <w:p w14:paraId="0213B828" w14:textId="77777777" w:rsidR="00510281" w:rsidRPr="003E2692" w:rsidRDefault="00510281" w:rsidP="00C93F66">
            <w:pPr>
              <w:tabs>
                <w:tab w:val="center" w:pos="284"/>
              </w:tabs>
              <w:ind w:left="266" w:right="-3091" w:hanging="266"/>
            </w:pPr>
            <w:r>
              <w:t>John COMER (groupe des organisations de la société civile — IE)</w:t>
            </w:r>
          </w:p>
        </w:tc>
      </w:tr>
      <w:tr w:rsidR="00510281" w:rsidRPr="00A6689B" w14:paraId="412A72BB" w14:textId="77777777" w:rsidTr="00C93F66">
        <w:tc>
          <w:tcPr>
            <w:tcW w:w="1077" w:type="pct"/>
          </w:tcPr>
          <w:p w14:paraId="312F6E0A" w14:textId="77777777" w:rsidR="00510281" w:rsidRPr="00A6689B" w:rsidRDefault="00510281" w:rsidP="00C93F66">
            <w:pPr>
              <w:tabs>
                <w:tab w:val="center" w:pos="284"/>
              </w:tabs>
              <w:ind w:left="266" w:hanging="266"/>
              <w:rPr>
                <w:b/>
              </w:rPr>
            </w:pPr>
            <w:r>
              <w:rPr>
                <w:b/>
              </w:rPr>
              <w:t>Corapporteur</w:t>
            </w:r>
          </w:p>
        </w:tc>
        <w:tc>
          <w:tcPr>
            <w:tcW w:w="3923" w:type="pct"/>
          </w:tcPr>
          <w:p w14:paraId="039D35ED" w14:textId="77777777" w:rsidR="00510281" w:rsidRPr="003E2692" w:rsidRDefault="00510281" w:rsidP="00C93F66">
            <w:pPr>
              <w:tabs>
                <w:tab w:val="center" w:pos="284"/>
              </w:tabs>
              <w:ind w:left="266" w:right="-3091" w:hanging="266"/>
            </w:pPr>
            <w:r>
              <w:t>Arnold PUECH D’ALISSAC (groupe des employeurs — FR)</w:t>
            </w:r>
          </w:p>
        </w:tc>
      </w:tr>
      <w:tr w:rsidR="00510281" w:rsidRPr="00A6689B" w14:paraId="0E1CFEA9" w14:textId="77777777" w:rsidTr="00C93F66">
        <w:tc>
          <w:tcPr>
            <w:tcW w:w="1077" w:type="pct"/>
          </w:tcPr>
          <w:p w14:paraId="14803B2A" w14:textId="77777777" w:rsidR="00510281" w:rsidRPr="00A6689B" w:rsidRDefault="00510281" w:rsidP="00C93F66">
            <w:pPr>
              <w:tabs>
                <w:tab w:val="center" w:pos="284"/>
              </w:tabs>
              <w:ind w:left="266" w:hanging="266"/>
              <w:rPr>
                <w:b/>
              </w:rPr>
            </w:pPr>
            <w:r>
              <w:rPr>
                <w:b/>
              </w:rPr>
              <w:t>Référence</w:t>
            </w:r>
          </w:p>
        </w:tc>
        <w:tc>
          <w:tcPr>
            <w:tcW w:w="3923" w:type="pct"/>
          </w:tcPr>
          <w:p w14:paraId="11EB150A" w14:textId="77777777" w:rsidR="00D95AC0" w:rsidRDefault="00D95AC0" w:rsidP="00D95AC0">
            <w:pPr>
              <w:tabs>
                <w:tab w:val="center" w:pos="284"/>
              </w:tabs>
              <w:overflowPunct w:val="0"/>
              <w:autoSpaceDE w:val="0"/>
              <w:autoSpaceDN w:val="0"/>
              <w:adjustRightInd w:val="0"/>
              <w:ind w:left="266" w:right="-3091" w:hanging="266"/>
              <w:textAlignment w:val="baseline"/>
              <w:rPr>
                <w:lang w:val="en-GB"/>
              </w:rPr>
            </w:pPr>
            <w:proofErr w:type="gramStart"/>
            <w:r>
              <w:rPr>
                <w:lang w:val="en-GB"/>
              </w:rPr>
              <w:t>COM(</w:t>
            </w:r>
            <w:proofErr w:type="gramEnd"/>
            <w:r>
              <w:rPr>
                <w:lang w:val="en-GB"/>
              </w:rPr>
              <w:t>2025) 236 final</w:t>
            </w:r>
          </w:p>
          <w:p w14:paraId="166A7BD3" w14:textId="77777777" w:rsidR="00510281" w:rsidRPr="00A6689B" w:rsidRDefault="00510281" w:rsidP="00C93F66">
            <w:pPr>
              <w:tabs>
                <w:tab w:val="center" w:pos="284"/>
              </w:tabs>
              <w:ind w:left="266" w:right="-3091" w:hanging="266"/>
            </w:pPr>
            <w:r>
              <w:t>EESC-2025-01558-00-00-AC</w:t>
            </w:r>
          </w:p>
        </w:tc>
      </w:tr>
    </w:tbl>
    <w:p w14:paraId="096244EE" w14:textId="77777777" w:rsidR="00510281" w:rsidRDefault="00510281" w:rsidP="00510281">
      <w:pPr>
        <w:tabs>
          <w:tab w:val="center" w:pos="284"/>
        </w:tabs>
        <w:ind w:left="266" w:hanging="266"/>
        <w:rPr>
          <w:b/>
        </w:rPr>
      </w:pPr>
    </w:p>
    <w:p w14:paraId="19FB2665" w14:textId="77777777" w:rsidR="00510281" w:rsidRPr="00A6689B" w:rsidRDefault="00510281" w:rsidP="00510281">
      <w:pPr>
        <w:keepNext/>
        <w:keepLines/>
        <w:tabs>
          <w:tab w:val="center" w:pos="284"/>
        </w:tabs>
        <w:ind w:left="266" w:hanging="266"/>
        <w:rPr>
          <w:b/>
        </w:rPr>
      </w:pPr>
      <w:r>
        <w:rPr>
          <w:b/>
        </w:rPr>
        <w:t>Points clés</w:t>
      </w:r>
    </w:p>
    <w:p w14:paraId="52FCB28D" w14:textId="77777777" w:rsidR="00510281" w:rsidRPr="00A6689B" w:rsidRDefault="00510281" w:rsidP="00510281">
      <w:pPr>
        <w:keepNext/>
        <w:keepLines/>
        <w:tabs>
          <w:tab w:val="center" w:pos="284"/>
        </w:tabs>
        <w:ind w:left="266" w:hanging="266"/>
        <w:rPr>
          <w:b/>
        </w:rPr>
      </w:pPr>
    </w:p>
    <w:p w14:paraId="435ABE76" w14:textId="77777777" w:rsidR="00510281" w:rsidRPr="00A6689B" w:rsidRDefault="00510281" w:rsidP="00510281">
      <w:r>
        <w:t>Le CESE</w:t>
      </w:r>
    </w:p>
    <w:p w14:paraId="0B499CA5" w14:textId="77777777" w:rsidR="00510281" w:rsidRPr="001E203F" w:rsidRDefault="00510281" w:rsidP="00510281">
      <w:pPr>
        <w:widowControl w:val="0"/>
        <w:numPr>
          <w:ilvl w:val="0"/>
          <w:numId w:val="30"/>
        </w:numPr>
        <w:overflowPunct w:val="0"/>
        <w:autoSpaceDE w:val="0"/>
        <w:autoSpaceDN w:val="0"/>
        <w:adjustRightInd w:val="0"/>
        <w:ind w:left="567" w:hanging="567"/>
        <w:textAlignment w:val="baseline"/>
      </w:pPr>
      <w:proofErr w:type="gramStart"/>
      <w:r>
        <w:t>pense</w:t>
      </w:r>
      <w:proofErr w:type="gramEnd"/>
      <w:r>
        <w:t xml:space="preserve"> que le renforcement et l’amélioration de la numérisation devraient former une stratégie essentielle pour simplifier la PAC, en ce qu’ils permettraient l’utilisation d’outils numériques pour la collecte des données, le suivi et le traitement des paiements; les États membres doivent promouvoir et soutenir activement la formation aux compétences numériques des agriculteurs et soutenir financièrement autant que nécessaire le perfectionnement et la formation;</w:t>
      </w:r>
    </w:p>
    <w:p w14:paraId="220B2F60" w14:textId="77777777" w:rsidR="00510281" w:rsidRPr="001E203F" w:rsidRDefault="00510281" w:rsidP="00510281">
      <w:pPr>
        <w:widowControl w:val="0"/>
        <w:numPr>
          <w:ilvl w:val="0"/>
          <w:numId w:val="30"/>
        </w:numPr>
        <w:overflowPunct w:val="0"/>
        <w:autoSpaceDE w:val="0"/>
        <w:autoSpaceDN w:val="0"/>
        <w:adjustRightInd w:val="0"/>
        <w:ind w:left="567" w:hanging="567"/>
        <w:textAlignment w:val="baseline"/>
      </w:pPr>
      <w:proofErr w:type="gramStart"/>
      <w:r>
        <w:t>recommande</w:t>
      </w:r>
      <w:proofErr w:type="gramEnd"/>
      <w:r>
        <w:t xml:space="preserve"> que chaque plan stratégique relevant de la PAC contienne un plan spécifique visant à réduire la charge administrative liée aux demandes de paiement, en raccourcissant les formulaires de demande et en utilisant largement les formulaires préremplis et la technologie numérique la plus récente pour accéder aux données pertinentes;</w:t>
      </w:r>
    </w:p>
    <w:p w14:paraId="222529A7" w14:textId="77777777" w:rsidR="00510281" w:rsidRPr="001E203F" w:rsidRDefault="00510281" w:rsidP="00510281">
      <w:pPr>
        <w:widowControl w:val="0"/>
        <w:numPr>
          <w:ilvl w:val="0"/>
          <w:numId w:val="30"/>
        </w:numPr>
        <w:overflowPunct w:val="0"/>
        <w:autoSpaceDE w:val="0"/>
        <w:autoSpaceDN w:val="0"/>
        <w:adjustRightInd w:val="0"/>
        <w:ind w:left="567" w:hanging="567"/>
        <w:textAlignment w:val="baseline"/>
      </w:pPr>
      <w:proofErr w:type="gramStart"/>
      <w:r>
        <w:t>propose</w:t>
      </w:r>
      <w:proofErr w:type="gramEnd"/>
      <w:r>
        <w:t xml:space="preserve"> que, lors de leur installation initiale en tant que chefs d’une exploitation agricole, les nouveaux agriculteurs bénéficient des mêmes modalités et conditions en matière de soutien aux investissements visant à se conformer aux exigences prévues par la législation de l’UE que celles accordées aux jeunes agriculteurs, à la condition qu’ils soient des agriculteurs actifs;</w:t>
      </w:r>
    </w:p>
    <w:p w14:paraId="06BBB2DB" w14:textId="77777777" w:rsidR="00510281" w:rsidRPr="001E203F" w:rsidRDefault="00510281" w:rsidP="00510281">
      <w:pPr>
        <w:widowControl w:val="0"/>
        <w:numPr>
          <w:ilvl w:val="0"/>
          <w:numId w:val="30"/>
        </w:numPr>
        <w:overflowPunct w:val="0"/>
        <w:autoSpaceDE w:val="0"/>
        <w:autoSpaceDN w:val="0"/>
        <w:adjustRightInd w:val="0"/>
        <w:ind w:left="567" w:hanging="567"/>
        <w:textAlignment w:val="baseline"/>
      </w:pPr>
      <w:proofErr w:type="gramStart"/>
      <w:r>
        <w:t>suggère</w:t>
      </w:r>
      <w:proofErr w:type="gramEnd"/>
      <w:r>
        <w:t xml:space="preserve"> que, si une entreprise agricole, une exploitation agricole ou un groupement d’agriculteurs actifs au sein de la même exploitation compte au moins deux jeunes agriculteurs au cours d’années différentes, ceux-ci devraient être éligibles à davantage que cinq années d’aide complémentaire au revenu pour les jeunes agriculteurs; </w:t>
      </w:r>
    </w:p>
    <w:p w14:paraId="69C91E19" w14:textId="77777777" w:rsidR="00510281" w:rsidRPr="001E203F" w:rsidRDefault="00510281" w:rsidP="00510281">
      <w:pPr>
        <w:widowControl w:val="0"/>
        <w:numPr>
          <w:ilvl w:val="0"/>
          <w:numId w:val="30"/>
        </w:numPr>
        <w:overflowPunct w:val="0"/>
        <w:autoSpaceDE w:val="0"/>
        <w:autoSpaceDN w:val="0"/>
        <w:adjustRightInd w:val="0"/>
        <w:ind w:left="567" w:hanging="567"/>
        <w:textAlignment w:val="baseline"/>
      </w:pPr>
      <w:proofErr w:type="gramStart"/>
      <w:r>
        <w:t>propose</w:t>
      </w:r>
      <w:proofErr w:type="gramEnd"/>
      <w:r>
        <w:t xml:space="preserve"> que le paiement annuel en faveur des petits agriculteurs ne puisse pas dépasser 5 000 EUR (soumis à l’indexation) lorsque les États membres octroient un paiement aux petits agriculteurs sous la forme d’un montant forfaitaire ou de montants par hectare remplaçant les paiements directs, et que le nombre d’inspections sur place soit considérablement réduit grâce à un recours accru aux technologies modernes tout en protégeant les intérêts financiers de l’Union;</w:t>
      </w:r>
    </w:p>
    <w:p w14:paraId="63949B2B" w14:textId="77777777" w:rsidR="00510281" w:rsidRPr="001E203F" w:rsidRDefault="00510281" w:rsidP="00510281">
      <w:pPr>
        <w:widowControl w:val="0"/>
        <w:numPr>
          <w:ilvl w:val="0"/>
          <w:numId w:val="30"/>
        </w:numPr>
        <w:overflowPunct w:val="0"/>
        <w:autoSpaceDE w:val="0"/>
        <w:autoSpaceDN w:val="0"/>
        <w:adjustRightInd w:val="0"/>
        <w:ind w:left="567" w:hanging="567"/>
        <w:textAlignment w:val="baseline"/>
      </w:pPr>
      <w:proofErr w:type="gramStart"/>
      <w:r>
        <w:t>recommande</w:t>
      </w:r>
      <w:proofErr w:type="gramEnd"/>
      <w:r>
        <w:t xml:space="preserve"> que les États membres puissent prévoir la possibilité de corriger les demandes d’aide et les demandes de paiement après leur introduction, sans incidence sur le droit de bénéficier d’une aide, à condition que les erreurs à corriger aient été commises de bonne foi et que la correction puisse être effectuée, soit avant que le demandeur soit informé de sa sélection en vue d’un contrôle sur place, soit avant que l’autorité compétente n’ait pris sa décision;</w:t>
      </w:r>
    </w:p>
    <w:p w14:paraId="5711A4A6" w14:textId="77777777" w:rsidR="00510281" w:rsidRPr="001E203F" w:rsidRDefault="00510281" w:rsidP="00510281">
      <w:pPr>
        <w:widowControl w:val="0"/>
        <w:numPr>
          <w:ilvl w:val="0"/>
          <w:numId w:val="30"/>
        </w:numPr>
        <w:overflowPunct w:val="0"/>
        <w:autoSpaceDE w:val="0"/>
        <w:autoSpaceDN w:val="0"/>
        <w:adjustRightInd w:val="0"/>
        <w:ind w:left="567" w:hanging="567"/>
        <w:textAlignment w:val="baseline"/>
      </w:pPr>
      <w:proofErr w:type="gramStart"/>
      <w:r>
        <w:t>suggère</w:t>
      </w:r>
      <w:proofErr w:type="gramEnd"/>
      <w:r>
        <w:t xml:space="preserve"> que les agriculteurs qui, en raison de circonstances imprévues, n’ont pas été en mesure de contribuer à un outil de gestion des risques ne puissent pas être discriminés en se voyant octroyer un taux de paiements compensatoires inférieur;</w:t>
      </w:r>
    </w:p>
    <w:p w14:paraId="5AE660F3" w14:textId="77777777" w:rsidR="00510281" w:rsidRPr="001E203F" w:rsidRDefault="00510281" w:rsidP="00510281">
      <w:pPr>
        <w:widowControl w:val="0"/>
        <w:numPr>
          <w:ilvl w:val="0"/>
          <w:numId w:val="30"/>
        </w:numPr>
        <w:overflowPunct w:val="0"/>
        <w:autoSpaceDE w:val="0"/>
        <w:autoSpaceDN w:val="0"/>
        <w:adjustRightInd w:val="0"/>
        <w:ind w:left="567" w:hanging="567"/>
        <w:textAlignment w:val="baseline"/>
      </w:pPr>
      <w:proofErr w:type="gramStart"/>
      <w:r>
        <w:t>propose</w:t>
      </w:r>
      <w:proofErr w:type="gramEnd"/>
      <w:r>
        <w:t xml:space="preserve"> que, dans des circonstances exceptionnelles, la Commission, conjointement avec l’État membre, ait obligation de fournir un financement d’urgence supplémentaire. Le versement de paiements de crise ne doit pas entraîner une réduction des dotations au titre de l’aide de base au revenu.</w:t>
      </w:r>
    </w:p>
    <w:p w14:paraId="532232A7" w14:textId="77777777" w:rsidR="00510281" w:rsidRPr="001E203F" w:rsidRDefault="00510281" w:rsidP="00510281">
      <w:pPr>
        <w:widowControl w:val="0"/>
        <w:numPr>
          <w:ilvl w:val="0"/>
          <w:numId w:val="30"/>
        </w:numPr>
        <w:overflowPunct w:val="0"/>
        <w:autoSpaceDE w:val="0"/>
        <w:autoSpaceDN w:val="0"/>
        <w:adjustRightInd w:val="0"/>
        <w:ind w:left="567" w:hanging="567"/>
        <w:textAlignment w:val="baseline"/>
      </w:pPr>
      <w:proofErr w:type="gramStart"/>
      <w:r>
        <w:t>préconise</w:t>
      </w:r>
      <w:proofErr w:type="gramEnd"/>
      <w:r>
        <w:t xml:space="preserve">, si cela est jugé approprié compte tenu des conditions locales, qu’il soit laissé à la </w:t>
      </w:r>
      <w:r>
        <w:lastRenderedPageBreak/>
        <w:t>discrétion des États membres d’appliquer un autre système de paiement que celui des paiements par hectare pour les désavantages spécifiques à une zone imposés par les exigences obligatoires;</w:t>
      </w:r>
    </w:p>
    <w:p w14:paraId="61FE0B7B" w14:textId="77777777" w:rsidR="00510281" w:rsidRPr="001E203F" w:rsidRDefault="00510281" w:rsidP="00510281">
      <w:pPr>
        <w:widowControl w:val="0"/>
        <w:numPr>
          <w:ilvl w:val="0"/>
          <w:numId w:val="30"/>
        </w:numPr>
        <w:overflowPunct w:val="0"/>
        <w:autoSpaceDE w:val="0"/>
        <w:autoSpaceDN w:val="0"/>
        <w:adjustRightInd w:val="0"/>
        <w:ind w:left="567" w:hanging="567"/>
        <w:textAlignment w:val="baseline"/>
      </w:pPr>
      <w:proofErr w:type="gramStart"/>
      <w:r>
        <w:t>propose</w:t>
      </w:r>
      <w:proofErr w:type="gramEnd"/>
      <w:r>
        <w:t xml:space="preserve"> d’évaluer pleinement et de réviser les BCAE afin qu’elles soient respectueuses des agriculteurs et soutiennent la sécurité alimentaire dans l’UE en facilitant une production alimentaire de qualité conforme aux bonnes pratiques environnementales;</w:t>
      </w:r>
    </w:p>
    <w:p w14:paraId="6A0B4D37" w14:textId="77777777" w:rsidR="00510281" w:rsidRPr="0068417C" w:rsidRDefault="00510281" w:rsidP="00510281">
      <w:pPr>
        <w:widowControl w:val="0"/>
        <w:numPr>
          <w:ilvl w:val="0"/>
          <w:numId w:val="30"/>
        </w:numPr>
        <w:overflowPunct w:val="0"/>
        <w:autoSpaceDE w:val="0"/>
        <w:autoSpaceDN w:val="0"/>
        <w:adjustRightInd w:val="0"/>
        <w:ind w:left="567" w:hanging="567"/>
        <w:textAlignment w:val="baseline"/>
      </w:pPr>
      <w:proofErr w:type="gramStart"/>
      <w:r>
        <w:t>croit</w:t>
      </w:r>
      <w:proofErr w:type="gramEnd"/>
      <w:r>
        <w:t xml:space="preserve"> que le soutien aux investissements dans l’irrigation ne devrait pas dépendre de l’interprétation de l’état «moins que bon» de la masse d’eau par chaque État membre ou région. Les besoins des autres écosystèmes doivent être respectés.</w:t>
      </w:r>
    </w:p>
    <w:p w14:paraId="4E9E2786" w14:textId="77777777" w:rsidR="00510281" w:rsidRPr="000624A9" w:rsidRDefault="00510281" w:rsidP="00510281">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510281" w:rsidRPr="00A6689B" w14:paraId="78D08D23" w14:textId="77777777" w:rsidTr="00C93F66">
        <w:tc>
          <w:tcPr>
            <w:tcW w:w="1077" w:type="pct"/>
          </w:tcPr>
          <w:p w14:paraId="245F12C7" w14:textId="77777777" w:rsidR="00510281" w:rsidRPr="00A6689B" w:rsidRDefault="00510281" w:rsidP="00C93F66">
            <w:pPr>
              <w:rPr>
                <w:i/>
              </w:rPr>
            </w:pPr>
            <w:r>
              <w:rPr>
                <w:b/>
                <w:i/>
              </w:rPr>
              <w:t>Contact</w:t>
            </w:r>
          </w:p>
        </w:tc>
        <w:tc>
          <w:tcPr>
            <w:tcW w:w="3923" w:type="pct"/>
          </w:tcPr>
          <w:p w14:paraId="6E6020A0" w14:textId="37C3C529" w:rsidR="00510281" w:rsidRPr="004307AC" w:rsidRDefault="00510281" w:rsidP="00C93F66">
            <w:pPr>
              <w:rPr>
                <w:i/>
                <w:iCs/>
              </w:rPr>
            </w:pPr>
            <w:proofErr w:type="spellStart"/>
            <w:r>
              <w:rPr>
                <w:i/>
              </w:rPr>
              <w:t>Myrto</w:t>
            </w:r>
            <w:proofErr w:type="spellEnd"/>
            <w:r>
              <w:rPr>
                <w:i/>
              </w:rPr>
              <w:t xml:space="preserve"> </w:t>
            </w:r>
            <w:r w:rsidR="00D95AC0">
              <w:rPr>
                <w:i/>
              </w:rPr>
              <w:t>KOLYVA</w:t>
            </w:r>
            <w:r>
              <w:rPr>
                <w:i/>
              </w:rPr>
              <w:t xml:space="preserve">, Arturo </w:t>
            </w:r>
            <w:r w:rsidR="00D95AC0">
              <w:rPr>
                <w:i/>
              </w:rPr>
              <w:t>INIGUEZ</w:t>
            </w:r>
          </w:p>
        </w:tc>
      </w:tr>
      <w:tr w:rsidR="00510281" w:rsidRPr="00A6689B" w14:paraId="77E00563" w14:textId="77777777" w:rsidTr="00C93F66">
        <w:tc>
          <w:tcPr>
            <w:tcW w:w="1077" w:type="pct"/>
          </w:tcPr>
          <w:p w14:paraId="73C37105" w14:textId="77777777" w:rsidR="00510281" w:rsidRPr="00A6689B" w:rsidRDefault="00510281" w:rsidP="00C93F66">
            <w:pPr>
              <w:rPr>
                <w:i/>
              </w:rPr>
            </w:pPr>
            <w:proofErr w:type="gramStart"/>
            <w:r>
              <w:rPr>
                <w:i/>
              </w:rPr>
              <w:t>Tél.:</w:t>
            </w:r>
            <w:proofErr w:type="gramEnd"/>
          </w:p>
        </w:tc>
        <w:tc>
          <w:tcPr>
            <w:tcW w:w="3923" w:type="pct"/>
          </w:tcPr>
          <w:p w14:paraId="2BD3D004" w14:textId="77777777" w:rsidR="00510281" w:rsidRPr="00A6689B" w:rsidRDefault="00510281" w:rsidP="00C93F66">
            <w:pPr>
              <w:rPr>
                <w:i/>
              </w:rPr>
            </w:pPr>
            <w:r>
              <w:rPr>
                <w:i/>
              </w:rPr>
              <w:t>+32 2 546 8718, +32 2 546 8768</w:t>
            </w:r>
          </w:p>
        </w:tc>
      </w:tr>
      <w:tr w:rsidR="00510281" w:rsidRPr="00A6689B" w14:paraId="474F697C" w14:textId="77777777" w:rsidTr="00C93F66">
        <w:tc>
          <w:tcPr>
            <w:tcW w:w="1077" w:type="pct"/>
          </w:tcPr>
          <w:p w14:paraId="683BA24B" w14:textId="77777777" w:rsidR="00510281" w:rsidRPr="00A6689B" w:rsidRDefault="00510281" w:rsidP="00C93F66">
            <w:pPr>
              <w:rPr>
                <w:i/>
              </w:rPr>
            </w:pPr>
            <w:proofErr w:type="gramStart"/>
            <w:r>
              <w:rPr>
                <w:i/>
              </w:rPr>
              <w:t>Courriel:</w:t>
            </w:r>
            <w:proofErr w:type="gramEnd"/>
          </w:p>
        </w:tc>
        <w:tc>
          <w:tcPr>
            <w:tcW w:w="3923" w:type="pct"/>
          </w:tcPr>
          <w:p w14:paraId="52CE16D9" w14:textId="77777777" w:rsidR="00510281" w:rsidRPr="00A6689B" w:rsidRDefault="00CB508B" w:rsidP="00C93F66">
            <w:pPr>
              <w:rPr>
                <w:i/>
              </w:rPr>
            </w:pPr>
            <w:hyperlink r:id="rId84" w:history="1">
              <w:r w:rsidR="00510281">
                <w:rPr>
                  <w:rStyle w:val="Hyperlink"/>
                  <w:i/>
                </w:rPr>
                <w:t>Myrto.Kolyva@eesc.europa.eu</w:t>
              </w:r>
            </w:hyperlink>
            <w:r w:rsidR="00510281">
              <w:t xml:space="preserve">, </w:t>
            </w:r>
            <w:hyperlink r:id="rId85" w:history="1">
              <w:r w:rsidR="00510281">
                <w:rPr>
                  <w:rStyle w:val="Hyperlink"/>
                  <w:i/>
                </w:rPr>
                <w:t>Arturo.Iniguez@eesc.europa.eu</w:t>
              </w:r>
            </w:hyperlink>
          </w:p>
        </w:tc>
      </w:tr>
    </w:tbl>
    <w:p w14:paraId="3061FFE2" w14:textId="77777777" w:rsidR="00F31327" w:rsidRDefault="00F31327" w:rsidP="00F31327">
      <w:pPr>
        <w:jc w:val="left"/>
        <w:rPr>
          <w:rFonts w:ascii="Calibri" w:hAnsi="Calibri"/>
          <w:highlight w:val="yellow"/>
          <w:lang w:val="en-GB" w:eastAsia="zh-CN"/>
        </w:rPr>
      </w:pPr>
      <w:r>
        <w:rPr>
          <w:rFonts w:ascii="Calibri" w:hAnsi="Calibri"/>
          <w:highlight w:val="yellow"/>
          <w:lang w:val="en-GB" w:eastAsia="zh-CN"/>
        </w:rPr>
        <w:br w:type="page"/>
      </w:r>
    </w:p>
    <w:p w14:paraId="6BFCEE1E" w14:textId="4CC00962" w:rsidR="00D2447F" w:rsidRPr="006A2B65" w:rsidRDefault="00CB508B" w:rsidP="00D95AC0">
      <w:pPr>
        <w:widowControl w:val="0"/>
        <w:numPr>
          <w:ilvl w:val="0"/>
          <w:numId w:val="31"/>
        </w:numPr>
        <w:overflowPunct w:val="0"/>
        <w:autoSpaceDE w:val="0"/>
        <w:autoSpaceDN w:val="0"/>
        <w:adjustRightInd w:val="0"/>
        <w:ind w:left="567" w:hanging="567"/>
        <w:textAlignment w:val="baseline"/>
        <w:rPr>
          <w:b/>
          <w:bCs/>
          <w:i/>
          <w:iCs/>
          <w:sz w:val="28"/>
          <w:szCs w:val="28"/>
        </w:rPr>
      </w:pPr>
      <w:hyperlink r:id="rId86" w:history="1">
        <w:r w:rsidR="00D2447F">
          <w:rPr>
            <w:rStyle w:val="Hyperlink"/>
            <w:b/>
            <w:i/>
            <w:sz w:val="28"/>
          </w:rPr>
          <w:t xml:space="preserve">Une planète saine pour des personnes en bonne </w:t>
        </w:r>
        <w:proofErr w:type="gramStart"/>
        <w:r w:rsidR="00D2447F">
          <w:rPr>
            <w:rStyle w:val="Hyperlink"/>
            <w:b/>
            <w:i/>
            <w:sz w:val="28"/>
          </w:rPr>
          <w:t>santé:</w:t>
        </w:r>
        <w:proofErr w:type="gramEnd"/>
        <w:r w:rsidR="00D2447F">
          <w:rPr>
            <w:rStyle w:val="Hyperlink"/>
            <w:b/>
            <w:i/>
            <w:sz w:val="28"/>
          </w:rPr>
          <w:t xml:space="preserve"> vers une approche «Une seule santé»</w:t>
        </w:r>
      </w:hyperlink>
    </w:p>
    <w:p w14:paraId="6147F540" w14:textId="77777777" w:rsidR="00D2447F" w:rsidRDefault="00D2447F" w:rsidP="00D2447F">
      <w:pPr>
        <w:tabs>
          <w:tab w:val="center" w:pos="284"/>
        </w:tabs>
        <w:ind w:left="266" w:hanging="266"/>
        <w:rPr>
          <w:b/>
        </w:rPr>
      </w:pPr>
    </w:p>
    <w:tbl>
      <w:tblPr>
        <w:tblStyle w:val="TableGrid"/>
        <w:tblW w:w="0" w:type="auto"/>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6913"/>
      </w:tblGrid>
      <w:tr w:rsidR="00D2447F" w14:paraId="255E5F68" w14:textId="77777777" w:rsidTr="00C93F66">
        <w:tc>
          <w:tcPr>
            <w:tcW w:w="2110" w:type="dxa"/>
          </w:tcPr>
          <w:p w14:paraId="209877F0" w14:textId="77777777" w:rsidR="00D2447F" w:rsidRDefault="00D2447F" w:rsidP="00C93F66">
            <w:pPr>
              <w:tabs>
                <w:tab w:val="center" w:pos="284"/>
              </w:tabs>
              <w:rPr>
                <w:b/>
              </w:rPr>
            </w:pPr>
            <w:proofErr w:type="spellStart"/>
            <w:r>
              <w:rPr>
                <w:b/>
              </w:rPr>
              <w:t>Rapporteure</w:t>
            </w:r>
            <w:proofErr w:type="spellEnd"/>
          </w:p>
        </w:tc>
        <w:tc>
          <w:tcPr>
            <w:tcW w:w="6913" w:type="dxa"/>
          </w:tcPr>
          <w:p w14:paraId="143DE3F1" w14:textId="77777777" w:rsidR="00D2447F" w:rsidRPr="00D95AC0" w:rsidRDefault="00D2447F" w:rsidP="00C93F66">
            <w:pPr>
              <w:tabs>
                <w:tab w:val="center" w:pos="284"/>
              </w:tabs>
            </w:pPr>
            <w:r w:rsidRPr="00D95AC0">
              <w:t>Nicoletta MERLO (groupe des travailleurs — IT)</w:t>
            </w:r>
          </w:p>
        </w:tc>
      </w:tr>
      <w:tr w:rsidR="00D2447F" w14:paraId="7010DAFF" w14:textId="77777777" w:rsidTr="00C93F66">
        <w:tc>
          <w:tcPr>
            <w:tcW w:w="2110" w:type="dxa"/>
          </w:tcPr>
          <w:p w14:paraId="307EDDDE" w14:textId="77777777" w:rsidR="00D2447F" w:rsidRDefault="00D2447F" w:rsidP="00C93F66">
            <w:pPr>
              <w:tabs>
                <w:tab w:val="center" w:pos="284"/>
              </w:tabs>
              <w:rPr>
                <w:b/>
              </w:rPr>
            </w:pPr>
            <w:r>
              <w:rPr>
                <w:b/>
              </w:rPr>
              <w:t>Corapporteur</w:t>
            </w:r>
          </w:p>
        </w:tc>
        <w:tc>
          <w:tcPr>
            <w:tcW w:w="6913" w:type="dxa"/>
          </w:tcPr>
          <w:p w14:paraId="0E125343" w14:textId="77777777" w:rsidR="00D2447F" w:rsidRPr="00D95AC0" w:rsidRDefault="00D2447F" w:rsidP="00C93F66">
            <w:pPr>
              <w:tabs>
                <w:tab w:val="center" w:pos="284"/>
              </w:tabs>
            </w:pPr>
            <w:r w:rsidRPr="00D95AC0">
              <w:t>Arnaud SCHWARTZ (groupe des organisations de la société civile — FR)</w:t>
            </w:r>
          </w:p>
        </w:tc>
      </w:tr>
      <w:tr w:rsidR="00D2447F" w14:paraId="6D7DD0FD" w14:textId="77777777" w:rsidTr="00C93F66">
        <w:tc>
          <w:tcPr>
            <w:tcW w:w="2110" w:type="dxa"/>
          </w:tcPr>
          <w:p w14:paraId="51AE688A" w14:textId="77777777" w:rsidR="00D2447F" w:rsidRDefault="00D2447F" w:rsidP="00C93F66">
            <w:pPr>
              <w:tabs>
                <w:tab w:val="center" w:pos="284"/>
              </w:tabs>
              <w:rPr>
                <w:b/>
              </w:rPr>
            </w:pPr>
            <w:r>
              <w:rPr>
                <w:b/>
              </w:rPr>
              <w:t>Référence</w:t>
            </w:r>
          </w:p>
        </w:tc>
        <w:tc>
          <w:tcPr>
            <w:tcW w:w="6913" w:type="dxa"/>
          </w:tcPr>
          <w:p w14:paraId="65E4A6FB" w14:textId="77777777" w:rsidR="00D95AC0" w:rsidRDefault="00D95AC0" w:rsidP="00C93F66">
            <w:pPr>
              <w:tabs>
                <w:tab w:val="center" w:pos="284"/>
              </w:tabs>
            </w:pPr>
            <w:r>
              <w:t>Avis d'initiative</w:t>
            </w:r>
          </w:p>
          <w:p w14:paraId="2AED525F" w14:textId="62475715" w:rsidR="00D2447F" w:rsidRDefault="00D2447F" w:rsidP="00C93F66">
            <w:pPr>
              <w:tabs>
                <w:tab w:val="center" w:pos="284"/>
              </w:tabs>
              <w:rPr>
                <w:b/>
              </w:rPr>
            </w:pPr>
            <w:r>
              <w:t>EESC-2025-00757-00-00-AC</w:t>
            </w:r>
          </w:p>
        </w:tc>
      </w:tr>
    </w:tbl>
    <w:p w14:paraId="0EC768E2" w14:textId="77777777" w:rsidR="00D2447F" w:rsidRDefault="00D2447F" w:rsidP="00D2447F">
      <w:pPr>
        <w:tabs>
          <w:tab w:val="center" w:pos="284"/>
        </w:tabs>
        <w:ind w:left="266" w:hanging="266"/>
        <w:rPr>
          <w:b/>
        </w:rPr>
      </w:pPr>
    </w:p>
    <w:p w14:paraId="130F5A08" w14:textId="77777777" w:rsidR="00D2447F" w:rsidRPr="00A6689B" w:rsidRDefault="00D2447F" w:rsidP="00D2447F">
      <w:pPr>
        <w:keepNext/>
        <w:keepLines/>
        <w:tabs>
          <w:tab w:val="center" w:pos="284"/>
        </w:tabs>
        <w:ind w:left="266" w:hanging="266"/>
        <w:rPr>
          <w:b/>
        </w:rPr>
      </w:pPr>
      <w:r>
        <w:rPr>
          <w:b/>
        </w:rPr>
        <w:t>Points clés</w:t>
      </w:r>
    </w:p>
    <w:p w14:paraId="4EFD93A9" w14:textId="77777777" w:rsidR="00D2447F" w:rsidRPr="00A6689B" w:rsidRDefault="00D2447F" w:rsidP="00D2447F">
      <w:pPr>
        <w:keepNext/>
        <w:keepLines/>
        <w:tabs>
          <w:tab w:val="center" w:pos="284"/>
        </w:tabs>
        <w:ind w:left="266" w:hanging="266"/>
        <w:rPr>
          <w:b/>
        </w:rPr>
      </w:pPr>
    </w:p>
    <w:p w14:paraId="7116A16B" w14:textId="77777777" w:rsidR="00D2447F" w:rsidRDefault="00D2447F" w:rsidP="00D2447F">
      <w:pPr>
        <w:keepNext/>
      </w:pPr>
      <w:r>
        <w:t xml:space="preserve">Le </w:t>
      </w:r>
      <w:proofErr w:type="gramStart"/>
      <w:r>
        <w:t>CESE:</w:t>
      </w:r>
      <w:proofErr w:type="gramEnd"/>
    </w:p>
    <w:p w14:paraId="612C08E3" w14:textId="77777777" w:rsidR="00D2447F" w:rsidRDefault="00D2447F" w:rsidP="00D2447F">
      <w:pPr>
        <w:pStyle w:val="Heading2"/>
        <w:keepNext/>
        <w:numPr>
          <w:ilvl w:val="0"/>
          <w:numId w:val="33"/>
        </w:numPr>
        <w:ind w:left="567" w:hanging="567"/>
      </w:pPr>
      <w:bookmarkStart w:id="150" w:name="_Toc211269795"/>
      <w:bookmarkStart w:id="151" w:name="_Toc211333708"/>
      <w:proofErr w:type="gramStart"/>
      <w:r>
        <w:t>encourage</w:t>
      </w:r>
      <w:proofErr w:type="gramEnd"/>
      <w:r>
        <w:t xml:space="preserve"> les institutions de l’UE à élaborer une stratégie européenne globale «Une seule santé», suivie d’un plan d’action qui, doté de ressources financières adéquates, s’inscrive dans une gouvernance à plusieurs niveaux et une approche multipartite afin d’aider les États membres à le mettre en œuvre;</w:t>
      </w:r>
      <w:bookmarkEnd w:id="150"/>
      <w:bookmarkEnd w:id="151"/>
    </w:p>
    <w:p w14:paraId="715DE433" w14:textId="77777777" w:rsidR="00D2447F" w:rsidRDefault="00D2447F" w:rsidP="00D2447F">
      <w:pPr>
        <w:pStyle w:val="Heading2"/>
        <w:numPr>
          <w:ilvl w:val="0"/>
          <w:numId w:val="33"/>
        </w:numPr>
        <w:ind w:left="567" w:hanging="567"/>
      </w:pPr>
      <w:bookmarkStart w:id="152" w:name="_Toc211269796"/>
      <w:bookmarkStart w:id="153" w:name="_Toc211333709"/>
      <w:proofErr w:type="gramStart"/>
      <w:r>
        <w:t>recommande</w:t>
      </w:r>
      <w:proofErr w:type="gramEnd"/>
      <w:r>
        <w:t xml:space="preserve"> de renforcer au sein de la DG SANTE la direction spécialisée chargée du principe «Une seule santé», en favorisant une coopération efficace entre toutes les DG concernées;</w:t>
      </w:r>
      <w:bookmarkEnd w:id="152"/>
      <w:bookmarkEnd w:id="153"/>
    </w:p>
    <w:p w14:paraId="3A085C68" w14:textId="77777777" w:rsidR="00D2447F" w:rsidRDefault="00D2447F" w:rsidP="00D2447F">
      <w:pPr>
        <w:pStyle w:val="Heading2"/>
        <w:numPr>
          <w:ilvl w:val="0"/>
          <w:numId w:val="33"/>
        </w:numPr>
        <w:ind w:left="567" w:hanging="567"/>
      </w:pPr>
      <w:bookmarkStart w:id="154" w:name="_Toc211269797"/>
      <w:bookmarkStart w:id="155" w:name="_Toc211333710"/>
      <w:proofErr w:type="gramStart"/>
      <w:r>
        <w:t>souligne</w:t>
      </w:r>
      <w:proofErr w:type="gramEnd"/>
      <w:r>
        <w:t xml:space="preserve"> la nécessité d’insérer l’approche «Une seule santé» dans tous les grands cadres d’action de l’UE et de renforcer la collaboration entre les agences de l’UE, de favoriser les synergies avec les partenaires internationaux et de promouvoir une gouvernance inclusive au moyen de dialogues sociaux et civils renforcés afin de garantir un large soutien et un alignement sur les efforts mondiaux fondés sur le principe «Une seule santé»;</w:t>
      </w:r>
      <w:bookmarkEnd w:id="154"/>
      <w:bookmarkEnd w:id="155"/>
    </w:p>
    <w:p w14:paraId="6DCDE090" w14:textId="77777777" w:rsidR="00D2447F" w:rsidRDefault="00D2447F" w:rsidP="00D2447F">
      <w:pPr>
        <w:pStyle w:val="Heading2"/>
        <w:numPr>
          <w:ilvl w:val="0"/>
          <w:numId w:val="33"/>
        </w:numPr>
        <w:ind w:left="567" w:hanging="567"/>
      </w:pPr>
      <w:bookmarkStart w:id="156" w:name="_Toc211269798"/>
      <w:bookmarkStart w:id="157" w:name="_Toc211333711"/>
      <w:proofErr w:type="gramStart"/>
      <w:r>
        <w:t>invite</w:t>
      </w:r>
      <w:proofErr w:type="gramEnd"/>
      <w:r>
        <w:t xml:space="preserve"> instamment la Commission à allouer des ressources financières spécifiques dans le cadre du prochain CFP au soutien à la mise en œuvre du principe «Une seule santé», en accordant une attention particulière aux solutions fondées sur la nature, à la prévention et à la recherche;</w:t>
      </w:r>
      <w:bookmarkEnd w:id="156"/>
      <w:bookmarkEnd w:id="157"/>
    </w:p>
    <w:p w14:paraId="0E2CEBE7" w14:textId="77777777" w:rsidR="00D2447F" w:rsidRPr="003D515E" w:rsidRDefault="00D2447F" w:rsidP="00D2447F">
      <w:pPr>
        <w:pStyle w:val="Heading2"/>
        <w:numPr>
          <w:ilvl w:val="0"/>
          <w:numId w:val="33"/>
        </w:numPr>
        <w:ind w:left="567" w:hanging="567"/>
      </w:pPr>
      <w:bookmarkStart w:id="158" w:name="_Toc211269799"/>
      <w:bookmarkStart w:id="159" w:name="_Toc211333712"/>
      <w:proofErr w:type="gramStart"/>
      <w:r>
        <w:t>estime</w:t>
      </w:r>
      <w:proofErr w:type="gramEnd"/>
      <w:r>
        <w:t xml:space="preserve"> qu’il est fondamental de soutenir une surveillance intégrée des risques pour l’environnement, la santé animale et la santé humaine, et de financer la recherche transdisciplinaire afin de guider la conception des systèmes d’alerte précoce, des politiques et des stratégies de renforcement de la résilience. Le renforcement de la collaboration internationale est essentiel pour faire face à la nature complexe de ces risques et pour apporter une réponse mondiale efficace et </w:t>
      </w:r>
      <w:proofErr w:type="gramStart"/>
      <w:r>
        <w:t>coordonnée;</w:t>
      </w:r>
      <w:bookmarkEnd w:id="158"/>
      <w:bookmarkEnd w:id="159"/>
      <w:proofErr w:type="gramEnd"/>
    </w:p>
    <w:p w14:paraId="6C62AC7F" w14:textId="77777777" w:rsidR="00D2447F" w:rsidRDefault="00D2447F" w:rsidP="00D2447F">
      <w:pPr>
        <w:pStyle w:val="Heading2"/>
        <w:numPr>
          <w:ilvl w:val="0"/>
          <w:numId w:val="33"/>
        </w:numPr>
        <w:ind w:left="567" w:hanging="567"/>
      </w:pPr>
      <w:bookmarkStart w:id="160" w:name="_Toc211269800"/>
      <w:bookmarkStart w:id="161" w:name="_Toc211333713"/>
      <w:proofErr w:type="gramStart"/>
      <w:r>
        <w:t>plaide</w:t>
      </w:r>
      <w:proofErr w:type="gramEnd"/>
      <w:r>
        <w:t xml:space="preserve"> en faveur de mécanismes inclusifs associant les acteurs locaux, les décideurs politiques, les acteurs économiques, la société civile organisée, l’industrie, la santé publique humaine et vétérinaire, les autorités environnementales, les communautés touchées et les jeunes à tous les stades de l’élaboration des politiques;</w:t>
      </w:r>
      <w:bookmarkEnd w:id="160"/>
      <w:bookmarkEnd w:id="161"/>
    </w:p>
    <w:p w14:paraId="20806B17" w14:textId="77777777" w:rsidR="00D2447F" w:rsidRDefault="00D2447F" w:rsidP="00D2447F">
      <w:pPr>
        <w:pStyle w:val="Heading2"/>
        <w:numPr>
          <w:ilvl w:val="0"/>
          <w:numId w:val="33"/>
        </w:numPr>
        <w:ind w:left="567" w:hanging="567"/>
      </w:pPr>
      <w:bookmarkStart w:id="162" w:name="_Toc211269801"/>
      <w:bookmarkStart w:id="163" w:name="_Toc211333714"/>
      <w:proofErr w:type="gramStart"/>
      <w:r>
        <w:t>estime</w:t>
      </w:r>
      <w:proofErr w:type="gramEnd"/>
      <w:r>
        <w:t xml:space="preserve"> qu’il est fondamental de promouvoir des initiatives ciblées en matière d’éducation et de formation afin de renforcer la compréhension des déterminants environnementaux et sociaux de la santé;</w:t>
      </w:r>
      <w:bookmarkEnd w:id="162"/>
      <w:bookmarkEnd w:id="163"/>
    </w:p>
    <w:p w14:paraId="79991B02" w14:textId="77777777" w:rsidR="00D2447F" w:rsidRPr="003D515E" w:rsidRDefault="00D2447F" w:rsidP="00D2447F">
      <w:pPr>
        <w:pStyle w:val="Heading2"/>
        <w:numPr>
          <w:ilvl w:val="0"/>
          <w:numId w:val="33"/>
        </w:numPr>
        <w:ind w:left="567" w:hanging="567"/>
      </w:pPr>
      <w:bookmarkStart w:id="164" w:name="_Toc211269802"/>
      <w:bookmarkStart w:id="165" w:name="_Toc211333715"/>
      <w:proofErr w:type="gramStart"/>
      <w:r>
        <w:t>souligne</w:t>
      </w:r>
      <w:proofErr w:type="gramEnd"/>
      <w:r>
        <w:t xml:space="preserve"> qu’il importe de recenser et de relever les défis spécifiques auxquels sont confrontés l’agriculture, la pêche, la sylviculture et l’industrie dans la transition vers des pratiques durables et alignées sur le principe «Une seule santé». En outre, il est jugé important de répondre aux besoins et aux préoccupations des plus vulnérables (en raison de leur exposition) et de se pencher sur les moyens de les </w:t>
      </w:r>
      <w:proofErr w:type="gramStart"/>
      <w:r>
        <w:t>soutenir;</w:t>
      </w:r>
      <w:bookmarkEnd w:id="164"/>
      <w:bookmarkEnd w:id="165"/>
      <w:proofErr w:type="gramEnd"/>
    </w:p>
    <w:p w14:paraId="01AE0AC6" w14:textId="77777777" w:rsidR="00D2447F" w:rsidRPr="00EE75BE" w:rsidRDefault="00D2447F" w:rsidP="00D2447F">
      <w:pPr>
        <w:widowControl w:val="0"/>
        <w:numPr>
          <w:ilvl w:val="0"/>
          <w:numId w:val="19"/>
        </w:numPr>
        <w:overflowPunct w:val="0"/>
        <w:autoSpaceDE w:val="0"/>
        <w:autoSpaceDN w:val="0"/>
        <w:adjustRightInd w:val="0"/>
        <w:ind w:hanging="567"/>
        <w:textAlignment w:val="baseline"/>
        <w:rPr>
          <w:rFonts w:asciiTheme="minorHAnsi" w:hAnsiTheme="minorHAnsi"/>
        </w:rPr>
      </w:pPr>
      <w:proofErr w:type="gramStart"/>
      <w:r>
        <w:t>estime</w:t>
      </w:r>
      <w:proofErr w:type="gramEnd"/>
      <w:r>
        <w:t xml:space="preserve"> que la stratégie «Une seule santé» doit prendre en considération ses implications financières et commerciales à l’échelle mondiale, y compris l’introduction de clauses miroirs en </w:t>
      </w:r>
      <w:r>
        <w:lastRenderedPageBreak/>
        <w:t>matière de santé et d’environnement dans les accords commerciaux afin de préserver la santé publique et de garantir des conditions de concurrence équitables.</w:t>
      </w:r>
    </w:p>
    <w:p w14:paraId="0CE008E7" w14:textId="77777777" w:rsidR="00D2447F" w:rsidRPr="00C46D28" w:rsidRDefault="00D2447F" w:rsidP="00D2447F">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7375"/>
      </w:tblGrid>
      <w:tr w:rsidR="00D2447F" w:rsidRPr="00A6689B" w14:paraId="6D9FF338" w14:textId="77777777" w:rsidTr="00C93F66">
        <w:tc>
          <w:tcPr>
            <w:tcW w:w="1090" w:type="pct"/>
          </w:tcPr>
          <w:p w14:paraId="09C23787" w14:textId="77777777" w:rsidR="00D2447F" w:rsidRPr="00A6689B" w:rsidRDefault="00D2447F" w:rsidP="00C93F66">
            <w:pPr>
              <w:spacing w:line="240" w:lineRule="auto"/>
              <w:rPr>
                <w:i/>
              </w:rPr>
            </w:pPr>
            <w:r>
              <w:rPr>
                <w:b/>
                <w:bCs/>
                <w:i/>
              </w:rPr>
              <w:t>Contact</w:t>
            </w:r>
          </w:p>
        </w:tc>
        <w:tc>
          <w:tcPr>
            <w:tcW w:w="3910" w:type="pct"/>
          </w:tcPr>
          <w:p w14:paraId="7AD8E396" w14:textId="77777777" w:rsidR="00D2447F" w:rsidRPr="00D95AC0" w:rsidRDefault="00D2447F" w:rsidP="00C93F66">
            <w:pPr>
              <w:spacing w:line="240" w:lineRule="auto"/>
              <w:rPr>
                <w:i/>
                <w:iCs/>
              </w:rPr>
            </w:pPr>
            <w:r w:rsidRPr="00D95AC0">
              <w:rPr>
                <w:i/>
                <w:iCs/>
              </w:rPr>
              <w:t>Gaia BOTTONI</w:t>
            </w:r>
          </w:p>
        </w:tc>
      </w:tr>
      <w:tr w:rsidR="00D2447F" w:rsidRPr="00A6689B" w14:paraId="3DD49351" w14:textId="77777777" w:rsidTr="00C93F66">
        <w:tc>
          <w:tcPr>
            <w:tcW w:w="1090" w:type="pct"/>
          </w:tcPr>
          <w:p w14:paraId="2C429CB6" w14:textId="77777777" w:rsidR="00D2447F" w:rsidRPr="00A6689B" w:rsidRDefault="00D2447F" w:rsidP="00C93F66">
            <w:pPr>
              <w:spacing w:line="240" w:lineRule="auto"/>
              <w:rPr>
                <w:i/>
              </w:rPr>
            </w:pPr>
            <w:r>
              <w:rPr>
                <w:i/>
              </w:rPr>
              <w:t>Tél.</w:t>
            </w:r>
          </w:p>
        </w:tc>
        <w:tc>
          <w:tcPr>
            <w:tcW w:w="3910" w:type="pct"/>
          </w:tcPr>
          <w:p w14:paraId="1282C537" w14:textId="77777777" w:rsidR="00D2447F" w:rsidRPr="00A6689B" w:rsidRDefault="00D2447F" w:rsidP="00C93F66">
            <w:pPr>
              <w:spacing w:line="240" w:lineRule="auto"/>
              <w:rPr>
                <w:i/>
              </w:rPr>
            </w:pPr>
            <w:r>
              <w:rPr>
                <w:i/>
              </w:rPr>
              <w:t>+32 25469447</w:t>
            </w:r>
          </w:p>
        </w:tc>
      </w:tr>
      <w:tr w:rsidR="00D2447F" w:rsidRPr="008D5562" w14:paraId="79C0AD81" w14:textId="77777777" w:rsidTr="00C93F66">
        <w:trPr>
          <w:trHeight w:val="215"/>
        </w:trPr>
        <w:tc>
          <w:tcPr>
            <w:tcW w:w="1090" w:type="pct"/>
          </w:tcPr>
          <w:p w14:paraId="1F245714" w14:textId="77777777" w:rsidR="00D2447F" w:rsidRPr="00A6689B" w:rsidRDefault="00D2447F" w:rsidP="00C93F66">
            <w:pPr>
              <w:spacing w:line="240" w:lineRule="auto"/>
              <w:rPr>
                <w:i/>
              </w:rPr>
            </w:pPr>
            <w:r>
              <w:rPr>
                <w:i/>
              </w:rPr>
              <w:t>Courriel</w:t>
            </w:r>
          </w:p>
        </w:tc>
        <w:tc>
          <w:tcPr>
            <w:tcW w:w="3910" w:type="pct"/>
          </w:tcPr>
          <w:p w14:paraId="502D6D23" w14:textId="77777777" w:rsidR="00D2447F" w:rsidRPr="00FA6A22" w:rsidRDefault="00CB508B" w:rsidP="00C93F66">
            <w:pPr>
              <w:spacing w:line="240" w:lineRule="auto"/>
              <w:rPr>
                <w:i/>
                <w:iCs/>
              </w:rPr>
            </w:pPr>
            <w:hyperlink r:id="rId87" w:history="1">
              <w:r w:rsidR="00D2447F">
                <w:rPr>
                  <w:rStyle w:val="Hyperlink"/>
                  <w:i/>
                </w:rPr>
                <w:t>Gaia.Bottoni@eesc.europa.eu</w:t>
              </w:r>
            </w:hyperlink>
          </w:p>
        </w:tc>
      </w:tr>
    </w:tbl>
    <w:p w14:paraId="665CCBED" w14:textId="77777777" w:rsidR="00F31327" w:rsidRDefault="00F31327" w:rsidP="00F31327">
      <w:pPr>
        <w:overflowPunct w:val="0"/>
        <w:autoSpaceDE w:val="0"/>
        <w:autoSpaceDN w:val="0"/>
        <w:adjustRightInd w:val="0"/>
        <w:ind w:left="360"/>
        <w:contextualSpacing/>
        <w:textAlignment w:val="baseline"/>
        <w:rPr>
          <w:rFonts w:ascii="Calibri" w:hAnsi="Calibri"/>
          <w:lang w:val="en-GB" w:eastAsia="zh-CN"/>
        </w:rPr>
      </w:pPr>
    </w:p>
    <w:p w14:paraId="11081F43" w14:textId="77777777" w:rsidR="00F31327" w:rsidRDefault="00F31327" w:rsidP="00F31327">
      <w:pPr>
        <w:spacing w:after="160" w:line="259" w:lineRule="auto"/>
        <w:jc w:val="left"/>
        <w:rPr>
          <w:rFonts w:ascii="Calibri" w:hAnsi="Calibri"/>
          <w:lang w:val="en-GB" w:eastAsia="zh-CN"/>
        </w:rPr>
      </w:pPr>
      <w:r>
        <w:rPr>
          <w:rFonts w:ascii="Calibri" w:hAnsi="Calibri"/>
          <w:lang w:val="en-GB" w:eastAsia="zh-CN"/>
        </w:rPr>
        <w:br w:type="page"/>
      </w:r>
    </w:p>
    <w:p w14:paraId="7FA410D9" w14:textId="3AD4347D" w:rsidR="00F31327" w:rsidRDefault="006F6D11" w:rsidP="00F31327">
      <w:pPr>
        <w:pStyle w:val="Heading1"/>
        <w:keepNext/>
        <w:keepLines/>
        <w:ind w:left="567" w:hanging="567"/>
        <w:rPr>
          <w:b/>
        </w:rPr>
      </w:pPr>
      <w:bookmarkStart w:id="166" w:name="_Toc210738661"/>
      <w:bookmarkStart w:id="167" w:name="_Toc211333716"/>
      <w:bookmarkEnd w:id="166"/>
      <w:r w:rsidRPr="006F6D11">
        <w:rPr>
          <w:b/>
        </w:rPr>
        <w:lastRenderedPageBreak/>
        <w:t>RELATIONS EXTÉRIEURES</w:t>
      </w:r>
      <w:bookmarkEnd w:id="167"/>
    </w:p>
    <w:p w14:paraId="542747EC" w14:textId="77777777" w:rsidR="00F31327" w:rsidRDefault="00F31327" w:rsidP="00F31327">
      <w:pPr>
        <w:keepNext/>
        <w:keepLines/>
      </w:pPr>
    </w:p>
    <w:p w14:paraId="2036D370" w14:textId="0E0FA45B" w:rsidR="0003551D" w:rsidRPr="0062798E" w:rsidRDefault="00CB508B" w:rsidP="0003551D">
      <w:pPr>
        <w:widowControl w:val="0"/>
        <w:numPr>
          <w:ilvl w:val="0"/>
          <w:numId w:val="19"/>
        </w:numPr>
        <w:overflowPunct w:val="0"/>
        <w:autoSpaceDE w:val="0"/>
        <w:autoSpaceDN w:val="0"/>
        <w:adjustRightInd w:val="0"/>
        <w:ind w:hanging="567"/>
        <w:jc w:val="left"/>
        <w:textAlignment w:val="baseline"/>
        <w:rPr>
          <w:sz w:val="20"/>
        </w:rPr>
      </w:pPr>
      <w:hyperlink r:id="rId88" w:history="1">
        <w:r w:rsidR="0003551D">
          <w:rPr>
            <w:rStyle w:val="Hyperlink"/>
            <w:b/>
            <w:i/>
            <w:sz w:val="28"/>
          </w:rPr>
          <w:t>Un nouveau pacte pour la Méditerranée</w:t>
        </w:r>
      </w:hyperlink>
      <w:r w:rsidR="0003551D">
        <w:rPr>
          <w:b/>
          <w:i/>
          <w:sz w:val="28"/>
        </w:rPr>
        <w:t xml:space="preserve"> </w:t>
      </w:r>
    </w:p>
    <w:p w14:paraId="725A3B23" w14:textId="77777777" w:rsidR="0003551D" w:rsidRPr="0062798E" w:rsidRDefault="0003551D" w:rsidP="0003551D">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03551D" w:rsidRPr="00A6689B" w14:paraId="1070BC0D" w14:textId="77777777" w:rsidTr="00C93F66">
        <w:trPr>
          <w:trHeight w:val="70"/>
        </w:trPr>
        <w:tc>
          <w:tcPr>
            <w:tcW w:w="1077" w:type="pct"/>
          </w:tcPr>
          <w:p w14:paraId="0A9BAA8D" w14:textId="77777777" w:rsidR="0003551D" w:rsidRPr="0062798E" w:rsidRDefault="0003551D" w:rsidP="00C93F66">
            <w:pPr>
              <w:tabs>
                <w:tab w:val="center" w:pos="284"/>
              </w:tabs>
              <w:ind w:left="266" w:hanging="266"/>
              <w:rPr>
                <w:b/>
              </w:rPr>
            </w:pPr>
            <w:r>
              <w:rPr>
                <w:b/>
              </w:rPr>
              <w:t>Rapporteur</w:t>
            </w:r>
          </w:p>
        </w:tc>
        <w:tc>
          <w:tcPr>
            <w:tcW w:w="3923" w:type="pct"/>
          </w:tcPr>
          <w:p w14:paraId="10EA8804" w14:textId="67052F17" w:rsidR="0003551D" w:rsidRPr="00A6689B" w:rsidRDefault="0003551D" w:rsidP="00C93F66">
            <w:pPr>
              <w:tabs>
                <w:tab w:val="center" w:pos="284"/>
              </w:tabs>
              <w:ind w:left="266" w:right="-3091" w:hanging="266"/>
            </w:pPr>
            <w:r>
              <w:t xml:space="preserve">Thomas WAGNSONNER (groupe des travailleurs — </w:t>
            </w:r>
            <w:r w:rsidR="000C3FE1">
              <w:t>AT</w:t>
            </w:r>
            <w:r>
              <w:t>)</w:t>
            </w:r>
          </w:p>
        </w:tc>
      </w:tr>
      <w:tr w:rsidR="0003551D" w:rsidRPr="00A6689B" w14:paraId="37367783" w14:textId="77777777" w:rsidTr="00C93F66">
        <w:tc>
          <w:tcPr>
            <w:tcW w:w="1077" w:type="pct"/>
          </w:tcPr>
          <w:p w14:paraId="4FEAF3D9" w14:textId="77777777" w:rsidR="0003551D" w:rsidRPr="00A6689B" w:rsidRDefault="0003551D" w:rsidP="00C93F66">
            <w:pPr>
              <w:tabs>
                <w:tab w:val="center" w:pos="284"/>
              </w:tabs>
              <w:ind w:left="266" w:hanging="266"/>
              <w:rPr>
                <w:b/>
              </w:rPr>
            </w:pPr>
            <w:r>
              <w:rPr>
                <w:b/>
              </w:rPr>
              <w:t>Corapporteure</w:t>
            </w:r>
          </w:p>
        </w:tc>
        <w:tc>
          <w:tcPr>
            <w:tcW w:w="3923" w:type="pct"/>
          </w:tcPr>
          <w:p w14:paraId="03999D5C" w14:textId="0FF38EA3" w:rsidR="0003551D" w:rsidRPr="00A6689B" w:rsidRDefault="0003551D" w:rsidP="00C93F66">
            <w:pPr>
              <w:tabs>
                <w:tab w:val="center" w:pos="284"/>
              </w:tabs>
              <w:ind w:left="266" w:right="-3091" w:hanging="266"/>
            </w:pPr>
            <w:proofErr w:type="spellStart"/>
            <w:r>
              <w:t>Lidija</w:t>
            </w:r>
            <w:proofErr w:type="spellEnd"/>
            <w:r>
              <w:t xml:space="preserve"> PAVIĆ-ROGOŠIĆ (groupe des organisations de la société civile — </w:t>
            </w:r>
            <w:r w:rsidR="000C3FE1">
              <w:t>HR</w:t>
            </w:r>
            <w:r>
              <w:t>)</w:t>
            </w:r>
          </w:p>
        </w:tc>
      </w:tr>
      <w:tr w:rsidR="0003551D" w:rsidRPr="00A6689B" w14:paraId="2E2F622A" w14:textId="77777777" w:rsidTr="00C93F66">
        <w:tc>
          <w:tcPr>
            <w:tcW w:w="1077" w:type="pct"/>
          </w:tcPr>
          <w:p w14:paraId="3F93B30F" w14:textId="77777777" w:rsidR="0003551D" w:rsidRPr="00A6689B" w:rsidRDefault="0003551D" w:rsidP="00C93F66">
            <w:pPr>
              <w:tabs>
                <w:tab w:val="center" w:pos="284"/>
              </w:tabs>
              <w:ind w:left="266" w:hanging="266"/>
              <w:rPr>
                <w:b/>
              </w:rPr>
            </w:pPr>
            <w:r>
              <w:rPr>
                <w:b/>
              </w:rPr>
              <w:t>Référence</w:t>
            </w:r>
          </w:p>
        </w:tc>
        <w:tc>
          <w:tcPr>
            <w:tcW w:w="3923" w:type="pct"/>
          </w:tcPr>
          <w:p w14:paraId="410EF72B" w14:textId="77777777" w:rsidR="000C3FE1" w:rsidRDefault="000C3FE1" w:rsidP="00C93F66">
            <w:pPr>
              <w:tabs>
                <w:tab w:val="center" w:pos="284"/>
              </w:tabs>
              <w:ind w:left="266" w:right="-3091" w:hanging="266"/>
            </w:pPr>
            <w:r w:rsidRPr="000C3FE1">
              <w:t>Avis exploratoire à la demande de la Commission européenne</w:t>
            </w:r>
          </w:p>
          <w:p w14:paraId="20491174" w14:textId="47130E0E" w:rsidR="0003551D" w:rsidRPr="00A6689B" w:rsidRDefault="0003551D" w:rsidP="00C93F66">
            <w:pPr>
              <w:tabs>
                <w:tab w:val="center" w:pos="284"/>
              </w:tabs>
              <w:ind w:left="266" w:right="-3091" w:hanging="266"/>
            </w:pPr>
            <w:r>
              <w:t>EESC-2025-01275-00-00-AC</w:t>
            </w:r>
          </w:p>
        </w:tc>
      </w:tr>
    </w:tbl>
    <w:p w14:paraId="6AD5A29F" w14:textId="77777777" w:rsidR="0003551D" w:rsidRDefault="0003551D" w:rsidP="0003551D">
      <w:pPr>
        <w:tabs>
          <w:tab w:val="center" w:pos="284"/>
        </w:tabs>
        <w:ind w:left="266" w:hanging="266"/>
        <w:rPr>
          <w:b/>
        </w:rPr>
      </w:pPr>
    </w:p>
    <w:p w14:paraId="20CCA4E6" w14:textId="77777777" w:rsidR="0003551D" w:rsidRPr="00201B02" w:rsidRDefault="0003551D" w:rsidP="0003551D">
      <w:pPr>
        <w:keepNext/>
        <w:keepLines/>
        <w:tabs>
          <w:tab w:val="center" w:pos="284"/>
        </w:tabs>
        <w:ind w:left="266" w:hanging="266"/>
        <w:rPr>
          <w:b/>
        </w:rPr>
      </w:pPr>
      <w:r>
        <w:rPr>
          <w:b/>
        </w:rPr>
        <w:t>Points clés</w:t>
      </w:r>
    </w:p>
    <w:p w14:paraId="65DEDE33" w14:textId="77777777" w:rsidR="0003551D" w:rsidRPr="00201B02" w:rsidRDefault="0003551D" w:rsidP="0003551D">
      <w:pPr>
        <w:keepNext/>
        <w:keepLines/>
        <w:tabs>
          <w:tab w:val="center" w:pos="284"/>
        </w:tabs>
        <w:ind w:left="266" w:hanging="266"/>
        <w:rPr>
          <w:b/>
        </w:rPr>
      </w:pPr>
    </w:p>
    <w:p w14:paraId="31FF31C8" w14:textId="77777777" w:rsidR="0003551D" w:rsidRPr="00201B02" w:rsidRDefault="0003551D" w:rsidP="0003551D">
      <w:pPr>
        <w:rPr>
          <w:bCs/>
          <w:iCs/>
        </w:rPr>
      </w:pPr>
      <w:r>
        <w:t xml:space="preserve">Le </w:t>
      </w:r>
      <w:proofErr w:type="gramStart"/>
      <w:r>
        <w:t>CESE:</w:t>
      </w:r>
      <w:proofErr w:type="gramEnd"/>
    </w:p>
    <w:p w14:paraId="262584AC" w14:textId="77777777" w:rsidR="0003551D" w:rsidRPr="00201B02" w:rsidRDefault="0003551D" w:rsidP="0003551D">
      <w:pPr>
        <w:pStyle w:val="NormalWeb"/>
        <w:numPr>
          <w:ilvl w:val="0"/>
          <w:numId w:val="19"/>
        </w:numPr>
        <w:spacing w:before="0" w:beforeAutospacing="0" w:after="0" w:afterAutospacing="0"/>
        <w:ind w:hanging="567"/>
        <w:jc w:val="both"/>
        <w:rPr>
          <w:sz w:val="22"/>
          <w:szCs w:val="22"/>
        </w:rPr>
      </w:pPr>
      <w:proofErr w:type="gramStart"/>
      <w:r>
        <w:rPr>
          <w:sz w:val="22"/>
        </w:rPr>
        <w:t>demande</w:t>
      </w:r>
      <w:proofErr w:type="gramEnd"/>
      <w:r>
        <w:rPr>
          <w:sz w:val="22"/>
        </w:rPr>
        <w:t xml:space="preserve"> que le pacte promeuve activement la paix, la démocratie, la bonne gouvernance, la lutte contre la corruption, l’état de droit, la prospérité inclusive, les espaces civiques et le respect du droit humanitaire international, en tant que fondements de la coopération dans la région méditerranéenne;</w:t>
      </w:r>
    </w:p>
    <w:p w14:paraId="085F8B1C" w14:textId="77777777" w:rsidR="0003551D" w:rsidRPr="00201B02" w:rsidRDefault="0003551D" w:rsidP="0003551D">
      <w:pPr>
        <w:pStyle w:val="NormalWeb"/>
        <w:numPr>
          <w:ilvl w:val="0"/>
          <w:numId w:val="19"/>
        </w:numPr>
        <w:spacing w:before="0" w:beforeAutospacing="0" w:after="0" w:afterAutospacing="0"/>
        <w:ind w:hanging="567"/>
        <w:jc w:val="both"/>
        <w:rPr>
          <w:sz w:val="22"/>
          <w:szCs w:val="22"/>
        </w:rPr>
      </w:pPr>
      <w:proofErr w:type="gramStart"/>
      <w:r>
        <w:rPr>
          <w:sz w:val="22"/>
        </w:rPr>
        <w:t>recommande</w:t>
      </w:r>
      <w:proofErr w:type="gramEnd"/>
      <w:r>
        <w:rPr>
          <w:sz w:val="22"/>
        </w:rPr>
        <w:t xml:space="preserve"> que le suivi et l’évaluation du pacte soient participatifs dès le départ, en associant les organisations de la société civile, les partenaires sociaux et les représentants de la jeunesse à l’élaboration des indicateurs, à la vérification des données et à l’orientation de la mise en œuvre;</w:t>
      </w:r>
    </w:p>
    <w:p w14:paraId="546875BB" w14:textId="77777777" w:rsidR="0003551D" w:rsidRPr="00201B02" w:rsidRDefault="0003551D" w:rsidP="0003551D">
      <w:pPr>
        <w:pStyle w:val="NormalWeb"/>
        <w:numPr>
          <w:ilvl w:val="0"/>
          <w:numId w:val="19"/>
        </w:numPr>
        <w:spacing w:before="0" w:beforeAutospacing="0" w:after="0" w:afterAutospacing="0"/>
        <w:ind w:hanging="567"/>
        <w:jc w:val="both"/>
        <w:rPr>
          <w:sz w:val="22"/>
          <w:szCs w:val="22"/>
        </w:rPr>
      </w:pPr>
      <w:proofErr w:type="gramStart"/>
      <w:r>
        <w:rPr>
          <w:sz w:val="22"/>
        </w:rPr>
        <w:t>souligne</w:t>
      </w:r>
      <w:proofErr w:type="gramEnd"/>
      <w:r>
        <w:rPr>
          <w:sz w:val="22"/>
        </w:rPr>
        <w:t xml:space="preserve"> la nécessité d’un soutien ciblé aux mécanismes et organisations de dialogue social et civil, y compris le renforcement du rôle des conseils économiques et sociaux et du Conseil méditerranéen de la jeunesse, ainsi que la création de tels organes dans les pays où ils n’existent pas encore;</w:t>
      </w:r>
    </w:p>
    <w:p w14:paraId="4679687D" w14:textId="77777777" w:rsidR="0003551D" w:rsidRPr="00201B02" w:rsidRDefault="0003551D" w:rsidP="0003551D">
      <w:pPr>
        <w:pStyle w:val="NormalWeb"/>
        <w:numPr>
          <w:ilvl w:val="0"/>
          <w:numId w:val="19"/>
        </w:numPr>
        <w:spacing w:before="0" w:beforeAutospacing="0" w:after="0" w:afterAutospacing="0"/>
        <w:ind w:hanging="567"/>
        <w:jc w:val="both"/>
        <w:rPr>
          <w:sz w:val="22"/>
          <w:szCs w:val="22"/>
        </w:rPr>
      </w:pPr>
      <w:proofErr w:type="gramStart"/>
      <w:r>
        <w:rPr>
          <w:sz w:val="22"/>
        </w:rPr>
        <w:t>propose</w:t>
      </w:r>
      <w:proofErr w:type="gramEnd"/>
      <w:r>
        <w:rPr>
          <w:sz w:val="22"/>
        </w:rPr>
        <w:t xml:space="preserve"> la mise en place d’un mécanisme formel de coordination des investissements, tel qu’une banque ou un fonds d’investissement régional associant tous les pays partenaires et la société civile afin de mobiliser des ressources et de financer des projets d’infrastructure clés pour une croissance inclusive et verte;</w:t>
      </w:r>
    </w:p>
    <w:p w14:paraId="3AAA7048" w14:textId="77777777" w:rsidR="0003551D" w:rsidRPr="00201B02" w:rsidRDefault="0003551D" w:rsidP="0003551D">
      <w:pPr>
        <w:pStyle w:val="NormalWeb"/>
        <w:numPr>
          <w:ilvl w:val="0"/>
          <w:numId w:val="19"/>
        </w:numPr>
        <w:spacing w:before="0" w:beforeAutospacing="0" w:after="0" w:afterAutospacing="0"/>
        <w:ind w:hanging="567"/>
        <w:jc w:val="both"/>
        <w:rPr>
          <w:sz w:val="22"/>
          <w:szCs w:val="22"/>
        </w:rPr>
      </w:pPr>
      <w:proofErr w:type="gramStart"/>
      <w:r>
        <w:rPr>
          <w:sz w:val="22"/>
        </w:rPr>
        <w:t>insiste</w:t>
      </w:r>
      <w:proofErr w:type="gramEnd"/>
      <w:r>
        <w:rPr>
          <w:sz w:val="22"/>
        </w:rPr>
        <w:t xml:space="preserve"> sur la nécessité d’étendre des programmes tels qu’Erasmus+ et Interreg en introduisant des lignes de financement spécifiques pour la société civile et des procédures de demande simplifiées, ainsi que d’investir dans le renforcement des capacités et l’éducation civique, y compris l’apprentissage non formel, afin de renforcer la gouvernance participative;</w:t>
      </w:r>
    </w:p>
    <w:p w14:paraId="37A25113" w14:textId="77777777" w:rsidR="0003551D" w:rsidRPr="00201B02" w:rsidRDefault="0003551D" w:rsidP="0003551D">
      <w:pPr>
        <w:pStyle w:val="NormalWeb"/>
        <w:numPr>
          <w:ilvl w:val="0"/>
          <w:numId w:val="19"/>
        </w:numPr>
        <w:spacing w:before="0" w:beforeAutospacing="0" w:after="0" w:afterAutospacing="0"/>
        <w:ind w:hanging="567"/>
        <w:jc w:val="both"/>
        <w:rPr>
          <w:sz w:val="22"/>
          <w:szCs w:val="22"/>
        </w:rPr>
      </w:pPr>
      <w:proofErr w:type="gramStart"/>
      <w:r>
        <w:rPr>
          <w:sz w:val="22"/>
        </w:rPr>
        <w:t>plaide</w:t>
      </w:r>
      <w:proofErr w:type="gramEnd"/>
      <w:r>
        <w:rPr>
          <w:sz w:val="22"/>
        </w:rPr>
        <w:t xml:space="preserve"> en faveur de négociations en vue de la création d’une zone de libre-échange euro-méditerranéenne intégrant des chapitres relatifs au développement durable, une gestion conjointe de la mobilité et le suivi par la société civile par l’intermédiaire de groupes consultatifs internes;</w:t>
      </w:r>
    </w:p>
    <w:p w14:paraId="690D145A" w14:textId="762CFC6B" w:rsidR="0003551D" w:rsidRPr="000C3FE1" w:rsidRDefault="0003551D" w:rsidP="0003551D">
      <w:pPr>
        <w:pStyle w:val="NormalWeb"/>
        <w:numPr>
          <w:ilvl w:val="0"/>
          <w:numId w:val="19"/>
        </w:numPr>
        <w:spacing w:before="0" w:beforeAutospacing="0" w:after="0" w:afterAutospacing="0"/>
        <w:ind w:hanging="567"/>
        <w:jc w:val="both"/>
        <w:rPr>
          <w:sz w:val="22"/>
          <w:szCs w:val="22"/>
        </w:rPr>
      </w:pPr>
      <w:proofErr w:type="gramStart"/>
      <w:r>
        <w:rPr>
          <w:sz w:val="22"/>
        </w:rPr>
        <w:t>soutient</w:t>
      </w:r>
      <w:proofErr w:type="gramEnd"/>
      <w:r>
        <w:rPr>
          <w:sz w:val="22"/>
        </w:rPr>
        <w:t xml:space="preserve"> le fait que le pacte s’appuie sur le processus de Naples pour renforcer la collaboration culturelle en tant que bien commun régional, en lançant un fonds culturel euro-méditerranéen et en alignant le financement de l’UE sur les efforts de relance régionaux tels que le plan arabe de redressement et de reconstruction de Gaza.</w:t>
      </w:r>
    </w:p>
    <w:p w14:paraId="36DC7FDF" w14:textId="77777777" w:rsidR="000C3FE1" w:rsidRPr="00201B02" w:rsidRDefault="000C3FE1" w:rsidP="000C3FE1">
      <w:pPr>
        <w:pStyle w:val="NormalWeb"/>
        <w:spacing w:before="0" w:beforeAutospacing="0" w:after="0" w:afterAutospacing="0"/>
        <w:ind w:left="567"/>
        <w:jc w:val="both"/>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03551D" w:rsidRPr="00A6689B" w14:paraId="4085AB7E" w14:textId="77777777" w:rsidTr="00C93F66">
        <w:tc>
          <w:tcPr>
            <w:tcW w:w="1077" w:type="pct"/>
          </w:tcPr>
          <w:p w14:paraId="35D2A15B" w14:textId="77777777" w:rsidR="0003551D" w:rsidRPr="00A6689B" w:rsidRDefault="0003551D" w:rsidP="00C93F66">
            <w:pPr>
              <w:rPr>
                <w:i/>
              </w:rPr>
            </w:pPr>
            <w:r>
              <w:rPr>
                <w:b/>
                <w:i/>
              </w:rPr>
              <w:t>Contact</w:t>
            </w:r>
          </w:p>
        </w:tc>
        <w:tc>
          <w:tcPr>
            <w:tcW w:w="3923" w:type="pct"/>
          </w:tcPr>
          <w:p w14:paraId="6C84DFAC" w14:textId="77777777" w:rsidR="0003551D" w:rsidRPr="00A6689B" w:rsidRDefault="0003551D" w:rsidP="00C93F66">
            <w:pPr>
              <w:rPr>
                <w:i/>
              </w:rPr>
            </w:pPr>
            <w:r>
              <w:rPr>
                <w:i/>
              </w:rPr>
              <w:t>Andreas BERGER</w:t>
            </w:r>
          </w:p>
        </w:tc>
      </w:tr>
      <w:tr w:rsidR="0003551D" w:rsidRPr="00A6689B" w14:paraId="69496A52" w14:textId="77777777" w:rsidTr="00C93F66">
        <w:tc>
          <w:tcPr>
            <w:tcW w:w="1077" w:type="pct"/>
          </w:tcPr>
          <w:p w14:paraId="6310CABA" w14:textId="77777777" w:rsidR="0003551D" w:rsidRPr="00A6689B" w:rsidRDefault="0003551D" w:rsidP="00C93F66">
            <w:pPr>
              <w:rPr>
                <w:i/>
              </w:rPr>
            </w:pPr>
            <w:r>
              <w:rPr>
                <w:i/>
              </w:rPr>
              <w:t>Tél.</w:t>
            </w:r>
          </w:p>
        </w:tc>
        <w:tc>
          <w:tcPr>
            <w:tcW w:w="3923" w:type="pct"/>
          </w:tcPr>
          <w:p w14:paraId="163E2621" w14:textId="77777777" w:rsidR="0003551D" w:rsidRPr="00A6689B" w:rsidRDefault="0003551D" w:rsidP="00C93F66">
            <w:pPr>
              <w:rPr>
                <w:i/>
              </w:rPr>
            </w:pPr>
            <w:r>
              <w:rPr>
                <w:i/>
              </w:rPr>
              <w:t>+32 2 546 9062</w:t>
            </w:r>
          </w:p>
        </w:tc>
      </w:tr>
      <w:tr w:rsidR="0003551D" w:rsidRPr="00A6689B" w14:paraId="73883C2F" w14:textId="77777777" w:rsidTr="00C93F66">
        <w:tc>
          <w:tcPr>
            <w:tcW w:w="1077" w:type="pct"/>
          </w:tcPr>
          <w:p w14:paraId="4080BDAE" w14:textId="77777777" w:rsidR="0003551D" w:rsidRPr="00A6689B" w:rsidRDefault="0003551D" w:rsidP="00C93F66">
            <w:pPr>
              <w:rPr>
                <w:i/>
              </w:rPr>
            </w:pPr>
            <w:r>
              <w:rPr>
                <w:i/>
              </w:rPr>
              <w:t>Courriel</w:t>
            </w:r>
          </w:p>
        </w:tc>
        <w:tc>
          <w:tcPr>
            <w:tcW w:w="3923" w:type="pct"/>
          </w:tcPr>
          <w:p w14:paraId="25F999A6" w14:textId="77777777" w:rsidR="0003551D" w:rsidRPr="00A6689B" w:rsidRDefault="00CB508B" w:rsidP="00C93F66">
            <w:pPr>
              <w:rPr>
                <w:i/>
              </w:rPr>
            </w:pPr>
            <w:hyperlink r:id="rId89" w:history="1">
              <w:r w:rsidR="0003551D">
                <w:rPr>
                  <w:rStyle w:val="Hyperlink"/>
                  <w:i/>
                </w:rPr>
                <w:t>Andreas.Berger@eesc.europa.eu</w:t>
              </w:r>
            </w:hyperlink>
            <w:r w:rsidR="0003551D">
              <w:rPr>
                <w:i/>
              </w:rPr>
              <w:t xml:space="preserve"> </w:t>
            </w:r>
          </w:p>
        </w:tc>
      </w:tr>
    </w:tbl>
    <w:p w14:paraId="4D5186F3" w14:textId="77777777" w:rsidR="00F31327" w:rsidRPr="00D20AB4" w:rsidRDefault="00F31327" w:rsidP="00F31327">
      <w:pPr>
        <w:jc w:val="left"/>
      </w:pPr>
    </w:p>
    <w:p w14:paraId="4BB2EE5F" w14:textId="77777777" w:rsidR="00F31327" w:rsidRPr="00D20AB4" w:rsidRDefault="00F31327" w:rsidP="00F31327">
      <w:pPr>
        <w:jc w:val="left"/>
      </w:pPr>
      <w:r w:rsidRPr="00D20AB4">
        <w:br w:type="page"/>
      </w:r>
    </w:p>
    <w:p w14:paraId="404841B1" w14:textId="7C36D40B" w:rsidR="005B5FE8" w:rsidRPr="009458A5" w:rsidRDefault="00CB508B" w:rsidP="005B5FE8">
      <w:pPr>
        <w:pStyle w:val="ListParagraph"/>
        <w:widowControl w:val="0"/>
        <w:numPr>
          <w:ilvl w:val="0"/>
          <w:numId w:val="26"/>
        </w:numPr>
        <w:spacing w:line="276" w:lineRule="auto"/>
        <w:ind w:left="567" w:hanging="567"/>
        <w:rPr>
          <w:b/>
        </w:rPr>
      </w:pPr>
      <w:hyperlink r:id="rId90" w:history="1">
        <w:r w:rsidR="005B5FE8">
          <w:rPr>
            <w:rStyle w:val="Hyperlink"/>
            <w:b/>
            <w:i/>
            <w:sz w:val="28"/>
          </w:rPr>
          <w:t xml:space="preserve">Les médias sociaux et les algorithmes d’intelligence </w:t>
        </w:r>
        <w:proofErr w:type="gramStart"/>
        <w:r w:rsidR="005B5FE8">
          <w:rPr>
            <w:rStyle w:val="Hyperlink"/>
            <w:b/>
            <w:i/>
            <w:sz w:val="28"/>
          </w:rPr>
          <w:t>artificielle:</w:t>
        </w:r>
        <w:proofErr w:type="gramEnd"/>
        <w:r w:rsidR="005B5FE8">
          <w:rPr>
            <w:rStyle w:val="Hyperlink"/>
            <w:b/>
            <w:i/>
            <w:sz w:val="28"/>
          </w:rPr>
          <w:t xml:space="preserve"> garantir partout en Europe le droit à une information exacte et la visibilité des contenus de qualité, notamment sur l’Europe centrale et orientale</w:t>
        </w:r>
      </w:hyperlink>
    </w:p>
    <w:p w14:paraId="2F0D0383" w14:textId="77777777" w:rsidR="005B5FE8" w:rsidRPr="009458A5" w:rsidRDefault="005B5FE8" w:rsidP="005B5FE8">
      <w:pPr>
        <w:widowControl w:val="0"/>
        <w:ind w:left="720"/>
        <w:rPr>
          <w:b/>
        </w:rPr>
      </w:pPr>
    </w:p>
    <w:tbl>
      <w:tblPr>
        <w:tblStyle w:val="TableGrid"/>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7221"/>
      </w:tblGrid>
      <w:tr w:rsidR="005B5FE8" w:rsidRPr="009458A5" w14:paraId="32B4F662" w14:textId="77777777" w:rsidTr="00C93F66">
        <w:trPr>
          <w:trHeight w:val="445"/>
        </w:trPr>
        <w:tc>
          <w:tcPr>
            <w:tcW w:w="1111" w:type="pct"/>
          </w:tcPr>
          <w:p w14:paraId="214C74C2" w14:textId="77777777" w:rsidR="005B5FE8" w:rsidRPr="009458A5" w:rsidRDefault="005B5FE8" w:rsidP="00C93F66">
            <w:pPr>
              <w:tabs>
                <w:tab w:val="center" w:pos="284"/>
              </w:tabs>
              <w:ind w:left="266" w:hanging="266"/>
              <w:rPr>
                <w:b/>
              </w:rPr>
            </w:pPr>
            <w:proofErr w:type="spellStart"/>
            <w:r>
              <w:rPr>
                <w:b/>
              </w:rPr>
              <w:t>Rapporteure</w:t>
            </w:r>
            <w:proofErr w:type="spellEnd"/>
          </w:p>
          <w:p w14:paraId="0D280AD9" w14:textId="77777777" w:rsidR="005B5FE8" w:rsidRPr="009458A5" w:rsidRDefault="005B5FE8" w:rsidP="00C93F66">
            <w:pPr>
              <w:tabs>
                <w:tab w:val="center" w:pos="284"/>
              </w:tabs>
              <w:ind w:left="266" w:hanging="266"/>
              <w:rPr>
                <w:b/>
              </w:rPr>
            </w:pPr>
            <w:r>
              <w:rPr>
                <w:b/>
              </w:rPr>
              <w:t>Corapporteur</w:t>
            </w:r>
          </w:p>
        </w:tc>
        <w:tc>
          <w:tcPr>
            <w:tcW w:w="3889" w:type="pct"/>
          </w:tcPr>
          <w:p w14:paraId="5434EE8A" w14:textId="77777777" w:rsidR="005B5FE8" w:rsidRPr="009458A5" w:rsidRDefault="005B5FE8" w:rsidP="00C93F66">
            <w:pPr>
              <w:tabs>
                <w:tab w:val="center" w:pos="284"/>
              </w:tabs>
              <w:ind w:left="266" w:hanging="266"/>
            </w:pPr>
            <w:r>
              <w:t>Tatjana BABRAUSKIENĖ (groupe des travailleurs — LT)</w:t>
            </w:r>
          </w:p>
          <w:p w14:paraId="0DAFF775" w14:textId="77777777" w:rsidR="005B5FE8" w:rsidRPr="009458A5" w:rsidRDefault="005B5FE8" w:rsidP="00C93F66">
            <w:pPr>
              <w:tabs>
                <w:tab w:val="center" w:pos="284"/>
              </w:tabs>
              <w:ind w:left="266" w:hanging="266"/>
            </w:pPr>
            <w:proofErr w:type="spellStart"/>
            <w:r>
              <w:t>Andris</w:t>
            </w:r>
            <w:proofErr w:type="spellEnd"/>
            <w:r>
              <w:t> GOBIŅŠ (groupe des organisations de la société civile — LV)</w:t>
            </w:r>
          </w:p>
        </w:tc>
      </w:tr>
      <w:tr w:rsidR="005B5FE8" w:rsidRPr="009458A5" w14:paraId="6F28A4E1" w14:textId="77777777" w:rsidTr="00C93F66">
        <w:tc>
          <w:tcPr>
            <w:tcW w:w="1111" w:type="pct"/>
          </w:tcPr>
          <w:p w14:paraId="635CCDE3" w14:textId="77777777" w:rsidR="005B5FE8" w:rsidRPr="009458A5" w:rsidRDefault="005B5FE8" w:rsidP="00C93F66">
            <w:pPr>
              <w:tabs>
                <w:tab w:val="center" w:pos="284"/>
              </w:tabs>
              <w:ind w:left="266" w:hanging="266"/>
              <w:rPr>
                <w:b/>
              </w:rPr>
            </w:pPr>
            <w:r>
              <w:rPr>
                <w:b/>
              </w:rPr>
              <w:t>Référence</w:t>
            </w:r>
          </w:p>
        </w:tc>
        <w:tc>
          <w:tcPr>
            <w:tcW w:w="3889" w:type="pct"/>
          </w:tcPr>
          <w:p w14:paraId="23375912" w14:textId="77777777" w:rsidR="00AB0BBF" w:rsidRDefault="00AB0BBF" w:rsidP="00C93F66">
            <w:pPr>
              <w:tabs>
                <w:tab w:val="center" w:pos="284"/>
              </w:tabs>
              <w:ind w:left="266" w:hanging="266"/>
            </w:pPr>
            <w:r>
              <w:t>Rapport d'information</w:t>
            </w:r>
          </w:p>
          <w:p w14:paraId="7A5377D2" w14:textId="0AF63AB8" w:rsidR="005B5FE8" w:rsidRPr="009458A5" w:rsidRDefault="005B5FE8" w:rsidP="00C93F66">
            <w:pPr>
              <w:tabs>
                <w:tab w:val="center" w:pos="284"/>
              </w:tabs>
              <w:ind w:left="266" w:hanging="266"/>
            </w:pPr>
            <w:r>
              <w:t>EESC-2025-00907-00-00-RI</w:t>
            </w:r>
          </w:p>
        </w:tc>
      </w:tr>
    </w:tbl>
    <w:p w14:paraId="054A33AB" w14:textId="77777777" w:rsidR="005B5FE8" w:rsidRPr="009458A5" w:rsidRDefault="005B5FE8" w:rsidP="005B5FE8">
      <w:pPr>
        <w:keepNext/>
        <w:keepLines/>
        <w:tabs>
          <w:tab w:val="center" w:pos="284"/>
        </w:tabs>
        <w:ind w:left="266" w:hanging="266"/>
        <w:rPr>
          <w:b/>
        </w:rPr>
      </w:pPr>
    </w:p>
    <w:p w14:paraId="0AACD834" w14:textId="77777777" w:rsidR="005B5FE8" w:rsidRPr="009458A5" w:rsidRDefault="005B5FE8" w:rsidP="005B5FE8">
      <w:pPr>
        <w:keepNext/>
        <w:keepLines/>
        <w:tabs>
          <w:tab w:val="center" w:pos="284"/>
        </w:tabs>
        <w:ind w:left="266" w:hanging="266"/>
        <w:rPr>
          <w:b/>
        </w:rPr>
      </w:pPr>
      <w:r>
        <w:rPr>
          <w:b/>
        </w:rPr>
        <w:t>Points clés</w:t>
      </w:r>
    </w:p>
    <w:p w14:paraId="23EEF565" w14:textId="77777777" w:rsidR="005B5FE8" w:rsidRPr="009458A5" w:rsidRDefault="005B5FE8" w:rsidP="005B5FE8">
      <w:pPr>
        <w:keepNext/>
        <w:keepLines/>
        <w:tabs>
          <w:tab w:val="center" w:pos="284"/>
        </w:tabs>
        <w:ind w:left="266" w:hanging="266"/>
        <w:rPr>
          <w:b/>
        </w:rPr>
      </w:pPr>
    </w:p>
    <w:p w14:paraId="2148E781" w14:textId="77777777" w:rsidR="005B5FE8" w:rsidRDefault="005B5FE8" w:rsidP="005B5FE8">
      <w:pPr>
        <w:rPr>
          <w:bCs/>
          <w:iCs/>
        </w:rPr>
      </w:pPr>
      <w:r>
        <w:t xml:space="preserve">Le </w:t>
      </w:r>
      <w:proofErr w:type="gramStart"/>
      <w:r>
        <w:t>CESE:</w:t>
      </w:r>
      <w:proofErr w:type="gramEnd"/>
    </w:p>
    <w:p w14:paraId="06EB68CE" w14:textId="77777777" w:rsidR="005B5FE8" w:rsidRPr="009458A5" w:rsidRDefault="005B5FE8" w:rsidP="005B5FE8">
      <w:pPr>
        <w:widowControl w:val="0"/>
        <w:numPr>
          <w:ilvl w:val="0"/>
          <w:numId w:val="25"/>
        </w:numPr>
        <w:ind w:left="567" w:hanging="567"/>
      </w:pPr>
      <w:proofErr w:type="gramStart"/>
      <w:r>
        <w:t>souligne</w:t>
      </w:r>
      <w:proofErr w:type="gramEnd"/>
      <w:r>
        <w:t xml:space="preserve"> que la guerre hybride qui est actuellement menée contre la démocratie en Europe orientale par des puissances étrangères comporte des campagnes de désinformation visant à saper la confiance dans les institutions démocratiques, à exploiter les divisions sociétales et à cibler les populations vulnérables. Les médias sociaux et les algorithmes d’intelligence artificielle (IA) jouent un rôle crucial, compte tenu de leur capacité à soutenir ou à affaiblir la </w:t>
      </w:r>
      <w:proofErr w:type="gramStart"/>
      <w:r>
        <w:t>démocratie;</w:t>
      </w:r>
      <w:proofErr w:type="gramEnd"/>
    </w:p>
    <w:p w14:paraId="102053A5" w14:textId="77777777" w:rsidR="005B5FE8" w:rsidRPr="009458A5" w:rsidRDefault="005B5FE8" w:rsidP="005B5FE8">
      <w:pPr>
        <w:widowControl w:val="0"/>
        <w:numPr>
          <w:ilvl w:val="0"/>
          <w:numId w:val="25"/>
        </w:numPr>
        <w:ind w:left="567" w:hanging="567"/>
      </w:pPr>
      <w:proofErr w:type="gramStart"/>
      <w:r>
        <w:t>fait</w:t>
      </w:r>
      <w:proofErr w:type="gramEnd"/>
      <w:r>
        <w:t xml:space="preserve"> valoir que les plateformes de médias sociaux et les algorithmes d’IA orientent de façon décisive le débat public et les informations que les Européens consultent, et ils amplifient souvent les contenus sensationnels ou controversés au détriment d’un journalisme de haute qualité: en donnant la priorité à l’engagement plutôt qu’à la précision, leur conception tend à déclasser les voix indépendantes, en particulier celles d’Europe orientale, tandis que les contenus clivants foisonnent;</w:t>
      </w:r>
    </w:p>
    <w:p w14:paraId="4335AC3F" w14:textId="77777777" w:rsidR="005B5FE8" w:rsidRPr="009458A5" w:rsidRDefault="005B5FE8" w:rsidP="005B5FE8">
      <w:pPr>
        <w:widowControl w:val="0"/>
        <w:numPr>
          <w:ilvl w:val="0"/>
          <w:numId w:val="25"/>
        </w:numPr>
        <w:ind w:left="567" w:hanging="567"/>
      </w:pPr>
      <w:proofErr w:type="gramStart"/>
      <w:r>
        <w:t>met</w:t>
      </w:r>
      <w:proofErr w:type="gramEnd"/>
      <w:r>
        <w:t xml:space="preserve"> en évidence le fait que l’espace de l’information en Europe centrale et orientale est particulièrement vulnérable: la désinformation est adaptée aux langues et contenus locaux et exploite la prédominance de contenus en langue russe sur l’internet en raison de choix algorithmiques;</w:t>
      </w:r>
    </w:p>
    <w:p w14:paraId="7D1DB56A" w14:textId="77777777" w:rsidR="005B5FE8" w:rsidRPr="009458A5" w:rsidRDefault="005B5FE8" w:rsidP="005B5FE8">
      <w:pPr>
        <w:widowControl w:val="0"/>
        <w:numPr>
          <w:ilvl w:val="0"/>
          <w:numId w:val="25"/>
        </w:numPr>
        <w:ind w:left="567" w:hanging="567"/>
      </w:pPr>
      <w:proofErr w:type="gramStart"/>
      <w:r>
        <w:t>fait</w:t>
      </w:r>
      <w:proofErr w:type="gramEnd"/>
      <w:r>
        <w:t xml:space="preserve"> observer que les discours en langue russe dominent les espaces numériques, tandis que les voix indépendantes sont marginalisées. En outre, des plateformes populaires telles que </w:t>
      </w:r>
      <w:proofErr w:type="spellStart"/>
      <w:r>
        <w:t>Telegram</w:t>
      </w:r>
      <w:proofErr w:type="spellEnd"/>
      <w:r>
        <w:t xml:space="preserve"> et </w:t>
      </w:r>
      <w:proofErr w:type="spellStart"/>
      <w:r>
        <w:t>VKontakte</w:t>
      </w:r>
      <w:proofErr w:type="spellEnd"/>
      <w:r>
        <w:t xml:space="preserve"> échappent à la réglementation de l’Union, ce qui crée des angles morts. Vu l’application insuffisante de la législation et la faiblesse des amendes, les plateformes ne respectent que peu les </w:t>
      </w:r>
      <w:proofErr w:type="gramStart"/>
      <w:r>
        <w:t>réglementations;</w:t>
      </w:r>
      <w:proofErr w:type="gramEnd"/>
    </w:p>
    <w:p w14:paraId="77C59D1D" w14:textId="77777777" w:rsidR="005B5FE8" w:rsidRPr="009458A5" w:rsidRDefault="005B5FE8" w:rsidP="005B5FE8">
      <w:pPr>
        <w:widowControl w:val="0"/>
        <w:numPr>
          <w:ilvl w:val="0"/>
          <w:numId w:val="25"/>
        </w:numPr>
        <w:ind w:left="567" w:hanging="567"/>
      </w:pPr>
      <w:proofErr w:type="gramStart"/>
      <w:r>
        <w:t>considère</w:t>
      </w:r>
      <w:proofErr w:type="gramEnd"/>
      <w:r>
        <w:t xml:space="preserve"> que la Biélorussie met clairement ces défis en lumière: la répression, la marginalisation numérique et la négligence algorithmique convergent pour réduire au silence les voix dissidentes et renforcer la propagande, ce qui oriente les impressions européennes. Une dynamique similaire existe dans toute l’Europe centrale et orientale, où les plateformes manquent souvent de politiques locales et où les outils d’IA sont entraînés sur des sources non </w:t>
      </w:r>
      <w:proofErr w:type="gramStart"/>
      <w:r>
        <w:t>fiables;</w:t>
      </w:r>
      <w:proofErr w:type="gramEnd"/>
    </w:p>
    <w:p w14:paraId="73295A3E" w14:textId="77777777" w:rsidR="005B5FE8" w:rsidRPr="009458A5" w:rsidRDefault="005B5FE8" w:rsidP="005B5FE8">
      <w:pPr>
        <w:widowControl w:val="0"/>
        <w:numPr>
          <w:ilvl w:val="0"/>
          <w:numId w:val="25"/>
        </w:numPr>
        <w:ind w:left="567" w:hanging="567"/>
      </w:pPr>
      <w:proofErr w:type="gramStart"/>
      <w:r>
        <w:t>estime</w:t>
      </w:r>
      <w:proofErr w:type="gramEnd"/>
      <w:r>
        <w:t xml:space="preserve"> que, si des instruments tels que le règlement sur les services numériques, le règlement sur l’intelligence artificielle et le règlement européen sur la liberté des médias visent à améliorer la transparence et la responsabilité, leur application est inégale et des lacunes subsistent. Des biais linguistiques et narratifs, comme l’utilisation continue du terme</w:t>
      </w:r>
      <w:proofErr w:type="gramStart"/>
      <w:r>
        <w:t xml:space="preserve"> «pays</w:t>
      </w:r>
      <w:proofErr w:type="gramEnd"/>
      <w:r>
        <w:t xml:space="preserve"> post-soviétiques», faussent encore davantage des identités et des histoires très diverses;</w:t>
      </w:r>
    </w:p>
    <w:p w14:paraId="1477EE58" w14:textId="77777777" w:rsidR="005B5FE8" w:rsidRPr="009458A5" w:rsidRDefault="005B5FE8" w:rsidP="005B5FE8">
      <w:pPr>
        <w:widowControl w:val="0"/>
        <w:numPr>
          <w:ilvl w:val="0"/>
          <w:numId w:val="25"/>
        </w:numPr>
        <w:ind w:left="567" w:hanging="567"/>
      </w:pPr>
      <w:proofErr w:type="gramStart"/>
      <w:r>
        <w:t>soutient</w:t>
      </w:r>
      <w:proofErr w:type="gramEnd"/>
      <w:r>
        <w:t xml:space="preserve"> l’élaboration de cadres garantissant la visibilité de contenus en provenance d’Europe orientale qui soient de haute qualité et ancrés localement et plaide en faveur d’une meilleure éducation aux médias, d’une plus grande responsabilité en matière d’algorithmes et d’une </w:t>
      </w:r>
      <w:r>
        <w:lastRenderedPageBreak/>
        <w:t>coopération transfrontière renforcée pour lutter contre la désinformation et défendre les valeurs démocratiques.</w:t>
      </w:r>
    </w:p>
    <w:p w14:paraId="57FF5626" w14:textId="77777777" w:rsidR="005B5FE8" w:rsidRPr="009458A5" w:rsidRDefault="005B5FE8" w:rsidP="005B5FE8">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7737"/>
      </w:tblGrid>
      <w:tr w:rsidR="005B5FE8" w:rsidRPr="009458A5" w14:paraId="0BE341FC" w14:textId="77777777" w:rsidTr="00C93F66">
        <w:tc>
          <w:tcPr>
            <w:tcW w:w="898" w:type="pct"/>
          </w:tcPr>
          <w:p w14:paraId="7998C1C6" w14:textId="77777777" w:rsidR="005B5FE8" w:rsidRPr="009458A5" w:rsidRDefault="005B5FE8" w:rsidP="00C93F66">
            <w:pPr>
              <w:spacing w:line="240" w:lineRule="auto"/>
              <w:rPr>
                <w:i/>
              </w:rPr>
            </w:pPr>
            <w:r>
              <w:rPr>
                <w:b/>
                <w:i/>
              </w:rPr>
              <w:t>Contact</w:t>
            </w:r>
          </w:p>
        </w:tc>
        <w:tc>
          <w:tcPr>
            <w:tcW w:w="4102" w:type="pct"/>
          </w:tcPr>
          <w:p w14:paraId="744EBE31" w14:textId="4D7779D5" w:rsidR="005B5FE8" w:rsidRPr="009458A5" w:rsidRDefault="005B5FE8" w:rsidP="00C93F66">
            <w:pPr>
              <w:spacing w:line="240" w:lineRule="auto"/>
              <w:rPr>
                <w:i/>
                <w:iCs/>
              </w:rPr>
            </w:pPr>
            <w:r>
              <w:rPr>
                <w:i/>
              </w:rPr>
              <w:t>Daniele</w:t>
            </w:r>
            <w:r w:rsidR="006031D5">
              <w:rPr>
                <w:i/>
              </w:rPr>
              <w:t> </w:t>
            </w:r>
            <w:r>
              <w:rPr>
                <w:i/>
              </w:rPr>
              <w:t>VITALI</w:t>
            </w:r>
          </w:p>
        </w:tc>
      </w:tr>
      <w:tr w:rsidR="005B5FE8" w:rsidRPr="009458A5" w14:paraId="56AB17AD" w14:textId="77777777" w:rsidTr="00C93F66">
        <w:tc>
          <w:tcPr>
            <w:tcW w:w="898" w:type="pct"/>
          </w:tcPr>
          <w:p w14:paraId="28670E7B" w14:textId="77777777" w:rsidR="005B5FE8" w:rsidRPr="009458A5" w:rsidRDefault="005B5FE8" w:rsidP="00C93F66">
            <w:pPr>
              <w:spacing w:line="240" w:lineRule="auto"/>
              <w:rPr>
                <w:i/>
              </w:rPr>
            </w:pPr>
            <w:r>
              <w:rPr>
                <w:i/>
              </w:rPr>
              <w:t>Tél.</w:t>
            </w:r>
          </w:p>
        </w:tc>
        <w:tc>
          <w:tcPr>
            <w:tcW w:w="4102" w:type="pct"/>
          </w:tcPr>
          <w:p w14:paraId="14A3456D" w14:textId="77777777" w:rsidR="005B5FE8" w:rsidRPr="009458A5" w:rsidRDefault="005B5FE8" w:rsidP="00C93F66">
            <w:pPr>
              <w:spacing w:line="240" w:lineRule="auto"/>
              <w:rPr>
                <w:i/>
              </w:rPr>
            </w:pPr>
            <w:r>
              <w:rPr>
                <w:i/>
              </w:rPr>
              <w:t>+32 25468817</w:t>
            </w:r>
          </w:p>
        </w:tc>
      </w:tr>
      <w:tr w:rsidR="005B5FE8" w:rsidRPr="009458A5" w14:paraId="2C028F8F" w14:textId="77777777" w:rsidTr="00C93F66">
        <w:tc>
          <w:tcPr>
            <w:tcW w:w="898" w:type="pct"/>
          </w:tcPr>
          <w:p w14:paraId="7CB820B6" w14:textId="77777777" w:rsidR="005B5FE8" w:rsidRPr="009458A5" w:rsidRDefault="005B5FE8" w:rsidP="00C93F66">
            <w:pPr>
              <w:spacing w:line="240" w:lineRule="auto"/>
              <w:rPr>
                <w:i/>
              </w:rPr>
            </w:pPr>
            <w:r>
              <w:rPr>
                <w:i/>
              </w:rPr>
              <w:t>Courriel</w:t>
            </w:r>
          </w:p>
        </w:tc>
        <w:tc>
          <w:tcPr>
            <w:tcW w:w="4102" w:type="pct"/>
          </w:tcPr>
          <w:p w14:paraId="3ECBD04A" w14:textId="77777777" w:rsidR="005B5FE8" w:rsidRPr="009458A5" w:rsidRDefault="00CB508B" w:rsidP="00C93F66">
            <w:pPr>
              <w:spacing w:line="240" w:lineRule="auto"/>
              <w:rPr>
                <w:i/>
              </w:rPr>
            </w:pPr>
            <w:hyperlink r:id="rId91" w:history="1">
              <w:r w:rsidR="005B5FE8">
                <w:rPr>
                  <w:rStyle w:val="Hyperlink"/>
                  <w:i/>
                </w:rPr>
                <w:t>Daniele.Vitali@eesc.europa.eu</w:t>
              </w:r>
            </w:hyperlink>
          </w:p>
        </w:tc>
      </w:tr>
    </w:tbl>
    <w:p w14:paraId="0E55D647" w14:textId="77777777" w:rsidR="00F31327" w:rsidRDefault="00F31327" w:rsidP="00F31327">
      <w:pPr>
        <w:jc w:val="left"/>
        <w:rPr>
          <w:b/>
          <w:i/>
          <w:sz w:val="28"/>
          <w:szCs w:val="28"/>
          <w:lang w:val="en-GB"/>
        </w:rPr>
      </w:pPr>
    </w:p>
    <w:p w14:paraId="0E0A2BA3" w14:textId="77777777" w:rsidR="00F31327" w:rsidRDefault="00F31327" w:rsidP="00F31327">
      <w:pPr>
        <w:spacing w:after="160" w:line="259" w:lineRule="auto"/>
        <w:jc w:val="left"/>
        <w:rPr>
          <w:b/>
          <w:i/>
          <w:sz w:val="28"/>
          <w:szCs w:val="28"/>
          <w:lang w:val="en-GB"/>
        </w:rPr>
      </w:pPr>
      <w:r>
        <w:rPr>
          <w:b/>
          <w:i/>
          <w:sz w:val="28"/>
          <w:szCs w:val="28"/>
          <w:lang w:val="en-GB"/>
        </w:rPr>
        <w:br w:type="page"/>
      </w:r>
    </w:p>
    <w:p w14:paraId="029DF965" w14:textId="29A927D1" w:rsidR="00A4608D" w:rsidRPr="00BE6463" w:rsidRDefault="00CB508B" w:rsidP="00A4608D">
      <w:pPr>
        <w:widowControl w:val="0"/>
        <w:numPr>
          <w:ilvl w:val="0"/>
          <w:numId w:val="19"/>
        </w:numPr>
        <w:overflowPunct w:val="0"/>
        <w:autoSpaceDE w:val="0"/>
        <w:autoSpaceDN w:val="0"/>
        <w:adjustRightInd w:val="0"/>
        <w:ind w:left="266" w:hanging="266"/>
        <w:textAlignment w:val="baseline"/>
        <w:rPr>
          <w:b/>
        </w:rPr>
      </w:pPr>
      <w:hyperlink r:id="rId92" w:history="1">
        <w:r w:rsidR="00A4608D">
          <w:rPr>
            <w:rStyle w:val="Hyperlink"/>
            <w:b/>
            <w:i/>
            <w:sz w:val="28"/>
          </w:rPr>
          <w:t>Diplomatie bleue et coopération dans le domaine de l’eau</w:t>
        </w:r>
      </w:hyperlink>
      <w:r w:rsidR="00A4608D">
        <w:rPr>
          <w:b/>
          <w:i/>
          <w:sz w:val="28"/>
        </w:rPr>
        <w:t xml:space="preserve"> </w:t>
      </w:r>
    </w:p>
    <w:p w14:paraId="017558F5" w14:textId="77777777" w:rsidR="00A4608D" w:rsidRPr="00BE6463" w:rsidRDefault="00A4608D" w:rsidP="00A4608D">
      <w:pPr>
        <w:widowControl w:val="0"/>
        <w:ind w:left="266"/>
        <w:rPr>
          <w:b/>
        </w:rPr>
      </w:pPr>
    </w:p>
    <w:tbl>
      <w:tblPr>
        <w:tblStyle w:val="TableGrid"/>
        <w:tblW w:w="52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866"/>
      </w:tblGrid>
      <w:tr w:rsidR="00A4608D" w:rsidRPr="00094B91" w14:paraId="5AEE2F8E" w14:textId="77777777" w:rsidTr="00C93F66">
        <w:tc>
          <w:tcPr>
            <w:tcW w:w="1026" w:type="pct"/>
          </w:tcPr>
          <w:p w14:paraId="0DE26A81" w14:textId="77777777" w:rsidR="00A4608D" w:rsidRPr="00A6689B" w:rsidRDefault="00A4608D" w:rsidP="00C93F66">
            <w:pPr>
              <w:tabs>
                <w:tab w:val="center" w:pos="284"/>
              </w:tabs>
              <w:ind w:left="266" w:hanging="266"/>
              <w:rPr>
                <w:b/>
              </w:rPr>
            </w:pPr>
            <w:proofErr w:type="spellStart"/>
            <w:r>
              <w:rPr>
                <w:b/>
              </w:rPr>
              <w:t>Rapporteure</w:t>
            </w:r>
            <w:proofErr w:type="spellEnd"/>
          </w:p>
        </w:tc>
        <w:tc>
          <w:tcPr>
            <w:tcW w:w="3974" w:type="pct"/>
          </w:tcPr>
          <w:p w14:paraId="421C8384" w14:textId="3B441EEE" w:rsidR="00A4608D" w:rsidRPr="00101065" w:rsidRDefault="00A4608D" w:rsidP="00C93F66">
            <w:pPr>
              <w:tabs>
                <w:tab w:val="center" w:pos="284"/>
              </w:tabs>
              <w:ind w:left="266" w:right="-3091" w:hanging="266"/>
            </w:pPr>
            <w:r>
              <w:t xml:space="preserve">Milena ANGELOVA (groupe des employeurs — </w:t>
            </w:r>
            <w:r w:rsidR="000C3FE1">
              <w:t>BG</w:t>
            </w:r>
            <w:r>
              <w:t>)</w:t>
            </w:r>
          </w:p>
        </w:tc>
      </w:tr>
      <w:tr w:rsidR="00A4608D" w:rsidRPr="00A6689B" w14:paraId="7197ED1E" w14:textId="77777777" w:rsidTr="00C93F66">
        <w:tc>
          <w:tcPr>
            <w:tcW w:w="1026" w:type="pct"/>
          </w:tcPr>
          <w:p w14:paraId="7EA34D5F" w14:textId="77777777" w:rsidR="00A4608D" w:rsidRPr="00A6689B" w:rsidRDefault="00A4608D" w:rsidP="00C93F66">
            <w:pPr>
              <w:tabs>
                <w:tab w:val="center" w:pos="284"/>
              </w:tabs>
              <w:ind w:left="266" w:hanging="266"/>
              <w:rPr>
                <w:b/>
              </w:rPr>
            </w:pPr>
            <w:r>
              <w:rPr>
                <w:b/>
              </w:rPr>
              <w:t>Corapporteur</w:t>
            </w:r>
          </w:p>
        </w:tc>
        <w:tc>
          <w:tcPr>
            <w:tcW w:w="3974" w:type="pct"/>
          </w:tcPr>
          <w:p w14:paraId="59DC4034" w14:textId="1FCF3974" w:rsidR="00A4608D" w:rsidRPr="00A6689B" w:rsidRDefault="00A4608D" w:rsidP="00C93F66">
            <w:pPr>
              <w:tabs>
                <w:tab w:val="center" w:pos="284"/>
              </w:tabs>
              <w:ind w:left="266" w:right="-3091" w:hanging="266"/>
            </w:pPr>
            <w:r>
              <w:t xml:space="preserve">Ioannis VARDAKASTANIS (groupe des organisations de la société civile — </w:t>
            </w:r>
            <w:r w:rsidR="000C3FE1">
              <w:t>EL</w:t>
            </w:r>
            <w:r>
              <w:t>)</w:t>
            </w:r>
          </w:p>
        </w:tc>
      </w:tr>
      <w:tr w:rsidR="00A4608D" w:rsidRPr="00A6689B" w14:paraId="7460A1C7" w14:textId="77777777" w:rsidTr="00C93F66">
        <w:tc>
          <w:tcPr>
            <w:tcW w:w="1026" w:type="pct"/>
          </w:tcPr>
          <w:p w14:paraId="6C709D1E" w14:textId="77777777" w:rsidR="00A4608D" w:rsidRPr="00A6689B" w:rsidRDefault="00A4608D" w:rsidP="00C93F66">
            <w:pPr>
              <w:tabs>
                <w:tab w:val="center" w:pos="284"/>
              </w:tabs>
              <w:ind w:left="266" w:hanging="266"/>
              <w:rPr>
                <w:b/>
              </w:rPr>
            </w:pPr>
            <w:r>
              <w:rPr>
                <w:b/>
              </w:rPr>
              <w:t>Références</w:t>
            </w:r>
          </w:p>
        </w:tc>
        <w:tc>
          <w:tcPr>
            <w:tcW w:w="3974" w:type="pct"/>
          </w:tcPr>
          <w:p w14:paraId="3F6EFB31" w14:textId="77777777" w:rsidR="000C3FE1" w:rsidRDefault="000C3FE1" w:rsidP="00C93F66">
            <w:pPr>
              <w:tabs>
                <w:tab w:val="center" w:pos="284"/>
              </w:tabs>
              <w:ind w:left="266" w:right="-3091" w:hanging="266"/>
            </w:pPr>
            <w:r>
              <w:t>Avis d'initiative</w:t>
            </w:r>
          </w:p>
          <w:p w14:paraId="3748869A" w14:textId="286ED85C" w:rsidR="00A4608D" w:rsidRPr="00A6689B" w:rsidRDefault="00A4608D" w:rsidP="00C93F66">
            <w:pPr>
              <w:tabs>
                <w:tab w:val="center" w:pos="284"/>
              </w:tabs>
              <w:ind w:left="266" w:right="-3091" w:hanging="266"/>
            </w:pPr>
            <w:r>
              <w:t>EESC-2025-00737-00-00-AC</w:t>
            </w:r>
          </w:p>
        </w:tc>
      </w:tr>
    </w:tbl>
    <w:p w14:paraId="3A2B3559" w14:textId="77777777" w:rsidR="00A4608D" w:rsidRDefault="00A4608D" w:rsidP="00A4608D">
      <w:pPr>
        <w:tabs>
          <w:tab w:val="center" w:pos="284"/>
        </w:tabs>
        <w:spacing w:line="269" w:lineRule="auto"/>
        <w:ind w:left="266" w:hanging="266"/>
        <w:rPr>
          <w:b/>
        </w:rPr>
      </w:pPr>
    </w:p>
    <w:p w14:paraId="26AA5A18" w14:textId="77777777" w:rsidR="00A4608D" w:rsidRPr="00A6689B" w:rsidRDefault="00A4608D" w:rsidP="00A4608D">
      <w:pPr>
        <w:keepNext/>
        <w:keepLines/>
        <w:tabs>
          <w:tab w:val="center" w:pos="284"/>
        </w:tabs>
        <w:spacing w:line="269" w:lineRule="auto"/>
        <w:ind w:left="266" w:hanging="266"/>
        <w:rPr>
          <w:b/>
        </w:rPr>
      </w:pPr>
      <w:r>
        <w:rPr>
          <w:b/>
        </w:rPr>
        <w:t>Points clés</w:t>
      </w:r>
    </w:p>
    <w:p w14:paraId="704F1E7C" w14:textId="77777777" w:rsidR="00A4608D" w:rsidRPr="00A6689B" w:rsidRDefault="00A4608D" w:rsidP="00A4608D">
      <w:pPr>
        <w:keepNext/>
        <w:keepLines/>
        <w:tabs>
          <w:tab w:val="center" w:pos="284"/>
        </w:tabs>
        <w:spacing w:line="269" w:lineRule="auto"/>
        <w:ind w:left="266" w:hanging="266"/>
        <w:rPr>
          <w:b/>
        </w:rPr>
      </w:pPr>
    </w:p>
    <w:p w14:paraId="26517E19" w14:textId="77777777" w:rsidR="00A4608D" w:rsidRDefault="00A4608D" w:rsidP="00A4608D">
      <w:pPr>
        <w:spacing w:line="269" w:lineRule="auto"/>
        <w:rPr>
          <w:bCs/>
          <w:iCs/>
        </w:rPr>
      </w:pPr>
      <w:r>
        <w:t xml:space="preserve">Le </w:t>
      </w:r>
      <w:proofErr w:type="gramStart"/>
      <w:r>
        <w:t>CESE:</w:t>
      </w:r>
      <w:proofErr w:type="gramEnd"/>
    </w:p>
    <w:p w14:paraId="1F5F5316" w14:textId="77777777" w:rsidR="00A4608D" w:rsidRPr="00A51D46" w:rsidRDefault="00A4608D" w:rsidP="00A4608D">
      <w:pPr>
        <w:widowControl w:val="0"/>
        <w:numPr>
          <w:ilvl w:val="0"/>
          <w:numId w:val="19"/>
        </w:numPr>
        <w:overflowPunct w:val="0"/>
        <w:autoSpaceDE w:val="0"/>
        <w:autoSpaceDN w:val="0"/>
        <w:adjustRightInd w:val="0"/>
        <w:spacing w:line="269" w:lineRule="auto"/>
        <w:ind w:hanging="567"/>
        <w:textAlignment w:val="baseline"/>
        <w:rPr>
          <w:bCs/>
          <w:iCs/>
        </w:rPr>
      </w:pPr>
      <w:proofErr w:type="gramStart"/>
      <w:r>
        <w:t>recommande</w:t>
      </w:r>
      <w:proofErr w:type="gramEnd"/>
      <w:r>
        <w:t xml:space="preserve"> d’</w:t>
      </w:r>
      <w:r>
        <w:rPr>
          <w:b/>
        </w:rPr>
        <w:t>adopter au niveau de l’UE une définition unique des migrations provoquées par le climat</w:t>
      </w:r>
      <w:r>
        <w:t>;</w:t>
      </w:r>
    </w:p>
    <w:p w14:paraId="3F68F572" w14:textId="77777777" w:rsidR="00A4608D" w:rsidRPr="00EB20D5" w:rsidRDefault="00A4608D" w:rsidP="00A4608D">
      <w:pPr>
        <w:widowControl w:val="0"/>
        <w:numPr>
          <w:ilvl w:val="0"/>
          <w:numId w:val="19"/>
        </w:numPr>
        <w:overflowPunct w:val="0"/>
        <w:autoSpaceDE w:val="0"/>
        <w:autoSpaceDN w:val="0"/>
        <w:adjustRightInd w:val="0"/>
        <w:spacing w:line="269" w:lineRule="auto"/>
        <w:ind w:hanging="567"/>
        <w:textAlignment w:val="baseline"/>
        <w:rPr>
          <w:bCs/>
          <w:iCs/>
        </w:rPr>
      </w:pPr>
      <w:proofErr w:type="gramStart"/>
      <w:r>
        <w:t>préconise</w:t>
      </w:r>
      <w:proofErr w:type="gramEnd"/>
      <w:r>
        <w:t xml:space="preserve"> d’</w:t>
      </w:r>
      <w:r>
        <w:rPr>
          <w:b/>
        </w:rPr>
        <w:t>encourager et de financer davantage la recherche dans le cadre de projets</w:t>
      </w:r>
      <w:r>
        <w:t>, en reconnaissant la complexité et le caractère multidimensionnel des migrations, et d’</w:t>
      </w:r>
      <w:r>
        <w:rPr>
          <w:b/>
        </w:rPr>
        <w:t>étudier la possibilité de modifier les protocoles de collecte de données sur les personnes entrant dans les pays de destination</w:t>
      </w:r>
      <w:r>
        <w:t>;</w:t>
      </w:r>
    </w:p>
    <w:p w14:paraId="789CD511" w14:textId="77777777" w:rsidR="00A4608D" w:rsidRPr="00EB20D5" w:rsidRDefault="00A4608D" w:rsidP="00A4608D">
      <w:pPr>
        <w:widowControl w:val="0"/>
        <w:numPr>
          <w:ilvl w:val="0"/>
          <w:numId w:val="19"/>
        </w:numPr>
        <w:overflowPunct w:val="0"/>
        <w:autoSpaceDE w:val="0"/>
        <w:autoSpaceDN w:val="0"/>
        <w:adjustRightInd w:val="0"/>
        <w:spacing w:line="269" w:lineRule="auto"/>
        <w:ind w:hanging="567"/>
        <w:textAlignment w:val="baseline"/>
        <w:rPr>
          <w:bCs/>
          <w:iCs/>
        </w:rPr>
      </w:pPr>
      <w:r>
        <w:t xml:space="preserve">demande que </w:t>
      </w:r>
      <w:r>
        <w:rPr>
          <w:b/>
        </w:rPr>
        <w:t>des efforts soient déployés pour encourager le dialogue entre les praticiens de la justice et les professionnels de la migration afin de favoriser l’échange des différentes interprétations du cadre juridique au sein des États membres et d’un État membre à l’autre</w:t>
      </w:r>
      <w:r>
        <w:t xml:space="preserve">; invite la Commission européenne à </w:t>
      </w:r>
      <w:r>
        <w:rPr>
          <w:b/>
        </w:rPr>
        <w:t>élaborer un recueil de la jurisprudence pertinente</w:t>
      </w:r>
      <w:r>
        <w:t xml:space="preserve"> et souligne la nécessité d’</w:t>
      </w:r>
      <w:r>
        <w:rPr>
          <w:b/>
        </w:rPr>
        <w:t>encourager l’utilisation de la Boîte à outils pratique sur la protection internationale pour les personnes déplacées à travers les frontières dans le contexte du changement climatique et des catastrophes</w:t>
      </w:r>
      <w:r>
        <w:t>;</w:t>
      </w:r>
    </w:p>
    <w:p w14:paraId="231074E4" w14:textId="77777777" w:rsidR="00A4608D" w:rsidRPr="00EB20D5" w:rsidRDefault="00A4608D" w:rsidP="00A4608D">
      <w:pPr>
        <w:widowControl w:val="0"/>
        <w:numPr>
          <w:ilvl w:val="0"/>
          <w:numId w:val="19"/>
        </w:numPr>
        <w:overflowPunct w:val="0"/>
        <w:autoSpaceDE w:val="0"/>
        <w:autoSpaceDN w:val="0"/>
        <w:adjustRightInd w:val="0"/>
        <w:spacing w:line="269" w:lineRule="auto"/>
        <w:ind w:hanging="567"/>
        <w:textAlignment w:val="baseline"/>
        <w:rPr>
          <w:bCs/>
          <w:iCs/>
        </w:rPr>
      </w:pPr>
      <w:proofErr w:type="gramStart"/>
      <w:r>
        <w:t>demande</w:t>
      </w:r>
      <w:proofErr w:type="gramEnd"/>
      <w:r>
        <w:t xml:space="preserve"> que </w:t>
      </w:r>
      <w:r>
        <w:rPr>
          <w:b/>
        </w:rPr>
        <w:t>des efforts soient consentis pour favoriser la création de synergies entre les politiques environnementale et migratoire de l’UE</w:t>
      </w:r>
      <w:r>
        <w:t xml:space="preserve"> en intégrant davantage l’approche associant l’aide humanitaire, le développement et la paix dans la politique en matière de mobilité climatique et en ancrant la question de la migration en tant qu’adaptation dans son approche de cette mobilité;</w:t>
      </w:r>
    </w:p>
    <w:p w14:paraId="2BD2C2CA" w14:textId="77777777" w:rsidR="00A4608D" w:rsidRPr="00EB20D5" w:rsidRDefault="00A4608D" w:rsidP="00A4608D">
      <w:pPr>
        <w:widowControl w:val="0"/>
        <w:numPr>
          <w:ilvl w:val="0"/>
          <w:numId w:val="19"/>
        </w:numPr>
        <w:overflowPunct w:val="0"/>
        <w:autoSpaceDE w:val="0"/>
        <w:autoSpaceDN w:val="0"/>
        <w:adjustRightInd w:val="0"/>
        <w:spacing w:line="269" w:lineRule="auto"/>
        <w:ind w:hanging="567"/>
        <w:textAlignment w:val="baseline"/>
        <w:rPr>
          <w:bCs/>
          <w:iCs/>
        </w:rPr>
      </w:pPr>
      <w:proofErr w:type="gramStart"/>
      <w:r>
        <w:t>invite</w:t>
      </w:r>
      <w:proofErr w:type="gramEnd"/>
      <w:r>
        <w:t xml:space="preserve"> </w:t>
      </w:r>
      <w:r>
        <w:rPr>
          <w:b/>
        </w:rPr>
        <w:t>la Commission européenne à approfondir sa coopération avec ces pays</w:t>
      </w:r>
      <w:r>
        <w:t xml:space="preserve">, à </w:t>
      </w:r>
      <w:r>
        <w:rPr>
          <w:b/>
        </w:rPr>
        <w:t>faciliter l’accès aux fonds internationaux afin de les soutenir dans leurs efforts en matière de résilience et de préparation au changement climatique</w:t>
      </w:r>
      <w:r>
        <w:t xml:space="preserve">, et à </w:t>
      </w:r>
      <w:r>
        <w:rPr>
          <w:b/>
        </w:rPr>
        <w:t>respecter les engagements pris</w:t>
      </w:r>
      <w:r>
        <w:t>; et</w:t>
      </w:r>
    </w:p>
    <w:p w14:paraId="204A4EAA" w14:textId="77777777" w:rsidR="00A4608D" w:rsidRPr="00EB20D5" w:rsidRDefault="00A4608D" w:rsidP="00A4608D">
      <w:pPr>
        <w:widowControl w:val="0"/>
        <w:numPr>
          <w:ilvl w:val="0"/>
          <w:numId w:val="19"/>
        </w:numPr>
        <w:overflowPunct w:val="0"/>
        <w:autoSpaceDE w:val="0"/>
        <w:autoSpaceDN w:val="0"/>
        <w:adjustRightInd w:val="0"/>
        <w:spacing w:line="269" w:lineRule="auto"/>
        <w:ind w:hanging="567"/>
        <w:textAlignment w:val="baseline"/>
        <w:rPr>
          <w:bCs/>
          <w:iCs/>
        </w:rPr>
      </w:pPr>
      <w:proofErr w:type="gramStart"/>
      <w:r>
        <w:t>recommande</w:t>
      </w:r>
      <w:proofErr w:type="gramEnd"/>
      <w:r>
        <w:t xml:space="preserve"> que </w:t>
      </w:r>
      <w:r>
        <w:rPr>
          <w:b/>
        </w:rPr>
        <w:t>le champ d’application de la directive relative à la protection temporaire soit étendu aux migrants fuyant des pays fortement touchés par les catastrophes et le changement climatique</w:t>
      </w:r>
      <w:r>
        <w:t>.</w:t>
      </w:r>
    </w:p>
    <w:p w14:paraId="5DB89F55" w14:textId="77777777" w:rsidR="00A4608D" w:rsidRPr="000624A9" w:rsidRDefault="00A4608D" w:rsidP="00A4608D">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A4608D" w:rsidRPr="00A6689B" w14:paraId="208C27D0" w14:textId="77777777" w:rsidTr="00C93F66">
        <w:tc>
          <w:tcPr>
            <w:tcW w:w="1077" w:type="pct"/>
          </w:tcPr>
          <w:p w14:paraId="0EC555FA" w14:textId="77777777" w:rsidR="00A4608D" w:rsidRPr="00A6689B" w:rsidRDefault="00A4608D" w:rsidP="00C93F66">
            <w:pPr>
              <w:rPr>
                <w:i/>
              </w:rPr>
            </w:pPr>
            <w:r>
              <w:rPr>
                <w:b/>
                <w:i/>
              </w:rPr>
              <w:t>Contact</w:t>
            </w:r>
          </w:p>
        </w:tc>
        <w:tc>
          <w:tcPr>
            <w:tcW w:w="3923" w:type="pct"/>
          </w:tcPr>
          <w:p w14:paraId="437FFFFB" w14:textId="6AF3BF8D" w:rsidR="00A4608D" w:rsidRPr="00A6689B" w:rsidRDefault="00A4608D" w:rsidP="00C93F66">
            <w:pPr>
              <w:rPr>
                <w:i/>
              </w:rPr>
            </w:pPr>
            <w:r>
              <w:rPr>
                <w:i/>
              </w:rPr>
              <w:t>Marie-Laurence </w:t>
            </w:r>
            <w:r w:rsidR="00475AF8">
              <w:rPr>
                <w:i/>
              </w:rPr>
              <w:t>DRILLON</w:t>
            </w:r>
          </w:p>
        </w:tc>
      </w:tr>
      <w:tr w:rsidR="00A4608D" w:rsidRPr="00A6689B" w14:paraId="070A1308" w14:textId="77777777" w:rsidTr="00C93F66">
        <w:tc>
          <w:tcPr>
            <w:tcW w:w="1077" w:type="pct"/>
          </w:tcPr>
          <w:p w14:paraId="3BE0120E" w14:textId="77777777" w:rsidR="00A4608D" w:rsidRPr="00A6689B" w:rsidRDefault="00A4608D" w:rsidP="00C93F66">
            <w:pPr>
              <w:rPr>
                <w:i/>
              </w:rPr>
            </w:pPr>
            <w:r>
              <w:rPr>
                <w:i/>
              </w:rPr>
              <w:t>Tél.</w:t>
            </w:r>
          </w:p>
        </w:tc>
        <w:tc>
          <w:tcPr>
            <w:tcW w:w="3923" w:type="pct"/>
          </w:tcPr>
          <w:p w14:paraId="1E218578" w14:textId="77777777" w:rsidR="00A4608D" w:rsidRPr="00A6689B" w:rsidRDefault="00A4608D" w:rsidP="00C93F66">
            <w:pPr>
              <w:rPr>
                <w:i/>
              </w:rPr>
            </w:pPr>
            <w:r>
              <w:rPr>
                <w:i/>
              </w:rPr>
              <w:t>+32 25468320</w:t>
            </w:r>
          </w:p>
        </w:tc>
      </w:tr>
      <w:tr w:rsidR="00A4608D" w:rsidRPr="00A6689B" w14:paraId="72AE8F40" w14:textId="77777777" w:rsidTr="00C93F66">
        <w:tc>
          <w:tcPr>
            <w:tcW w:w="1077" w:type="pct"/>
          </w:tcPr>
          <w:p w14:paraId="2888C37E" w14:textId="77777777" w:rsidR="00A4608D" w:rsidRPr="00A6689B" w:rsidRDefault="00A4608D" w:rsidP="00C93F66">
            <w:pPr>
              <w:rPr>
                <w:i/>
              </w:rPr>
            </w:pPr>
            <w:r>
              <w:rPr>
                <w:i/>
              </w:rPr>
              <w:t>Courriel</w:t>
            </w:r>
          </w:p>
        </w:tc>
        <w:tc>
          <w:tcPr>
            <w:tcW w:w="3923" w:type="pct"/>
          </w:tcPr>
          <w:p w14:paraId="21C08B59" w14:textId="77777777" w:rsidR="00A4608D" w:rsidRPr="00A6689B" w:rsidRDefault="00CB508B" w:rsidP="00C93F66">
            <w:pPr>
              <w:rPr>
                <w:i/>
              </w:rPr>
            </w:pPr>
            <w:hyperlink r:id="rId93" w:history="1">
              <w:r w:rsidR="00A4608D">
                <w:rPr>
                  <w:rStyle w:val="Hyperlink"/>
                  <w:i/>
                </w:rPr>
                <w:t>Marie-Laurence.Drillon@eesc.europa.eu</w:t>
              </w:r>
            </w:hyperlink>
          </w:p>
        </w:tc>
      </w:tr>
    </w:tbl>
    <w:p w14:paraId="0460B5AF" w14:textId="77777777" w:rsidR="00F31327" w:rsidRPr="00EA2195" w:rsidRDefault="00F31327" w:rsidP="00F31327">
      <w:pPr>
        <w:widowControl w:val="0"/>
        <w:overflowPunct w:val="0"/>
        <w:autoSpaceDE w:val="0"/>
        <w:autoSpaceDN w:val="0"/>
        <w:adjustRightInd w:val="0"/>
        <w:textAlignment w:val="baseline"/>
        <w:rPr>
          <w:bCs/>
          <w:iCs/>
        </w:rPr>
      </w:pPr>
    </w:p>
    <w:p w14:paraId="0D26B9AB" w14:textId="77777777" w:rsidR="00F31327" w:rsidRPr="00EA2195" w:rsidRDefault="00F31327" w:rsidP="00F31327">
      <w:pPr>
        <w:jc w:val="left"/>
        <w:rPr>
          <w:b/>
          <w:i/>
          <w:sz w:val="28"/>
          <w:szCs w:val="28"/>
        </w:rPr>
      </w:pPr>
      <w:r w:rsidRPr="00EA2195">
        <w:rPr>
          <w:b/>
          <w:i/>
          <w:sz w:val="28"/>
          <w:szCs w:val="28"/>
        </w:rPr>
        <w:br w:type="page"/>
      </w:r>
    </w:p>
    <w:p w14:paraId="7960091E" w14:textId="0DAD5A53" w:rsidR="00A4608D" w:rsidRPr="008E64B7" w:rsidRDefault="00CB508B" w:rsidP="00A4608D">
      <w:pPr>
        <w:widowControl w:val="0"/>
        <w:numPr>
          <w:ilvl w:val="0"/>
          <w:numId w:val="19"/>
        </w:numPr>
        <w:overflowPunct w:val="0"/>
        <w:autoSpaceDE w:val="0"/>
        <w:autoSpaceDN w:val="0"/>
        <w:adjustRightInd w:val="0"/>
        <w:ind w:hanging="567"/>
        <w:textAlignment w:val="baseline"/>
        <w:rPr>
          <w:b/>
        </w:rPr>
      </w:pPr>
      <w:hyperlink r:id="rId94" w:history="1">
        <w:r w:rsidR="00475AF8">
          <w:rPr>
            <w:rStyle w:val="Hyperlink"/>
            <w:b/>
            <w:i/>
            <w:sz w:val="28"/>
          </w:rPr>
          <w:t>Favoriser une croissance durable et des emplois de qualité dans la région euro-</w:t>
        </w:r>
        <w:proofErr w:type="gramStart"/>
        <w:r w:rsidR="00475AF8">
          <w:rPr>
            <w:rStyle w:val="Hyperlink"/>
            <w:b/>
            <w:i/>
            <w:sz w:val="28"/>
          </w:rPr>
          <w:t>méditerranéenne:</w:t>
        </w:r>
        <w:proofErr w:type="gramEnd"/>
        <w:r w:rsidR="00475AF8">
          <w:rPr>
            <w:rStyle w:val="Hyperlink"/>
            <w:b/>
            <w:i/>
            <w:sz w:val="28"/>
          </w:rPr>
          <w:t xml:space="preserve"> promouvoir l’esprit d’entreprise et exploiter le potentiel des femmes et des jeunes</w:t>
        </w:r>
      </w:hyperlink>
    </w:p>
    <w:p w14:paraId="744AC898" w14:textId="77777777" w:rsidR="00A4608D" w:rsidRPr="00DF1167" w:rsidRDefault="00A4608D" w:rsidP="00A4608D">
      <w:pPr>
        <w:widowControl w:val="0"/>
        <w:ind w:left="266"/>
        <w:rPr>
          <w:b/>
          <w:sz w:val="18"/>
          <w:szCs w:val="18"/>
        </w:rPr>
      </w:pPr>
    </w:p>
    <w:tbl>
      <w:tblPr>
        <w:tblStyle w:val="TableGrid"/>
        <w:tblW w:w="50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915"/>
      </w:tblGrid>
      <w:tr w:rsidR="00A4608D" w:rsidRPr="00A6689B" w14:paraId="1271761D" w14:textId="77777777" w:rsidTr="00C93F66">
        <w:tc>
          <w:tcPr>
            <w:tcW w:w="881" w:type="pct"/>
          </w:tcPr>
          <w:p w14:paraId="73FE636E" w14:textId="77777777" w:rsidR="00A4608D" w:rsidRPr="00A6689B" w:rsidRDefault="00A4608D" w:rsidP="00C93F66">
            <w:pPr>
              <w:tabs>
                <w:tab w:val="center" w:pos="284"/>
              </w:tabs>
              <w:ind w:left="266" w:hanging="266"/>
              <w:rPr>
                <w:b/>
              </w:rPr>
            </w:pPr>
            <w:proofErr w:type="spellStart"/>
            <w:r>
              <w:rPr>
                <w:b/>
              </w:rPr>
              <w:t>Rapporteure</w:t>
            </w:r>
            <w:proofErr w:type="spellEnd"/>
          </w:p>
        </w:tc>
        <w:tc>
          <w:tcPr>
            <w:tcW w:w="4119" w:type="pct"/>
          </w:tcPr>
          <w:p w14:paraId="013968AD" w14:textId="6767BBB3" w:rsidR="00A4608D" w:rsidRPr="00A6689B" w:rsidRDefault="00A4608D" w:rsidP="00C93F66">
            <w:pPr>
              <w:tabs>
                <w:tab w:val="center" w:pos="284"/>
              </w:tabs>
              <w:ind w:left="266" w:right="-3091" w:hanging="266"/>
            </w:pPr>
            <w:r>
              <w:t xml:space="preserve">Milena ANGELOVA (groupe des employeurs — </w:t>
            </w:r>
            <w:r w:rsidR="00475AF8">
              <w:t>BG</w:t>
            </w:r>
            <w:r>
              <w:t>)</w:t>
            </w:r>
          </w:p>
        </w:tc>
      </w:tr>
      <w:tr w:rsidR="00A4608D" w:rsidRPr="00A6689B" w14:paraId="0CE0FEAF" w14:textId="77777777" w:rsidTr="00C93F66">
        <w:tc>
          <w:tcPr>
            <w:tcW w:w="881" w:type="pct"/>
          </w:tcPr>
          <w:p w14:paraId="25CCF208" w14:textId="77777777" w:rsidR="00A4608D" w:rsidRPr="00A6689B" w:rsidRDefault="00A4608D" w:rsidP="00C93F66">
            <w:pPr>
              <w:tabs>
                <w:tab w:val="center" w:pos="284"/>
              </w:tabs>
              <w:ind w:left="266" w:hanging="266"/>
              <w:rPr>
                <w:b/>
              </w:rPr>
            </w:pPr>
            <w:r>
              <w:rPr>
                <w:b/>
              </w:rPr>
              <w:t>Corapporteur</w:t>
            </w:r>
          </w:p>
        </w:tc>
        <w:tc>
          <w:tcPr>
            <w:tcW w:w="4119" w:type="pct"/>
          </w:tcPr>
          <w:p w14:paraId="426DE46D" w14:textId="5401C29E" w:rsidR="00A4608D" w:rsidRPr="00A6689B" w:rsidRDefault="00A4608D" w:rsidP="00C93F66">
            <w:pPr>
              <w:ind w:right="6"/>
            </w:pPr>
            <w:r>
              <w:t xml:space="preserve">Ioannis VARDAKASTANIS (groupe des organisations de la société civile — </w:t>
            </w:r>
            <w:r w:rsidR="00475AF8">
              <w:t>EL</w:t>
            </w:r>
            <w:r>
              <w:t>)</w:t>
            </w:r>
          </w:p>
        </w:tc>
      </w:tr>
      <w:tr w:rsidR="00A4608D" w:rsidRPr="00A6689B" w14:paraId="2E00B2F8" w14:textId="77777777" w:rsidTr="00C93F66">
        <w:tc>
          <w:tcPr>
            <w:tcW w:w="881" w:type="pct"/>
          </w:tcPr>
          <w:p w14:paraId="2E972989" w14:textId="77777777" w:rsidR="00A4608D" w:rsidRPr="00A6689B" w:rsidRDefault="00A4608D" w:rsidP="00C93F66">
            <w:pPr>
              <w:tabs>
                <w:tab w:val="center" w:pos="284"/>
              </w:tabs>
              <w:ind w:left="266" w:hanging="266"/>
              <w:rPr>
                <w:b/>
              </w:rPr>
            </w:pPr>
            <w:r>
              <w:rPr>
                <w:b/>
              </w:rPr>
              <w:t>Référence</w:t>
            </w:r>
          </w:p>
        </w:tc>
        <w:tc>
          <w:tcPr>
            <w:tcW w:w="4119" w:type="pct"/>
          </w:tcPr>
          <w:p w14:paraId="0111F5AB" w14:textId="77777777" w:rsidR="00475AF8" w:rsidRDefault="00475AF8" w:rsidP="00C93F66">
            <w:pPr>
              <w:tabs>
                <w:tab w:val="center" w:pos="284"/>
              </w:tabs>
              <w:ind w:left="266" w:right="-3091" w:hanging="266"/>
            </w:pPr>
            <w:r>
              <w:t>Avis d'initiative</w:t>
            </w:r>
          </w:p>
          <w:p w14:paraId="78213BD1" w14:textId="10C56DCC" w:rsidR="00A4608D" w:rsidRPr="00A6689B" w:rsidRDefault="00A4608D" w:rsidP="00C93F66">
            <w:pPr>
              <w:tabs>
                <w:tab w:val="center" w:pos="284"/>
              </w:tabs>
              <w:ind w:left="266" w:right="-3091" w:hanging="266"/>
            </w:pPr>
            <w:r>
              <w:t>EESC-2025-00913-00-00-AC</w:t>
            </w:r>
          </w:p>
        </w:tc>
      </w:tr>
    </w:tbl>
    <w:p w14:paraId="6BDE9940" w14:textId="77777777" w:rsidR="00A4608D" w:rsidRPr="00DF1167" w:rsidRDefault="00A4608D" w:rsidP="00A4608D">
      <w:pPr>
        <w:tabs>
          <w:tab w:val="center" w:pos="284"/>
        </w:tabs>
        <w:ind w:left="266" w:hanging="266"/>
        <w:rPr>
          <w:b/>
          <w:sz w:val="18"/>
          <w:szCs w:val="18"/>
        </w:rPr>
      </w:pPr>
    </w:p>
    <w:p w14:paraId="55AA1F30" w14:textId="77777777" w:rsidR="00A4608D" w:rsidRPr="00A6689B" w:rsidRDefault="00A4608D" w:rsidP="00A4608D">
      <w:pPr>
        <w:keepNext/>
        <w:keepLines/>
        <w:tabs>
          <w:tab w:val="center" w:pos="284"/>
        </w:tabs>
        <w:ind w:left="266" w:hanging="266"/>
        <w:rPr>
          <w:b/>
        </w:rPr>
      </w:pPr>
      <w:r>
        <w:rPr>
          <w:b/>
        </w:rPr>
        <w:t>Points clés</w:t>
      </w:r>
    </w:p>
    <w:p w14:paraId="7A7B66DA" w14:textId="77777777" w:rsidR="00A4608D" w:rsidRPr="00DF1167" w:rsidRDefault="00A4608D" w:rsidP="00A4608D">
      <w:pPr>
        <w:keepNext/>
        <w:keepLines/>
        <w:tabs>
          <w:tab w:val="center" w:pos="284"/>
        </w:tabs>
        <w:ind w:left="266" w:hanging="266"/>
        <w:rPr>
          <w:b/>
          <w:sz w:val="18"/>
          <w:szCs w:val="18"/>
        </w:rPr>
      </w:pPr>
    </w:p>
    <w:p w14:paraId="6B25A10B" w14:textId="77777777" w:rsidR="00A4608D" w:rsidRPr="00DE36C5" w:rsidRDefault="00A4608D" w:rsidP="00475AF8">
      <w:pPr>
        <w:rPr>
          <w:bCs/>
          <w:iCs/>
        </w:rPr>
      </w:pPr>
      <w:r>
        <w:t xml:space="preserve">Le </w:t>
      </w:r>
      <w:proofErr w:type="gramStart"/>
      <w:r>
        <w:t>CESE:</w:t>
      </w:r>
      <w:proofErr w:type="gramEnd"/>
    </w:p>
    <w:p w14:paraId="1DA019E9" w14:textId="77777777" w:rsidR="00A4608D" w:rsidRPr="00DE36C5" w:rsidRDefault="00A4608D" w:rsidP="00475AF8">
      <w:pPr>
        <w:pStyle w:val="NormalWeb"/>
        <w:numPr>
          <w:ilvl w:val="0"/>
          <w:numId w:val="19"/>
        </w:numPr>
        <w:spacing w:before="0" w:beforeAutospacing="0" w:after="0" w:afterAutospacing="0"/>
        <w:ind w:hanging="567"/>
        <w:jc w:val="both"/>
        <w:rPr>
          <w:sz w:val="22"/>
          <w:szCs w:val="22"/>
        </w:rPr>
      </w:pPr>
      <w:proofErr w:type="gramStart"/>
      <w:r>
        <w:rPr>
          <w:sz w:val="22"/>
        </w:rPr>
        <w:t>a</w:t>
      </w:r>
      <w:proofErr w:type="gramEnd"/>
      <w:r>
        <w:rPr>
          <w:sz w:val="22"/>
        </w:rPr>
        <w:t xml:space="preserve"> pour objectif de soutenir l’esprit d’entreprise et de favoriser la création d’emplois de qualité dans la région méditerranéenne, en accordant une attention particulière à l’exploitation du potentiel des femmes et des jeunes, pour une croissance plus inclusive et plus résiliente et pour la prospérité globale;</w:t>
      </w:r>
    </w:p>
    <w:p w14:paraId="220EBD50" w14:textId="77777777" w:rsidR="00A4608D" w:rsidRPr="00DE36C5" w:rsidRDefault="00A4608D" w:rsidP="00475AF8">
      <w:pPr>
        <w:pStyle w:val="NormalWeb"/>
        <w:numPr>
          <w:ilvl w:val="0"/>
          <w:numId w:val="19"/>
        </w:numPr>
        <w:spacing w:before="0" w:beforeAutospacing="0" w:after="0" w:afterAutospacing="0"/>
        <w:ind w:hanging="567"/>
        <w:jc w:val="both"/>
        <w:rPr>
          <w:sz w:val="22"/>
          <w:szCs w:val="22"/>
        </w:rPr>
      </w:pPr>
      <w:proofErr w:type="gramStart"/>
      <w:r>
        <w:rPr>
          <w:sz w:val="22"/>
        </w:rPr>
        <w:t>demande</w:t>
      </w:r>
      <w:proofErr w:type="gramEnd"/>
      <w:r>
        <w:rPr>
          <w:sz w:val="22"/>
        </w:rPr>
        <w:t xml:space="preserve"> d’identifier et de supprimer les obstacles structurels liés au genre dans l’éducation, sur les marchés du travail et dans le secteur de l’entrepreneuriat, ainsi que de mener des campagnes de sensibilisation aux avantages de la diversité et de mettre en valeur des réalisations et des personnes susceptibles de servir de modèles;</w:t>
      </w:r>
    </w:p>
    <w:p w14:paraId="2A816C59" w14:textId="77777777" w:rsidR="00A4608D" w:rsidRPr="00DE36C5" w:rsidRDefault="00A4608D" w:rsidP="00475AF8">
      <w:pPr>
        <w:pStyle w:val="NormalWeb"/>
        <w:numPr>
          <w:ilvl w:val="0"/>
          <w:numId w:val="19"/>
        </w:numPr>
        <w:spacing w:before="0" w:beforeAutospacing="0" w:after="0" w:afterAutospacing="0"/>
        <w:ind w:hanging="567"/>
        <w:jc w:val="both"/>
        <w:rPr>
          <w:sz w:val="22"/>
          <w:szCs w:val="22"/>
        </w:rPr>
      </w:pPr>
      <w:proofErr w:type="gramStart"/>
      <w:r>
        <w:rPr>
          <w:sz w:val="22"/>
        </w:rPr>
        <w:t>souligne</w:t>
      </w:r>
      <w:proofErr w:type="gramEnd"/>
      <w:r>
        <w:rPr>
          <w:sz w:val="22"/>
        </w:rPr>
        <w:t xml:space="preserve"> la nécessité d’investir dans l’éducation, le développement des compétences et la mobilité des jeunes, y compris le renforcement de la formation professionnelle, l’enseignement supérieur et une forte participation aux programmes d’échange d’étudiants, afin de donner les moyens d’agir aux jeunes, qui sont les atouts les plus précieux de la région;</w:t>
      </w:r>
    </w:p>
    <w:p w14:paraId="42265458" w14:textId="77777777" w:rsidR="00A4608D" w:rsidRPr="00DE36C5" w:rsidRDefault="00A4608D" w:rsidP="00475AF8">
      <w:pPr>
        <w:pStyle w:val="NormalWeb"/>
        <w:numPr>
          <w:ilvl w:val="0"/>
          <w:numId w:val="19"/>
        </w:numPr>
        <w:spacing w:before="0" w:beforeAutospacing="0" w:after="0" w:afterAutospacing="0"/>
        <w:ind w:hanging="567"/>
        <w:jc w:val="both"/>
        <w:rPr>
          <w:sz w:val="22"/>
          <w:szCs w:val="22"/>
        </w:rPr>
      </w:pPr>
      <w:proofErr w:type="gramStart"/>
      <w:r>
        <w:rPr>
          <w:sz w:val="22"/>
        </w:rPr>
        <w:t>recommande</w:t>
      </w:r>
      <w:proofErr w:type="gramEnd"/>
      <w:r>
        <w:rPr>
          <w:sz w:val="22"/>
        </w:rPr>
        <w:t xml:space="preserve"> d’encourager les filles et les femmes à étudier les sciences, les technologies, l’ingénierie et les mathématiques (STIM), ainsi qu’à acquérir des compétences numériques et financières, en ayant recours à l’apprentissage en ligne et mobile pour réduire les disparités régionales et assurer un accès égal à l’éducation et à la formation aux habitants des régions reculées;</w:t>
      </w:r>
    </w:p>
    <w:p w14:paraId="537E8EC8" w14:textId="77777777" w:rsidR="00A4608D" w:rsidRPr="00DE36C5" w:rsidRDefault="00A4608D" w:rsidP="00475AF8">
      <w:pPr>
        <w:pStyle w:val="NormalWeb"/>
        <w:numPr>
          <w:ilvl w:val="0"/>
          <w:numId w:val="19"/>
        </w:numPr>
        <w:spacing w:before="0" w:beforeAutospacing="0" w:after="0" w:afterAutospacing="0"/>
        <w:ind w:hanging="567"/>
        <w:jc w:val="both"/>
        <w:rPr>
          <w:sz w:val="22"/>
          <w:szCs w:val="22"/>
        </w:rPr>
      </w:pPr>
      <w:proofErr w:type="gramStart"/>
      <w:r>
        <w:rPr>
          <w:sz w:val="22"/>
        </w:rPr>
        <w:t>estime</w:t>
      </w:r>
      <w:proofErr w:type="gramEnd"/>
      <w:r>
        <w:rPr>
          <w:sz w:val="22"/>
        </w:rPr>
        <w:t xml:space="preserve"> qu’il est essentiel de faire progresser la qualité des conditions de travail des jeunes et des femmes, de prévenir les discriminations et le harcèlement et de libérer leur potentiel de leadership en politique, au sein des entreprises et de la société civile en leur permettant de participer;</w:t>
      </w:r>
    </w:p>
    <w:p w14:paraId="39386E31" w14:textId="77777777" w:rsidR="00A4608D" w:rsidRPr="00DE36C5" w:rsidRDefault="00A4608D" w:rsidP="00475AF8">
      <w:pPr>
        <w:pStyle w:val="NormalWeb"/>
        <w:numPr>
          <w:ilvl w:val="0"/>
          <w:numId w:val="19"/>
        </w:numPr>
        <w:spacing w:before="0" w:beforeAutospacing="0" w:after="0" w:afterAutospacing="0"/>
        <w:ind w:hanging="567"/>
        <w:jc w:val="both"/>
        <w:rPr>
          <w:sz w:val="22"/>
          <w:szCs w:val="22"/>
        </w:rPr>
      </w:pPr>
      <w:proofErr w:type="gramStart"/>
      <w:r>
        <w:rPr>
          <w:sz w:val="22"/>
        </w:rPr>
        <w:t>insiste</w:t>
      </w:r>
      <w:proofErr w:type="gramEnd"/>
      <w:r>
        <w:rPr>
          <w:sz w:val="22"/>
        </w:rPr>
        <w:t xml:space="preserve"> sur le fait que, pour réussir, il est nécessaire que les femmes et les jeunes entrepreneurs bénéficient d’un accès adéquat aux financements, aux infrastructures et aux ressources naturelles, et disposent d’un droit de propriété sûr et légal ainsi que d’un accès aux réseaux, aux écosystèmes d’innovation et aux pôles entrepreneuriaux;</w:t>
      </w:r>
    </w:p>
    <w:p w14:paraId="44E817FB" w14:textId="77777777" w:rsidR="00A4608D" w:rsidRPr="00DE36C5" w:rsidRDefault="00A4608D" w:rsidP="00475AF8">
      <w:pPr>
        <w:pStyle w:val="NormalWeb"/>
        <w:numPr>
          <w:ilvl w:val="0"/>
          <w:numId w:val="19"/>
        </w:numPr>
        <w:spacing w:before="0" w:beforeAutospacing="0" w:after="0" w:afterAutospacing="0"/>
        <w:ind w:hanging="567"/>
        <w:jc w:val="both"/>
        <w:rPr>
          <w:sz w:val="22"/>
          <w:szCs w:val="22"/>
        </w:rPr>
      </w:pPr>
      <w:proofErr w:type="gramStart"/>
      <w:r>
        <w:rPr>
          <w:sz w:val="22"/>
        </w:rPr>
        <w:t>souligne</w:t>
      </w:r>
      <w:proofErr w:type="gramEnd"/>
      <w:r>
        <w:rPr>
          <w:sz w:val="22"/>
        </w:rPr>
        <w:t xml:space="preserve"> l’importance de la sécurité juridique, des mesures de lutte contre la corruption, de la formalisation des MPME et de la promotion de secteurs clés comme l’agriculture durable, l’énergie renouvelable, l’économie numérique, les industries créatives et les projets de connexion des marchés, y compris l’intégration des marchés énergétiques, pour soutenir le développement économique et l’esprit d’entreprise dans la région.</w:t>
      </w:r>
    </w:p>
    <w:p w14:paraId="16ECCB48" w14:textId="77777777" w:rsidR="00A4608D" w:rsidRPr="00DF1167" w:rsidRDefault="00A4608D" w:rsidP="00A4608D">
      <w:pPr>
        <w:widowControl w:val="0"/>
        <w:rPr>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7400"/>
      </w:tblGrid>
      <w:tr w:rsidR="00A4608D" w:rsidRPr="00A6689B" w14:paraId="06FFD379" w14:textId="77777777" w:rsidTr="00C93F66">
        <w:tc>
          <w:tcPr>
            <w:tcW w:w="1077" w:type="pct"/>
          </w:tcPr>
          <w:p w14:paraId="153F4D7E" w14:textId="77777777" w:rsidR="00A4608D" w:rsidRPr="00A6689B" w:rsidRDefault="00A4608D" w:rsidP="00C93F66">
            <w:pPr>
              <w:rPr>
                <w:i/>
              </w:rPr>
            </w:pPr>
            <w:r>
              <w:rPr>
                <w:b/>
                <w:i/>
              </w:rPr>
              <w:t>Contact</w:t>
            </w:r>
          </w:p>
        </w:tc>
        <w:tc>
          <w:tcPr>
            <w:tcW w:w="3923" w:type="pct"/>
          </w:tcPr>
          <w:p w14:paraId="388CA76D" w14:textId="77777777" w:rsidR="00A4608D" w:rsidRPr="00A6689B" w:rsidRDefault="00A4608D" w:rsidP="00C93F66">
            <w:pPr>
              <w:rPr>
                <w:i/>
              </w:rPr>
            </w:pPr>
            <w:r>
              <w:rPr>
                <w:i/>
              </w:rPr>
              <w:t>Andreas BERGER</w:t>
            </w:r>
          </w:p>
        </w:tc>
      </w:tr>
      <w:tr w:rsidR="00A4608D" w:rsidRPr="00A6689B" w14:paraId="736ADCED" w14:textId="77777777" w:rsidTr="00C93F66">
        <w:tc>
          <w:tcPr>
            <w:tcW w:w="1077" w:type="pct"/>
          </w:tcPr>
          <w:p w14:paraId="1F607864" w14:textId="77777777" w:rsidR="00A4608D" w:rsidRPr="00A6689B" w:rsidRDefault="00A4608D" w:rsidP="00C93F66">
            <w:pPr>
              <w:rPr>
                <w:i/>
              </w:rPr>
            </w:pPr>
            <w:r>
              <w:rPr>
                <w:i/>
              </w:rPr>
              <w:t>Tél.</w:t>
            </w:r>
          </w:p>
        </w:tc>
        <w:tc>
          <w:tcPr>
            <w:tcW w:w="3923" w:type="pct"/>
          </w:tcPr>
          <w:p w14:paraId="52F746FB" w14:textId="77777777" w:rsidR="00A4608D" w:rsidRPr="00A6689B" w:rsidRDefault="00A4608D" w:rsidP="00C93F66">
            <w:pPr>
              <w:rPr>
                <w:i/>
              </w:rPr>
            </w:pPr>
            <w:r>
              <w:rPr>
                <w:i/>
              </w:rPr>
              <w:t>+32 2 546 9062</w:t>
            </w:r>
          </w:p>
        </w:tc>
      </w:tr>
      <w:tr w:rsidR="00A4608D" w:rsidRPr="00A6689B" w14:paraId="41F64E8F" w14:textId="77777777" w:rsidTr="00C93F66">
        <w:tc>
          <w:tcPr>
            <w:tcW w:w="1077" w:type="pct"/>
          </w:tcPr>
          <w:p w14:paraId="65AA76D1" w14:textId="77777777" w:rsidR="00A4608D" w:rsidRPr="00A6689B" w:rsidRDefault="00A4608D" w:rsidP="00C93F66">
            <w:pPr>
              <w:rPr>
                <w:i/>
              </w:rPr>
            </w:pPr>
            <w:r>
              <w:rPr>
                <w:i/>
              </w:rPr>
              <w:t>Courriel</w:t>
            </w:r>
          </w:p>
        </w:tc>
        <w:tc>
          <w:tcPr>
            <w:tcW w:w="3923" w:type="pct"/>
          </w:tcPr>
          <w:p w14:paraId="579D208B" w14:textId="77777777" w:rsidR="00A4608D" w:rsidRPr="00A6689B" w:rsidRDefault="00CB508B" w:rsidP="00C93F66">
            <w:pPr>
              <w:rPr>
                <w:i/>
              </w:rPr>
            </w:pPr>
            <w:hyperlink r:id="rId95" w:history="1">
              <w:r w:rsidR="00A4608D">
                <w:rPr>
                  <w:rStyle w:val="Hyperlink"/>
                  <w:i/>
                </w:rPr>
                <w:t>Andreas.Berger@eesc.europa.eu</w:t>
              </w:r>
            </w:hyperlink>
            <w:r w:rsidR="00A4608D">
              <w:rPr>
                <w:i/>
              </w:rPr>
              <w:t xml:space="preserve"> </w:t>
            </w:r>
          </w:p>
        </w:tc>
      </w:tr>
    </w:tbl>
    <w:p w14:paraId="767A5183" w14:textId="77777777" w:rsidR="00F31327" w:rsidRDefault="00F31327" w:rsidP="00F31327">
      <w:pPr>
        <w:jc w:val="left"/>
        <w:rPr>
          <w:b/>
          <w:i/>
          <w:sz w:val="28"/>
          <w:szCs w:val="28"/>
          <w:lang w:val="en-GB"/>
        </w:rPr>
      </w:pPr>
      <w:r>
        <w:rPr>
          <w:b/>
          <w:i/>
          <w:sz w:val="28"/>
          <w:szCs w:val="28"/>
          <w:lang w:val="en-GB"/>
        </w:rPr>
        <w:br w:type="page"/>
      </w:r>
    </w:p>
    <w:p w14:paraId="4D95F5C4" w14:textId="17D2D831" w:rsidR="00F31327" w:rsidRDefault="00040B39" w:rsidP="00F31327">
      <w:pPr>
        <w:pStyle w:val="Heading1"/>
        <w:keepNext/>
        <w:keepLines/>
        <w:ind w:left="567" w:hanging="567"/>
        <w:rPr>
          <w:b/>
          <w:color w:val="222A35" w:themeColor="text2" w:themeShade="80"/>
          <w:lang w:val="en-GB"/>
        </w:rPr>
      </w:pPr>
      <w:bookmarkStart w:id="168" w:name="_Toc211333717"/>
      <w:r w:rsidRPr="00040B39">
        <w:rPr>
          <w:b/>
          <w:color w:val="222A35" w:themeColor="text2" w:themeShade="80"/>
          <w:lang w:val="en-GB"/>
        </w:rPr>
        <w:lastRenderedPageBreak/>
        <w:t>COMMISSION CONSULTATIVE DES MUTATIONS INDUSTRIELLES</w:t>
      </w:r>
      <w:bookmarkEnd w:id="168"/>
    </w:p>
    <w:p w14:paraId="0D023EB1" w14:textId="77777777" w:rsidR="00F31327" w:rsidRDefault="00F31327" w:rsidP="00F31327">
      <w:pPr>
        <w:keepNext/>
        <w:keepLines/>
        <w:jc w:val="left"/>
        <w:rPr>
          <w:lang w:val="en-GB"/>
        </w:rPr>
      </w:pPr>
    </w:p>
    <w:p w14:paraId="4408CA35" w14:textId="5475F7E8" w:rsidR="00A4608D" w:rsidRPr="0003586F" w:rsidRDefault="00CB508B" w:rsidP="00A4608D">
      <w:pPr>
        <w:widowControl w:val="0"/>
        <w:numPr>
          <w:ilvl w:val="0"/>
          <w:numId w:val="19"/>
        </w:numPr>
        <w:overflowPunct w:val="0"/>
        <w:autoSpaceDE w:val="0"/>
        <w:autoSpaceDN w:val="0"/>
        <w:adjustRightInd w:val="0"/>
        <w:ind w:hanging="567"/>
        <w:textAlignment w:val="baseline"/>
        <w:rPr>
          <w:sz w:val="20"/>
        </w:rPr>
      </w:pPr>
      <w:hyperlink r:id="rId96" w:history="1">
        <w:r w:rsidR="00A4608D">
          <w:rPr>
            <w:rStyle w:val="Hyperlink"/>
            <w:b/>
            <w:i/>
            <w:sz w:val="28"/>
          </w:rPr>
          <w:t>Stratégie pour la résilience dans le domaine de l’eau</w:t>
        </w:r>
      </w:hyperlink>
    </w:p>
    <w:p w14:paraId="20422142" w14:textId="77777777" w:rsidR="00A4608D" w:rsidRPr="00A6689B" w:rsidRDefault="00A4608D" w:rsidP="00A4608D">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A4608D" w:rsidRPr="00A6689B" w14:paraId="6C615D08" w14:textId="77777777" w:rsidTr="00C93F66">
        <w:tc>
          <w:tcPr>
            <w:tcW w:w="1701" w:type="dxa"/>
          </w:tcPr>
          <w:p w14:paraId="240297D3" w14:textId="77777777" w:rsidR="00A4608D" w:rsidRPr="002F1B78" w:rsidRDefault="00A4608D" w:rsidP="00C93F66">
            <w:pPr>
              <w:tabs>
                <w:tab w:val="center" w:pos="284"/>
              </w:tabs>
              <w:ind w:left="266" w:hanging="266"/>
              <w:rPr>
                <w:b/>
              </w:rPr>
            </w:pPr>
            <w:bookmarkStart w:id="169" w:name="_Hlk203461239"/>
            <w:r>
              <w:rPr>
                <w:b/>
              </w:rPr>
              <w:t>Rapporteur</w:t>
            </w:r>
          </w:p>
        </w:tc>
        <w:tc>
          <w:tcPr>
            <w:tcW w:w="5387" w:type="dxa"/>
          </w:tcPr>
          <w:p w14:paraId="128751FF" w14:textId="77777777" w:rsidR="00A4608D" w:rsidRPr="002F1B78" w:rsidRDefault="00A4608D" w:rsidP="00C93F66">
            <w:pPr>
              <w:tabs>
                <w:tab w:val="center" w:pos="284"/>
              </w:tabs>
              <w:ind w:left="266" w:hanging="266"/>
            </w:pPr>
            <w:proofErr w:type="spellStart"/>
            <w:r>
              <w:t>András</w:t>
            </w:r>
            <w:proofErr w:type="spellEnd"/>
            <w:r>
              <w:t> EDELÉNYI (groupe des employeurs — HU)</w:t>
            </w:r>
          </w:p>
        </w:tc>
      </w:tr>
      <w:tr w:rsidR="00A4608D" w:rsidRPr="00A6689B" w14:paraId="2D993722" w14:textId="77777777" w:rsidTr="00C93F66">
        <w:tc>
          <w:tcPr>
            <w:tcW w:w="1701" w:type="dxa"/>
          </w:tcPr>
          <w:p w14:paraId="6E3ADAFD" w14:textId="77777777" w:rsidR="00A4608D" w:rsidRPr="002F1B78" w:rsidRDefault="00A4608D" w:rsidP="00C93F66">
            <w:pPr>
              <w:tabs>
                <w:tab w:val="center" w:pos="284"/>
              </w:tabs>
              <w:ind w:left="266" w:hanging="266"/>
              <w:rPr>
                <w:b/>
              </w:rPr>
            </w:pPr>
            <w:r>
              <w:rPr>
                <w:b/>
              </w:rPr>
              <w:t>Corapporteur</w:t>
            </w:r>
          </w:p>
        </w:tc>
        <w:tc>
          <w:tcPr>
            <w:tcW w:w="5387" w:type="dxa"/>
          </w:tcPr>
          <w:p w14:paraId="62F00914" w14:textId="77777777" w:rsidR="00A4608D" w:rsidRPr="002F1B78" w:rsidRDefault="00A4608D" w:rsidP="00C93F66">
            <w:pPr>
              <w:tabs>
                <w:tab w:val="center" w:pos="284"/>
              </w:tabs>
              <w:ind w:left="266" w:hanging="266"/>
            </w:pPr>
            <w:r>
              <w:t>Guido NELISSEN (catégorie 2 — BE)</w:t>
            </w:r>
          </w:p>
        </w:tc>
      </w:tr>
      <w:bookmarkEnd w:id="169"/>
      <w:tr w:rsidR="00A4608D" w:rsidRPr="00A6689B" w14:paraId="0B4A468F" w14:textId="77777777" w:rsidTr="00C93F66">
        <w:tc>
          <w:tcPr>
            <w:tcW w:w="7088" w:type="dxa"/>
            <w:gridSpan w:val="2"/>
          </w:tcPr>
          <w:p w14:paraId="69E4D849" w14:textId="77777777" w:rsidR="00A4608D" w:rsidRPr="002F1B78" w:rsidRDefault="00A4608D" w:rsidP="00C93F66">
            <w:pPr>
              <w:tabs>
                <w:tab w:val="center" w:pos="284"/>
              </w:tabs>
              <w:spacing w:line="160" w:lineRule="exact"/>
              <w:ind w:left="266" w:hanging="266"/>
              <w:rPr>
                <w:highlight w:val="yellow"/>
                <w:lang w:val="en-US"/>
              </w:rPr>
            </w:pPr>
          </w:p>
        </w:tc>
      </w:tr>
      <w:tr w:rsidR="00A4608D" w:rsidRPr="00A6689B" w14:paraId="4CFDF2C0" w14:textId="77777777" w:rsidTr="00C93F66">
        <w:tc>
          <w:tcPr>
            <w:tcW w:w="1701" w:type="dxa"/>
            <w:vMerge w:val="restart"/>
          </w:tcPr>
          <w:p w14:paraId="3B818DDA" w14:textId="77777777" w:rsidR="00A4608D" w:rsidRPr="00A6689B" w:rsidRDefault="00A4608D" w:rsidP="00C93F66">
            <w:pPr>
              <w:tabs>
                <w:tab w:val="center" w:pos="284"/>
              </w:tabs>
              <w:ind w:left="266" w:hanging="266"/>
              <w:rPr>
                <w:b/>
              </w:rPr>
            </w:pPr>
            <w:r>
              <w:rPr>
                <w:b/>
              </w:rPr>
              <w:t>Référence</w:t>
            </w:r>
          </w:p>
        </w:tc>
        <w:tc>
          <w:tcPr>
            <w:tcW w:w="5387" w:type="dxa"/>
          </w:tcPr>
          <w:p w14:paraId="16AC314A" w14:textId="77777777" w:rsidR="00475AF8" w:rsidRPr="00EA2195" w:rsidRDefault="00475AF8" w:rsidP="00475AF8">
            <w:pPr>
              <w:tabs>
                <w:tab w:val="center" w:pos="284"/>
              </w:tabs>
              <w:overflowPunct w:val="0"/>
              <w:autoSpaceDE w:val="0"/>
              <w:autoSpaceDN w:val="0"/>
              <w:adjustRightInd w:val="0"/>
              <w:ind w:left="266" w:hanging="266"/>
              <w:textAlignment w:val="baseline"/>
              <w:rPr>
                <w:lang w:val="pt-PT"/>
              </w:rPr>
            </w:pPr>
            <w:proofErr w:type="gramStart"/>
            <w:r w:rsidRPr="00EA2195">
              <w:rPr>
                <w:lang w:val="pt-PT"/>
              </w:rPr>
              <w:t>COM(</w:t>
            </w:r>
            <w:proofErr w:type="gramEnd"/>
            <w:r w:rsidRPr="00EA2195">
              <w:rPr>
                <w:lang w:val="pt-PT"/>
              </w:rPr>
              <w:t>2025) 280 f</w:t>
            </w:r>
            <w:r>
              <w:rPr>
                <w:lang w:val="pt-PT"/>
              </w:rPr>
              <w:t>inal</w:t>
            </w:r>
          </w:p>
          <w:p w14:paraId="742BBCFC" w14:textId="77777777" w:rsidR="00A4608D" w:rsidRPr="00D220EB" w:rsidRDefault="00A4608D" w:rsidP="00C93F66">
            <w:pPr>
              <w:tabs>
                <w:tab w:val="center" w:pos="284"/>
              </w:tabs>
              <w:ind w:left="266" w:hanging="266"/>
              <w:rPr>
                <w:highlight w:val="yellow"/>
              </w:rPr>
            </w:pPr>
            <w:r>
              <w:t>EESC-2024-00587-00-00-AC-TRA</w:t>
            </w:r>
          </w:p>
        </w:tc>
      </w:tr>
      <w:tr w:rsidR="00A4608D" w:rsidRPr="00A6689B" w14:paraId="52544BE1" w14:textId="77777777" w:rsidTr="00C93F66">
        <w:tc>
          <w:tcPr>
            <w:tcW w:w="1701" w:type="dxa"/>
            <w:vMerge/>
          </w:tcPr>
          <w:p w14:paraId="45569C79" w14:textId="77777777" w:rsidR="00A4608D" w:rsidRPr="00A6689B" w:rsidRDefault="00A4608D" w:rsidP="00C93F66">
            <w:pPr>
              <w:tabs>
                <w:tab w:val="center" w:pos="284"/>
              </w:tabs>
              <w:ind w:left="266" w:hanging="266"/>
              <w:rPr>
                <w:b/>
                <w:lang w:val="en-US"/>
              </w:rPr>
            </w:pPr>
          </w:p>
        </w:tc>
        <w:tc>
          <w:tcPr>
            <w:tcW w:w="5387" w:type="dxa"/>
          </w:tcPr>
          <w:p w14:paraId="26BD96F0" w14:textId="77777777" w:rsidR="00A4608D" w:rsidRPr="00A6689B" w:rsidRDefault="00A4608D" w:rsidP="00C93F66">
            <w:pPr>
              <w:tabs>
                <w:tab w:val="center" w:pos="284"/>
              </w:tabs>
              <w:ind w:left="266" w:hanging="266"/>
              <w:rPr>
                <w:lang w:val="en-US"/>
              </w:rPr>
            </w:pPr>
          </w:p>
        </w:tc>
      </w:tr>
    </w:tbl>
    <w:p w14:paraId="06EFD6A6" w14:textId="77777777" w:rsidR="00A4608D" w:rsidRPr="00A6689B" w:rsidRDefault="00A4608D" w:rsidP="00A4608D">
      <w:pPr>
        <w:tabs>
          <w:tab w:val="center" w:pos="284"/>
        </w:tabs>
        <w:ind w:left="266" w:hanging="266"/>
      </w:pPr>
    </w:p>
    <w:p w14:paraId="3A0A64F6" w14:textId="77777777" w:rsidR="00A4608D" w:rsidRPr="00A6689B" w:rsidRDefault="00A4608D" w:rsidP="00A4608D">
      <w:pPr>
        <w:keepNext/>
        <w:keepLines/>
        <w:tabs>
          <w:tab w:val="center" w:pos="284"/>
        </w:tabs>
        <w:ind w:left="266" w:hanging="266"/>
        <w:rPr>
          <w:b/>
        </w:rPr>
      </w:pPr>
      <w:r>
        <w:rPr>
          <w:b/>
        </w:rPr>
        <w:t>Points clés</w:t>
      </w:r>
    </w:p>
    <w:p w14:paraId="3BD01639" w14:textId="77777777" w:rsidR="00A4608D" w:rsidRPr="00A6689B" w:rsidRDefault="00A4608D" w:rsidP="00A4608D">
      <w:pPr>
        <w:keepNext/>
        <w:keepLines/>
        <w:tabs>
          <w:tab w:val="center" w:pos="284"/>
        </w:tabs>
        <w:ind w:left="266" w:hanging="266"/>
        <w:rPr>
          <w:b/>
        </w:rPr>
      </w:pPr>
    </w:p>
    <w:p w14:paraId="38F14EEA" w14:textId="77777777" w:rsidR="00A4608D" w:rsidRPr="00D52BFE" w:rsidRDefault="00A4608D" w:rsidP="00A4608D">
      <w:pPr>
        <w:rPr>
          <w:bCs/>
          <w:iCs/>
        </w:rPr>
      </w:pPr>
      <w:r>
        <w:t xml:space="preserve">Le </w:t>
      </w:r>
      <w:proofErr w:type="gramStart"/>
      <w:r>
        <w:t>CESE:</w:t>
      </w:r>
      <w:proofErr w:type="gramEnd"/>
    </w:p>
    <w:p w14:paraId="277FE972" w14:textId="77777777" w:rsidR="00A4608D" w:rsidRPr="00D52BFE" w:rsidRDefault="00A4608D" w:rsidP="00A4608D">
      <w:pPr>
        <w:widowControl w:val="0"/>
        <w:numPr>
          <w:ilvl w:val="0"/>
          <w:numId w:val="19"/>
        </w:numPr>
        <w:overflowPunct w:val="0"/>
        <w:autoSpaceDE w:val="0"/>
        <w:autoSpaceDN w:val="0"/>
        <w:adjustRightInd w:val="0"/>
        <w:ind w:left="709" w:hanging="425"/>
        <w:textAlignment w:val="baseline"/>
        <w:rPr>
          <w:bCs/>
          <w:iCs/>
        </w:rPr>
      </w:pPr>
      <w:r>
        <w:t xml:space="preserve">souligne que </w:t>
      </w:r>
      <w:r>
        <w:rPr>
          <w:b/>
        </w:rPr>
        <w:t>la stratégie pour la résilience dans le domaine de l’eau devrait figurer au premier rang des priorités politiques de l’Union</w:t>
      </w:r>
      <w:r>
        <w:t xml:space="preserve">, étant donné que l’eau est un bien public limité, que la </w:t>
      </w:r>
      <w:r>
        <w:rPr>
          <w:b/>
        </w:rPr>
        <w:t>précarité hydrique</w:t>
      </w:r>
      <w:r>
        <w:t xml:space="preserve"> est inacceptable et que l’accès à des ressources hydriques viables et durables est essentiel pour </w:t>
      </w:r>
      <w:r>
        <w:rPr>
          <w:b/>
        </w:rPr>
        <w:t>faire en sorte que l’eau reste accessible à un prix abordable à tous les citoyens</w:t>
      </w:r>
      <w:r>
        <w:t xml:space="preserve">, pour restaurer et protéger les </w:t>
      </w:r>
      <w:r>
        <w:rPr>
          <w:b/>
        </w:rPr>
        <w:t>écosystèmes</w:t>
      </w:r>
      <w:r>
        <w:t xml:space="preserve">, pour préserver la </w:t>
      </w:r>
      <w:r>
        <w:rPr>
          <w:b/>
        </w:rPr>
        <w:t>compétitivité</w:t>
      </w:r>
      <w:r>
        <w:t xml:space="preserve"> des activités économiques à forte consommation hydrique et pour conserver des communautés durables dans nos sociétés;</w:t>
      </w:r>
    </w:p>
    <w:p w14:paraId="712B7335" w14:textId="77777777" w:rsidR="00A4608D" w:rsidRPr="00D52BFE" w:rsidRDefault="00A4608D" w:rsidP="00A4608D">
      <w:pPr>
        <w:widowControl w:val="0"/>
        <w:numPr>
          <w:ilvl w:val="0"/>
          <w:numId w:val="19"/>
        </w:numPr>
        <w:overflowPunct w:val="0"/>
        <w:autoSpaceDE w:val="0"/>
        <w:autoSpaceDN w:val="0"/>
        <w:adjustRightInd w:val="0"/>
        <w:ind w:left="709" w:hanging="425"/>
        <w:textAlignment w:val="baseline"/>
        <w:rPr>
          <w:bCs/>
          <w:iCs/>
        </w:rPr>
      </w:pPr>
      <w:proofErr w:type="gramStart"/>
      <w:r>
        <w:t>réclame</w:t>
      </w:r>
      <w:proofErr w:type="gramEnd"/>
      <w:r>
        <w:t xml:space="preserve"> à nouveau que l’eau devienne une </w:t>
      </w:r>
      <w:r>
        <w:rPr>
          <w:b/>
        </w:rPr>
        <w:t>priorité</w:t>
      </w:r>
      <w:r>
        <w:t xml:space="preserve"> stratégique </w:t>
      </w:r>
      <w:r>
        <w:rPr>
          <w:b/>
        </w:rPr>
        <w:t>dans le prochain cadre financier pluriannuel (CFP)</w:t>
      </w:r>
      <w:r>
        <w:t xml:space="preserve"> et fait valoir qu’il s’impose de mettre en place un financement </w:t>
      </w:r>
      <w:r>
        <w:rPr>
          <w:b/>
        </w:rPr>
        <w:t>public</w:t>
      </w:r>
      <w:r>
        <w:t xml:space="preserve"> bien conçu et un financement de la Banque européenne d’investissement (</w:t>
      </w:r>
      <w:r>
        <w:rPr>
          <w:b/>
        </w:rPr>
        <w:t>BEI</w:t>
      </w:r>
      <w:r>
        <w:t xml:space="preserve">), afin de </w:t>
      </w:r>
      <w:r>
        <w:rPr>
          <w:b/>
        </w:rPr>
        <w:t>mobiliser</w:t>
      </w:r>
      <w:r>
        <w:t xml:space="preserve"> d’autres investissements nécessaires en soutenant des financements </w:t>
      </w:r>
      <w:r>
        <w:rPr>
          <w:b/>
        </w:rPr>
        <w:t>privés</w:t>
      </w:r>
      <w:r>
        <w:t>;</w:t>
      </w:r>
    </w:p>
    <w:p w14:paraId="2AEFAC52" w14:textId="77777777" w:rsidR="00A4608D" w:rsidRPr="00D52BFE" w:rsidRDefault="00A4608D" w:rsidP="00A4608D">
      <w:pPr>
        <w:widowControl w:val="0"/>
        <w:numPr>
          <w:ilvl w:val="0"/>
          <w:numId w:val="19"/>
        </w:numPr>
        <w:overflowPunct w:val="0"/>
        <w:autoSpaceDE w:val="0"/>
        <w:autoSpaceDN w:val="0"/>
        <w:adjustRightInd w:val="0"/>
        <w:ind w:left="709" w:hanging="425"/>
        <w:textAlignment w:val="baseline"/>
        <w:rPr>
          <w:bCs/>
          <w:iCs/>
        </w:rPr>
      </w:pPr>
      <w:proofErr w:type="gramStart"/>
      <w:r>
        <w:t>soutient</w:t>
      </w:r>
      <w:proofErr w:type="gramEnd"/>
      <w:r>
        <w:t xml:space="preserve"> l’</w:t>
      </w:r>
      <w:r>
        <w:rPr>
          <w:b/>
        </w:rPr>
        <w:t>objectif visant à augmenter de 10 % l’utilisation rationnelle de l’eau</w:t>
      </w:r>
      <w:r>
        <w:t xml:space="preserve"> et demande la mise en œuvre de plans et d’indicateurs dans les bassins hydrographiques ainsi que l’intégration dudit objectif dans les plans d’action sectoriels afin de faire en sorte qu’il soit opérationnel;</w:t>
      </w:r>
    </w:p>
    <w:p w14:paraId="47B28734" w14:textId="77777777" w:rsidR="00A4608D" w:rsidRPr="00D52BFE" w:rsidRDefault="00A4608D" w:rsidP="00A4608D">
      <w:pPr>
        <w:widowControl w:val="0"/>
        <w:numPr>
          <w:ilvl w:val="0"/>
          <w:numId w:val="19"/>
        </w:numPr>
        <w:overflowPunct w:val="0"/>
        <w:autoSpaceDE w:val="0"/>
        <w:autoSpaceDN w:val="0"/>
        <w:adjustRightInd w:val="0"/>
        <w:ind w:left="709" w:hanging="425"/>
        <w:textAlignment w:val="baseline"/>
        <w:rPr>
          <w:bCs/>
          <w:iCs/>
        </w:rPr>
      </w:pPr>
      <w:proofErr w:type="gramStart"/>
      <w:r>
        <w:t>propose</w:t>
      </w:r>
      <w:proofErr w:type="gramEnd"/>
      <w:r>
        <w:t xml:space="preserve"> que des objectifs de </w:t>
      </w:r>
      <w:r>
        <w:rPr>
          <w:b/>
        </w:rPr>
        <w:t>réduction des fuites</w:t>
      </w:r>
      <w:r>
        <w:t xml:space="preserve"> à horizon court soient fixés et que l’</w:t>
      </w:r>
      <w:r>
        <w:rPr>
          <w:b/>
        </w:rPr>
        <w:t>échéance de 2030</w:t>
      </w:r>
      <w:r>
        <w:t xml:space="preserve"> pour que les États membres mettent en place des plans nationaux (obligatoires) </w:t>
      </w:r>
      <w:r>
        <w:rPr>
          <w:b/>
        </w:rPr>
        <w:t>soit avancée</w:t>
      </w:r>
      <w:r>
        <w:t>;</w:t>
      </w:r>
    </w:p>
    <w:p w14:paraId="26F99F52" w14:textId="77777777" w:rsidR="00A4608D" w:rsidRPr="00D52BFE" w:rsidRDefault="00A4608D" w:rsidP="00A4608D">
      <w:pPr>
        <w:widowControl w:val="0"/>
        <w:numPr>
          <w:ilvl w:val="0"/>
          <w:numId w:val="19"/>
        </w:numPr>
        <w:overflowPunct w:val="0"/>
        <w:autoSpaceDE w:val="0"/>
        <w:autoSpaceDN w:val="0"/>
        <w:adjustRightInd w:val="0"/>
        <w:ind w:left="709" w:hanging="425"/>
        <w:textAlignment w:val="baseline"/>
        <w:rPr>
          <w:bCs/>
          <w:iCs/>
        </w:rPr>
      </w:pPr>
      <w:proofErr w:type="gramStart"/>
      <w:r>
        <w:t>se</w:t>
      </w:r>
      <w:proofErr w:type="gramEnd"/>
      <w:r>
        <w:t xml:space="preserve"> félicite de la proposition de la Commission de convoquer tous les deux ans un </w:t>
      </w:r>
      <w:r>
        <w:rPr>
          <w:b/>
        </w:rPr>
        <w:t>forum sur la résilience dans le domaine de l’eau</w:t>
      </w:r>
      <w:r>
        <w:t xml:space="preserve"> et </w:t>
      </w:r>
      <w:r>
        <w:rPr>
          <w:b/>
        </w:rPr>
        <w:t>souhaite y être associé en tant que coorganisateur</w:t>
      </w:r>
      <w:r>
        <w:t>, compte tenu de son rôle de premier plan dans la conduite d’une politique ambitieuse de l’Union dans ledit domaine;</w:t>
      </w:r>
    </w:p>
    <w:p w14:paraId="5161E6ED" w14:textId="77777777" w:rsidR="00A4608D" w:rsidRPr="00D52BFE" w:rsidRDefault="00A4608D" w:rsidP="00A4608D">
      <w:pPr>
        <w:widowControl w:val="0"/>
        <w:numPr>
          <w:ilvl w:val="0"/>
          <w:numId w:val="19"/>
        </w:numPr>
        <w:overflowPunct w:val="0"/>
        <w:autoSpaceDE w:val="0"/>
        <w:autoSpaceDN w:val="0"/>
        <w:adjustRightInd w:val="0"/>
        <w:ind w:left="709" w:hanging="425"/>
        <w:textAlignment w:val="baseline"/>
        <w:rPr>
          <w:bCs/>
          <w:iCs/>
        </w:rPr>
      </w:pPr>
      <w:proofErr w:type="gramStart"/>
      <w:r>
        <w:t>réaffirme</w:t>
      </w:r>
      <w:proofErr w:type="gramEnd"/>
      <w:r>
        <w:t xml:space="preserve"> la nécessité de </w:t>
      </w:r>
      <w:r>
        <w:rPr>
          <w:b/>
        </w:rPr>
        <w:t>mettre en place une plateforme consultative des parties prenantes de l’UE</w:t>
      </w:r>
      <w:r>
        <w:t xml:space="preserve">, </w:t>
      </w:r>
      <w:r>
        <w:rPr>
          <w:b/>
        </w:rPr>
        <w:t>qui comprenne le CESE lui-même et d’autres institutions de l’Union</w:t>
      </w:r>
      <w:r>
        <w:t xml:space="preserve"> et qui soit fondée sur un modèle similaire à celui de la plateforme des acteurs européens de l’économie circulaire. Cette plateforme permettrait de suivre la mise en œuvre de la stratégie pour la résilience dans le domaine de l’eau et de partager les bonnes pratiques, en soutenant la préparation du forum sur la résilience dans le domaine de l’eau et en assurant un suivi </w:t>
      </w:r>
      <w:proofErr w:type="gramStart"/>
      <w:r>
        <w:t>continu;</w:t>
      </w:r>
      <w:proofErr w:type="gramEnd"/>
    </w:p>
    <w:p w14:paraId="33E4FFA5" w14:textId="77777777" w:rsidR="00A4608D" w:rsidRPr="00D52BFE" w:rsidRDefault="00A4608D" w:rsidP="00A4608D">
      <w:pPr>
        <w:widowControl w:val="0"/>
        <w:numPr>
          <w:ilvl w:val="0"/>
          <w:numId w:val="19"/>
        </w:numPr>
        <w:overflowPunct w:val="0"/>
        <w:autoSpaceDE w:val="0"/>
        <w:autoSpaceDN w:val="0"/>
        <w:adjustRightInd w:val="0"/>
        <w:ind w:left="709" w:hanging="425"/>
        <w:textAlignment w:val="baseline"/>
        <w:rPr>
          <w:bCs/>
          <w:iCs/>
        </w:rPr>
      </w:pPr>
      <w:proofErr w:type="gramStart"/>
      <w:r>
        <w:t>salue</w:t>
      </w:r>
      <w:proofErr w:type="gramEnd"/>
      <w:r>
        <w:t xml:space="preserve"> l’annonce de l’</w:t>
      </w:r>
      <w:r>
        <w:rPr>
          <w:b/>
        </w:rPr>
        <w:t>alliance industrielle intelligente dans le domaine de l’eau</w:t>
      </w:r>
      <w:r>
        <w:t xml:space="preserve">, qui vise à stimuler la compétitivité, et </w:t>
      </w:r>
      <w:r>
        <w:rPr>
          <w:b/>
        </w:rPr>
        <w:t>demande à être membre de cette nouvelle alliance</w:t>
      </w:r>
      <w:r>
        <w:t>;</w:t>
      </w:r>
    </w:p>
    <w:p w14:paraId="733025D8" w14:textId="77777777" w:rsidR="00A4608D" w:rsidRPr="00D52BFE" w:rsidRDefault="00A4608D" w:rsidP="00A4608D">
      <w:pPr>
        <w:widowControl w:val="0"/>
        <w:numPr>
          <w:ilvl w:val="0"/>
          <w:numId w:val="19"/>
        </w:numPr>
        <w:overflowPunct w:val="0"/>
        <w:autoSpaceDE w:val="0"/>
        <w:autoSpaceDN w:val="0"/>
        <w:adjustRightInd w:val="0"/>
        <w:ind w:left="709" w:hanging="425"/>
        <w:textAlignment w:val="baseline"/>
        <w:rPr>
          <w:bCs/>
          <w:iCs/>
        </w:rPr>
      </w:pPr>
      <w:proofErr w:type="gramStart"/>
      <w:r>
        <w:t>recommande</w:t>
      </w:r>
      <w:proofErr w:type="gramEnd"/>
      <w:r>
        <w:t xml:space="preserve"> qu’</w:t>
      </w:r>
      <w:r>
        <w:rPr>
          <w:b/>
        </w:rPr>
        <w:t>un «test hydrique» soit systématiquement appliqué aux actes législatifs de l’UE nouveaux ou révisés</w:t>
      </w:r>
      <w:r>
        <w:t xml:space="preserve"> afin de garantir que ceux-ci soient conformes aux objectifs de la </w:t>
      </w:r>
      <w:r>
        <w:lastRenderedPageBreak/>
        <w:t>stratégie pour la résilience dans le domaine de l’eau;</w:t>
      </w:r>
    </w:p>
    <w:p w14:paraId="1928C58F" w14:textId="77777777" w:rsidR="00A4608D" w:rsidRPr="00110881" w:rsidRDefault="00A4608D" w:rsidP="00A4608D">
      <w:pPr>
        <w:widowControl w:val="0"/>
        <w:numPr>
          <w:ilvl w:val="0"/>
          <w:numId w:val="19"/>
        </w:numPr>
        <w:overflowPunct w:val="0"/>
        <w:autoSpaceDE w:val="0"/>
        <w:autoSpaceDN w:val="0"/>
        <w:adjustRightInd w:val="0"/>
        <w:ind w:left="709" w:hanging="425"/>
        <w:textAlignment w:val="baseline"/>
        <w:rPr>
          <w:bCs/>
          <w:iCs/>
        </w:rPr>
      </w:pPr>
      <w:proofErr w:type="gramStart"/>
      <w:r>
        <w:t>souligne</w:t>
      </w:r>
      <w:proofErr w:type="gramEnd"/>
      <w:r>
        <w:t xml:space="preserve"> que les risques liés à l’eau doivent être traités au moyen d’un système intégré de gestion de la </w:t>
      </w:r>
      <w:r>
        <w:rPr>
          <w:b/>
        </w:rPr>
        <w:t>préparation</w:t>
      </w:r>
      <w:r>
        <w:t>, qui soit fondé sur des responsabilités claires et une évaluation proactive des risques.</w:t>
      </w:r>
    </w:p>
    <w:p w14:paraId="4C2FBC9D" w14:textId="77777777" w:rsidR="00A4608D" w:rsidRPr="000624A9" w:rsidRDefault="00A4608D" w:rsidP="00A4608D">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4608D" w:rsidRPr="00A6689B" w14:paraId="02E27B4F" w14:textId="77777777" w:rsidTr="00C93F66">
        <w:tc>
          <w:tcPr>
            <w:tcW w:w="1418" w:type="dxa"/>
          </w:tcPr>
          <w:p w14:paraId="5E63BFAE" w14:textId="77777777" w:rsidR="00A4608D" w:rsidRPr="00A6689B" w:rsidRDefault="00A4608D" w:rsidP="00C93F66">
            <w:pPr>
              <w:spacing w:line="240" w:lineRule="auto"/>
              <w:rPr>
                <w:i/>
              </w:rPr>
            </w:pPr>
            <w:r>
              <w:rPr>
                <w:b/>
                <w:i/>
              </w:rPr>
              <w:t>Contact</w:t>
            </w:r>
          </w:p>
        </w:tc>
        <w:tc>
          <w:tcPr>
            <w:tcW w:w="5670" w:type="dxa"/>
          </w:tcPr>
          <w:p w14:paraId="33BD5E96" w14:textId="169F1987" w:rsidR="00A4608D" w:rsidRPr="00922069" w:rsidRDefault="00A4608D" w:rsidP="00C93F66">
            <w:pPr>
              <w:spacing w:line="240" w:lineRule="auto"/>
              <w:rPr>
                <w:i/>
              </w:rPr>
            </w:pPr>
            <w:proofErr w:type="spellStart"/>
            <w:r>
              <w:rPr>
                <w:i/>
              </w:rPr>
              <w:t>Heli</w:t>
            </w:r>
            <w:proofErr w:type="spellEnd"/>
            <w:r>
              <w:rPr>
                <w:i/>
              </w:rPr>
              <w:t xml:space="preserve"> </w:t>
            </w:r>
            <w:r w:rsidR="00475AF8">
              <w:rPr>
                <w:i/>
              </w:rPr>
              <w:t>NIEMELÄ-FARRER</w:t>
            </w:r>
          </w:p>
        </w:tc>
      </w:tr>
      <w:tr w:rsidR="00A4608D" w:rsidRPr="00A6689B" w14:paraId="4F1B30E6" w14:textId="77777777" w:rsidTr="00C93F66">
        <w:tc>
          <w:tcPr>
            <w:tcW w:w="1418" w:type="dxa"/>
          </w:tcPr>
          <w:p w14:paraId="45A13EDF" w14:textId="77777777" w:rsidR="00A4608D" w:rsidRPr="00A6689B" w:rsidRDefault="00A4608D" w:rsidP="00C93F66">
            <w:pPr>
              <w:spacing w:line="240" w:lineRule="auto"/>
              <w:rPr>
                <w:i/>
              </w:rPr>
            </w:pPr>
            <w:r>
              <w:rPr>
                <w:i/>
              </w:rPr>
              <w:t>Tél.</w:t>
            </w:r>
          </w:p>
        </w:tc>
        <w:tc>
          <w:tcPr>
            <w:tcW w:w="5670" w:type="dxa"/>
          </w:tcPr>
          <w:p w14:paraId="55F5BB31" w14:textId="77777777" w:rsidR="00A4608D" w:rsidRPr="00A6689B" w:rsidRDefault="00A4608D" w:rsidP="00C93F66">
            <w:pPr>
              <w:spacing w:line="240" w:lineRule="auto"/>
              <w:rPr>
                <w:i/>
              </w:rPr>
            </w:pPr>
            <w:r>
              <w:rPr>
                <w:i/>
              </w:rPr>
              <w:t>+32 22822464</w:t>
            </w:r>
          </w:p>
        </w:tc>
      </w:tr>
      <w:tr w:rsidR="00A4608D" w:rsidRPr="00A6689B" w14:paraId="7610FACD" w14:textId="77777777" w:rsidTr="00C93F66">
        <w:tc>
          <w:tcPr>
            <w:tcW w:w="1418" w:type="dxa"/>
          </w:tcPr>
          <w:p w14:paraId="612FC92F" w14:textId="77777777" w:rsidR="00A4608D" w:rsidRPr="00A6689B" w:rsidRDefault="00A4608D" w:rsidP="00C93F66">
            <w:pPr>
              <w:spacing w:line="240" w:lineRule="auto"/>
              <w:rPr>
                <w:i/>
              </w:rPr>
            </w:pPr>
            <w:r>
              <w:rPr>
                <w:i/>
              </w:rPr>
              <w:t>Courriel</w:t>
            </w:r>
          </w:p>
        </w:tc>
        <w:tc>
          <w:tcPr>
            <w:tcW w:w="5670" w:type="dxa"/>
          </w:tcPr>
          <w:p w14:paraId="014603EB" w14:textId="77777777" w:rsidR="00A4608D" w:rsidRPr="00A6689B" w:rsidRDefault="00CB508B" w:rsidP="00C93F66">
            <w:pPr>
              <w:spacing w:line="240" w:lineRule="auto"/>
              <w:rPr>
                <w:i/>
              </w:rPr>
            </w:pPr>
            <w:hyperlink r:id="rId97" w:history="1">
              <w:r w:rsidR="00A4608D">
                <w:rPr>
                  <w:rStyle w:val="Hyperlink"/>
                  <w:i/>
                </w:rPr>
                <w:t>Heli.Niemela-Farrer@eesc.europa.eu</w:t>
              </w:r>
            </w:hyperlink>
          </w:p>
        </w:tc>
      </w:tr>
    </w:tbl>
    <w:p w14:paraId="1E30D188" w14:textId="77777777" w:rsidR="00F31327" w:rsidRDefault="00F31327" w:rsidP="00F31327">
      <w:pPr>
        <w:jc w:val="left"/>
        <w:rPr>
          <w:lang w:val="en-GB"/>
        </w:rPr>
      </w:pPr>
    </w:p>
    <w:p w14:paraId="51E30793" w14:textId="77777777" w:rsidR="00F31327" w:rsidRDefault="00F31327" w:rsidP="00F31327">
      <w:pPr>
        <w:jc w:val="left"/>
        <w:rPr>
          <w:lang w:val="en-GB"/>
        </w:rPr>
      </w:pPr>
      <w:r>
        <w:rPr>
          <w:lang w:val="en-GB"/>
        </w:rPr>
        <w:br w:type="page"/>
      </w:r>
    </w:p>
    <w:p w14:paraId="564B432C" w14:textId="3DA61335" w:rsidR="00A4608D" w:rsidRPr="0003586F" w:rsidRDefault="00CB508B" w:rsidP="00A4608D">
      <w:pPr>
        <w:widowControl w:val="0"/>
        <w:numPr>
          <w:ilvl w:val="0"/>
          <w:numId w:val="19"/>
        </w:numPr>
        <w:overflowPunct w:val="0"/>
        <w:autoSpaceDE w:val="0"/>
        <w:autoSpaceDN w:val="0"/>
        <w:adjustRightInd w:val="0"/>
        <w:ind w:hanging="567"/>
        <w:textAlignment w:val="baseline"/>
        <w:rPr>
          <w:sz w:val="20"/>
        </w:rPr>
      </w:pPr>
      <w:hyperlink r:id="rId98" w:history="1">
        <w:r w:rsidR="00A4608D">
          <w:rPr>
            <w:rStyle w:val="Hyperlink"/>
            <w:b/>
            <w:i/>
            <w:sz w:val="28"/>
          </w:rPr>
          <w:t>Résilience dans le domaine de l’eau et double transition</w:t>
        </w:r>
      </w:hyperlink>
    </w:p>
    <w:p w14:paraId="205CC767" w14:textId="77777777" w:rsidR="00A4608D" w:rsidRPr="00A6689B" w:rsidRDefault="00A4608D" w:rsidP="00A4608D">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A4608D" w:rsidRPr="00A6689B" w14:paraId="20210BDF" w14:textId="77777777" w:rsidTr="00C93F66">
        <w:tc>
          <w:tcPr>
            <w:tcW w:w="1701" w:type="dxa"/>
          </w:tcPr>
          <w:p w14:paraId="225A7AC9" w14:textId="77777777" w:rsidR="00A4608D" w:rsidRPr="00A6689B" w:rsidRDefault="00A4608D" w:rsidP="00C93F66">
            <w:pPr>
              <w:tabs>
                <w:tab w:val="center" w:pos="284"/>
              </w:tabs>
              <w:ind w:left="266" w:hanging="266"/>
              <w:rPr>
                <w:b/>
              </w:rPr>
            </w:pPr>
            <w:proofErr w:type="spellStart"/>
            <w:r>
              <w:rPr>
                <w:b/>
              </w:rPr>
              <w:t>Rapporteure</w:t>
            </w:r>
            <w:proofErr w:type="spellEnd"/>
          </w:p>
        </w:tc>
        <w:tc>
          <w:tcPr>
            <w:tcW w:w="7479" w:type="dxa"/>
          </w:tcPr>
          <w:p w14:paraId="042525A0" w14:textId="6D18CF41" w:rsidR="00A4608D" w:rsidRPr="00A6689B" w:rsidRDefault="00A4608D" w:rsidP="00C93F66">
            <w:pPr>
              <w:tabs>
                <w:tab w:val="center" w:pos="284"/>
              </w:tabs>
              <w:ind w:left="266" w:hanging="266"/>
            </w:pPr>
            <w:r>
              <w:t>Carole</w:t>
            </w:r>
            <w:r w:rsidR="006031D5">
              <w:t> </w:t>
            </w:r>
            <w:r>
              <w:t>DESIANO (groupe des travailleurs — FR)</w:t>
            </w:r>
          </w:p>
        </w:tc>
      </w:tr>
      <w:tr w:rsidR="00A4608D" w:rsidRPr="00A6689B" w14:paraId="0F22D1EB" w14:textId="77777777" w:rsidTr="00C93F66">
        <w:tc>
          <w:tcPr>
            <w:tcW w:w="1701" w:type="dxa"/>
          </w:tcPr>
          <w:p w14:paraId="2ED12BF3" w14:textId="77777777" w:rsidR="00A4608D" w:rsidRPr="00A6689B" w:rsidRDefault="00A4608D" w:rsidP="00C93F66">
            <w:pPr>
              <w:tabs>
                <w:tab w:val="center" w:pos="284"/>
              </w:tabs>
              <w:ind w:left="266" w:hanging="266"/>
              <w:rPr>
                <w:b/>
              </w:rPr>
            </w:pPr>
            <w:r>
              <w:rPr>
                <w:b/>
              </w:rPr>
              <w:t>Corapporteur</w:t>
            </w:r>
          </w:p>
        </w:tc>
        <w:tc>
          <w:tcPr>
            <w:tcW w:w="7479" w:type="dxa"/>
          </w:tcPr>
          <w:p w14:paraId="298FDD20" w14:textId="77777777" w:rsidR="00A4608D" w:rsidRPr="00A6689B" w:rsidRDefault="00A4608D" w:rsidP="00C93F66">
            <w:pPr>
              <w:tabs>
                <w:tab w:val="center" w:pos="284"/>
              </w:tabs>
              <w:ind w:left="266" w:hanging="266"/>
            </w:pPr>
            <w:r>
              <w:t>Michal PINTÉR (catégorie 1 — SK)</w:t>
            </w:r>
          </w:p>
        </w:tc>
      </w:tr>
      <w:tr w:rsidR="00A4608D" w:rsidRPr="00A6689B" w14:paraId="23AA7EAC" w14:textId="77777777" w:rsidTr="00C93F66">
        <w:tc>
          <w:tcPr>
            <w:tcW w:w="1701" w:type="dxa"/>
          </w:tcPr>
          <w:p w14:paraId="45DBEE2D" w14:textId="77777777" w:rsidR="00A4608D" w:rsidRPr="00A6689B" w:rsidRDefault="00A4608D" w:rsidP="00C93F66">
            <w:pPr>
              <w:tabs>
                <w:tab w:val="center" w:pos="284"/>
              </w:tabs>
              <w:ind w:left="266" w:hanging="266"/>
              <w:rPr>
                <w:b/>
              </w:rPr>
            </w:pPr>
            <w:r>
              <w:rPr>
                <w:b/>
              </w:rPr>
              <w:t>Références</w:t>
            </w:r>
          </w:p>
        </w:tc>
        <w:tc>
          <w:tcPr>
            <w:tcW w:w="7479" w:type="dxa"/>
          </w:tcPr>
          <w:p w14:paraId="00F76379" w14:textId="77777777" w:rsidR="00475AF8" w:rsidRDefault="00475AF8" w:rsidP="00C93F66">
            <w:pPr>
              <w:tabs>
                <w:tab w:val="center" w:pos="284"/>
              </w:tabs>
              <w:ind w:left="266" w:hanging="266"/>
            </w:pPr>
            <w:r>
              <w:t>Avis d'initiative</w:t>
            </w:r>
          </w:p>
          <w:p w14:paraId="214D0AF8" w14:textId="3F3575DD" w:rsidR="00A4608D" w:rsidRPr="00A6689B" w:rsidRDefault="00A4608D" w:rsidP="00C93F66">
            <w:pPr>
              <w:tabs>
                <w:tab w:val="center" w:pos="284"/>
              </w:tabs>
              <w:ind w:left="266" w:hanging="266"/>
            </w:pPr>
            <w:r>
              <w:t>EESC-2025-00996-00-00-AC</w:t>
            </w:r>
          </w:p>
        </w:tc>
      </w:tr>
    </w:tbl>
    <w:p w14:paraId="5ECA5743" w14:textId="77777777" w:rsidR="00A4608D" w:rsidRPr="00A6689B" w:rsidRDefault="00A4608D" w:rsidP="00A4608D">
      <w:pPr>
        <w:tabs>
          <w:tab w:val="center" w:pos="284"/>
        </w:tabs>
        <w:ind w:left="266" w:hanging="266"/>
      </w:pPr>
    </w:p>
    <w:p w14:paraId="138289D2" w14:textId="77777777" w:rsidR="00A4608D" w:rsidRPr="00A6689B" w:rsidRDefault="00A4608D" w:rsidP="00A4608D">
      <w:pPr>
        <w:keepNext/>
        <w:keepLines/>
        <w:tabs>
          <w:tab w:val="center" w:pos="284"/>
        </w:tabs>
        <w:ind w:left="266" w:hanging="266"/>
        <w:rPr>
          <w:b/>
        </w:rPr>
      </w:pPr>
      <w:r>
        <w:rPr>
          <w:b/>
        </w:rPr>
        <w:t>Points clés</w:t>
      </w:r>
    </w:p>
    <w:p w14:paraId="11EE0706" w14:textId="77777777" w:rsidR="00A4608D" w:rsidRPr="00A6689B" w:rsidRDefault="00A4608D" w:rsidP="00A4608D">
      <w:pPr>
        <w:keepNext/>
        <w:keepLines/>
        <w:tabs>
          <w:tab w:val="center" w:pos="284"/>
        </w:tabs>
        <w:ind w:left="266" w:hanging="266"/>
        <w:rPr>
          <w:b/>
        </w:rPr>
      </w:pPr>
    </w:p>
    <w:p w14:paraId="73901A76" w14:textId="77777777" w:rsidR="00A4608D" w:rsidRPr="003C2FE7" w:rsidRDefault="00A4608D" w:rsidP="00A4608D">
      <w:pPr>
        <w:rPr>
          <w:bCs/>
          <w:iCs/>
        </w:rPr>
      </w:pPr>
      <w:r>
        <w:t xml:space="preserve">Le </w:t>
      </w:r>
      <w:proofErr w:type="gramStart"/>
      <w:r>
        <w:t>CESE:</w:t>
      </w:r>
      <w:proofErr w:type="gramEnd"/>
    </w:p>
    <w:p w14:paraId="7A54244A" w14:textId="77777777" w:rsidR="00A4608D" w:rsidRPr="008E6B0E" w:rsidRDefault="00A4608D" w:rsidP="00A4608D">
      <w:pPr>
        <w:widowControl w:val="0"/>
        <w:numPr>
          <w:ilvl w:val="0"/>
          <w:numId w:val="19"/>
        </w:numPr>
        <w:overflowPunct w:val="0"/>
        <w:autoSpaceDE w:val="0"/>
        <w:autoSpaceDN w:val="0"/>
        <w:adjustRightInd w:val="0"/>
        <w:ind w:hanging="567"/>
        <w:textAlignment w:val="baseline"/>
        <w:rPr>
          <w:bCs/>
          <w:iCs/>
        </w:rPr>
      </w:pPr>
      <w:proofErr w:type="gramStart"/>
      <w:r>
        <w:t>réitère</w:t>
      </w:r>
      <w:proofErr w:type="gramEnd"/>
      <w:r>
        <w:t xml:space="preserve"> son appel en faveur d’une </w:t>
      </w:r>
      <w:r>
        <w:rPr>
          <w:b/>
        </w:rPr>
        <w:t>révision de la stratégie de l’UE relative à l’industrie afin d’y inclure explicitement les questions liées à l’eau</w:t>
      </w:r>
      <w:r>
        <w:t xml:space="preserve"> et de s’assurer que l’eau soit traitée comme un élément fondamental de cette stratégie industrielle;</w:t>
      </w:r>
    </w:p>
    <w:p w14:paraId="09011BCE" w14:textId="77777777" w:rsidR="00A4608D" w:rsidRPr="003C2FE7" w:rsidRDefault="00A4608D" w:rsidP="00A4608D">
      <w:pPr>
        <w:widowControl w:val="0"/>
        <w:numPr>
          <w:ilvl w:val="0"/>
          <w:numId w:val="19"/>
        </w:numPr>
        <w:overflowPunct w:val="0"/>
        <w:autoSpaceDE w:val="0"/>
        <w:autoSpaceDN w:val="0"/>
        <w:adjustRightInd w:val="0"/>
        <w:ind w:hanging="567"/>
        <w:textAlignment w:val="baseline"/>
        <w:rPr>
          <w:bCs/>
          <w:iCs/>
        </w:rPr>
      </w:pPr>
      <w:proofErr w:type="gramStart"/>
      <w:r>
        <w:t>invite</w:t>
      </w:r>
      <w:proofErr w:type="gramEnd"/>
      <w:r>
        <w:t xml:space="preserve"> les institutions de l’UE à </w:t>
      </w:r>
      <w:r>
        <w:rPr>
          <w:b/>
        </w:rPr>
        <w:t>assurer une plus grande cohérence dans la politique de l’eau</w:t>
      </w:r>
      <w:r>
        <w:t xml:space="preserve"> et à </w:t>
      </w:r>
      <w:r>
        <w:rPr>
          <w:b/>
        </w:rPr>
        <w:t>prendre en considération le lien entre l’eau et l’énergie dans la gestion des ressources hydriques</w:t>
      </w:r>
      <w:r>
        <w:t xml:space="preserve"> de manière à tenir compte des besoins industriels dans ce domaine;</w:t>
      </w:r>
    </w:p>
    <w:p w14:paraId="0A945720" w14:textId="77777777" w:rsidR="00A4608D" w:rsidRDefault="00A4608D" w:rsidP="00A4608D">
      <w:pPr>
        <w:widowControl w:val="0"/>
        <w:numPr>
          <w:ilvl w:val="0"/>
          <w:numId w:val="19"/>
        </w:numPr>
        <w:overflowPunct w:val="0"/>
        <w:autoSpaceDE w:val="0"/>
        <w:autoSpaceDN w:val="0"/>
        <w:adjustRightInd w:val="0"/>
        <w:ind w:hanging="567"/>
        <w:textAlignment w:val="baseline"/>
        <w:rPr>
          <w:bCs/>
          <w:iCs/>
        </w:rPr>
      </w:pPr>
      <w:proofErr w:type="gramStart"/>
      <w:r>
        <w:t>note</w:t>
      </w:r>
      <w:proofErr w:type="gramEnd"/>
      <w:r>
        <w:t xml:space="preserve"> que la décarbonation risque de déplacer les pressions environnementales vers les systèmes locaux d’approvisionnement en eau, et recommande d’</w:t>
      </w:r>
      <w:r>
        <w:rPr>
          <w:b/>
        </w:rPr>
        <w:t>élaborer des politiques ciblées pour remédier à la pénurie d’eau dans les zones industrialisées et les zones confrontées au stress hydrique</w:t>
      </w:r>
      <w:r>
        <w:t xml:space="preserve">, en promouvant des </w:t>
      </w:r>
      <w:r>
        <w:rPr>
          <w:b/>
        </w:rPr>
        <w:t>solutions de substitution pour le traitement et la réutilisation de l’eau</w:t>
      </w:r>
      <w:r>
        <w:t>, afin de garantir le respect de la directive-cadre sur l’eau;</w:t>
      </w:r>
    </w:p>
    <w:p w14:paraId="77DF1D52" w14:textId="77777777" w:rsidR="00A4608D" w:rsidRPr="003C2FE7" w:rsidRDefault="00A4608D" w:rsidP="00A4608D">
      <w:pPr>
        <w:widowControl w:val="0"/>
        <w:numPr>
          <w:ilvl w:val="0"/>
          <w:numId w:val="19"/>
        </w:numPr>
        <w:overflowPunct w:val="0"/>
        <w:autoSpaceDE w:val="0"/>
        <w:autoSpaceDN w:val="0"/>
        <w:adjustRightInd w:val="0"/>
        <w:ind w:hanging="567"/>
        <w:textAlignment w:val="baseline"/>
        <w:rPr>
          <w:bCs/>
          <w:iCs/>
        </w:rPr>
      </w:pPr>
      <w:proofErr w:type="gramStart"/>
      <w:r>
        <w:t>invite</w:t>
      </w:r>
      <w:proofErr w:type="gramEnd"/>
      <w:r>
        <w:t xml:space="preserve"> l’Union européenne à </w:t>
      </w:r>
      <w:r>
        <w:rPr>
          <w:b/>
        </w:rPr>
        <w:t>faire de l’eau une priorité stratégique dans le prochain cadre financier pluriannuel</w:t>
      </w:r>
      <w:r>
        <w:t>;</w:t>
      </w:r>
    </w:p>
    <w:p w14:paraId="4574C38E" w14:textId="77777777" w:rsidR="00A4608D" w:rsidRDefault="00A4608D" w:rsidP="00A4608D">
      <w:pPr>
        <w:widowControl w:val="0"/>
        <w:numPr>
          <w:ilvl w:val="0"/>
          <w:numId w:val="19"/>
        </w:numPr>
        <w:overflowPunct w:val="0"/>
        <w:autoSpaceDE w:val="0"/>
        <w:autoSpaceDN w:val="0"/>
        <w:adjustRightInd w:val="0"/>
        <w:ind w:hanging="567"/>
        <w:textAlignment w:val="baseline"/>
        <w:rPr>
          <w:bCs/>
          <w:iCs/>
        </w:rPr>
      </w:pPr>
      <w:proofErr w:type="gramStart"/>
      <w:r>
        <w:t>préconise</w:t>
      </w:r>
      <w:proofErr w:type="gramEnd"/>
      <w:r>
        <w:t xml:space="preserve"> d’</w:t>
      </w:r>
      <w:r>
        <w:rPr>
          <w:b/>
        </w:rPr>
        <w:t>accroître le soutien politique et financier en faveur des technologies de décarbonation économes en eau</w:t>
      </w:r>
      <w:r>
        <w:t xml:space="preserve">, par exemple grâce aux projets importants d’intérêt européen commun et au programme Horizon Europe, ainsi que de mettre en place des </w:t>
      </w:r>
      <w:r>
        <w:rPr>
          <w:b/>
        </w:rPr>
        <w:t>incitations financières</w:t>
      </w:r>
      <w:r>
        <w:t xml:space="preserve"> et des subventions pour les industries qui adoptent des technologies économes en eau;</w:t>
      </w:r>
    </w:p>
    <w:p w14:paraId="2B7F06AA" w14:textId="77777777" w:rsidR="00A4608D" w:rsidRPr="00110881" w:rsidRDefault="00A4608D" w:rsidP="00A4608D">
      <w:pPr>
        <w:widowControl w:val="0"/>
        <w:numPr>
          <w:ilvl w:val="0"/>
          <w:numId w:val="19"/>
        </w:numPr>
        <w:overflowPunct w:val="0"/>
        <w:autoSpaceDE w:val="0"/>
        <w:autoSpaceDN w:val="0"/>
        <w:adjustRightInd w:val="0"/>
        <w:ind w:hanging="567"/>
        <w:textAlignment w:val="baseline"/>
        <w:rPr>
          <w:bCs/>
          <w:iCs/>
        </w:rPr>
      </w:pPr>
      <w:proofErr w:type="gramStart"/>
      <w:r>
        <w:t>invite</w:t>
      </w:r>
      <w:proofErr w:type="gramEnd"/>
      <w:r>
        <w:t xml:space="preserve"> l’industrie à privilégier des </w:t>
      </w:r>
      <w:r>
        <w:rPr>
          <w:b/>
        </w:rPr>
        <w:t>modèles d’apprentissage et des algorithmes fondés sur l’intelligence artificielle qui soient moins énergivores</w:t>
      </w:r>
      <w:r>
        <w:t xml:space="preserve">, à faire fonctionner les centres de données grâce à des énergies renouvelables consommant moins d’énergie et d’eau, comme le solaire ou l’éolien, à </w:t>
      </w:r>
      <w:r>
        <w:rPr>
          <w:b/>
        </w:rPr>
        <w:t>installer des centres dans les régions qui ne sont pas exposées au risque de pénurie d’eau</w:t>
      </w:r>
      <w:r>
        <w:t xml:space="preserve"> et à tenir compte des besoins des autres secteurs d’activité;</w:t>
      </w:r>
    </w:p>
    <w:p w14:paraId="432F66B3" w14:textId="77777777" w:rsidR="00A4608D" w:rsidRDefault="00A4608D" w:rsidP="00A4608D">
      <w:pPr>
        <w:widowControl w:val="0"/>
        <w:numPr>
          <w:ilvl w:val="0"/>
          <w:numId w:val="19"/>
        </w:numPr>
        <w:overflowPunct w:val="0"/>
        <w:autoSpaceDE w:val="0"/>
        <w:autoSpaceDN w:val="0"/>
        <w:adjustRightInd w:val="0"/>
        <w:ind w:hanging="567"/>
        <w:textAlignment w:val="baseline"/>
        <w:rPr>
          <w:bCs/>
          <w:iCs/>
        </w:rPr>
      </w:pPr>
      <w:proofErr w:type="gramStart"/>
      <w:r>
        <w:t>recommande</w:t>
      </w:r>
      <w:proofErr w:type="gramEnd"/>
      <w:r>
        <w:t xml:space="preserve"> d’</w:t>
      </w:r>
      <w:r>
        <w:rPr>
          <w:b/>
        </w:rPr>
        <w:t>améliorer l’interopérabilité et la fiabilité des données relatives à l’eau</w:t>
      </w:r>
      <w:r>
        <w:t xml:space="preserve"> en établissant des </w:t>
      </w:r>
      <w:r>
        <w:rPr>
          <w:b/>
        </w:rPr>
        <w:t>normes communes pour leur collecte, leur stockage et leur partage</w:t>
      </w:r>
      <w:r>
        <w:t>, et en encourageant les entreprises technologiques et numériques à rendre ces données plus transparentes, notamment en ce qui concerne les sources, les volumes, les mesures de recyclage et les audits;</w:t>
      </w:r>
    </w:p>
    <w:p w14:paraId="0C83AAAF" w14:textId="77777777" w:rsidR="00A4608D" w:rsidRDefault="00A4608D" w:rsidP="00A4608D">
      <w:pPr>
        <w:widowControl w:val="0"/>
        <w:numPr>
          <w:ilvl w:val="0"/>
          <w:numId w:val="19"/>
        </w:numPr>
        <w:overflowPunct w:val="0"/>
        <w:autoSpaceDE w:val="0"/>
        <w:autoSpaceDN w:val="0"/>
        <w:adjustRightInd w:val="0"/>
        <w:ind w:hanging="567"/>
        <w:textAlignment w:val="baseline"/>
        <w:rPr>
          <w:bCs/>
          <w:iCs/>
        </w:rPr>
      </w:pPr>
      <w:proofErr w:type="gramStart"/>
      <w:r>
        <w:t>réclame</w:t>
      </w:r>
      <w:proofErr w:type="gramEnd"/>
      <w:r>
        <w:t xml:space="preserve"> des </w:t>
      </w:r>
      <w:r>
        <w:rPr>
          <w:b/>
        </w:rPr>
        <w:t>investissements dans les infrastructures</w:t>
      </w:r>
      <w:r>
        <w:t xml:space="preserve"> afin d’améliorer la </w:t>
      </w:r>
      <w:r>
        <w:rPr>
          <w:b/>
        </w:rPr>
        <w:t>chaîne d’approvisionnement en eau</w:t>
      </w:r>
      <w:r>
        <w:t xml:space="preserve"> et </w:t>
      </w:r>
      <w:r>
        <w:rPr>
          <w:b/>
        </w:rPr>
        <w:t>l’interconnexion des réseaux hydrographiques</w:t>
      </w:r>
      <w:r>
        <w:t xml:space="preserve"> européens, ainsi que le renforcement des mesures de </w:t>
      </w:r>
      <w:r>
        <w:rPr>
          <w:b/>
        </w:rPr>
        <w:t>cybersécurité</w:t>
      </w:r>
      <w:r>
        <w:t>;</w:t>
      </w:r>
    </w:p>
    <w:p w14:paraId="3237C441" w14:textId="77777777" w:rsidR="00A4608D" w:rsidRPr="00110881" w:rsidRDefault="00A4608D" w:rsidP="00A4608D">
      <w:pPr>
        <w:widowControl w:val="0"/>
        <w:numPr>
          <w:ilvl w:val="0"/>
          <w:numId w:val="19"/>
        </w:numPr>
        <w:overflowPunct w:val="0"/>
        <w:autoSpaceDE w:val="0"/>
        <w:autoSpaceDN w:val="0"/>
        <w:adjustRightInd w:val="0"/>
        <w:ind w:hanging="567"/>
        <w:textAlignment w:val="baseline"/>
        <w:rPr>
          <w:bCs/>
          <w:iCs/>
        </w:rPr>
      </w:pPr>
      <w:proofErr w:type="gramStart"/>
      <w:r>
        <w:t>encourage</w:t>
      </w:r>
      <w:proofErr w:type="gramEnd"/>
      <w:r>
        <w:t xml:space="preserve"> le </w:t>
      </w:r>
      <w:r>
        <w:rPr>
          <w:b/>
        </w:rPr>
        <w:t>dialogue social sur l’accès à l’eau et sur sa gestion</w:t>
      </w:r>
      <w:r>
        <w:t xml:space="preserve"> tout au long de la chaîne de l’eau, ainsi que la </w:t>
      </w:r>
      <w:r>
        <w:rPr>
          <w:b/>
        </w:rPr>
        <w:t>mise en place de cours sur la gestion de l’eau</w:t>
      </w:r>
      <w:r>
        <w:t>, la lutte contre les inondations, la gestion des sécheresses et l’utilisation durable de l’eau, en particulier dans l’enseignement supérieur et l’enseignement professionnel.</w:t>
      </w:r>
    </w:p>
    <w:p w14:paraId="2070D2CC" w14:textId="77777777" w:rsidR="00A4608D" w:rsidRPr="000624A9" w:rsidRDefault="00A4608D" w:rsidP="00A4608D">
      <w:pPr>
        <w:widowControl w:val="0"/>
        <w:ind w:left="709"/>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A4608D" w:rsidRPr="00A6689B" w14:paraId="7B2688BC" w14:textId="77777777" w:rsidTr="00C93F66">
        <w:tc>
          <w:tcPr>
            <w:tcW w:w="1418" w:type="dxa"/>
          </w:tcPr>
          <w:p w14:paraId="2353A624" w14:textId="77777777" w:rsidR="00A4608D" w:rsidRPr="00A6689B" w:rsidRDefault="00A4608D" w:rsidP="00C93F66">
            <w:pPr>
              <w:spacing w:line="240" w:lineRule="auto"/>
              <w:rPr>
                <w:i/>
              </w:rPr>
            </w:pPr>
            <w:bookmarkStart w:id="170" w:name="_Hlk203461505"/>
            <w:r>
              <w:rPr>
                <w:b/>
                <w:i/>
              </w:rPr>
              <w:lastRenderedPageBreak/>
              <w:t>Contact</w:t>
            </w:r>
          </w:p>
        </w:tc>
        <w:tc>
          <w:tcPr>
            <w:tcW w:w="7904" w:type="dxa"/>
          </w:tcPr>
          <w:p w14:paraId="5B19783C" w14:textId="4DF1BC99" w:rsidR="00A4608D" w:rsidRPr="00922069" w:rsidRDefault="00A4608D" w:rsidP="00C93F66">
            <w:pPr>
              <w:spacing w:line="240" w:lineRule="auto"/>
              <w:rPr>
                <w:i/>
              </w:rPr>
            </w:pPr>
            <w:proofErr w:type="spellStart"/>
            <w:r>
              <w:rPr>
                <w:i/>
              </w:rPr>
              <w:t>Heli</w:t>
            </w:r>
            <w:proofErr w:type="spellEnd"/>
            <w:r>
              <w:rPr>
                <w:i/>
              </w:rPr>
              <w:t xml:space="preserve"> </w:t>
            </w:r>
            <w:r w:rsidR="00475AF8">
              <w:rPr>
                <w:i/>
              </w:rPr>
              <w:t>NIEMELÄ-FARRER</w:t>
            </w:r>
          </w:p>
        </w:tc>
      </w:tr>
      <w:tr w:rsidR="00A4608D" w:rsidRPr="00A6689B" w14:paraId="3D5D9595" w14:textId="77777777" w:rsidTr="00C93F66">
        <w:tc>
          <w:tcPr>
            <w:tcW w:w="1418" w:type="dxa"/>
          </w:tcPr>
          <w:p w14:paraId="10588691" w14:textId="77777777" w:rsidR="00A4608D" w:rsidRPr="00A6689B" w:rsidRDefault="00A4608D" w:rsidP="00C93F66">
            <w:pPr>
              <w:spacing w:line="240" w:lineRule="auto"/>
              <w:rPr>
                <w:i/>
              </w:rPr>
            </w:pPr>
            <w:r>
              <w:rPr>
                <w:i/>
              </w:rPr>
              <w:t>Tél.</w:t>
            </w:r>
          </w:p>
        </w:tc>
        <w:tc>
          <w:tcPr>
            <w:tcW w:w="7904" w:type="dxa"/>
          </w:tcPr>
          <w:p w14:paraId="2F2F1C4D" w14:textId="77777777" w:rsidR="00A4608D" w:rsidRPr="00A6689B" w:rsidRDefault="00A4608D" w:rsidP="00C93F66">
            <w:pPr>
              <w:spacing w:line="240" w:lineRule="auto"/>
              <w:rPr>
                <w:i/>
              </w:rPr>
            </w:pPr>
            <w:r>
              <w:rPr>
                <w:i/>
              </w:rPr>
              <w:t>+32 22822464</w:t>
            </w:r>
          </w:p>
        </w:tc>
      </w:tr>
      <w:tr w:rsidR="00A4608D" w:rsidRPr="00A6689B" w14:paraId="67BFAA46" w14:textId="77777777" w:rsidTr="00C93F66">
        <w:tc>
          <w:tcPr>
            <w:tcW w:w="1418" w:type="dxa"/>
          </w:tcPr>
          <w:p w14:paraId="4A404647" w14:textId="77777777" w:rsidR="00A4608D" w:rsidRPr="00A6689B" w:rsidRDefault="00A4608D" w:rsidP="00C93F66">
            <w:pPr>
              <w:spacing w:line="240" w:lineRule="auto"/>
              <w:rPr>
                <w:i/>
              </w:rPr>
            </w:pPr>
            <w:r>
              <w:rPr>
                <w:i/>
              </w:rPr>
              <w:t>Courriel</w:t>
            </w:r>
          </w:p>
        </w:tc>
        <w:tc>
          <w:tcPr>
            <w:tcW w:w="7904" w:type="dxa"/>
          </w:tcPr>
          <w:p w14:paraId="1ED4E0C5" w14:textId="42D6898A" w:rsidR="00A4608D" w:rsidRPr="00A6689B" w:rsidRDefault="00CB508B" w:rsidP="00C93F66">
            <w:pPr>
              <w:spacing w:line="240" w:lineRule="auto"/>
              <w:rPr>
                <w:i/>
              </w:rPr>
            </w:pPr>
            <w:hyperlink r:id="rId99" w:history="1">
              <w:r w:rsidR="00475AF8" w:rsidRPr="003F56F2">
                <w:rPr>
                  <w:rStyle w:val="Hyperlink"/>
                  <w:i/>
                </w:rPr>
                <w:t>Heli.Niemela-Farrer@eesc.europa.eu</w:t>
              </w:r>
            </w:hyperlink>
            <w:r w:rsidR="00475AF8">
              <w:rPr>
                <w:i/>
              </w:rPr>
              <w:t xml:space="preserve"> </w:t>
            </w:r>
          </w:p>
        </w:tc>
      </w:tr>
      <w:bookmarkEnd w:id="170"/>
    </w:tbl>
    <w:p w14:paraId="6770A5E7" w14:textId="77777777" w:rsidR="00F31327" w:rsidRDefault="00F31327" w:rsidP="00F31327">
      <w:pPr>
        <w:jc w:val="left"/>
        <w:rPr>
          <w:lang w:val="en-GB"/>
        </w:rPr>
      </w:pPr>
      <w:r>
        <w:rPr>
          <w:lang w:val="en-GB"/>
        </w:rPr>
        <w:br w:type="page"/>
      </w:r>
    </w:p>
    <w:p w14:paraId="28CC88FE" w14:textId="7C113D9B" w:rsidR="00EF7675" w:rsidRPr="00E9013F" w:rsidRDefault="00CB508B" w:rsidP="00EF7675">
      <w:pPr>
        <w:pStyle w:val="ListParagraph"/>
        <w:numPr>
          <w:ilvl w:val="0"/>
          <w:numId w:val="27"/>
        </w:numPr>
        <w:spacing w:after="200" w:line="276" w:lineRule="auto"/>
        <w:ind w:left="567" w:hanging="567"/>
        <w:jc w:val="left"/>
        <w:rPr>
          <w:b/>
          <w:bCs/>
          <w:i/>
          <w:iCs/>
          <w:sz w:val="28"/>
          <w:szCs w:val="28"/>
        </w:rPr>
      </w:pPr>
      <w:hyperlink r:id="rId100" w:history="1">
        <w:r w:rsidR="00EF7675" w:rsidRPr="00E9013F">
          <w:rPr>
            <w:rStyle w:val="Hyperlink"/>
            <w:b/>
            <w:i/>
            <w:sz w:val="28"/>
          </w:rPr>
          <w:t>Plan d’action de l’UE pour l’acier et les métaux</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38"/>
      </w:tblGrid>
      <w:tr w:rsidR="00EF7675" w:rsidRPr="00E9013F" w14:paraId="7DD720BD" w14:textId="77777777" w:rsidTr="00C93F66">
        <w:tc>
          <w:tcPr>
            <w:tcW w:w="1701" w:type="dxa"/>
          </w:tcPr>
          <w:p w14:paraId="49B03EDB" w14:textId="77777777" w:rsidR="00EF7675" w:rsidRPr="00E9013F" w:rsidRDefault="00EF7675" w:rsidP="00C93F66">
            <w:pPr>
              <w:tabs>
                <w:tab w:val="center" w:pos="284"/>
              </w:tabs>
              <w:ind w:left="266" w:hanging="266"/>
              <w:rPr>
                <w:b/>
              </w:rPr>
            </w:pPr>
            <w:r w:rsidRPr="00E9013F">
              <w:rPr>
                <w:b/>
                <w:bCs/>
              </w:rPr>
              <w:t>Rapporteur</w:t>
            </w:r>
          </w:p>
        </w:tc>
        <w:tc>
          <w:tcPr>
            <w:tcW w:w="7338" w:type="dxa"/>
          </w:tcPr>
          <w:p w14:paraId="09683573" w14:textId="77777777" w:rsidR="00EF7675" w:rsidRPr="00E9013F" w:rsidRDefault="00EF7675" w:rsidP="00C93F66">
            <w:pPr>
              <w:tabs>
                <w:tab w:val="center" w:pos="284"/>
              </w:tabs>
              <w:ind w:left="266" w:hanging="266"/>
            </w:pPr>
            <w:proofErr w:type="spellStart"/>
            <w:r w:rsidRPr="00E9013F">
              <w:t>Anastasis</w:t>
            </w:r>
            <w:proofErr w:type="spellEnd"/>
            <w:r w:rsidRPr="00E9013F">
              <w:t> YIAPANIS (groupe des organisations de la société civile — CY)</w:t>
            </w:r>
          </w:p>
        </w:tc>
      </w:tr>
      <w:tr w:rsidR="00EF7675" w:rsidRPr="00E9013F" w14:paraId="0FF4FAC5" w14:textId="77777777" w:rsidTr="00C93F66">
        <w:tc>
          <w:tcPr>
            <w:tcW w:w="1701" w:type="dxa"/>
          </w:tcPr>
          <w:p w14:paraId="410FFA0E" w14:textId="77777777" w:rsidR="00EF7675" w:rsidRPr="00E9013F" w:rsidRDefault="00EF7675" w:rsidP="00C93F66">
            <w:pPr>
              <w:tabs>
                <w:tab w:val="center" w:pos="284"/>
              </w:tabs>
              <w:ind w:left="266" w:hanging="266"/>
              <w:rPr>
                <w:b/>
              </w:rPr>
            </w:pPr>
            <w:r w:rsidRPr="00E9013F">
              <w:rPr>
                <w:b/>
              </w:rPr>
              <w:t>Corapporteur</w:t>
            </w:r>
          </w:p>
        </w:tc>
        <w:tc>
          <w:tcPr>
            <w:tcW w:w="7338" w:type="dxa"/>
          </w:tcPr>
          <w:p w14:paraId="1CF8CD9E" w14:textId="77777777" w:rsidR="00EF7675" w:rsidRPr="00E9013F" w:rsidRDefault="00EF7675" w:rsidP="00C93F66">
            <w:pPr>
              <w:tabs>
                <w:tab w:val="center" w:pos="284"/>
              </w:tabs>
              <w:ind w:left="266" w:hanging="266"/>
            </w:pPr>
            <w:r w:rsidRPr="00E9013F">
              <w:t>Michal PINTÉR (cat. 1 — SK)</w:t>
            </w:r>
          </w:p>
        </w:tc>
      </w:tr>
      <w:tr w:rsidR="00EF7675" w:rsidRPr="00E9013F" w14:paraId="2ACD93C0" w14:textId="77777777" w:rsidTr="00C93F66">
        <w:tc>
          <w:tcPr>
            <w:tcW w:w="9039" w:type="dxa"/>
            <w:gridSpan w:val="2"/>
          </w:tcPr>
          <w:p w14:paraId="44451F46" w14:textId="77777777" w:rsidR="00EF7675" w:rsidRPr="00E9013F" w:rsidRDefault="00EF7675" w:rsidP="00C93F66">
            <w:pPr>
              <w:tabs>
                <w:tab w:val="center" w:pos="284"/>
              </w:tabs>
              <w:spacing w:line="160" w:lineRule="exact"/>
              <w:ind w:left="266" w:hanging="266"/>
            </w:pPr>
          </w:p>
        </w:tc>
      </w:tr>
      <w:tr w:rsidR="00EF7675" w:rsidRPr="00E9013F" w14:paraId="10A6E54F" w14:textId="77777777" w:rsidTr="00C93F66">
        <w:tc>
          <w:tcPr>
            <w:tcW w:w="1701" w:type="dxa"/>
            <w:vMerge w:val="restart"/>
          </w:tcPr>
          <w:p w14:paraId="2BAA05FE" w14:textId="77777777" w:rsidR="00EF7675" w:rsidRPr="00E9013F" w:rsidRDefault="00EF7675" w:rsidP="00C93F66">
            <w:pPr>
              <w:tabs>
                <w:tab w:val="center" w:pos="284"/>
              </w:tabs>
              <w:ind w:left="266" w:hanging="266"/>
              <w:rPr>
                <w:b/>
              </w:rPr>
            </w:pPr>
            <w:r w:rsidRPr="00E9013F">
              <w:rPr>
                <w:b/>
              </w:rPr>
              <w:t>Référence</w:t>
            </w:r>
          </w:p>
        </w:tc>
        <w:tc>
          <w:tcPr>
            <w:tcW w:w="7338" w:type="dxa"/>
          </w:tcPr>
          <w:p w14:paraId="3B2FA69B" w14:textId="77777777" w:rsidR="00475AF8" w:rsidRPr="00EA2195" w:rsidRDefault="00475AF8" w:rsidP="00475AF8">
            <w:pPr>
              <w:tabs>
                <w:tab w:val="center" w:pos="284"/>
              </w:tabs>
              <w:overflowPunct w:val="0"/>
              <w:autoSpaceDE w:val="0"/>
              <w:autoSpaceDN w:val="0"/>
              <w:adjustRightInd w:val="0"/>
              <w:ind w:left="266" w:hanging="266"/>
              <w:textAlignment w:val="baseline"/>
              <w:rPr>
                <w:lang w:val="pt-PT"/>
              </w:rPr>
            </w:pPr>
            <w:proofErr w:type="gramStart"/>
            <w:r w:rsidRPr="00EA2195">
              <w:rPr>
                <w:lang w:val="pt-PT"/>
              </w:rPr>
              <w:t>COM(</w:t>
            </w:r>
            <w:proofErr w:type="gramEnd"/>
            <w:r w:rsidRPr="00EA2195">
              <w:rPr>
                <w:lang w:val="pt-PT"/>
              </w:rPr>
              <w:t>2025) 125 f</w:t>
            </w:r>
            <w:r>
              <w:rPr>
                <w:lang w:val="pt-PT"/>
              </w:rPr>
              <w:t>inal</w:t>
            </w:r>
          </w:p>
          <w:p w14:paraId="34B4A190" w14:textId="77777777" w:rsidR="00EF7675" w:rsidRPr="00E9013F" w:rsidRDefault="00EF7675" w:rsidP="00C93F66">
            <w:pPr>
              <w:tabs>
                <w:tab w:val="center" w:pos="284"/>
              </w:tabs>
              <w:ind w:left="266" w:hanging="266"/>
            </w:pPr>
            <w:r w:rsidRPr="00E9013F">
              <w:t>EESC-2025-01425-00-00-AC-TRA</w:t>
            </w:r>
          </w:p>
        </w:tc>
      </w:tr>
      <w:tr w:rsidR="00EF7675" w:rsidRPr="00E9013F" w14:paraId="350ADB9F" w14:textId="77777777" w:rsidTr="00C93F66">
        <w:tc>
          <w:tcPr>
            <w:tcW w:w="1701" w:type="dxa"/>
            <w:vMerge/>
          </w:tcPr>
          <w:p w14:paraId="6DB7D2ED" w14:textId="77777777" w:rsidR="00EF7675" w:rsidRPr="00E9013F" w:rsidRDefault="00EF7675" w:rsidP="00C93F66">
            <w:pPr>
              <w:tabs>
                <w:tab w:val="center" w:pos="284"/>
              </w:tabs>
              <w:ind w:left="266" w:hanging="266"/>
              <w:rPr>
                <w:b/>
              </w:rPr>
            </w:pPr>
          </w:p>
        </w:tc>
        <w:tc>
          <w:tcPr>
            <w:tcW w:w="7338" w:type="dxa"/>
          </w:tcPr>
          <w:p w14:paraId="4023B606" w14:textId="77777777" w:rsidR="00EF7675" w:rsidRPr="00E9013F" w:rsidRDefault="00EF7675" w:rsidP="00C93F66">
            <w:pPr>
              <w:tabs>
                <w:tab w:val="center" w:pos="284"/>
              </w:tabs>
              <w:ind w:left="266" w:hanging="266"/>
            </w:pPr>
          </w:p>
        </w:tc>
      </w:tr>
    </w:tbl>
    <w:p w14:paraId="7C983BA0" w14:textId="77777777" w:rsidR="00EF7675" w:rsidRPr="00E9013F" w:rsidRDefault="00EF7675" w:rsidP="00EF7675">
      <w:pPr>
        <w:keepNext/>
        <w:keepLines/>
        <w:tabs>
          <w:tab w:val="center" w:pos="284"/>
        </w:tabs>
        <w:ind w:left="266" w:hanging="266"/>
        <w:rPr>
          <w:b/>
        </w:rPr>
      </w:pPr>
    </w:p>
    <w:p w14:paraId="7734534C" w14:textId="77777777" w:rsidR="00EF7675" w:rsidRPr="00E9013F" w:rsidRDefault="00EF7675" w:rsidP="00EF7675">
      <w:pPr>
        <w:keepNext/>
        <w:keepLines/>
        <w:tabs>
          <w:tab w:val="center" w:pos="284"/>
        </w:tabs>
        <w:ind w:left="266" w:hanging="266"/>
        <w:rPr>
          <w:b/>
        </w:rPr>
      </w:pPr>
      <w:r w:rsidRPr="00E9013F">
        <w:rPr>
          <w:b/>
        </w:rPr>
        <w:t>Points clés</w:t>
      </w:r>
    </w:p>
    <w:p w14:paraId="2D6C7349" w14:textId="77777777" w:rsidR="00EF7675" w:rsidRPr="00E9013F" w:rsidRDefault="00EF7675" w:rsidP="00EF7675">
      <w:pPr>
        <w:keepNext/>
        <w:keepLines/>
        <w:tabs>
          <w:tab w:val="center" w:pos="284"/>
        </w:tabs>
        <w:ind w:left="266" w:hanging="266"/>
        <w:rPr>
          <w:b/>
          <w:sz w:val="18"/>
          <w:szCs w:val="18"/>
        </w:rPr>
      </w:pPr>
    </w:p>
    <w:p w14:paraId="348F87EB" w14:textId="77777777" w:rsidR="00EF7675" w:rsidRPr="00E9013F" w:rsidRDefault="00EF7675" w:rsidP="00EF7675">
      <w:pPr>
        <w:keepNext/>
        <w:keepLines/>
        <w:tabs>
          <w:tab w:val="center" w:pos="284"/>
        </w:tabs>
        <w:ind w:left="266" w:hanging="266"/>
        <w:rPr>
          <w:bCs/>
        </w:rPr>
      </w:pPr>
      <w:r w:rsidRPr="00E9013F">
        <w:t xml:space="preserve">Le </w:t>
      </w:r>
      <w:proofErr w:type="gramStart"/>
      <w:r w:rsidRPr="00E9013F">
        <w:t>CESE:</w:t>
      </w:r>
      <w:proofErr w:type="gramEnd"/>
    </w:p>
    <w:p w14:paraId="11DA7BE3" w14:textId="77777777" w:rsidR="00EF7675" w:rsidRPr="00475AF8" w:rsidRDefault="00EF7675" w:rsidP="00EF7675">
      <w:pPr>
        <w:numPr>
          <w:ilvl w:val="0"/>
          <w:numId w:val="28"/>
        </w:numPr>
        <w:shd w:val="clear" w:color="auto" w:fill="FCFBFB"/>
        <w:spacing w:line="240" w:lineRule="auto"/>
        <w:ind w:left="714" w:hanging="357"/>
        <w:rPr>
          <w:color w:val="000000"/>
        </w:rPr>
      </w:pPr>
      <w:proofErr w:type="gramStart"/>
      <w:r w:rsidRPr="00E9013F">
        <w:rPr>
          <w:color w:val="000000"/>
        </w:rPr>
        <w:t>exprime</w:t>
      </w:r>
      <w:proofErr w:type="gramEnd"/>
      <w:r w:rsidRPr="00E9013F">
        <w:rPr>
          <w:color w:val="000000"/>
        </w:rPr>
        <w:t xml:space="preserve"> sa </w:t>
      </w:r>
      <w:r w:rsidRPr="00475AF8">
        <w:rPr>
          <w:color w:val="000000"/>
        </w:rPr>
        <w:t>profonde préoccupation face à la crise de l’industrie sidérurgique de l’UE et demande des mesures urgentes pour rétablir la compétitivité, protéger les emplois et stimuler les investissements dans la transition du secteur;</w:t>
      </w:r>
    </w:p>
    <w:p w14:paraId="05CF78DA" w14:textId="77777777" w:rsidR="00EF7675" w:rsidRPr="00475AF8" w:rsidRDefault="00EF7675" w:rsidP="00EF7675">
      <w:pPr>
        <w:numPr>
          <w:ilvl w:val="0"/>
          <w:numId w:val="28"/>
        </w:numPr>
        <w:shd w:val="clear" w:color="auto" w:fill="FCFBFB"/>
        <w:spacing w:line="240" w:lineRule="auto"/>
        <w:ind w:left="714" w:hanging="357"/>
        <w:rPr>
          <w:color w:val="000000"/>
        </w:rPr>
      </w:pPr>
      <w:proofErr w:type="gramStart"/>
      <w:r w:rsidRPr="00475AF8">
        <w:rPr>
          <w:color w:val="000000"/>
        </w:rPr>
        <w:t>plaide</w:t>
      </w:r>
      <w:proofErr w:type="gramEnd"/>
      <w:r w:rsidRPr="00475AF8">
        <w:rPr>
          <w:color w:val="000000"/>
        </w:rPr>
        <w:t xml:space="preserve"> en faveur d’une nouvelle mesure commerciale globale visant à remplacer la mesure de sauvegarde sur l’acier avant son expiration le 1</w:t>
      </w:r>
      <w:r w:rsidRPr="00475AF8">
        <w:rPr>
          <w:color w:val="000000"/>
          <w:vertAlign w:val="superscript"/>
        </w:rPr>
        <w:t>er</w:t>
      </w:r>
      <w:r w:rsidRPr="00475AF8">
        <w:rPr>
          <w:color w:val="000000"/>
        </w:rPr>
        <w:t> juillet 2026, couvrant tous les pays et tous les produits sidérurgiques touchés, et recourant aux contingents tarifaires liés à la part de marché et à l’utilisation des capacités;</w:t>
      </w:r>
    </w:p>
    <w:p w14:paraId="035C09D2" w14:textId="77777777" w:rsidR="00EF7675" w:rsidRPr="00475AF8" w:rsidRDefault="00EF7675" w:rsidP="00EF7675">
      <w:pPr>
        <w:numPr>
          <w:ilvl w:val="0"/>
          <w:numId w:val="28"/>
        </w:numPr>
        <w:shd w:val="clear" w:color="auto" w:fill="FCFBFB"/>
        <w:spacing w:line="240" w:lineRule="auto"/>
        <w:ind w:left="714" w:hanging="357"/>
        <w:rPr>
          <w:color w:val="000000"/>
        </w:rPr>
      </w:pPr>
      <w:proofErr w:type="gramStart"/>
      <w:r w:rsidRPr="00475AF8">
        <w:rPr>
          <w:color w:val="000000"/>
        </w:rPr>
        <w:t>promeut</w:t>
      </w:r>
      <w:proofErr w:type="gramEnd"/>
      <w:r w:rsidRPr="00475AF8">
        <w:rPr>
          <w:color w:val="000000"/>
        </w:rPr>
        <w:t xml:space="preserve"> l’introduction immédiate d’une règle «fondu et coulé» afin d’éviter le contournement et d’améliorer la traçabilité de l’acier, ainsi que la suspension de la règle du «droit moindre» dans les cas qui le nécessitent;</w:t>
      </w:r>
    </w:p>
    <w:p w14:paraId="7CF1651C" w14:textId="77777777" w:rsidR="00EF7675" w:rsidRPr="00475AF8" w:rsidRDefault="00EF7675" w:rsidP="00EF7675">
      <w:pPr>
        <w:numPr>
          <w:ilvl w:val="0"/>
          <w:numId w:val="28"/>
        </w:numPr>
        <w:shd w:val="clear" w:color="auto" w:fill="FCFBFB"/>
        <w:spacing w:line="240" w:lineRule="auto"/>
        <w:ind w:left="714" w:hanging="357"/>
        <w:rPr>
          <w:color w:val="000000"/>
        </w:rPr>
      </w:pPr>
      <w:proofErr w:type="gramStart"/>
      <w:r w:rsidRPr="00475AF8">
        <w:rPr>
          <w:color w:val="000000"/>
        </w:rPr>
        <w:t>demande</w:t>
      </w:r>
      <w:proofErr w:type="gramEnd"/>
      <w:r w:rsidRPr="00475AF8">
        <w:rPr>
          <w:color w:val="000000"/>
        </w:rPr>
        <w:t xml:space="preserve"> la publication de la proposition législative sur le mécanisme d’ajustement carbone aux frontières (MACF), en conservant des quotas gratuits pour les exportations vers des pays tiers qui ne disposent pas de politiques comparables en matière de climat, ainsi que d’étendre le champ d’application du MACF aux secteurs à forte intensité d’acier situés en aval;</w:t>
      </w:r>
    </w:p>
    <w:p w14:paraId="53C0E4FC" w14:textId="77777777" w:rsidR="00EF7675" w:rsidRPr="00475AF8" w:rsidRDefault="00EF7675" w:rsidP="00EF7675">
      <w:pPr>
        <w:numPr>
          <w:ilvl w:val="0"/>
          <w:numId w:val="28"/>
        </w:numPr>
        <w:shd w:val="clear" w:color="auto" w:fill="FCFBFB"/>
        <w:spacing w:line="240" w:lineRule="auto"/>
        <w:ind w:left="714" w:hanging="357"/>
        <w:rPr>
          <w:color w:val="000000"/>
        </w:rPr>
      </w:pPr>
      <w:proofErr w:type="gramStart"/>
      <w:r w:rsidRPr="00475AF8">
        <w:rPr>
          <w:color w:val="000000"/>
        </w:rPr>
        <w:t>soutient</w:t>
      </w:r>
      <w:proofErr w:type="gramEnd"/>
      <w:r w:rsidRPr="00475AF8">
        <w:rPr>
          <w:color w:val="000000"/>
        </w:rPr>
        <w:t xml:space="preserve"> l’adoption rapide de la proposition Omnibus I visant à protéger les PME de charges administratives et coûts excessifs dans le cadre du MACF, sans compromettre les objectifs environnementaux et sociaux;</w:t>
      </w:r>
    </w:p>
    <w:p w14:paraId="2A1D78E1" w14:textId="77777777" w:rsidR="00EF7675" w:rsidRPr="00475AF8" w:rsidRDefault="00EF7675" w:rsidP="00EF7675">
      <w:pPr>
        <w:numPr>
          <w:ilvl w:val="0"/>
          <w:numId w:val="28"/>
        </w:numPr>
        <w:shd w:val="clear" w:color="auto" w:fill="FCFBFB"/>
        <w:spacing w:line="240" w:lineRule="auto"/>
        <w:ind w:left="714" w:hanging="357"/>
        <w:rPr>
          <w:color w:val="000000"/>
        </w:rPr>
      </w:pPr>
      <w:proofErr w:type="gramStart"/>
      <w:r w:rsidRPr="00475AF8">
        <w:rPr>
          <w:color w:val="000000"/>
        </w:rPr>
        <w:t>appelle</w:t>
      </w:r>
      <w:proofErr w:type="gramEnd"/>
      <w:r w:rsidRPr="00475AF8">
        <w:rPr>
          <w:color w:val="000000"/>
        </w:rPr>
        <w:t xml:space="preserve"> à ce que la Commission européenne reconnaisse l’importance stratégique de la ferraille en tant que matière première secondaire et à proposer des systèmes de surveillance des exportations de ce matériau, comme des droits à l’exportation, des contingents tarifaires et une application renforcée des règles contre les exportations illégales, ainsi que l’intégration de son recyclage dans la législation en matière de déchets;</w:t>
      </w:r>
    </w:p>
    <w:p w14:paraId="47B327B4" w14:textId="77777777" w:rsidR="00EF7675" w:rsidRPr="00475AF8" w:rsidRDefault="00EF7675" w:rsidP="00EF7675">
      <w:pPr>
        <w:numPr>
          <w:ilvl w:val="0"/>
          <w:numId w:val="28"/>
        </w:numPr>
        <w:shd w:val="clear" w:color="auto" w:fill="FCFBFB"/>
        <w:spacing w:line="240" w:lineRule="auto"/>
        <w:ind w:left="714" w:hanging="357"/>
        <w:rPr>
          <w:color w:val="000000"/>
        </w:rPr>
      </w:pPr>
      <w:proofErr w:type="gramStart"/>
      <w:r w:rsidRPr="00475AF8">
        <w:rPr>
          <w:color w:val="000000"/>
        </w:rPr>
        <w:t>invite</w:t>
      </w:r>
      <w:proofErr w:type="gramEnd"/>
      <w:r w:rsidRPr="00475AF8">
        <w:rPr>
          <w:color w:val="000000"/>
        </w:rPr>
        <w:t xml:space="preserve"> à une réforme structurelle du marché de l’électricité, avec une analyse d’impact des autres modèles de marché afin de transférer les avantages des coûts de l’électricité propre vers les consommateurs et l’industrie;</w:t>
      </w:r>
    </w:p>
    <w:p w14:paraId="3F0707AC" w14:textId="77777777" w:rsidR="00EF7675" w:rsidRPr="00475AF8" w:rsidRDefault="00EF7675" w:rsidP="00EF7675">
      <w:pPr>
        <w:numPr>
          <w:ilvl w:val="0"/>
          <w:numId w:val="28"/>
        </w:numPr>
        <w:shd w:val="clear" w:color="auto" w:fill="FCFBFB"/>
        <w:spacing w:line="240" w:lineRule="auto"/>
        <w:ind w:left="714" w:hanging="357"/>
        <w:rPr>
          <w:color w:val="000000"/>
        </w:rPr>
      </w:pPr>
      <w:proofErr w:type="gramStart"/>
      <w:r w:rsidRPr="00475AF8">
        <w:rPr>
          <w:color w:val="000000"/>
        </w:rPr>
        <w:t>est</w:t>
      </w:r>
      <w:proofErr w:type="gramEnd"/>
      <w:r w:rsidRPr="00475AF8">
        <w:rPr>
          <w:color w:val="000000"/>
        </w:rPr>
        <w:t xml:space="preserve"> favorable, dans le cadre des aides d’État pour une industrie propre, à des orientations spécifiques en vue de la mise en œuvre de régimes temporaires d’allègement des prix de l’énergie pour les industries à forte intensité énergétique exposées au commerce international;</w:t>
      </w:r>
    </w:p>
    <w:p w14:paraId="0BBE1ED0" w14:textId="77777777" w:rsidR="00EF7675" w:rsidRPr="00475AF8" w:rsidRDefault="00EF7675" w:rsidP="00EF7675">
      <w:pPr>
        <w:numPr>
          <w:ilvl w:val="0"/>
          <w:numId w:val="28"/>
        </w:numPr>
        <w:shd w:val="clear" w:color="auto" w:fill="FCFBFB"/>
        <w:spacing w:line="240" w:lineRule="auto"/>
        <w:ind w:left="714" w:hanging="357"/>
        <w:rPr>
          <w:color w:val="000000"/>
        </w:rPr>
      </w:pPr>
      <w:proofErr w:type="gramStart"/>
      <w:r w:rsidRPr="00475AF8">
        <w:rPr>
          <w:color w:val="000000"/>
        </w:rPr>
        <w:t>appelle</w:t>
      </w:r>
      <w:proofErr w:type="gramEnd"/>
      <w:r w:rsidRPr="00475AF8">
        <w:rPr>
          <w:color w:val="000000"/>
        </w:rPr>
        <w:t xml:space="preserve"> à donner la priorité à l’industrie en matière d’accès à l’hydrogène en allouant des budgets sectoriels dans le cadre des futures enchères de la Banque européenne de l’hydrogène, à réviser l’acte délégué sur l’hydrogène renouvelable afin de permettre une production nationale et à adopter un acte délégué sur l’hydrogène bas carbone;</w:t>
      </w:r>
    </w:p>
    <w:p w14:paraId="17B0D66D" w14:textId="77777777" w:rsidR="00EF7675" w:rsidRPr="00475AF8" w:rsidRDefault="00EF7675" w:rsidP="00EF7675">
      <w:pPr>
        <w:numPr>
          <w:ilvl w:val="0"/>
          <w:numId w:val="28"/>
        </w:numPr>
        <w:shd w:val="clear" w:color="auto" w:fill="FCFBFB"/>
        <w:spacing w:line="240" w:lineRule="auto"/>
        <w:ind w:left="714" w:hanging="357"/>
        <w:rPr>
          <w:color w:val="000000"/>
        </w:rPr>
      </w:pPr>
      <w:proofErr w:type="gramStart"/>
      <w:r w:rsidRPr="00475AF8">
        <w:rPr>
          <w:color w:val="000000"/>
        </w:rPr>
        <w:t>soutient</w:t>
      </w:r>
      <w:proofErr w:type="gramEnd"/>
      <w:r w:rsidRPr="00475AF8">
        <w:rPr>
          <w:color w:val="000000"/>
        </w:rPr>
        <w:t xml:space="preserve"> des critères qui renforcent la résilience et la durabilité de produits propres fabriqués dans l’UE dans le cadre de la loi sur l’accélération de la décarbonation industrielle;</w:t>
      </w:r>
    </w:p>
    <w:p w14:paraId="761EC44C" w14:textId="77777777" w:rsidR="00EF7675" w:rsidRPr="00475AF8" w:rsidRDefault="00EF7675" w:rsidP="00EF7675">
      <w:pPr>
        <w:keepNext/>
        <w:keepLines/>
        <w:numPr>
          <w:ilvl w:val="0"/>
          <w:numId w:val="28"/>
        </w:numPr>
        <w:shd w:val="clear" w:color="auto" w:fill="FCFBFB"/>
        <w:spacing w:line="240" w:lineRule="auto"/>
        <w:ind w:left="714" w:hanging="357"/>
        <w:rPr>
          <w:color w:val="000000"/>
        </w:rPr>
      </w:pPr>
      <w:proofErr w:type="gramStart"/>
      <w:r w:rsidRPr="00475AF8">
        <w:rPr>
          <w:color w:val="000000"/>
        </w:rPr>
        <w:lastRenderedPageBreak/>
        <w:t>invite</w:t>
      </w:r>
      <w:proofErr w:type="gramEnd"/>
      <w:r w:rsidRPr="00475AF8">
        <w:rPr>
          <w:color w:val="000000"/>
        </w:rPr>
        <w:t xml:space="preserve"> à évaluer les besoins d’investissement des industries sidérurgique et métallurgique et à accroître le soutien financier spécifique — accompagné de conditions d’ordre social — éventuellement en utilisant des ressources ressortissant du MACF et du SEQE de l’UE pour soutenir des projets de décarbonation industrielle, y compris par l’intermédiaire de la future banque de décarbonation industrielle;</w:t>
      </w:r>
    </w:p>
    <w:p w14:paraId="155D9A5D" w14:textId="77777777" w:rsidR="00EF7675" w:rsidRPr="00475AF8" w:rsidRDefault="00EF7675" w:rsidP="00EF7675">
      <w:pPr>
        <w:numPr>
          <w:ilvl w:val="0"/>
          <w:numId w:val="28"/>
        </w:numPr>
        <w:shd w:val="clear" w:color="auto" w:fill="FCFBFB"/>
        <w:spacing w:line="240" w:lineRule="auto"/>
        <w:ind w:left="714" w:hanging="357"/>
        <w:rPr>
          <w:color w:val="000000"/>
        </w:rPr>
      </w:pPr>
      <w:proofErr w:type="gramStart"/>
      <w:r w:rsidRPr="00475AF8">
        <w:rPr>
          <w:color w:val="000000"/>
        </w:rPr>
        <w:t>propose</w:t>
      </w:r>
      <w:proofErr w:type="gramEnd"/>
      <w:r w:rsidRPr="00475AF8">
        <w:rPr>
          <w:color w:val="000000"/>
        </w:rPr>
        <w:t xml:space="preserve"> de mettre en place un Fonds pour une transition juste consacré aux industries à forte intensité énergétique, en mettant l’accent sur les programmes de perfectionnement et de reconversion professionnels et le soutien à la mobilité des travailleurs.</w:t>
      </w:r>
    </w:p>
    <w:p w14:paraId="42F793EA" w14:textId="77777777" w:rsidR="00EF7675" w:rsidRPr="00E9013F" w:rsidRDefault="00EF7675" w:rsidP="00EF7675">
      <w:pPr>
        <w:rPr>
          <w:sz w:val="18"/>
          <w:szCs w:val="16"/>
        </w:rPr>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4568"/>
      </w:tblGrid>
      <w:tr w:rsidR="00EF7675" w:rsidRPr="00E9013F" w14:paraId="007ADA43" w14:textId="77777777" w:rsidTr="00C93F66">
        <w:tc>
          <w:tcPr>
            <w:tcW w:w="1556" w:type="pct"/>
          </w:tcPr>
          <w:p w14:paraId="2EF23F57" w14:textId="77777777" w:rsidR="00EF7675" w:rsidRPr="00E9013F" w:rsidRDefault="00EF7675" w:rsidP="00C93F66">
            <w:pPr>
              <w:spacing w:line="240" w:lineRule="auto"/>
              <w:rPr>
                <w:i/>
              </w:rPr>
            </w:pPr>
            <w:r w:rsidRPr="00E9013F">
              <w:rPr>
                <w:b/>
                <w:i/>
              </w:rPr>
              <w:t>Contact</w:t>
            </w:r>
          </w:p>
        </w:tc>
        <w:tc>
          <w:tcPr>
            <w:tcW w:w="3444" w:type="pct"/>
          </w:tcPr>
          <w:p w14:paraId="1E74C373" w14:textId="3CD5D328" w:rsidR="00EF7675" w:rsidRPr="00475AF8" w:rsidRDefault="00EF7675" w:rsidP="00C93F66">
            <w:pPr>
              <w:spacing w:line="240" w:lineRule="auto"/>
              <w:rPr>
                <w:bCs/>
                <w:i/>
              </w:rPr>
            </w:pPr>
            <w:r w:rsidRPr="00475AF8">
              <w:rPr>
                <w:bCs/>
                <w:i/>
              </w:rPr>
              <w:t>Adam</w:t>
            </w:r>
            <w:r w:rsidR="006031D5" w:rsidRPr="00475AF8">
              <w:rPr>
                <w:bCs/>
                <w:i/>
              </w:rPr>
              <w:t> </w:t>
            </w:r>
            <w:r w:rsidRPr="00475AF8">
              <w:rPr>
                <w:bCs/>
                <w:i/>
              </w:rPr>
              <w:t xml:space="preserve">DORYWALSKI </w:t>
            </w:r>
          </w:p>
        </w:tc>
      </w:tr>
      <w:tr w:rsidR="00EF7675" w:rsidRPr="00E9013F" w14:paraId="27A09482" w14:textId="77777777" w:rsidTr="00C93F66">
        <w:tc>
          <w:tcPr>
            <w:tcW w:w="1556" w:type="pct"/>
          </w:tcPr>
          <w:p w14:paraId="0413FAC2" w14:textId="77777777" w:rsidR="00EF7675" w:rsidRPr="00E9013F" w:rsidRDefault="00EF7675" w:rsidP="00C93F66">
            <w:pPr>
              <w:spacing w:line="240" w:lineRule="auto"/>
              <w:rPr>
                <w:i/>
              </w:rPr>
            </w:pPr>
            <w:r w:rsidRPr="00E9013F">
              <w:rPr>
                <w:i/>
              </w:rPr>
              <w:t>Tél.</w:t>
            </w:r>
          </w:p>
        </w:tc>
        <w:tc>
          <w:tcPr>
            <w:tcW w:w="3444" w:type="pct"/>
          </w:tcPr>
          <w:p w14:paraId="0D87A3B8" w14:textId="77777777" w:rsidR="00EF7675" w:rsidRPr="00E9013F" w:rsidRDefault="00EF7675" w:rsidP="00C93F66">
            <w:pPr>
              <w:spacing w:line="240" w:lineRule="auto"/>
              <w:rPr>
                <w:i/>
              </w:rPr>
            </w:pPr>
            <w:r w:rsidRPr="00E9013F">
              <w:rPr>
                <w:i/>
              </w:rPr>
              <w:t>+3225469397</w:t>
            </w:r>
          </w:p>
        </w:tc>
      </w:tr>
      <w:tr w:rsidR="00EF7675" w:rsidRPr="00E9013F" w14:paraId="7C410E87" w14:textId="77777777" w:rsidTr="00C93F66">
        <w:tc>
          <w:tcPr>
            <w:tcW w:w="1556" w:type="pct"/>
          </w:tcPr>
          <w:p w14:paraId="566DFE72" w14:textId="77777777" w:rsidR="00EF7675" w:rsidRPr="00E9013F" w:rsidRDefault="00EF7675" w:rsidP="00C93F66">
            <w:pPr>
              <w:spacing w:line="240" w:lineRule="auto"/>
              <w:rPr>
                <w:i/>
              </w:rPr>
            </w:pPr>
            <w:r w:rsidRPr="00E9013F">
              <w:rPr>
                <w:i/>
              </w:rPr>
              <w:t>Courriel</w:t>
            </w:r>
          </w:p>
        </w:tc>
        <w:tc>
          <w:tcPr>
            <w:tcW w:w="3444" w:type="pct"/>
          </w:tcPr>
          <w:p w14:paraId="54C748CF" w14:textId="77777777" w:rsidR="00EF7675" w:rsidRPr="00E9013F" w:rsidRDefault="00CB508B" w:rsidP="00C93F66">
            <w:pPr>
              <w:spacing w:line="240" w:lineRule="auto"/>
              <w:rPr>
                <w:i/>
              </w:rPr>
            </w:pPr>
            <w:hyperlink r:id="rId101" w:history="1">
              <w:r w:rsidR="00EF7675" w:rsidRPr="00E9013F">
                <w:rPr>
                  <w:rStyle w:val="Hyperlink"/>
                  <w:i/>
                </w:rPr>
                <w:t>Adam.Dorywalski@eesc.europa.eu</w:t>
              </w:r>
            </w:hyperlink>
            <w:r w:rsidR="00EF7675" w:rsidRPr="00E9013F">
              <w:t xml:space="preserve"> </w:t>
            </w:r>
          </w:p>
        </w:tc>
      </w:tr>
    </w:tbl>
    <w:p w14:paraId="7E85129F" w14:textId="0B95FE6D" w:rsidR="008E27BB" w:rsidRDefault="008E27BB" w:rsidP="008E27BB">
      <w:pPr>
        <w:keepNext/>
        <w:keepLines/>
        <w:widowControl w:val="0"/>
        <w:overflowPunct w:val="0"/>
        <w:autoSpaceDE w:val="0"/>
        <w:autoSpaceDN w:val="0"/>
        <w:adjustRightInd w:val="0"/>
        <w:ind w:left="567"/>
        <w:contextualSpacing/>
        <w:jc w:val="left"/>
        <w:textAlignment w:val="baseline"/>
        <w:rPr>
          <w:sz w:val="28"/>
          <w:szCs w:val="28"/>
          <w:lang w:val="en-GB" w:eastAsia="zh-CN"/>
        </w:rPr>
      </w:pPr>
    </w:p>
    <w:p w14:paraId="144E5645" w14:textId="77777777" w:rsidR="008E27BB" w:rsidRDefault="008E27BB">
      <w:pPr>
        <w:spacing w:after="160" w:line="259" w:lineRule="auto"/>
        <w:jc w:val="left"/>
        <w:rPr>
          <w:sz w:val="28"/>
          <w:szCs w:val="28"/>
          <w:lang w:val="en-GB" w:eastAsia="zh-CN"/>
        </w:rPr>
      </w:pPr>
      <w:r>
        <w:rPr>
          <w:sz w:val="28"/>
          <w:szCs w:val="28"/>
          <w:lang w:val="en-GB" w:eastAsia="zh-CN"/>
        </w:rPr>
        <w:br w:type="page"/>
      </w:r>
    </w:p>
    <w:p w14:paraId="5B26B9AF" w14:textId="2041C141" w:rsidR="008E27BB" w:rsidRPr="00EB576B" w:rsidRDefault="00CB508B" w:rsidP="008E27BB">
      <w:pPr>
        <w:pStyle w:val="ListParagraph"/>
        <w:widowControl w:val="0"/>
        <w:numPr>
          <w:ilvl w:val="0"/>
          <w:numId w:val="27"/>
        </w:numPr>
        <w:spacing w:after="200" w:line="276" w:lineRule="auto"/>
        <w:ind w:left="567" w:hanging="567"/>
        <w:jc w:val="left"/>
        <w:rPr>
          <w:sz w:val="28"/>
          <w:szCs w:val="28"/>
        </w:rPr>
      </w:pPr>
      <w:hyperlink r:id="rId102" w:history="1">
        <w:r w:rsidR="008E27BB">
          <w:rPr>
            <w:rStyle w:val="Hyperlink"/>
            <w:b/>
            <w:i/>
            <w:sz w:val="28"/>
          </w:rPr>
          <w:t>Éléments constitutifs du renforcement de la base manufacturière de l’Europe dans le domaine des technologies propres</w:t>
        </w:r>
      </w:hyperlink>
      <w:r w:rsidR="008E27BB">
        <w:rPr>
          <w:b/>
          <w:i/>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8E27BB" w:rsidRPr="002754E8" w14:paraId="7E39D8C1" w14:textId="77777777" w:rsidTr="00475AF8">
        <w:tc>
          <w:tcPr>
            <w:tcW w:w="1701" w:type="dxa"/>
          </w:tcPr>
          <w:p w14:paraId="77AE5466" w14:textId="77777777" w:rsidR="008E27BB" w:rsidRPr="00A6689B" w:rsidRDefault="008E27BB" w:rsidP="00C93F66">
            <w:pPr>
              <w:tabs>
                <w:tab w:val="center" w:pos="284"/>
              </w:tabs>
              <w:ind w:left="266" w:hanging="266"/>
              <w:rPr>
                <w:b/>
              </w:rPr>
            </w:pPr>
            <w:proofErr w:type="spellStart"/>
            <w:r>
              <w:rPr>
                <w:b/>
                <w:bCs/>
              </w:rPr>
              <w:t>Rapporteure</w:t>
            </w:r>
            <w:proofErr w:type="spellEnd"/>
          </w:p>
        </w:tc>
        <w:tc>
          <w:tcPr>
            <w:tcW w:w="7479" w:type="dxa"/>
          </w:tcPr>
          <w:p w14:paraId="75E8C77C" w14:textId="77777777" w:rsidR="008E27BB" w:rsidRPr="00057230" w:rsidRDefault="008E27BB" w:rsidP="00C93F66">
            <w:pPr>
              <w:tabs>
                <w:tab w:val="center" w:pos="284"/>
              </w:tabs>
              <w:ind w:left="266" w:hanging="266"/>
            </w:pPr>
            <w:r>
              <w:t>Corina MURAFA BENGA (groupe des organisations de la société civile — RO)</w:t>
            </w:r>
          </w:p>
        </w:tc>
      </w:tr>
      <w:tr w:rsidR="008E27BB" w:rsidRPr="00A6689B" w14:paraId="7DBA9255" w14:textId="77777777" w:rsidTr="00475AF8">
        <w:tc>
          <w:tcPr>
            <w:tcW w:w="1701" w:type="dxa"/>
          </w:tcPr>
          <w:p w14:paraId="0C3D55EF" w14:textId="77777777" w:rsidR="008E27BB" w:rsidRPr="00A6689B" w:rsidRDefault="008E27BB" w:rsidP="00C93F66">
            <w:pPr>
              <w:tabs>
                <w:tab w:val="center" w:pos="284"/>
              </w:tabs>
              <w:ind w:left="266" w:hanging="266"/>
              <w:rPr>
                <w:b/>
              </w:rPr>
            </w:pPr>
            <w:r>
              <w:rPr>
                <w:b/>
              </w:rPr>
              <w:t>Corapporteur</w:t>
            </w:r>
          </w:p>
        </w:tc>
        <w:tc>
          <w:tcPr>
            <w:tcW w:w="7479" w:type="dxa"/>
          </w:tcPr>
          <w:p w14:paraId="28166201" w14:textId="77777777" w:rsidR="008E27BB" w:rsidRPr="00A6689B" w:rsidRDefault="008E27BB" w:rsidP="00C93F66">
            <w:pPr>
              <w:tabs>
                <w:tab w:val="center" w:pos="284"/>
              </w:tabs>
              <w:ind w:left="266" w:hanging="266"/>
            </w:pPr>
            <w:r>
              <w:t>Guido NELISSEN (catégorie 2 — BE)</w:t>
            </w:r>
          </w:p>
        </w:tc>
      </w:tr>
      <w:tr w:rsidR="008E27BB" w:rsidRPr="00A6689B" w14:paraId="271A9542" w14:textId="77777777" w:rsidTr="00475AF8">
        <w:tc>
          <w:tcPr>
            <w:tcW w:w="9180" w:type="dxa"/>
            <w:gridSpan w:val="2"/>
          </w:tcPr>
          <w:p w14:paraId="798CBC23" w14:textId="77777777" w:rsidR="008E27BB" w:rsidRPr="00A6689B" w:rsidRDefault="008E27BB" w:rsidP="00C93F66">
            <w:pPr>
              <w:tabs>
                <w:tab w:val="center" w:pos="284"/>
              </w:tabs>
              <w:spacing w:line="160" w:lineRule="exact"/>
              <w:ind w:left="266" w:hanging="266"/>
              <w:rPr>
                <w:lang w:val="en-US"/>
              </w:rPr>
            </w:pPr>
          </w:p>
        </w:tc>
      </w:tr>
      <w:tr w:rsidR="008E27BB" w:rsidRPr="00A6689B" w14:paraId="0F543011" w14:textId="77777777" w:rsidTr="00475AF8">
        <w:tc>
          <w:tcPr>
            <w:tcW w:w="1701" w:type="dxa"/>
            <w:vMerge w:val="restart"/>
          </w:tcPr>
          <w:p w14:paraId="41DCD945" w14:textId="77777777" w:rsidR="008E27BB" w:rsidRPr="00A6689B" w:rsidRDefault="008E27BB" w:rsidP="00C93F66">
            <w:pPr>
              <w:tabs>
                <w:tab w:val="center" w:pos="284"/>
              </w:tabs>
              <w:ind w:left="266" w:hanging="266"/>
              <w:rPr>
                <w:b/>
              </w:rPr>
            </w:pPr>
            <w:r>
              <w:rPr>
                <w:b/>
              </w:rPr>
              <w:t>Référence</w:t>
            </w:r>
          </w:p>
        </w:tc>
        <w:tc>
          <w:tcPr>
            <w:tcW w:w="7479" w:type="dxa"/>
          </w:tcPr>
          <w:p w14:paraId="2130F540" w14:textId="77777777" w:rsidR="00475AF8" w:rsidRDefault="00475AF8" w:rsidP="00C93F66">
            <w:pPr>
              <w:tabs>
                <w:tab w:val="center" w:pos="284"/>
              </w:tabs>
              <w:ind w:left="266" w:hanging="266"/>
            </w:pPr>
            <w:r>
              <w:t>Avis d'initiative</w:t>
            </w:r>
          </w:p>
          <w:p w14:paraId="5088132B" w14:textId="70AC687A" w:rsidR="008E27BB" w:rsidRPr="00A6689B" w:rsidRDefault="008E27BB" w:rsidP="00C93F66">
            <w:pPr>
              <w:tabs>
                <w:tab w:val="center" w:pos="284"/>
              </w:tabs>
              <w:ind w:left="266" w:hanging="266"/>
            </w:pPr>
            <w:r>
              <w:t>EESC-2025-00595-00-00-AC</w:t>
            </w:r>
          </w:p>
        </w:tc>
      </w:tr>
      <w:tr w:rsidR="008E27BB" w:rsidRPr="00A6689B" w14:paraId="1FF6616B" w14:textId="77777777" w:rsidTr="00475AF8">
        <w:tc>
          <w:tcPr>
            <w:tcW w:w="1701" w:type="dxa"/>
            <w:vMerge/>
          </w:tcPr>
          <w:p w14:paraId="2BC4AEAE" w14:textId="77777777" w:rsidR="008E27BB" w:rsidRPr="00A6689B" w:rsidRDefault="008E27BB" w:rsidP="00C93F66">
            <w:pPr>
              <w:tabs>
                <w:tab w:val="center" w:pos="284"/>
              </w:tabs>
              <w:ind w:left="266" w:hanging="266"/>
              <w:rPr>
                <w:b/>
                <w:lang w:val="en-US"/>
              </w:rPr>
            </w:pPr>
          </w:p>
        </w:tc>
        <w:tc>
          <w:tcPr>
            <w:tcW w:w="7479" w:type="dxa"/>
          </w:tcPr>
          <w:p w14:paraId="336E0D06" w14:textId="77777777" w:rsidR="008E27BB" w:rsidRPr="00A6689B" w:rsidRDefault="008E27BB" w:rsidP="00C93F66">
            <w:pPr>
              <w:tabs>
                <w:tab w:val="center" w:pos="284"/>
              </w:tabs>
              <w:ind w:left="266" w:hanging="266"/>
              <w:rPr>
                <w:lang w:val="en-US"/>
              </w:rPr>
            </w:pPr>
          </w:p>
        </w:tc>
      </w:tr>
    </w:tbl>
    <w:p w14:paraId="4A040F3A" w14:textId="77777777" w:rsidR="008E27BB" w:rsidRDefault="008E27BB" w:rsidP="008E27BB">
      <w:pPr>
        <w:keepNext/>
        <w:keepLines/>
        <w:tabs>
          <w:tab w:val="center" w:pos="284"/>
        </w:tabs>
        <w:rPr>
          <w:b/>
        </w:rPr>
      </w:pPr>
      <w:r>
        <w:rPr>
          <w:b/>
        </w:rPr>
        <w:t>Points clés</w:t>
      </w:r>
    </w:p>
    <w:p w14:paraId="18C8F73E" w14:textId="77777777" w:rsidR="008E27BB" w:rsidRDefault="008E27BB" w:rsidP="008E27BB">
      <w:pPr>
        <w:keepNext/>
        <w:keepLines/>
        <w:tabs>
          <w:tab w:val="center" w:pos="284"/>
        </w:tabs>
        <w:ind w:left="266" w:hanging="266"/>
        <w:rPr>
          <w:b/>
        </w:rPr>
      </w:pPr>
    </w:p>
    <w:p w14:paraId="70C1D0D3" w14:textId="77777777" w:rsidR="008E27BB" w:rsidRPr="00365432" w:rsidRDefault="008E27BB" w:rsidP="008E27BB">
      <w:pPr>
        <w:keepNext/>
        <w:keepLines/>
        <w:tabs>
          <w:tab w:val="center" w:pos="284"/>
        </w:tabs>
        <w:ind w:left="266" w:hanging="266"/>
        <w:rPr>
          <w:bCs/>
        </w:rPr>
      </w:pPr>
      <w:r>
        <w:t xml:space="preserve">Le </w:t>
      </w:r>
      <w:proofErr w:type="gramStart"/>
      <w:r>
        <w:t>CESE:</w:t>
      </w:r>
      <w:proofErr w:type="gramEnd"/>
    </w:p>
    <w:p w14:paraId="2759D09F" w14:textId="77777777" w:rsidR="00475AF8" w:rsidRDefault="008E27BB" w:rsidP="00475AF8">
      <w:pPr>
        <w:keepNext/>
        <w:keepLines/>
        <w:numPr>
          <w:ilvl w:val="0"/>
          <w:numId w:val="28"/>
        </w:numPr>
        <w:shd w:val="clear" w:color="auto" w:fill="FCFBFB"/>
        <w:spacing w:line="240" w:lineRule="auto"/>
        <w:ind w:left="714" w:hanging="357"/>
      </w:pPr>
      <w:bookmarkStart w:id="171" w:name="_Toc211269805"/>
      <w:proofErr w:type="gramStart"/>
      <w:r w:rsidRPr="00475AF8">
        <w:rPr>
          <w:color w:val="000000"/>
        </w:rPr>
        <w:t>souligne</w:t>
      </w:r>
      <w:proofErr w:type="gramEnd"/>
      <w:r>
        <w:t xml:space="preserve"> que même si l’Union accueille différents écosystèmes de technologies propres et dispose d’une solide expertise en matière de recherche et de développement, la transition de l’innovation vers le déploiement commercial reste problématique, surtout par rapport à des concurrents mondiaux tels que la Chine et les États-Unis;</w:t>
      </w:r>
      <w:bookmarkStart w:id="172" w:name="_Toc211269806"/>
      <w:bookmarkEnd w:id="171"/>
    </w:p>
    <w:p w14:paraId="56AA58A6" w14:textId="77777777" w:rsidR="00475AF8" w:rsidRDefault="008E27BB" w:rsidP="00475AF8">
      <w:pPr>
        <w:keepNext/>
        <w:keepLines/>
        <w:numPr>
          <w:ilvl w:val="0"/>
          <w:numId w:val="28"/>
        </w:numPr>
        <w:shd w:val="clear" w:color="auto" w:fill="FCFBFB"/>
        <w:spacing w:line="240" w:lineRule="auto"/>
        <w:ind w:left="714" w:hanging="357"/>
      </w:pPr>
      <w:proofErr w:type="gramStart"/>
      <w:r>
        <w:t>insiste</w:t>
      </w:r>
      <w:proofErr w:type="gramEnd"/>
      <w:r>
        <w:t xml:space="preserve"> sue le fait que les politiques américaines et chinoises mettent en péril la capacité de l’Europe à accroître les investissements et à renforcer son industrie des technologies propres, y compris dans les secteurs où elle est à la pointe. Si l’Union adopte les politiques adéquates, elle pourrait transformer les défis liés à l’énergie et à l’eau en possibilités de création d’emplois, de développement de nouvelles compétences et de croissance des </w:t>
      </w:r>
      <w:proofErr w:type="gramStart"/>
      <w:r>
        <w:t>entreprises;</w:t>
      </w:r>
      <w:bookmarkStart w:id="173" w:name="_Toc211269807"/>
      <w:bookmarkEnd w:id="172"/>
      <w:proofErr w:type="gramEnd"/>
    </w:p>
    <w:p w14:paraId="1F7951F5" w14:textId="77777777" w:rsidR="00475AF8" w:rsidRDefault="008E27BB" w:rsidP="00475AF8">
      <w:pPr>
        <w:keepNext/>
        <w:keepLines/>
        <w:numPr>
          <w:ilvl w:val="0"/>
          <w:numId w:val="28"/>
        </w:numPr>
        <w:shd w:val="clear" w:color="auto" w:fill="FCFBFB"/>
        <w:spacing w:line="240" w:lineRule="auto"/>
        <w:ind w:left="714" w:hanging="357"/>
      </w:pPr>
      <w:proofErr w:type="gramStart"/>
      <w:r>
        <w:t>exhorte</w:t>
      </w:r>
      <w:proofErr w:type="gramEnd"/>
      <w:r>
        <w:t xml:space="preserve"> la Commission à reconnaître que les technologies propres constituent un secteur industriel distinct, et à soutenir leur développement en élaborant des feuilles de route technologiques, en réduisant les risques liés aux innovations grâce à des projets pilotes et à des partenariats et en augmentant le financement, surtout dans le cadre du programme Horizon Europe et du 10</w:t>
      </w:r>
      <w:r w:rsidRPr="00475AF8">
        <w:rPr>
          <w:vertAlign w:val="superscript"/>
        </w:rPr>
        <w:t>e</w:t>
      </w:r>
      <w:r>
        <w:t> programme-cadre pour la recherche et l’innovation (10</w:t>
      </w:r>
      <w:r w:rsidRPr="00475AF8">
        <w:rPr>
          <w:vertAlign w:val="superscript"/>
        </w:rPr>
        <w:t>e</w:t>
      </w:r>
      <w:r>
        <w:t xml:space="preserve"> PC). Chaque feuille de route technologique devrait être complétée par une feuille de route relative à la dimension humaine et sociale, afin de soutenir tous les travailleurs lors de la transition en matière de </w:t>
      </w:r>
      <w:proofErr w:type="gramStart"/>
      <w:r>
        <w:t>compétences;</w:t>
      </w:r>
      <w:bookmarkStart w:id="174" w:name="_Toc211269808"/>
      <w:bookmarkEnd w:id="173"/>
      <w:proofErr w:type="gramEnd"/>
    </w:p>
    <w:p w14:paraId="35F919FF" w14:textId="77777777" w:rsidR="00475AF8" w:rsidRDefault="008E27BB" w:rsidP="00475AF8">
      <w:pPr>
        <w:keepNext/>
        <w:keepLines/>
        <w:numPr>
          <w:ilvl w:val="0"/>
          <w:numId w:val="28"/>
        </w:numPr>
        <w:shd w:val="clear" w:color="auto" w:fill="FCFBFB"/>
        <w:spacing w:line="240" w:lineRule="auto"/>
        <w:ind w:left="714" w:hanging="357"/>
      </w:pPr>
      <w:proofErr w:type="gramStart"/>
      <w:r>
        <w:t>préconise</w:t>
      </w:r>
      <w:proofErr w:type="gramEnd"/>
      <w:r>
        <w:t xml:space="preserve"> de mener une évaluation, à l’échelle de l’UE, des pénuries de main-d’œuvre dans les secteurs de l’énergie propre et des technologies de l’eau, tout en garantissant la qualité élevée des emplois et l’accès inclusif pour les femmes et les autres groupes désavantagés. La Commission devrait créer un flux spécifique pour les technologies propres dans le cadre de l’Observatoire européen de veille stratégique sur les besoins en compétences, qui découle de l’union des compétences, afin de s’assurer que ces compétences soient disponibles </w:t>
      </w:r>
      <w:proofErr w:type="gramStart"/>
      <w:r>
        <w:t>rapidement;</w:t>
      </w:r>
      <w:bookmarkStart w:id="175" w:name="_Toc211269809"/>
      <w:bookmarkEnd w:id="174"/>
      <w:proofErr w:type="gramEnd"/>
    </w:p>
    <w:p w14:paraId="7DBAB67B" w14:textId="77777777" w:rsidR="00475AF8" w:rsidRDefault="008E27BB" w:rsidP="00475AF8">
      <w:pPr>
        <w:keepNext/>
        <w:keepLines/>
        <w:numPr>
          <w:ilvl w:val="0"/>
          <w:numId w:val="28"/>
        </w:numPr>
        <w:shd w:val="clear" w:color="auto" w:fill="FCFBFB"/>
        <w:spacing w:line="240" w:lineRule="auto"/>
        <w:ind w:left="714" w:hanging="357"/>
      </w:pPr>
      <w:proofErr w:type="gramStart"/>
      <w:r>
        <w:t>appelle</w:t>
      </w:r>
      <w:proofErr w:type="gramEnd"/>
      <w:r>
        <w:t xml:space="preserve"> l’Union à développer des outils tels qu’un passeport européen des compétences, une certification harmonisée et des liens plus étroits entre la formation et l’industrie, afin de fluidifier les transitions vers des emplois à zéro émission nette;</w:t>
      </w:r>
      <w:bookmarkStart w:id="176" w:name="_Toc211269810"/>
      <w:bookmarkEnd w:id="175"/>
    </w:p>
    <w:p w14:paraId="0970C873" w14:textId="77777777" w:rsidR="00475AF8" w:rsidRDefault="008E27BB" w:rsidP="00475AF8">
      <w:pPr>
        <w:keepNext/>
        <w:keepLines/>
        <w:numPr>
          <w:ilvl w:val="0"/>
          <w:numId w:val="28"/>
        </w:numPr>
        <w:shd w:val="clear" w:color="auto" w:fill="FCFBFB"/>
        <w:spacing w:line="240" w:lineRule="auto"/>
        <w:ind w:left="714" w:hanging="357"/>
      </w:pPr>
      <w:proofErr w:type="gramStart"/>
      <w:r>
        <w:t>souligne</w:t>
      </w:r>
      <w:proofErr w:type="gramEnd"/>
      <w:r>
        <w:t xml:space="preserve"> la nécessité de stimuler les technologies de fabrication propres grâce à un Fonds européen pour la compétitivité, à la réaffectation du Fonds pour l’innovation et à la concentration en début de période des investissements de la Banque européenne d’investissement (BEI), tout en assurant la cohésion et l’accès des petites et moyennes entreprises (PME);</w:t>
      </w:r>
      <w:bookmarkStart w:id="177" w:name="_Toc211269811"/>
      <w:bookmarkEnd w:id="176"/>
    </w:p>
    <w:p w14:paraId="09967F34" w14:textId="77777777" w:rsidR="00475AF8" w:rsidRDefault="008E27BB" w:rsidP="00475AF8">
      <w:pPr>
        <w:keepNext/>
        <w:keepLines/>
        <w:numPr>
          <w:ilvl w:val="0"/>
          <w:numId w:val="28"/>
        </w:numPr>
        <w:shd w:val="clear" w:color="auto" w:fill="FCFBFB"/>
        <w:spacing w:line="240" w:lineRule="auto"/>
        <w:ind w:left="714" w:hanging="357"/>
      </w:pPr>
      <w:proofErr w:type="gramStart"/>
      <w:r>
        <w:t>recommande</w:t>
      </w:r>
      <w:proofErr w:type="gramEnd"/>
      <w:r>
        <w:t xml:space="preserve"> d’investir à l’échelon régional dans les pôles de technologies propres, les réseaux électriques et l’intégration des marchés des capitaux, tout en accélérant l’octroi de permis;</w:t>
      </w:r>
      <w:bookmarkStart w:id="178" w:name="_Toc211269812"/>
      <w:bookmarkEnd w:id="177"/>
    </w:p>
    <w:p w14:paraId="6849A23D" w14:textId="5CF4C725" w:rsidR="00475AF8" w:rsidRPr="003E4A72" w:rsidRDefault="008E27BB" w:rsidP="008E27BB">
      <w:pPr>
        <w:keepNext/>
        <w:keepLines/>
        <w:numPr>
          <w:ilvl w:val="0"/>
          <w:numId w:val="28"/>
        </w:numPr>
        <w:shd w:val="clear" w:color="auto" w:fill="FCFBFB"/>
        <w:spacing w:line="240" w:lineRule="auto"/>
        <w:ind w:left="714" w:hanging="357"/>
      </w:pPr>
      <w:proofErr w:type="gramStart"/>
      <w:r>
        <w:t>propose</w:t>
      </w:r>
      <w:proofErr w:type="gramEnd"/>
      <w:r>
        <w:t xml:space="preserve"> d’intégrer la décarbonation et l’utilisation rationnelle de l’eau aux accords commerciaux et d’établir des partenariats stratégiques en vue de renforcer les chaînes d’approvisionnement en technologies propres.</w:t>
      </w:r>
      <w:bookmarkEnd w:id="178"/>
    </w:p>
    <w:p w14:paraId="5782D610" w14:textId="77777777" w:rsidR="008E27BB" w:rsidRDefault="008E27BB" w:rsidP="008E27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E27BB" w:rsidRPr="00A6689B" w14:paraId="1EA11607" w14:textId="77777777" w:rsidTr="00C93F66">
        <w:tc>
          <w:tcPr>
            <w:tcW w:w="1418" w:type="dxa"/>
          </w:tcPr>
          <w:p w14:paraId="515B164D" w14:textId="77777777" w:rsidR="008E27BB" w:rsidRPr="00A6689B" w:rsidRDefault="008E27BB" w:rsidP="00C93F66">
            <w:pPr>
              <w:spacing w:line="240" w:lineRule="auto"/>
              <w:rPr>
                <w:i/>
              </w:rPr>
            </w:pPr>
            <w:r>
              <w:rPr>
                <w:b/>
                <w:i/>
              </w:rPr>
              <w:t>Contact</w:t>
            </w:r>
          </w:p>
        </w:tc>
        <w:tc>
          <w:tcPr>
            <w:tcW w:w="5670" w:type="dxa"/>
          </w:tcPr>
          <w:p w14:paraId="2E7376CB" w14:textId="77777777" w:rsidR="008E27BB" w:rsidRPr="00A6689B" w:rsidRDefault="008E27BB" w:rsidP="00475AF8">
            <w:pPr>
              <w:keepNext/>
              <w:keepLines/>
              <w:spacing w:line="240" w:lineRule="auto"/>
              <w:rPr>
                <w:i/>
              </w:rPr>
            </w:pPr>
            <w:r>
              <w:rPr>
                <w:i/>
              </w:rPr>
              <w:t>Jacopo CAJA</w:t>
            </w:r>
          </w:p>
        </w:tc>
      </w:tr>
      <w:tr w:rsidR="008E27BB" w:rsidRPr="00A6689B" w14:paraId="5ACD68D4" w14:textId="77777777" w:rsidTr="00C93F66">
        <w:tc>
          <w:tcPr>
            <w:tcW w:w="1418" w:type="dxa"/>
          </w:tcPr>
          <w:p w14:paraId="24D6BA93" w14:textId="77777777" w:rsidR="008E27BB" w:rsidRPr="00A6689B" w:rsidRDefault="008E27BB" w:rsidP="00C93F66">
            <w:pPr>
              <w:spacing w:line="240" w:lineRule="auto"/>
              <w:rPr>
                <w:i/>
              </w:rPr>
            </w:pPr>
            <w:r>
              <w:rPr>
                <w:i/>
              </w:rPr>
              <w:t>Tél.</w:t>
            </w:r>
          </w:p>
        </w:tc>
        <w:tc>
          <w:tcPr>
            <w:tcW w:w="5670" w:type="dxa"/>
          </w:tcPr>
          <w:p w14:paraId="5CC05D70" w14:textId="77777777" w:rsidR="008E27BB" w:rsidRPr="00A6689B" w:rsidRDefault="008E27BB" w:rsidP="00475AF8">
            <w:pPr>
              <w:keepNext/>
              <w:keepLines/>
              <w:spacing w:line="240" w:lineRule="auto"/>
              <w:rPr>
                <w:i/>
              </w:rPr>
            </w:pPr>
            <w:r>
              <w:rPr>
                <w:i/>
              </w:rPr>
              <w:t>+32 25469580</w:t>
            </w:r>
          </w:p>
        </w:tc>
      </w:tr>
      <w:tr w:rsidR="008E27BB" w:rsidRPr="00AC735E" w14:paraId="15BB85F1" w14:textId="77777777" w:rsidTr="00C93F66">
        <w:trPr>
          <w:trHeight w:val="80"/>
        </w:trPr>
        <w:tc>
          <w:tcPr>
            <w:tcW w:w="1418" w:type="dxa"/>
          </w:tcPr>
          <w:p w14:paraId="153B7060" w14:textId="77777777" w:rsidR="008E27BB" w:rsidRPr="00A6689B" w:rsidRDefault="008E27BB" w:rsidP="00C93F66">
            <w:pPr>
              <w:spacing w:line="240" w:lineRule="auto"/>
              <w:rPr>
                <w:i/>
              </w:rPr>
            </w:pPr>
            <w:r>
              <w:rPr>
                <w:i/>
              </w:rPr>
              <w:t>Courriel</w:t>
            </w:r>
          </w:p>
        </w:tc>
        <w:tc>
          <w:tcPr>
            <w:tcW w:w="5670" w:type="dxa"/>
          </w:tcPr>
          <w:p w14:paraId="2452C0CF" w14:textId="77777777" w:rsidR="008E27BB" w:rsidRPr="00AC735E" w:rsidRDefault="00CB508B" w:rsidP="00475AF8">
            <w:pPr>
              <w:keepNext/>
              <w:keepLines/>
              <w:spacing w:line="240" w:lineRule="auto"/>
              <w:rPr>
                <w:i/>
                <w:iCs/>
              </w:rPr>
            </w:pPr>
            <w:hyperlink r:id="rId103" w:history="1">
              <w:r w:rsidR="008E27BB">
                <w:rPr>
                  <w:rStyle w:val="Hyperlink"/>
                </w:rPr>
                <w:t>JacopoErnesto.Caja@eesc.europa.eu</w:t>
              </w:r>
            </w:hyperlink>
          </w:p>
        </w:tc>
      </w:tr>
    </w:tbl>
    <w:p w14:paraId="758044A5" w14:textId="77777777" w:rsidR="00F31327" w:rsidRDefault="00F31327" w:rsidP="00F31327">
      <w:pPr>
        <w:spacing w:after="160" w:line="259" w:lineRule="auto"/>
        <w:jc w:val="left"/>
        <w:rPr>
          <w:lang w:val="en-GB"/>
        </w:rPr>
      </w:pPr>
      <w:r>
        <w:rPr>
          <w:lang w:val="en-GB"/>
        </w:rPr>
        <w:br w:type="page"/>
      </w:r>
    </w:p>
    <w:p w14:paraId="54D663E1" w14:textId="31675CE2" w:rsidR="00F31327" w:rsidRPr="00987E15" w:rsidRDefault="00440B9C" w:rsidP="00F31327">
      <w:pPr>
        <w:pStyle w:val="Heading1"/>
        <w:keepNext/>
        <w:keepLines/>
        <w:ind w:left="567" w:hanging="567"/>
        <w:rPr>
          <w:b/>
          <w:color w:val="222A35" w:themeColor="text2" w:themeShade="80"/>
          <w:lang w:val="en-GB"/>
        </w:rPr>
      </w:pPr>
      <w:bookmarkStart w:id="179" w:name="_Toc211333718"/>
      <w:r w:rsidRPr="00440B9C">
        <w:rPr>
          <w:b/>
          <w:color w:val="222A35" w:themeColor="text2" w:themeShade="80"/>
          <w:lang w:val="en-GB"/>
        </w:rPr>
        <w:lastRenderedPageBreak/>
        <w:t>STRATÉGIE EUROPÉENNE POUR UNE UNION DE LA PRÉPARATION</w:t>
      </w:r>
      <w:bookmarkEnd w:id="179"/>
    </w:p>
    <w:p w14:paraId="3FC284FB" w14:textId="77777777" w:rsidR="00F31327" w:rsidRPr="00EA2195" w:rsidRDefault="00F31327" w:rsidP="00F31327">
      <w:pPr>
        <w:keepNext/>
        <w:keepLines/>
        <w:rPr>
          <w:lang w:val="en-GB"/>
        </w:rPr>
      </w:pPr>
    </w:p>
    <w:p w14:paraId="2FA34A96" w14:textId="75E84106" w:rsidR="00F93F0A" w:rsidRPr="00BF487F" w:rsidRDefault="00CB508B" w:rsidP="00440B9C">
      <w:pPr>
        <w:widowControl w:val="0"/>
        <w:numPr>
          <w:ilvl w:val="0"/>
          <w:numId w:val="2"/>
        </w:numPr>
        <w:overflowPunct w:val="0"/>
        <w:autoSpaceDE w:val="0"/>
        <w:autoSpaceDN w:val="0"/>
        <w:adjustRightInd w:val="0"/>
        <w:ind w:left="567" w:hanging="567"/>
        <w:textAlignment w:val="baseline"/>
        <w:rPr>
          <w:rStyle w:val="Hyperlink"/>
          <w:b/>
          <w:bCs/>
          <w:i/>
          <w:iCs/>
          <w:color w:val="auto"/>
          <w:sz w:val="28"/>
          <w:szCs w:val="28"/>
          <w:u w:val="none"/>
        </w:rPr>
      </w:pPr>
      <w:hyperlink r:id="rId104" w:history="1">
        <w:r w:rsidR="00F93F0A">
          <w:rPr>
            <w:rStyle w:val="Hyperlink"/>
            <w:b/>
            <w:i/>
            <w:sz w:val="28"/>
          </w:rPr>
          <w:t>Avis sur la stratégie pour une union de la préparation</w:t>
        </w:r>
      </w:hyperlink>
    </w:p>
    <w:p w14:paraId="6A138900" w14:textId="77777777" w:rsidR="00BF487F" w:rsidRPr="00440B9C" w:rsidRDefault="00BF487F" w:rsidP="00BF487F">
      <w:pPr>
        <w:widowControl w:val="0"/>
        <w:overflowPunct w:val="0"/>
        <w:autoSpaceDE w:val="0"/>
        <w:autoSpaceDN w:val="0"/>
        <w:adjustRightInd w:val="0"/>
        <w:ind w:left="567"/>
        <w:textAlignment w:val="baseline"/>
        <w:rPr>
          <w:b/>
          <w:bCs/>
          <w:i/>
          <w:i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7369"/>
      </w:tblGrid>
      <w:tr w:rsidR="00F93F0A" w:rsidRPr="00483D70" w14:paraId="4F00A66C" w14:textId="77777777" w:rsidTr="00C93F66">
        <w:tc>
          <w:tcPr>
            <w:tcW w:w="1093" w:type="pct"/>
          </w:tcPr>
          <w:p w14:paraId="267116F0" w14:textId="77777777" w:rsidR="00F93F0A" w:rsidRPr="00483D70" w:rsidRDefault="00F93F0A" w:rsidP="00C93F66">
            <w:pPr>
              <w:tabs>
                <w:tab w:val="center" w:pos="284"/>
              </w:tabs>
              <w:ind w:left="266" w:hanging="266"/>
              <w:rPr>
                <w:b/>
              </w:rPr>
            </w:pPr>
            <w:r>
              <w:rPr>
                <w:b/>
              </w:rPr>
              <w:t>Rapporteurs</w:t>
            </w:r>
          </w:p>
        </w:tc>
        <w:tc>
          <w:tcPr>
            <w:tcW w:w="3907" w:type="pct"/>
          </w:tcPr>
          <w:p w14:paraId="5B89C2BD" w14:textId="4931C241" w:rsidR="00F93F0A" w:rsidRPr="00483D70" w:rsidRDefault="00F93F0A" w:rsidP="00C93F66">
            <w:pPr>
              <w:tabs>
                <w:tab w:val="center" w:pos="284"/>
              </w:tabs>
              <w:ind w:left="266" w:hanging="266"/>
            </w:pPr>
            <w:r>
              <w:t>Tomas</w:t>
            </w:r>
            <w:r w:rsidR="006031D5">
              <w:t> </w:t>
            </w:r>
            <w:r>
              <w:t>ARVIDSSON (groupe des employeurs — SE)</w:t>
            </w:r>
          </w:p>
        </w:tc>
      </w:tr>
      <w:tr w:rsidR="00F93F0A" w:rsidRPr="00483D70" w14:paraId="1B782BE6" w14:textId="77777777" w:rsidTr="00C93F66">
        <w:tc>
          <w:tcPr>
            <w:tcW w:w="1093" w:type="pct"/>
          </w:tcPr>
          <w:p w14:paraId="66FD6E4D" w14:textId="77777777" w:rsidR="00F93F0A" w:rsidRPr="00483D70" w:rsidRDefault="00F93F0A" w:rsidP="00C93F66">
            <w:pPr>
              <w:tabs>
                <w:tab w:val="center" w:pos="284"/>
              </w:tabs>
              <w:ind w:left="266" w:hanging="266"/>
              <w:rPr>
                <w:b/>
              </w:rPr>
            </w:pPr>
          </w:p>
        </w:tc>
        <w:tc>
          <w:tcPr>
            <w:tcW w:w="3907" w:type="pct"/>
          </w:tcPr>
          <w:p w14:paraId="237D5D7C" w14:textId="77777777" w:rsidR="00F93F0A" w:rsidRPr="00483D70" w:rsidRDefault="00F93F0A" w:rsidP="00C93F66">
            <w:pPr>
              <w:tabs>
                <w:tab w:val="center" w:pos="284"/>
              </w:tabs>
              <w:ind w:left="266" w:hanging="266"/>
            </w:pPr>
            <w:r>
              <w:t>Giulia BARBUCCI (groupe des travailleurs — IT)</w:t>
            </w:r>
          </w:p>
        </w:tc>
      </w:tr>
      <w:tr w:rsidR="00F93F0A" w:rsidRPr="00483D70" w14:paraId="6F968AAA" w14:textId="77777777" w:rsidTr="00C93F66">
        <w:tc>
          <w:tcPr>
            <w:tcW w:w="1093" w:type="pct"/>
          </w:tcPr>
          <w:p w14:paraId="6C38E5D4" w14:textId="77777777" w:rsidR="00F93F0A" w:rsidRPr="00483D70" w:rsidRDefault="00F93F0A" w:rsidP="00C93F66">
            <w:pPr>
              <w:tabs>
                <w:tab w:val="center" w:pos="284"/>
              </w:tabs>
              <w:ind w:left="266" w:hanging="266"/>
              <w:rPr>
                <w:b/>
                <w:lang w:val="en-US"/>
              </w:rPr>
            </w:pPr>
          </w:p>
        </w:tc>
        <w:tc>
          <w:tcPr>
            <w:tcW w:w="3907" w:type="pct"/>
          </w:tcPr>
          <w:p w14:paraId="5DD5D699" w14:textId="4005556F" w:rsidR="00F93F0A" w:rsidRPr="00483D70" w:rsidRDefault="00F93F0A" w:rsidP="00C93F66">
            <w:pPr>
              <w:tabs>
                <w:tab w:val="center" w:pos="284"/>
              </w:tabs>
              <w:ind w:left="266" w:hanging="266"/>
            </w:pPr>
            <w:r>
              <w:t>Ariane</w:t>
            </w:r>
            <w:r w:rsidR="006031D5">
              <w:t> </w:t>
            </w:r>
            <w:r>
              <w:t>RODERT (groupe des organisations de la société civile — Suède)</w:t>
            </w:r>
          </w:p>
        </w:tc>
      </w:tr>
      <w:tr w:rsidR="00F93F0A" w:rsidRPr="00483D70" w14:paraId="0B3C24FB" w14:textId="77777777" w:rsidTr="00C93F66">
        <w:tc>
          <w:tcPr>
            <w:tcW w:w="1093" w:type="pct"/>
          </w:tcPr>
          <w:p w14:paraId="7D5288DA" w14:textId="77777777" w:rsidR="00F93F0A" w:rsidRPr="00483D70" w:rsidRDefault="00F93F0A" w:rsidP="00C93F66">
            <w:pPr>
              <w:tabs>
                <w:tab w:val="center" w:pos="284"/>
              </w:tabs>
              <w:ind w:left="266" w:hanging="266"/>
              <w:rPr>
                <w:b/>
              </w:rPr>
            </w:pPr>
            <w:r>
              <w:rPr>
                <w:b/>
              </w:rPr>
              <w:t>Référence</w:t>
            </w:r>
          </w:p>
        </w:tc>
        <w:tc>
          <w:tcPr>
            <w:tcW w:w="3907" w:type="pct"/>
          </w:tcPr>
          <w:p w14:paraId="45EAD45C" w14:textId="77777777" w:rsidR="00BF487F" w:rsidRDefault="00BF487F" w:rsidP="00BF487F">
            <w:pPr>
              <w:tabs>
                <w:tab w:val="center" w:pos="284"/>
              </w:tabs>
              <w:overflowPunct w:val="0"/>
              <w:autoSpaceDE w:val="0"/>
              <w:autoSpaceDN w:val="0"/>
              <w:adjustRightInd w:val="0"/>
              <w:ind w:left="266" w:hanging="266"/>
              <w:textAlignment w:val="baseline"/>
            </w:pPr>
            <w:proofErr w:type="gramStart"/>
            <w:r>
              <w:t>JOIN(</w:t>
            </w:r>
            <w:proofErr w:type="gramEnd"/>
            <w:r>
              <w:t>2025) 130 final</w:t>
            </w:r>
          </w:p>
          <w:p w14:paraId="6258FF04" w14:textId="77777777" w:rsidR="00F93F0A" w:rsidRPr="00483D70" w:rsidRDefault="00F93F0A" w:rsidP="00C93F66">
            <w:pPr>
              <w:tabs>
                <w:tab w:val="center" w:pos="284"/>
              </w:tabs>
              <w:ind w:left="266" w:hanging="266"/>
            </w:pPr>
            <w:r>
              <w:t>EESC-2025-01292-00-00-AC</w:t>
            </w:r>
          </w:p>
        </w:tc>
      </w:tr>
    </w:tbl>
    <w:p w14:paraId="1D637393" w14:textId="77777777" w:rsidR="00F93F0A" w:rsidRDefault="00F93F0A" w:rsidP="00F93F0A">
      <w:pPr>
        <w:keepNext/>
        <w:keepLines/>
        <w:tabs>
          <w:tab w:val="center" w:pos="284"/>
        </w:tabs>
        <w:ind w:left="266" w:hanging="266"/>
        <w:rPr>
          <w:b/>
        </w:rPr>
      </w:pPr>
    </w:p>
    <w:p w14:paraId="0B557F56" w14:textId="77777777" w:rsidR="00F93F0A" w:rsidRPr="00A6689B" w:rsidRDefault="00F93F0A" w:rsidP="00F93F0A">
      <w:pPr>
        <w:keepNext/>
        <w:keepLines/>
        <w:tabs>
          <w:tab w:val="center" w:pos="284"/>
        </w:tabs>
        <w:ind w:left="266" w:hanging="266"/>
        <w:rPr>
          <w:b/>
        </w:rPr>
      </w:pPr>
      <w:r>
        <w:rPr>
          <w:b/>
        </w:rPr>
        <w:t>Points clés</w:t>
      </w:r>
    </w:p>
    <w:p w14:paraId="6A02AACE" w14:textId="77777777" w:rsidR="00F93F0A" w:rsidRPr="00A6689B" w:rsidRDefault="00F93F0A" w:rsidP="00F93F0A">
      <w:pPr>
        <w:keepNext/>
        <w:keepLines/>
        <w:tabs>
          <w:tab w:val="center" w:pos="284"/>
        </w:tabs>
        <w:ind w:left="266" w:hanging="266"/>
        <w:rPr>
          <w:b/>
        </w:rPr>
      </w:pPr>
    </w:p>
    <w:p w14:paraId="035F9341" w14:textId="77777777" w:rsidR="00F93F0A" w:rsidRDefault="00F93F0A" w:rsidP="00F93F0A">
      <w:pPr>
        <w:rPr>
          <w:bCs/>
          <w:iCs/>
        </w:rPr>
      </w:pPr>
      <w:r>
        <w:t xml:space="preserve">Le </w:t>
      </w:r>
      <w:proofErr w:type="gramStart"/>
      <w:r>
        <w:t>CESE:</w:t>
      </w:r>
      <w:proofErr w:type="gramEnd"/>
    </w:p>
    <w:p w14:paraId="04A0E61B" w14:textId="77777777" w:rsidR="00F93F0A" w:rsidRDefault="00F93F0A" w:rsidP="00F93F0A">
      <w:pPr>
        <w:numPr>
          <w:ilvl w:val="0"/>
          <w:numId w:val="35"/>
        </w:numPr>
        <w:overflowPunct w:val="0"/>
        <w:autoSpaceDE w:val="0"/>
        <w:autoSpaceDN w:val="0"/>
        <w:adjustRightInd w:val="0"/>
        <w:ind w:left="567" w:hanging="567"/>
        <w:textAlignment w:val="baseline"/>
        <w:rPr>
          <w:bCs/>
          <w:iCs/>
        </w:rPr>
      </w:pPr>
      <w:proofErr w:type="gramStart"/>
      <w:r>
        <w:t>estime</w:t>
      </w:r>
      <w:proofErr w:type="gramEnd"/>
      <w:r>
        <w:t xml:space="preserve"> qu’en ces temps incertains, caractérisés par des crises qui sont de plus en plus interconnectées et complexes, tant en Europe que dans son voisinage, la préparation et la résilience de la société, y compris la résilience économique et sociale, sont plus importantes que jamais;</w:t>
      </w:r>
    </w:p>
    <w:p w14:paraId="713F8B7C" w14:textId="77777777" w:rsidR="00F93F0A" w:rsidRPr="008373FB" w:rsidRDefault="00F93F0A" w:rsidP="00F93F0A">
      <w:pPr>
        <w:numPr>
          <w:ilvl w:val="0"/>
          <w:numId w:val="35"/>
        </w:numPr>
        <w:overflowPunct w:val="0"/>
        <w:autoSpaceDE w:val="0"/>
        <w:autoSpaceDN w:val="0"/>
        <w:adjustRightInd w:val="0"/>
        <w:ind w:left="567" w:hanging="567"/>
        <w:textAlignment w:val="baseline"/>
        <w:rPr>
          <w:bCs/>
          <w:iCs/>
        </w:rPr>
      </w:pPr>
      <w:proofErr w:type="gramStart"/>
      <w:r>
        <w:t>se</w:t>
      </w:r>
      <w:proofErr w:type="gramEnd"/>
      <w:r>
        <w:t xml:space="preserve"> félicite de la stratégie européenne de l’union de la préparation, et souligne que cette dernière nécessite une approche inclusive intégrant l’ensemble de la société, en s’appuyant sur les expériences nationales et le rôle des collectivités locales, et fait observer que la préparation constitue un engagement à long terme, qui embrasse plusieurs générations et devrait commencer dès le niveau préscolaire et scolaire et associer tous les groupes de la société;</w:t>
      </w:r>
    </w:p>
    <w:p w14:paraId="2C734C8E" w14:textId="77777777" w:rsidR="00F93F0A" w:rsidRDefault="00F93F0A" w:rsidP="00F93F0A">
      <w:pPr>
        <w:numPr>
          <w:ilvl w:val="0"/>
          <w:numId w:val="35"/>
        </w:numPr>
        <w:overflowPunct w:val="0"/>
        <w:autoSpaceDE w:val="0"/>
        <w:autoSpaceDN w:val="0"/>
        <w:adjustRightInd w:val="0"/>
        <w:ind w:left="567" w:hanging="567"/>
        <w:textAlignment w:val="baseline"/>
        <w:rPr>
          <w:bCs/>
          <w:iCs/>
        </w:rPr>
      </w:pPr>
      <w:proofErr w:type="gramStart"/>
      <w:r>
        <w:t>juge</w:t>
      </w:r>
      <w:proofErr w:type="gramEnd"/>
      <w:r>
        <w:t xml:space="preserve"> que cette approche intersectorielle, pluridisciplinaire et coordonnée est essentielle pour une Union européenne mieux préparée, et rappelle qu’il s’impose d’associer les parties prenantes concernées tout au long du processus; </w:t>
      </w:r>
    </w:p>
    <w:p w14:paraId="3D7C9944" w14:textId="77777777" w:rsidR="00F93F0A" w:rsidRPr="008373FB" w:rsidRDefault="00F93F0A" w:rsidP="00F93F0A">
      <w:pPr>
        <w:numPr>
          <w:ilvl w:val="0"/>
          <w:numId w:val="35"/>
        </w:numPr>
        <w:overflowPunct w:val="0"/>
        <w:autoSpaceDE w:val="0"/>
        <w:autoSpaceDN w:val="0"/>
        <w:adjustRightInd w:val="0"/>
        <w:ind w:left="567" w:hanging="567"/>
        <w:textAlignment w:val="baseline"/>
        <w:rPr>
          <w:bCs/>
          <w:iCs/>
        </w:rPr>
      </w:pPr>
      <w:proofErr w:type="gramStart"/>
      <w:r>
        <w:t>souligne</w:t>
      </w:r>
      <w:proofErr w:type="gramEnd"/>
      <w:r>
        <w:t xml:space="preserve"> que la société civile organisée représente une ressource essentielle pour ce qui est de la préparation; c’est là un acteur incontournable dans la gestion des crises: qu’il s’agisse d’atteindre les groupes vulnérables et de fournir une aide humanitaire, ou encore de former des volontaires;</w:t>
      </w:r>
    </w:p>
    <w:p w14:paraId="4901C674" w14:textId="77777777" w:rsidR="00F93F0A" w:rsidRPr="00AD2559" w:rsidRDefault="00F93F0A" w:rsidP="00F93F0A">
      <w:pPr>
        <w:numPr>
          <w:ilvl w:val="0"/>
          <w:numId w:val="35"/>
        </w:numPr>
        <w:overflowPunct w:val="0"/>
        <w:autoSpaceDE w:val="0"/>
        <w:autoSpaceDN w:val="0"/>
        <w:adjustRightInd w:val="0"/>
        <w:ind w:left="567" w:hanging="567"/>
        <w:textAlignment w:val="baseline"/>
        <w:rPr>
          <w:bCs/>
          <w:iCs/>
        </w:rPr>
      </w:pPr>
      <w:proofErr w:type="gramStart"/>
      <w:r>
        <w:t>plaide</w:t>
      </w:r>
      <w:proofErr w:type="gramEnd"/>
      <w:r>
        <w:t xml:space="preserve"> en faveur d’une approche globale de cette stratégie, y compris d’un point de vue financier, ainsi que pour une clarification des points les plus flous; un financement stable et à long terme est essentiel, sans compromettre les politiques clés de l’Union telles que celles visant l’agriculture, la cohésion ou encore le Fonds de solidarité;</w:t>
      </w:r>
    </w:p>
    <w:p w14:paraId="4BFB6571" w14:textId="77777777" w:rsidR="00F93F0A" w:rsidRDefault="00F93F0A" w:rsidP="00F93F0A">
      <w:pPr>
        <w:numPr>
          <w:ilvl w:val="0"/>
          <w:numId w:val="35"/>
        </w:numPr>
        <w:overflowPunct w:val="0"/>
        <w:autoSpaceDE w:val="0"/>
        <w:autoSpaceDN w:val="0"/>
        <w:adjustRightInd w:val="0"/>
        <w:ind w:left="567" w:hanging="567"/>
        <w:textAlignment w:val="baseline"/>
        <w:rPr>
          <w:bCs/>
          <w:iCs/>
        </w:rPr>
      </w:pPr>
      <w:proofErr w:type="gramStart"/>
      <w:r>
        <w:t>soutient</w:t>
      </w:r>
      <w:proofErr w:type="gramEnd"/>
      <w:r>
        <w:t xml:space="preserve"> la transition vers une anticipation et une proactivité accrue, de même que le principe sous-jacent de «préparation dès la conception»; souligne toutefois qu’il faudrait que la stratégie concilie mieux les différences et perceptions nationales, en premier lieu au moyen de définitions communes et d’une compréhension collective des menaces, y compris des défis communs à traiter de toute urgence en matière de sécurité;</w:t>
      </w:r>
    </w:p>
    <w:p w14:paraId="011389EE" w14:textId="77777777" w:rsidR="00F93F0A" w:rsidRDefault="00F93F0A" w:rsidP="00F93F0A">
      <w:pPr>
        <w:numPr>
          <w:ilvl w:val="0"/>
          <w:numId w:val="35"/>
        </w:numPr>
        <w:overflowPunct w:val="0"/>
        <w:autoSpaceDE w:val="0"/>
        <w:autoSpaceDN w:val="0"/>
        <w:adjustRightInd w:val="0"/>
        <w:ind w:left="567" w:hanging="567"/>
        <w:textAlignment w:val="baseline"/>
        <w:rPr>
          <w:bCs/>
          <w:iCs/>
        </w:rPr>
      </w:pPr>
      <w:proofErr w:type="gramStart"/>
      <w:r>
        <w:t>observe</w:t>
      </w:r>
      <w:proofErr w:type="gramEnd"/>
      <w:r>
        <w:t xml:space="preserve"> qu’une solidarité immédiate, cohérente et ciblée de l’Union européenne est essentielle à la reprise socio-économique rapide des régions touchées par des crises; affirme la nécessité d’une approche intégrée de la réaction aux crises, et cible à cet égard le fait que la phase de reconstruction doit en faire partie intégrante, sachant qu’une situation ne perd son caractère d’urgence qu’au moment où la population et les entreprises retrouvent une vie normale;</w:t>
      </w:r>
    </w:p>
    <w:p w14:paraId="25B89B1A" w14:textId="77777777" w:rsidR="00F93F0A" w:rsidRDefault="00F93F0A" w:rsidP="00F93F0A">
      <w:pPr>
        <w:numPr>
          <w:ilvl w:val="0"/>
          <w:numId w:val="35"/>
        </w:numPr>
        <w:overflowPunct w:val="0"/>
        <w:autoSpaceDE w:val="0"/>
        <w:autoSpaceDN w:val="0"/>
        <w:adjustRightInd w:val="0"/>
        <w:ind w:left="567" w:hanging="567"/>
        <w:textAlignment w:val="baseline"/>
        <w:rPr>
          <w:bCs/>
          <w:iCs/>
        </w:rPr>
      </w:pPr>
      <w:proofErr w:type="gramStart"/>
      <w:r>
        <w:t>soutient</w:t>
      </w:r>
      <w:proofErr w:type="gramEnd"/>
      <w:r>
        <w:t xml:space="preserve"> la nécessité de garantir une autosuffisance de 72 heures pour tous les ménages, tout en soulignant que le niveau de préparation de chacun d’eux varie en fonction de sa condition socio-économique et d’autres vulnérabilités, sachant que les crises n’affectent pas de manière </w:t>
      </w:r>
      <w:r>
        <w:lastRenderedPageBreak/>
        <w:t>équivalente tous les groupes, et de ce fait, il convient de prévoir un soutien sur mesure à l’intention des groupes vulnérables;</w:t>
      </w:r>
    </w:p>
    <w:p w14:paraId="78FF02AA" w14:textId="77777777" w:rsidR="00F93F0A" w:rsidRDefault="00F93F0A" w:rsidP="00F93F0A">
      <w:pPr>
        <w:numPr>
          <w:ilvl w:val="0"/>
          <w:numId w:val="35"/>
        </w:numPr>
        <w:overflowPunct w:val="0"/>
        <w:autoSpaceDE w:val="0"/>
        <w:autoSpaceDN w:val="0"/>
        <w:adjustRightInd w:val="0"/>
        <w:ind w:left="567" w:hanging="567"/>
        <w:textAlignment w:val="baseline"/>
        <w:rPr>
          <w:bCs/>
          <w:iCs/>
        </w:rPr>
      </w:pPr>
      <w:proofErr w:type="gramStart"/>
      <w:r>
        <w:t>se</w:t>
      </w:r>
      <w:proofErr w:type="gramEnd"/>
      <w:r>
        <w:t xml:space="preserve"> déclare convaincu que l’intégrité et le bon fonctionnement du marché intérieur sont essentiels, et pense qu’il importe de faire en sorte que l’Union reste interconnectée de sorte à garantir une solidarité efficace et durable et à stimuler la résilience sociétale et économique. </w:t>
      </w:r>
      <w:proofErr w:type="gramStart"/>
      <w:r>
        <w:t>préconise</w:t>
      </w:r>
      <w:proofErr w:type="gramEnd"/>
      <w:r>
        <w:t xml:space="preserve"> par conséquent que les entreprises disposent d’un cadre législatif clair et prévisible pour garantir une concurrence loyale au sein du marché intérieur;</w:t>
      </w:r>
    </w:p>
    <w:p w14:paraId="6F0B2A99" w14:textId="77777777" w:rsidR="00F93F0A" w:rsidRDefault="00F93F0A" w:rsidP="00F93F0A">
      <w:pPr>
        <w:numPr>
          <w:ilvl w:val="0"/>
          <w:numId w:val="35"/>
        </w:numPr>
        <w:overflowPunct w:val="0"/>
        <w:autoSpaceDE w:val="0"/>
        <w:autoSpaceDN w:val="0"/>
        <w:adjustRightInd w:val="0"/>
        <w:ind w:left="567" w:hanging="567"/>
        <w:textAlignment w:val="baseline"/>
        <w:rPr>
          <w:bCs/>
          <w:iCs/>
        </w:rPr>
      </w:pPr>
      <w:proofErr w:type="gramStart"/>
      <w:r>
        <w:t>continuera</w:t>
      </w:r>
      <w:proofErr w:type="gramEnd"/>
      <w:r>
        <w:t xml:space="preserve"> à suivre le lancement de ces différentes initiatives, et souhaite que l’on comprenne qu’il y a donc lieu de l’associer pleinement aux nouvelles structures et actions qui en découleront.</w:t>
      </w:r>
    </w:p>
    <w:p w14:paraId="1A6E3269" w14:textId="77777777" w:rsidR="00F93F0A" w:rsidRPr="00F81C41" w:rsidRDefault="00F93F0A" w:rsidP="00F93F0A">
      <w:pPr>
        <w:ind w:left="720"/>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7375"/>
      </w:tblGrid>
      <w:tr w:rsidR="00F93F0A" w:rsidRPr="00483D70" w14:paraId="0E4FFD68" w14:textId="77777777" w:rsidTr="00C93F66">
        <w:tc>
          <w:tcPr>
            <w:tcW w:w="1090" w:type="pct"/>
          </w:tcPr>
          <w:p w14:paraId="10909F51" w14:textId="77777777" w:rsidR="00F93F0A" w:rsidRPr="00483D70" w:rsidRDefault="00F93F0A" w:rsidP="00C93F66">
            <w:pPr>
              <w:rPr>
                <w:i/>
              </w:rPr>
            </w:pPr>
            <w:r>
              <w:rPr>
                <w:b/>
                <w:i/>
              </w:rPr>
              <w:t>Contact</w:t>
            </w:r>
          </w:p>
        </w:tc>
        <w:tc>
          <w:tcPr>
            <w:tcW w:w="3910" w:type="pct"/>
          </w:tcPr>
          <w:p w14:paraId="173CB09C" w14:textId="7175C4B5" w:rsidR="00F93F0A" w:rsidRPr="00483D70" w:rsidRDefault="00F93F0A" w:rsidP="00C93F66">
            <w:pPr>
              <w:rPr>
                <w:i/>
              </w:rPr>
            </w:pPr>
            <w:r>
              <w:rPr>
                <w:i/>
              </w:rPr>
              <w:t>Laura</w:t>
            </w:r>
            <w:r w:rsidR="006031D5">
              <w:rPr>
                <w:i/>
              </w:rPr>
              <w:t> </w:t>
            </w:r>
            <w:r>
              <w:rPr>
                <w:i/>
              </w:rPr>
              <w:t>ERNSTEINA</w:t>
            </w:r>
          </w:p>
        </w:tc>
      </w:tr>
      <w:tr w:rsidR="00F93F0A" w:rsidRPr="00483D70" w14:paraId="2B78CE18" w14:textId="77777777" w:rsidTr="00C93F66">
        <w:tc>
          <w:tcPr>
            <w:tcW w:w="1090" w:type="pct"/>
          </w:tcPr>
          <w:p w14:paraId="2DB9431E" w14:textId="77777777" w:rsidR="00F93F0A" w:rsidRPr="00483D70" w:rsidRDefault="00F93F0A" w:rsidP="00C93F66">
            <w:pPr>
              <w:rPr>
                <w:i/>
              </w:rPr>
            </w:pPr>
            <w:r>
              <w:rPr>
                <w:i/>
              </w:rPr>
              <w:t>Tél.</w:t>
            </w:r>
          </w:p>
        </w:tc>
        <w:tc>
          <w:tcPr>
            <w:tcW w:w="3910" w:type="pct"/>
          </w:tcPr>
          <w:p w14:paraId="3750A28D" w14:textId="77777777" w:rsidR="00F93F0A" w:rsidRPr="00483D70" w:rsidRDefault="00F93F0A" w:rsidP="00C93F66">
            <w:pPr>
              <w:rPr>
                <w:i/>
              </w:rPr>
            </w:pPr>
            <w:r>
              <w:rPr>
                <w:i/>
              </w:rPr>
              <w:t>+32 25469194</w:t>
            </w:r>
          </w:p>
        </w:tc>
      </w:tr>
      <w:tr w:rsidR="00F93F0A" w:rsidRPr="00483D70" w14:paraId="3F74C20E" w14:textId="77777777" w:rsidTr="00C93F66">
        <w:tc>
          <w:tcPr>
            <w:tcW w:w="1090" w:type="pct"/>
          </w:tcPr>
          <w:p w14:paraId="54874483" w14:textId="77777777" w:rsidR="00F93F0A" w:rsidRPr="00483D70" w:rsidRDefault="00F93F0A" w:rsidP="00C93F66">
            <w:pPr>
              <w:rPr>
                <w:i/>
              </w:rPr>
            </w:pPr>
            <w:r>
              <w:rPr>
                <w:i/>
              </w:rPr>
              <w:t>Courriel</w:t>
            </w:r>
          </w:p>
        </w:tc>
        <w:tc>
          <w:tcPr>
            <w:tcW w:w="3910" w:type="pct"/>
          </w:tcPr>
          <w:p w14:paraId="645C2E9A" w14:textId="002D6B97" w:rsidR="00F93F0A" w:rsidRPr="00483D70" w:rsidRDefault="00CB508B" w:rsidP="00C93F66">
            <w:pPr>
              <w:rPr>
                <w:i/>
              </w:rPr>
            </w:pPr>
            <w:hyperlink r:id="rId105" w:history="1">
              <w:r w:rsidR="00F93F0A" w:rsidRPr="0051638A">
                <w:rPr>
                  <w:rStyle w:val="Hyperlink"/>
                  <w:i/>
                </w:rPr>
                <w:t>Laura.Ernsteina@eesc.europa.eu</w:t>
              </w:r>
            </w:hyperlink>
            <w:r w:rsidR="00F93F0A">
              <w:rPr>
                <w:i/>
              </w:rPr>
              <w:t xml:space="preserve"> </w:t>
            </w:r>
          </w:p>
        </w:tc>
      </w:tr>
    </w:tbl>
    <w:p w14:paraId="17F73AEF" w14:textId="77777777" w:rsidR="00F31327" w:rsidRPr="00EA2195" w:rsidRDefault="00F31327" w:rsidP="00F31327">
      <w:pPr>
        <w:rPr>
          <w:sz w:val="20"/>
          <w:szCs w:val="20"/>
          <w:lang w:val="en-GB"/>
        </w:rPr>
      </w:pPr>
    </w:p>
    <w:p w14:paraId="0D2DBE11" w14:textId="2C3C7314" w:rsidR="000D394D" w:rsidRPr="00D20AB4" w:rsidRDefault="000F397E" w:rsidP="00D20AB4">
      <w:pPr>
        <w:jc w:val="center"/>
        <w:rPr>
          <w:szCs w:val="20"/>
        </w:rPr>
      </w:pPr>
      <w:r>
        <w:t>_____________</w:t>
      </w:r>
    </w:p>
    <w:sectPr w:rsidR="000D394D" w:rsidRPr="00D20AB4" w:rsidSect="0066383E">
      <w:headerReference w:type="even" r:id="rId106"/>
      <w:headerReference w:type="default" r:id="rId107"/>
      <w:footerReference w:type="even" r:id="rId108"/>
      <w:footerReference w:type="default" r:id="rId109"/>
      <w:headerReference w:type="first" r:id="rId110"/>
      <w:footerReference w:type="first" r:id="rId111"/>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0610695" w:rsidR="00B518C9" w:rsidRPr="00055407" w:rsidRDefault="00055407" w:rsidP="00055407">
    <w:pPr>
      <w:pStyle w:val="Footer"/>
    </w:pPr>
    <w:r>
      <w:t>EESC-2025-02635-00-0</w:t>
    </w:r>
    <w:r w:rsidR="00215D99">
      <w:t>2</w:t>
    </w:r>
    <w:r>
      <w:t xml:space="preserve">-TCD-TRA (EN) </w:t>
    </w:r>
    <w:r>
      <w:fldChar w:fldCharType="begin"/>
    </w:r>
    <w:r>
      <w:instrText xml:space="preserve"> PAGE  \* Arabic  \* MERGEFORMAT </w:instrText>
    </w:r>
    <w:r>
      <w:fldChar w:fldCharType="separate"/>
    </w:r>
    <w:r w:rsidR="00A05F1A">
      <w:t>1</w:t>
    </w:r>
    <w:r>
      <w:fldChar w:fldCharType="end"/>
    </w:r>
    <w:r>
      <w:t>/</w:t>
    </w:r>
    <w:r w:rsidR="00CB508B">
      <w:fldChar w:fldCharType="begin"/>
    </w:r>
    <w:r w:rsidR="00CB508B">
      <w:instrText xml:space="preserve"> NUMPAGES </w:instrText>
    </w:r>
    <w:r w:rsidR="00CB508B">
      <w:fldChar w:fldCharType="separate"/>
    </w:r>
    <w:r w:rsidR="00A05F1A">
      <w:t>1</w:t>
    </w:r>
    <w:r w:rsidR="00CB508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055407" w:rsidRDefault="00055407" w:rsidP="00055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199DB4B5" w:rsidR="00055407" w:rsidRPr="00055407" w:rsidRDefault="00055407" w:rsidP="00055407">
    <w:pPr>
      <w:pStyle w:val="Footer"/>
    </w:pPr>
    <w:r>
      <w:t>EESC-2025-02635-00-0</w:t>
    </w:r>
    <w:r w:rsidR="00CB508B">
      <w:t>2</w:t>
    </w:r>
    <w:r>
      <w:t xml:space="preserve">-TCD-TRA (EN) </w:t>
    </w:r>
    <w:r>
      <w:fldChar w:fldCharType="begin"/>
    </w:r>
    <w:r>
      <w:instrText xml:space="preserve"> PAGE  \* Arabic  \* MERGEFORMAT </w:instrText>
    </w:r>
    <w:r>
      <w:fldChar w:fldCharType="separate"/>
    </w:r>
    <w:r>
      <w:t>2</w:t>
    </w:r>
    <w:r>
      <w:fldChar w:fldCharType="end"/>
    </w:r>
    <w:r>
      <w:t>/</w:t>
    </w:r>
    <w:r w:rsidR="00CB508B">
      <w:fldChar w:fldCharType="begin"/>
    </w:r>
    <w:r w:rsidR="00CB508B">
      <w:instrText xml:space="preserve"> NUMPAGES </w:instrText>
    </w:r>
    <w:r w:rsidR="00CB508B">
      <w:fldChar w:fldCharType="separate"/>
    </w:r>
    <w:r>
      <w:t>28</w:t>
    </w:r>
    <w:r w:rsidR="00CB508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055407" w:rsidRDefault="00055407" w:rsidP="0005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055407" w:rsidRDefault="00055407" w:rsidP="00055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2B776D36" w:rsidR="00055407" w:rsidRPr="00055407" w:rsidRDefault="00055407" w:rsidP="00055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055407" w:rsidRDefault="00055407" w:rsidP="0005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ECE530"/>
    <w:lvl w:ilvl="0">
      <w:start w:val="1"/>
      <w:numFmt w:val="decimal"/>
      <w:pStyle w:val="Heading1"/>
      <w:lvlText w:val="%1."/>
      <w:legacy w:legacy="1" w:legacySpace="0" w:legacyIndent="0"/>
      <w:lvlJc w:val="left"/>
      <w:rPr>
        <w:b w:val="0"/>
        <w:bCs/>
        <w:color w:val="000000" w:themeColor="text1"/>
        <w:sz w:val="22"/>
        <w:szCs w:val="22"/>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9460F6E"/>
    <w:lvl w:ilvl="0">
      <w:numFmt w:val="decimal"/>
      <w:lvlText w:val="*"/>
      <w:lvlJc w:val="left"/>
    </w:lvl>
  </w:abstractNum>
  <w:abstractNum w:abstractNumId="2" w15:restartNumberingAfterBreak="0">
    <w:nsid w:val="02396E01"/>
    <w:multiLevelType w:val="hybridMultilevel"/>
    <w:tmpl w:val="FC8C2D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4BE2B9F"/>
    <w:multiLevelType w:val="hybridMultilevel"/>
    <w:tmpl w:val="80026F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 w15:restartNumberingAfterBreak="0">
    <w:nsid w:val="05537D27"/>
    <w:multiLevelType w:val="hybridMultilevel"/>
    <w:tmpl w:val="4AC24B3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57576A0"/>
    <w:multiLevelType w:val="multilevel"/>
    <w:tmpl w:val="496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B77F4"/>
    <w:multiLevelType w:val="hybridMultilevel"/>
    <w:tmpl w:val="3244BF1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7D646CA"/>
    <w:multiLevelType w:val="hybridMultilevel"/>
    <w:tmpl w:val="29F4E99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B951118"/>
    <w:multiLevelType w:val="hybridMultilevel"/>
    <w:tmpl w:val="F65EF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E176F"/>
    <w:multiLevelType w:val="hybridMultilevel"/>
    <w:tmpl w:val="DCBE043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6854C5"/>
    <w:multiLevelType w:val="hybridMultilevel"/>
    <w:tmpl w:val="AD66A58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0EB1589C"/>
    <w:multiLevelType w:val="hybridMultilevel"/>
    <w:tmpl w:val="F6A22D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1960EB"/>
    <w:multiLevelType w:val="hybridMultilevel"/>
    <w:tmpl w:val="B790ABE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137FD"/>
    <w:multiLevelType w:val="hybridMultilevel"/>
    <w:tmpl w:val="445E189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C20C12"/>
    <w:multiLevelType w:val="hybridMultilevel"/>
    <w:tmpl w:val="A36CF6A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1AB1174"/>
    <w:multiLevelType w:val="hybridMultilevel"/>
    <w:tmpl w:val="7ADE3A5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17315B38"/>
    <w:multiLevelType w:val="hybridMultilevel"/>
    <w:tmpl w:val="5E6840F4"/>
    <w:lvl w:ilvl="0" w:tplc="8E864B0C">
      <w:start w:val="1"/>
      <w:numFmt w:val="bullet"/>
      <w:lvlText w:val=""/>
      <w:lvlJc w:val="left"/>
      <w:pPr>
        <w:ind w:left="1287" w:hanging="360"/>
      </w:pPr>
      <w:rPr>
        <w:rFonts w:ascii="Symbol" w:hAnsi="Symbol" w:hint="default"/>
        <w:color w:val="auto"/>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8"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9DB192E"/>
    <w:multiLevelType w:val="hybridMultilevel"/>
    <w:tmpl w:val="800CC6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2361BB"/>
    <w:multiLevelType w:val="hybridMultilevel"/>
    <w:tmpl w:val="270AF85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1A282C3B"/>
    <w:multiLevelType w:val="multilevel"/>
    <w:tmpl w:val="1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3504BF"/>
    <w:multiLevelType w:val="hybridMultilevel"/>
    <w:tmpl w:val="3DBA9BC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BE37A15"/>
    <w:multiLevelType w:val="hybridMultilevel"/>
    <w:tmpl w:val="9B0CB4A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2025AB"/>
    <w:multiLevelType w:val="hybridMultilevel"/>
    <w:tmpl w:val="A29E15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1EC8258B"/>
    <w:multiLevelType w:val="multilevel"/>
    <w:tmpl w:val="D092FA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116E1"/>
    <w:multiLevelType w:val="multilevel"/>
    <w:tmpl w:val="F2E85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5917E2"/>
    <w:multiLevelType w:val="hybridMultilevel"/>
    <w:tmpl w:val="E228B536"/>
    <w:lvl w:ilvl="0" w:tplc="080C0001">
      <w:start w:val="1"/>
      <w:numFmt w:val="bullet"/>
      <w:lvlText w:val=""/>
      <w:lvlJc w:val="left"/>
      <w:pPr>
        <w:ind w:left="720" w:hanging="360"/>
      </w:pPr>
      <w:rPr>
        <w:rFonts w:ascii="Symbol" w:hAnsi="Symbol" w:hint="default"/>
      </w:rPr>
    </w:lvl>
    <w:lvl w:ilvl="1" w:tplc="A87062BA">
      <w:start w:val="1"/>
      <w:numFmt w:val="lowerLetter"/>
      <w:lvlText w:val="%2."/>
      <w:lvlJc w:val="left"/>
      <w:pPr>
        <w:ind w:left="1440" w:hanging="360"/>
      </w:pPr>
    </w:lvl>
    <w:lvl w:ilvl="2" w:tplc="DDB27D70">
      <w:start w:val="1"/>
      <w:numFmt w:val="lowerRoman"/>
      <w:lvlText w:val="%3."/>
      <w:lvlJc w:val="right"/>
      <w:pPr>
        <w:ind w:left="2160" w:hanging="180"/>
      </w:pPr>
    </w:lvl>
    <w:lvl w:ilvl="3" w:tplc="92EA9164">
      <w:start w:val="1"/>
      <w:numFmt w:val="decimal"/>
      <w:lvlText w:val="%4."/>
      <w:lvlJc w:val="left"/>
      <w:pPr>
        <w:ind w:left="2880" w:hanging="360"/>
      </w:pPr>
    </w:lvl>
    <w:lvl w:ilvl="4" w:tplc="26363AE0">
      <w:start w:val="1"/>
      <w:numFmt w:val="lowerLetter"/>
      <w:lvlText w:val="%5."/>
      <w:lvlJc w:val="left"/>
      <w:pPr>
        <w:ind w:left="3600" w:hanging="360"/>
      </w:pPr>
    </w:lvl>
    <w:lvl w:ilvl="5" w:tplc="F7BA337A">
      <w:start w:val="1"/>
      <w:numFmt w:val="lowerRoman"/>
      <w:lvlText w:val="%6."/>
      <w:lvlJc w:val="right"/>
      <w:pPr>
        <w:ind w:left="4320" w:hanging="180"/>
      </w:pPr>
    </w:lvl>
    <w:lvl w:ilvl="6" w:tplc="58C26320">
      <w:start w:val="1"/>
      <w:numFmt w:val="decimal"/>
      <w:lvlText w:val="%7."/>
      <w:lvlJc w:val="left"/>
      <w:pPr>
        <w:ind w:left="5040" w:hanging="360"/>
      </w:pPr>
    </w:lvl>
    <w:lvl w:ilvl="7" w:tplc="507614A6">
      <w:start w:val="1"/>
      <w:numFmt w:val="lowerLetter"/>
      <w:lvlText w:val="%8."/>
      <w:lvlJc w:val="left"/>
      <w:pPr>
        <w:ind w:left="5760" w:hanging="360"/>
      </w:pPr>
    </w:lvl>
    <w:lvl w:ilvl="8" w:tplc="6B7E525A">
      <w:start w:val="1"/>
      <w:numFmt w:val="lowerRoman"/>
      <w:lvlText w:val="%9."/>
      <w:lvlJc w:val="right"/>
      <w:pPr>
        <w:ind w:left="6480" w:hanging="180"/>
      </w:pPr>
    </w:lvl>
  </w:abstractNum>
  <w:abstractNum w:abstractNumId="29" w15:restartNumberingAfterBreak="0">
    <w:nsid w:val="21962B0E"/>
    <w:multiLevelType w:val="multilevel"/>
    <w:tmpl w:val="0C4E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960AB"/>
    <w:multiLevelType w:val="multilevel"/>
    <w:tmpl w:val="75CA54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540950"/>
    <w:multiLevelType w:val="hybridMultilevel"/>
    <w:tmpl w:val="F93ADCC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23715274"/>
    <w:multiLevelType w:val="hybridMultilevel"/>
    <w:tmpl w:val="5E2E793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2507406C"/>
    <w:multiLevelType w:val="hybridMultilevel"/>
    <w:tmpl w:val="D666A2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A19408E"/>
    <w:multiLevelType w:val="hybridMultilevel"/>
    <w:tmpl w:val="33780F4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3910AF"/>
    <w:multiLevelType w:val="hybridMultilevel"/>
    <w:tmpl w:val="BFA22C2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5600AB"/>
    <w:multiLevelType w:val="hybridMultilevel"/>
    <w:tmpl w:val="A84CF7C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2E147226"/>
    <w:multiLevelType w:val="hybridMultilevel"/>
    <w:tmpl w:val="4D28874C"/>
    <w:lvl w:ilvl="0" w:tplc="20000001">
      <w:start w:val="1"/>
      <w:numFmt w:val="bullet"/>
      <w:lvlText w:val=""/>
      <w:lvlJc w:val="left"/>
      <w:pPr>
        <w:ind w:left="3600" w:hanging="360"/>
      </w:pPr>
      <w:rPr>
        <w:rFonts w:ascii="Symbol" w:hAnsi="Symbol"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abstractNum w:abstractNumId="4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0B83FFF"/>
    <w:multiLevelType w:val="hybridMultilevel"/>
    <w:tmpl w:val="99C6D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316F1BF8"/>
    <w:multiLevelType w:val="hybridMultilevel"/>
    <w:tmpl w:val="6534E0C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3" w15:restartNumberingAfterBreak="0">
    <w:nsid w:val="330B707D"/>
    <w:multiLevelType w:val="hybridMultilevel"/>
    <w:tmpl w:val="83C835B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6C69F5"/>
    <w:multiLevelType w:val="hybridMultilevel"/>
    <w:tmpl w:val="6F34A64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5" w15:restartNumberingAfterBreak="0">
    <w:nsid w:val="39651DEE"/>
    <w:multiLevelType w:val="hybridMultilevel"/>
    <w:tmpl w:val="3968B5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B6F58A2"/>
    <w:multiLevelType w:val="hybridMultilevel"/>
    <w:tmpl w:val="10AE22A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7" w15:restartNumberingAfterBreak="0">
    <w:nsid w:val="3C7342D9"/>
    <w:multiLevelType w:val="hybridMultilevel"/>
    <w:tmpl w:val="3C3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0F36C3"/>
    <w:multiLevelType w:val="hybridMultilevel"/>
    <w:tmpl w:val="2EF84AB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9" w15:restartNumberingAfterBreak="0">
    <w:nsid w:val="3DBC0E33"/>
    <w:multiLevelType w:val="hybridMultilevel"/>
    <w:tmpl w:val="F2727E9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40A12C2A"/>
    <w:multiLevelType w:val="multilevel"/>
    <w:tmpl w:val="FC2EF738"/>
    <w:lvl w:ilvl="0">
      <w:start w:val="1"/>
      <w:numFmt w:val="bullet"/>
      <w:lvlText w:val=""/>
      <w:lvlJc w:val="left"/>
      <w:rPr>
        <w:rFonts w:ascii="Symbol" w:hAnsi="Symbol" w:hint="default"/>
      </w:rPr>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42770A74"/>
    <w:multiLevelType w:val="hybridMultilevel"/>
    <w:tmpl w:val="8DE63F0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2E317A"/>
    <w:multiLevelType w:val="multilevel"/>
    <w:tmpl w:val="DA08FA9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D96977"/>
    <w:multiLevelType w:val="hybridMultilevel"/>
    <w:tmpl w:val="C3402B9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F56003"/>
    <w:multiLevelType w:val="hybridMultilevel"/>
    <w:tmpl w:val="4126D8C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71692B"/>
    <w:multiLevelType w:val="hybridMultilevel"/>
    <w:tmpl w:val="AF840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4F860AA8"/>
    <w:multiLevelType w:val="hybridMultilevel"/>
    <w:tmpl w:val="E9F2A352"/>
    <w:lvl w:ilvl="0" w:tplc="0409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9" w15:restartNumberingAfterBreak="0">
    <w:nsid w:val="510F63E8"/>
    <w:multiLevelType w:val="hybridMultilevel"/>
    <w:tmpl w:val="06DEDA4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141653E"/>
    <w:multiLevelType w:val="hybridMultilevel"/>
    <w:tmpl w:val="AC62963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292760A"/>
    <w:multiLevelType w:val="hybridMultilevel"/>
    <w:tmpl w:val="7148756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2" w15:restartNumberingAfterBreak="0">
    <w:nsid w:val="53523FCA"/>
    <w:multiLevelType w:val="hybridMultilevel"/>
    <w:tmpl w:val="B37AC71C"/>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55E45A1A"/>
    <w:multiLevelType w:val="hybridMultilevel"/>
    <w:tmpl w:val="134C92AC"/>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4" w15:restartNumberingAfterBreak="0">
    <w:nsid w:val="566656E7"/>
    <w:multiLevelType w:val="hybridMultilevel"/>
    <w:tmpl w:val="547A4F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66" w15:restartNumberingAfterBreak="0">
    <w:nsid w:val="58B03040"/>
    <w:multiLevelType w:val="hybridMultilevel"/>
    <w:tmpl w:val="9BF6AE4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7" w15:restartNumberingAfterBreak="0">
    <w:nsid w:val="5DA8424D"/>
    <w:multiLevelType w:val="hybridMultilevel"/>
    <w:tmpl w:val="A57CF5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6253462F"/>
    <w:multiLevelType w:val="hybridMultilevel"/>
    <w:tmpl w:val="8B8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AD5649"/>
    <w:multiLevelType w:val="hybridMultilevel"/>
    <w:tmpl w:val="090C5B94"/>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67027F67"/>
    <w:multiLevelType w:val="hybridMultilevel"/>
    <w:tmpl w:val="D8780E7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89A325B"/>
    <w:multiLevelType w:val="hybridMultilevel"/>
    <w:tmpl w:val="00FC3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68E72E5B"/>
    <w:multiLevelType w:val="hybridMultilevel"/>
    <w:tmpl w:val="3E967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6AAF7C96"/>
    <w:multiLevelType w:val="hybridMultilevel"/>
    <w:tmpl w:val="AA48F77C"/>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B415ABF"/>
    <w:multiLevelType w:val="hybridMultilevel"/>
    <w:tmpl w:val="1B94818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BB67706"/>
    <w:multiLevelType w:val="hybridMultilevel"/>
    <w:tmpl w:val="EF788D8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9" w15:restartNumberingAfterBreak="0">
    <w:nsid w:val="6BC77558"/>
    <w:multiLevelType w:val="hybridMultilevel"/>
    <w:tmpl w:val="A2DC4B5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6C3D29A0"/>
    <w:multiLevelType w:val="hybridMultilevel"/>
    <w:tmpl w:val="2BD2975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DA11CE"/>
    <w:multiLevelType w:val="hybridMultilevel"/>
    <w:tmpl w:val="C8D06C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DF82479"/>
    <w:multiLevelType w:val="hybridMultilevel"/>
    <w:tmpl w:val="F47830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3" w15:restartNumberingAfterBreak="0">
    <w:nsid w:val="70AA697E"/>
    <w:multiLevelType w:val="hybridMultilevel"/>
    <w:tmpl w:val="3E62B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4" w15:restartNumberingAfterBreak="0">
    <w:nsid w:val="77943575"/>
    <w:multiLevelType w:val="multilevel"/>
    <w:tmpl w:val="87D808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8163618"/>
    <w:multiLevelType w:val="hybridMultilevel"/>
    <w:tmpl w:val="C6B8166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6" w15:restartNumberingAfterBreak="0">
    <w:nsid w:val="786505A8"/>
    <w:multiLevelType w:val="hybridMultilevel"/>
    <w:tmpl w:val="499AEDE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7" w15:restartNumberingAfterBreak="0">
    <w:nsid w:val="794051F4"/>
    <w:multiLevelType w:val="hybridMultilevel"/>
    <w:tmpl w:val="92C2AB2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79477B2C"/>
    <w:multiLevelType w:val="hybridMultilevel"/>
    <w:tmpl w:val="174C335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9" w15:restartNumberingAfterBreak="0">
    <w:nsid w:val="796D0ACB"/>
    <w:multiLevelType w:val="hybridMultilevel"/>
    <w:tmpl w:val="D0002E9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color w:val="auto"/>
          <w:sz w:val="24"/>
          <w:szCs w:val="24"/>
        </w:rPr>
      </w:lvl>
    </w:lvlOverride>
  </w:num>
  <w:num w:numId="4">
    <w:abstractNumId w:val="29"/>
  </w:num>
  <w:num w:numId="5">
    <w:abstractNumId w:val="40"/>
  </w:num>
  <w:num w:numId="6">
    <w:abstractNumId w:val="36"/>
  </w:num>
  <w:num w:numId="7">
    <w:abstractNumId w:val="57"/>
  </w:num>
  <w:num w:numId="8">
    <w:abstractNumId w:val="70"/>
  </w:num>
  <w:num w:numId="9">
    <w:abstractNumId w:val="8"/>
  </w:num>
  <w:num w:numId="10">
    <w:abstractNumId w:val="1"/>
    <w:lvlOverride w:ilvl="0">
      <w:lvl w:ilvl="0">
        <w:start w:val="1"/>
        <w:numFmt w:val="bullet"/>
        <w:lvlText w:val=""/>
        <w:lvlJc w:val="left"/>
        <w:pPr>
          <w:ind w:left="720" w:hanging="360"/>
        </w:pPr>
        <w:rPr>
          <w:rFonts w:ascii="Symbol" w:hAnsi="Symbol" w:hint="default"/>
          <w:color w:val="auto"/>
        </w:rPr>
      </w:lvl>
    </w:lvlOverride>
  </w:num>
  <w:num w:numId="11">
    <w:abstractNumId w:val="34"/>
  </w:num>
  <w:num w:numId="12">
    <w:abstractNumId w:val="67"/>
  </w:num>
  <w:num w:numId="13">
    <w:abstractNumId w:val="75"/>
  </w:num>
  <w:num w:numId="14">
    <w:abstractNumId w:val="71"/>
  </w:num>
  <w:num w:numId="15">
    <w:abstractNumId w:val="27"/>
  </w:num>
  <w:num w:numId="16">
    <w:abstractNumId w:val="68"/>
  </w:num>
  <w:num w:numId="17">
    <w:abstractNumId w:val="74"/>
  </w:num>
  <w:num w:numId="18">
    <w:abstractNumId w:val="87"/>
  </w:num>
  <w:num w:numId="1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20">
    <w:abstractNumId w:val="18"/>
  </w:num>
  <w:num w:numId="21">
    <w:abstractNumId w:val="69"/>
  </w:num>
  <w:num w:numId="22">
    <w:abstractNumId w:val="47"/>
  </w:num>
  <w:num w:numId="23">
    <w:abstractNumId w:val="50"/>
  </w:num>
  <w:num w:numId="24">
    <w:abstractNumId w:val="51"/>
  </w:num>
  <w:num w:numId="25">
    <w:abstractNumId w:val="65"/>
  </w:num>
  <w:num w:numId="26">
    <w:abstractNumId w:val="56"/>
  </w:num>
  <w:num w:numId="27">
    <w:abstractNumId w:val="15"/>
  </w:num>
  <w:num w:numId="28">
    <w:abstractNumId w:val="5"/>
  </w:num>
  <w:num w:numId="2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0">
    <w:abstractNumId w:val="28"/>
  </w:num>
  <w:num w:numId="31">
    <w:abstractNumId w:val="73"/>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83"/>
  </w:num>
  <w:num w:numId="34">
    <w:abstractNumId w:val="1"/>
    <w:lvlOverride w:ilvl="0">
      <w:lvl w:ilvl="0">
        <w:start w:val="1"/>
        <w:numFmt w:val="bullet"/>
        <w:lvlText w:val=""/>
        <w:legacy w:legacy="1" w:legacySpace="0" w:legacyIndent="283"/>
        <w:lvlJc w:val="left"/>
        <w:pPr>
          <w:ind w:left="851" w:hanging="283"/>
        </w:pPr>
        <w:rPr>
          <w:rFonts w:ascii="Symbol" w:hAnsi="Symbol" w:hint="default"/>
          <w:color w:val="auto"/>
          <w:sz w:val="24"/>
          <w:szCs w:val="24"/>
        </w:rPr>
      </w:lvl>
    </w:lvlOverride>
  </w:num>
  <w:num w:numId="35">
    <w:abstractNumId w:val="33"/>
  </w:num>
  <w:num w:numId="36">
    <w:abstractNumId w:val="39"/>
  </w:num>
  <w:num w:numId="37">
    <w:abstractNumId w:val="0"/>
  </w:num>
  <w:num w:numId="38">
    <w:abstractNumId w:val="30"/>
  </w:num>
  <w:num w:numId="39">
    <w:abstractNumId w:val="26"/>
  </w:num>
  <w:num w:numId="40">
    <w:abstractNumId w:val="53"/>
  </w:num>
  <w:num w:numId="41">
    <w:abstractNumId w:val="2"/>
  </w:num>
  <w:num w:numId="42">
    <w:abstractNumId w:val="81"/>
  </w:num>
  <w:num w:numId="43">
    <w:abstractNumId w:val="22"/>
  </w:num>
  <w:num w:numId="44">
    <w:abstractNumId w:val="11"/>
  </w:num>
  <w:num w:numId="45">
    <w:abstractNumId w:val="77"/>
  </w:num>
  <w:num w:numId="46">
    <w:abstractNumId w:val="3"/>
  </w:num>
  <w:num w:numId="47">
    <w:abstractNumId w:val="41"/>
  </w:num>
  <w:num w:numId="48">
    <w:abstractNumId w:val="54"/>
  </w:num>
  <w:num w:numId="49">
    <w:abstractNumId w:val="66"/>
  </w:num>
  <w:num w:numId="50">
    <w:abstractNumId w:val="45"/>
  </w:num>
  <w:num w:numId="51">
    <w:abstractNumId w:val="42"/>
  </w:num>
  <w:num w:numId="52">
    <w:abstractNumId w:val="9"/>
  </w:num>
  <w:num w:numId="53">
    <w:abstractNumId w:val="60"/>
  </w:num>
  <w:num w:numId="54">
    <w:abstractNumId w:val="48"/>
  </w:num>
  <w:num w:numId="55">
    <w:abstractNumId w:val="84"/>
  </w:num>
  <w:num w:numId="56">
    <w:abstractNumId w:val="37"/>
  </w:num>
  <w:num w:numId="57">
    <w:abstractNumId w:val="14"/>
  </w:num>
  <w:num w:numId="58">
    <w:abstractNumId w:val="32"/>
  </w:num>
  <w:num w:numId="59">
    <w:abstractNumId w:val="17"/>
  </w:num>
  <w:num w:numId="60">
    <w:abstractNumId w:val="62"/>
  </w:num>
  <w:num w:numId="61">
    <w:abstractNumId w:val="35"/>
  </w:num>
  <w:num w:numId="62">
    <w:abstractNumId w:val="78"/>
  </w:num>
  <w:num w:numId="63">
    <w:abstractNumId w:val="6"/>
  </w:num>
  <w:num w:numId="64">
    <w:abstractNumId w:val="44"/>
  </w:num>
  <w:num w:numId="65">
    <w:abstractNumId w:val="20"/>
  </w:num>
  <w:num w:numId="66">
    <w:abstractNumId w:val="89"/>
  </w:num>
  <w:num w:numId="67">
    <w:abstractNumId w:val="85"/>
  </w:num>
  <w:num w:numId="68">
    <w:abstractNumId w:val="4"/>
  </w:num>
  <w:num w:numId="69">
    <w:abstractNumId w:val="82"/>
  </w:num>
  <w:num w:numId="70">
    <w:abstractNumId w:val="24"/>
  </w:num>
  <w:num w:numId="71">
    <w:abstractNumId w:val="10"/>
  </w:num>
  <w:num w:numId="72">
    <w:abstractNumId w:val="61"/>
  </w:num>
  <w:num w:numId="73">
    <w:abstractNumId w:val="7"/>
  </w:num>
  <w:num w:numId="74">
    <w:abstractNumId w:val="49"/>
  </w:num>
  <w:num w:numId="75">
    <w:abstractNumId w:val="79"/>
  </w:num>
  <w:num w:numId="76">
    <w:abstractNumId w:val="31"/>
  </w:num>
  <w:num w:numId="77">
    <w:abstractNumId w:val="46"/>
  </w:num>
  <w:num w:numId="78">
    <w:abstractNumId w:val="86"/>
  </w:num>
  <w:num w:numId="79">
    <w:abstractNumId w:val="16"/>
  </w:num>
  <w:num w:numId="80">
    <w:abstractNumId w:val="25"/>
  </w:num>
  <w:num w:numId="81">
    <w:abstractNumId w:val="88"/>
  </w:num>
  <w:num w:numId="82">
    <w:abstractNumId w:val="63"/>
  </w:num>
  <w:num w:numId="83">
    <w:abstractNumId w:val="0"/>
  </w:num>
  <w:num w:numId="84">
    <w:abstractNumId w:val="21"/>
  </w:num>
  <w:num w:numId="85">
    <w:abstractNumId w:val="0"/>
  </w:num>
  <w:num w:numId="86">
    <w:abstractNumId w:val="38"/>
  </w:num>
  <w:num w:numId="87">
    <w:abstractNumId w:val="12"/>
  </w:num>
  <w:num w:numId="88">
    <w:abstractNumId w:val="80"/>
  </w:num>
  <w:num w:numId="89">
    <w:abstractNumId w:val="76"/>
  </w:num>
  <w:num w:numId="90">
    <w:abstractNumId w:val="19"/>
  </w:num>
  <w:num w:numId="91">
    <w:abstractNumId w:val="64"/>
  </w:num>
  <w:num w:numId="92">
    <w:abstractNumId w:val="55"/>
  </w:num>
  <w:num w:numId="93">
    <w:abstractNumId w:val="72"/>
  </w:num>
  <w:num w:numId="94">
    <w:abstractNumId w:val="43"/>
  </w:num>
  <w:num w:numId="95">
    <w:abstractNumId w:val="59"/>
  </w:num>
  <w:num w:numId="96">
    <w:abstractNumId w:val="13"/>
  </w:num>
  <w:num w:numId="97">
    <w:abstractNumId w:val="23"/>
  </w:num>
  <w:num w:numId="98">
    <w:abstractNumId w:val="52"/>
  </w:num>
  <w:num w:numId="9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100">
    <w:abstractNumId w:val="5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976"/>
    <w:rsid w:val="00010A4D"/>
    <w:rsid w:val="000159A8"/>
    <w:rsid w:val="0003551D"/>
    <w:rsid w:val="00040B39"/>
    <w:rsid w:val="00040C95"/>
    <w:rsid w:val="00043305"/>
    <w:rsid w:val="0004393E"/>
    <w:rsid w:val="00055407"/>
    <w:rsid w:val="00061E08"/>
    <w:rsid w:val="00063DFF"/>
    <w:rsid w:val="0007256A"/>
    <w:rsid w:val="0007261B"/>
    <w:rsid w:val="00075030"/>
    <w:rsid w:val="00075A21"/>
    <w:rsid w:val="0007712E"/>
    <w:rsid w:val="0008612E"/>
    <w:rsid w:val="00087763"/>
    <w:rsid w:val="000959E6"/>
    <w:rsid w:val="00097AD8"/>
    <w:rsid w:val="00097ECD"/>
    <w:rsid w:val="000A075F"/>
    <w:rsid w:val="000A324C"/>
    <w:rsid w:val="000B46A5"/>
    <w:rsid w:val="000B520C"/>
    <w:rsid w:val="000C15BA"/>
    <w:rsid w:val="000C3FE1"/>
    <w:rsid w:val="000C6024"/>
    <w:rsid w:val="000C63A4"/>
    <w:rsid w:val="000C6613"/>
    <w:rsid w:val="000D394D"/>
    <w:rsid w:val="000D4611"/>
    <w:rsid w:val="000E08AB"/>
    <w:rsid w:val="000E6568"/>
    <w:rsid w:val="000E7056"/>
    <w:rsid w:val="000E7235"/>
    <w:rsid w:val="000F397E"/>
    <w:rsid w:val="00103FFC"/>
    <w:rsid w:val="00105432"/>
    <w:rsid w:val="00106765"/>
    <w:rsid w:val="001129B2"/>
    <w:rsid w:val="00123381"/>
    <w:rsid w:val="001241C2"/>
    <w:rsid w:val="001322C2"/>
    <w:rsid w:val="001379F6"/>
    <w:rsid w:val="00150100"/>
    <w:rsid w:val="0015046D"/>
    <w:rsid w:val="00156659"/>
    <w:rsid w:val="00156D53"/>
    <w:rsid w:val="00162387"/>
    <w:rsid w:val="00163115"/>
    <w:rsid w:val="001719F6"/>
    <w:rsid w:val="00171B2B"/>
    <w:rsid w:val="00175140"/>
    <w:rsid w:val="00186E12"/>
    <w:rsid w:val="001904BF"/>
    <w:rsid w:val="00191443"/>
    <w:rsid w:val="001957CA"/>
    <w:rsid w:val="0019737D"/>
    <w:rsid w:val="001A0F35"/>
    <w:rsid w:val="001A758C"/>
    <w:rsid w:val="001B63A4"/>
    <w:rsid w:val="001B7DAA"/>
    <w:rsid w:val="001C51A7"/>
    <w:rsid w:val="001C720D"/>
    <w:rsid w:val="001E117C"/>
    <w:rsid w:val="001E19E2"/>
    <w:rsid w:val="001E391D"/>
    <w:rsid w:val="001E70B2"/>
    <w:rsid w:val="001F29AD"/>
    <w:rsid w:val="001F35C7"/>
    <w:rsid w:val="0020025C"/>
    <w:rsid w:val="0020422A"/>
    <w:rsid w:val="00211221"/>
    <w:rsid w:val="00212117"/>
    <w:rsid w:val="00212375"/>
    <w:rsid w:val="00213074"/>
    <w:rsid w:val="00215D99"/>
    <w:rsid w:val="00231020"/>
    <w:rsid w:val="00240934"/>
    <w:rsid w:val="00240939"/>
    <w:rsid w:val="00240FD7"/>
    <w:rsid w:val="0024369B"/>
    <w:rsid w:val="00246DAA"/>
    <w:rsid w:val="00254761"/>
    <w:rsid w:val="0026311A"/>
    <w:rsid w:val="002666A0"/>
    <w:rsid w:val="00266E81"/>
    <w:rsid w:val="00271444"/>
    <w:rsid w:val="002717BA"/>
    <w:rsid w:val="002725BF"/>
    <w:rsid w:val="00275B90"/>
    <w:rsid w:val="00280705"/>
    <w:rsid w:val="002857BC"/>
    <w:rsid w:val="00293905"/>
    <w:rsid w:val="002950A0"/>
    <w:rsid w:val="002A412B"/>
    <w:rsid w:val="002A422B"/>
    <w:rsid w:val="002A5636"/>
    <w:rsid w:val="002B1E66"/>
    <w:rsid w:val="002B7981"/>
    <w:rsid w:val="002B7FC1"/>
    <w:rsid w:val="002E1FD0"/>
    <w:rsid w:val="002E51CD"/>
    <w:rsid w:val="002E635F"/>
    <w:rsid w:val="00303A9D"/>
    <w:rsid w:val="003064B1"/>
    <w:rsid w:val="003066BE"/>
    <w:rsid w:val="003151D0"/>
    <w:rsid w:val="0031520F"/>
    <w:rsid w:val="003161AA"/>
    <w:rsid w:val="00320FF5"/>
    <w:rsid w:val="003227CC"/>
    <w:rsid w:val="00345BDD"/>
    <w:rsid w:val="0034685F"/>
    <w:rsid w:val="00351E5A"/>
    <w:rsid w:val="003572EF"/>
    <w:rsid w:val="00377C34"/>
    <w:rsid w:val="00382E57"/>
    <w:rsid w:val="00387554"/>
    <w:rsid w:val="00391812"/>
    <w:rsid w:val="00395E76"/>
    <w:rsid w:val="003A0248"/>
    <w:rsid w:val="003B35DF"/>
    <w:rsid w:val="003B4310"/>
    <w:rsid w:val="003B732D"/>
    <w:rsid w:val="003C2D04"/>
    <w:rsid w:val="003C5BBE"/>
    <w:rsid w:val="003C7AC6"/>
    <w:rsid w:val="003D17E4"/>
    <w:rsid w:val="003D1D34"/>
    <w:rsid w:val="003D4071"/>
    <w:rsid w:val="003E60F0"/>
    <w:rsid w:val="003F1917"/>
    <w:rsid w:val="003F326D"/>
    <w:rsid w:val="003F79EF"/>
    <w:rsid w:val="0040116B"/>
    <w:rsid w:val="00412F77"/>
    <w:rsid w:val="00421577"/>
    <w:rsid w:val="0042320F"/>
    <w:rsid w:val="00423757"/>
    <w:rsid w:val="0043191A"/>
    <w:rsid w:val="00432B76"/>
    <w:rsid w:val="00435348"/>
    <w:rsid w:val="004361A9"/>
    <w:rsid w:val="004373E3"/>
    <w:rsid w:val="00440B9C"/>
    <w:rsid w:val="004428A5"/>
    <w:rsid w:val="0044641C"/>
    <w:rsid w:val="00446B9E"/>
    <w:rsid w:val="00447C83"/>
    <w:rsid w:val="00450837"/>
    <w:rsid w:val="0045136E"/>
    <w:rsid w:val="004710BF"/>
    <w:rsid w:val="004721D7"/>
    <w:rsid w:val="00473E13"/>
    <w:rsid w:val="00475AF8"/>
    <w:rsid w:val="00476446"/>
    <w:rsid w:val="004801BE"/>
    <w:rsid w:val="0048203F"/>
    <w:rsid w:val="00482173"/>
    <w:rsid w:val="004977BD"/>
    <w:rsid w:val="004A1CD4"/>
    <w:rsid w:val="004A478E"/>
    <w:rsid w:val="004A5CD7"/>
    <w:rsid w:val="004B123B"/>
    <w:rsid w:val="004B1306"/>
    <w:rsid w:val="004B4275"/>
    <w:rsid w:val="004B6F63"/>
    <w:rsid w:val="004B7430"/>
    <w:rsid w:val="004B7C66"/>
    <w:rsid w:val="004C4FB7"/>
    <w:rsid w:val="004C707D"/>
    <w:rsid w:val="004D7354"/>
    <w:rsid w:val="004D7AC0"/>
    <w:rsid w:val="004F1C50"/>
    <w:rsid w:val="004F51B1"/>
    <w:rsid w:val="004F6E52"/>
    <w:rsid w:val="00503E62"/>
    <w:rsid w:val="0050548B"/>
    <w:rsid w:val="0050639F"/>
    <w:rsid w:val="005077D8"/>
    <w:rsid w:val="00510281"/>
    <w:rsid w:val="005215A3"/>
    <w:rsid w:val="0052279D"/>
    <w:rsid w:val="00526859"/>
    <w:rsid w:val="005275B5"/>
    <w:rsid w:val="00532089"/>
    <w:rsid w:val="00534126"/>
    <w:rsid w:val="00541877"/>
    <w:rsid w:val="00554171"/>
    <w:rsid w:val="00554A73"/>
    <w:rsid w:val="005572F5"/>
    <w:rsid w:val="00562E90"/>
    <w:rsid w:val="00572CBE"/>
    <w:rsid w:val="005823B7"/>
    <w:rsid w:val="00585429"/>
    <w:rsid w:val="00585C80"/>
    <w:rsid w:val="00586B4B"/>
    <w:rsid w:val="0059746F"/>
    <w:rsid w:val="005A0638"/>
    <w:rsid w:val="005A0BDA"/>
    <w:rsid w:val="005A28D0"/>
    <w:rsid w:val="005A7EB4"/>
    <w:rsid w:val="005B5FE8"/>
    <w:rsid w:val="005C0A93"/>
    <w:rsid w:val="005C3428"/>
    <w:rsid w:val="005C73A1"/>
    <w:rsid w:val="005D51A7"/>
    <w:rsid w:val="005D59E4"/>
    <w:rsid w:val="005D7E37"/>
    <w:rsid w:val="005E2160"/>
    <w:rsid w:val="005E432E"/>
    <w:rsid w:val="005E54D2"/>
    <w:rsid w:val="005E7651"/>
    <w:rsid w:val="005F1C0E"/>
    <w:rsid w:val="005F797E"/>
    <w:rsid w:val="00600704"/>
    <w:rsid w:val="00601D67"/>
    <w:rsid w:val="00602235"/>
    <w:rsid w:val="006031D5"/>
    <w:rsid w:val="00606BD2"/>
    <w:rsid w:val="006179EF"/>
    <w:rsid w:val="00620BBA"/>
    <w:rsid w:val="0062258C"/>
    <w:rsid w:val="00625CA3"/>
    <w:rsid w:val="00634871"/>
    <w:rsid w:val="00641262"/>
    <w:rsid w:val="0064172F"/>
    <w:rsid w:val="00651562"/>
    <w:rsid w:val="006537CB"/>
    <w:rsid w:val="006602A1"/>
    <w:rsid w:val="0066383E"/>
    <w:rsid w:val="006828D7"/>
    <w:rsid w:val="006840FB"/>
    <w:rsid w:val="006862F4"/>
    <w:rsid w:val="00691FD1"/>
    <w:rsid w:val="006B73A8"/>
    <w:rsid w:val="006C3DE6"/>
    <w:rsid w:val="006C6E6B"/>
    <w:rsid w:val="006D179E"/>
    <w:rsid w:val="006D2C8A"/>
    <w:rsid w:val="006D2D64"/>
    <w:rsid w:val="006D5AE4"/>
    <w:rsid w:val="006D6F38"/>
    <w:rsid w:val="006E03AA"/>
    <w:rsid w:val="006E34D6"/>
    <w:rsid w:val="006F2DB4"/>
    <w:rsid w:val="006F5B54"/>
    <w:rsid w:val="006F6B7F"/>
    <w:rsid w:val="006F6D11"/>
    <w:rsid w:val="00703C9B"/>
    <w:rsid w:val="0070754F"/>
    <w:rsid w:val="0071778A"/>
    <w:rsid w:val="007317A5"/>
    <w:rsid w:val="0073570C"/>
    <w:rsid w:val="0074006B"/>
    <w:rsid w:val="0074077F"/>
    <w:rsid w:val="007435E6"/>
    <w:rsid w:val="00752D51"/>
    <w:rsid w:val="0075368F"/>
    <w:rsid w:val="00754027"/>
    <w:rsid w:val="0075742D"/>
    <w:rsid w:val="0076248A"/>
    <w:rsid w:val="00766B1A"/>
    <w:rsid w:val="00770396"/>
    <w:rsid w:val="00772CE7"/>
    <w:rsid w:val="00781677"/>
    <w:rsid w:val="00783D73"/>
    <w:rsid w:val="00797AAF"/>
    <w:rsid w:val="007A5F20"/>
    <w:rsid w:val="007B5952"/>
    <w:rsid w:val="007B7409"/>
    <w:rsid w:val="007C4222"/>
    <w:rsid w:val="007D0A87"/>
    <w:rsid w:val="007D0D9A"/>
    <w:rsid w:val="007E29E0"/>
    <w:rsid w:val="007E5029"/>
    <w:rsid w:val="007F220C"/>
    <w:rsid w:val="007F5784"/>
    <w:rsid w:val="007F7A42"/>
    <w:rsid w:val="00801F5F"/>
    <w:rsid w:val="0080201B"/>
    <w:rsid w:val="00804978"/>
    <w:rsid w:val="00805E64"/>
    <w:rsid w:val="00807D99"/>
    <w:rsid w:val="0081131F"/>
    <w:rsid w:val="00812B5E"/>
    <w:rsid w:val="00833A61"/>
    <w:rsid w:val="008405A6"/>
    <w:rsid w:val="00844CF3"/>
    <w:rsid w:val="00845F24"/>
    <w:rsid w:val="00847840"/>
    <w:rsid w:val="00853A75"/>
    <w:rsid w:val="00856DC3"/>
    <w:rsid w:val="00863217"/>
    <w:rsid w:val="00877990"/>
    <w:rsid w:val="0088219D"/>
    <w:rsid w:val="0089162C"/>
    <w:rsid w:val="008943CC"/>
    <w:rsid w:val="00895A12"/>
    <w:rsid w:val="008A1060"/>
    <w:rsid w:val="008B2C05"/>
    <w:rsid w:val="008B600E"/>
    <w:rsid w:val="008B7F21"/>
    <w:rsid w:val="008C17E3"/>
    <w:rsid w:val="008D138E"/>
    <w:rsid w:val="008D5CE9"/>
    <w:rsid w:val="008E17B5"/>
    <w:rsid w:val="008E27BB"/>
    <w:rsid w:val="008F5570"/>
    <w:rsid w:val="0090146A"/>
    <w:rsid w:val="00904422"/>
    <w:rsid w:val="0092144C"/>
    <w:rsid w:val="00930DDA"/>
    <w:rsid w:val="00941A2F"/>
    <w:rsid w:val="00942860"/>
    <w:rsid w:val="009770F1"/>
    <w:rsid w:val="00987E15"/>
    <w:rsid w:val="00993832"/>
    <w:rsid w:val="009964F4"/>
    <w:rsid w:val="009A3B12"/>
    <w:rsid w:val="009B1E1C"/>
    <w:rsid w:val="009B2E19"/>
    <w:rsid w:val="009C43EB"/>
    <w:rsid w:val="009D7456"/>
    <w:rsid w:val="009E3668"/>
    <w:rsid w:val="009E4566"/>
    <w:rsid w:val="009F0605"/>
    <w:rsid w:val="009F43C9"/>
    <w:rsid w:val="00A02EB9"/>
    <w:rsid w:val="00A05F1A"/>
    <w:rsid w:val="00A1625F"/>
    <w:rsid w:val="00A174E9"/>
    <w:rsid w:val="00A20E9D"/>
    <w:rsid w:val="00A236F4"/>
    <w:rsid w:val="00A272B2"/>
    <w:rsid w:val="00A33B9E"/>
    <w:rsid w:val="00A447FD"/>
    <w:rsid w:val="00A459C3"/>
    <w:rsid w:val="00A4608D"/>
    <w:rsid w:val="00A50553"/>
    <w:rsid w:val="00A51056"/>
    <w:rsid w:val="00A52C24"/>
    <w:rsid w:val="00A554F2"/>
    <w:rsid w:val="00A64616"/>
    <w:rsid w:val="00A6461A"/>
    <w:rsid w:val="00A74B3C"/>
    <w:rsid w:val="00A76F7D"/>
    <w:rsid w:val="00A771C0"/>
    <w:rsid w:val="00A77B24"/>
    <w:rsid w:val="00A8703B"/>
    <w:rsid w:val="00A93D09"/>
    <w:rsid w:val="00A9750A"/>
    <w:rsid w:val="00AA2E19"/>
    <w:rsid w:val="00AA779E"/>
    <w:rsid w:val="00AB0BBF"/>
    <w:rsid w:val="00AC3033"/>
    <w:rsid w:val="00AC3348"/>
    <w:rsid w:val="00AC3821"/>
    <w:rsid w:val="00AC4416"/>
    <w:rsid w:val="00AC465A"/>
    <w:rsid w:val="00AD517B"/>
    <w:rsid w:val="00AE0DEC"/>
    <w:rsid w:val="00AE1A95"/>
    <w:rsid w:val="00AE58F6"/>
    <w:rsid w:val="00AE7912"/>
    <w:rsid w:val="00AF27EF"/>
    <w:rsid w:val="00B00208"/>
    <w:rsid w:val="00B076E3"/>
    <w:rsid w:val="00B13E89"/>
    <w:rsid w:val="00B143C4"/>
    <w:rsid w:val="00B203DA"/>
    <w:rsid w:val="00B20505"/>
    <w:rsid w:val="00B33003"/>
    <w:rsid w:val="00B50DC1"/>
    <w:rsid w:val="00B518C9"/>
    <w:rsid w:val="00B52F62"/>
    <w:rsid w:val="00B55AA9"/>
    <w:rsid w:val="00B56F4F"/>
    <w:rsid w:val="00B60AC6"/>
    <w:rsid w:val="00B628D1"/>
    <w:rsid w:val="00B71CD1"/>
    <w:rsid w:val="00B751DC"/>
    <w:rsid w:val="00B7677F"/>
    <w:rsid w:val="00B815F3"/>
    <w:rsid w:val="00B92D7E"/>
    <w:rsid w:val="00B9471C"/>
    <w:rsid w:val="00B954D6"/>
    <w:rsid w:val="00BA6F6C"/>
    <w:rsid w:val="00BA77F1"/>
    <w:rsid w:val="00BB4A14"/>
    <w:rsid w:val="00BC57D4"/>
    <w:rsid w:val="00BC7002"/>
    <w:rsid w:val="00BD11E7"/>
    <w:rsid w:val="00BD4876"/>
    <w:rsid w:val="00BE0EC7"/>
    <w:rsid w:val="00BE355C"/>
    <w:rsid w:val="00BE54B3"/>
    <w:rsid w:val="00BF487F"/>
    <w:rsid w:val="00BF784D"/>
    <w:rsid w:val="00C008B4"/>
    <w:rsid w:val="00C01317"/>
    <w:rsid w:val="00C17ABD"/>
    <w:rsid w:val="00C2185C"/>
    <w:rsid w:val="00C24118"/>
    <w:rsid w:val="00C25787"/>
    <w:rsid w:val="00C26C67"/>
    <w:rsid w:val="00C3618F"/>
    <w:rsid w:val="00C36C03"/>
    <w:rsid w:val="00C36D75"/>
    <w:rsid w:val="00C45041"/>
    <w:rsid w:val="00C47A12"/>
    <w:rsid w:val="00C504F7"/>
    <w:rsid w:val="00C544DA"/>
    <w:rsid w:val="00C73574"/>
    <w:rsid w:val="00C737A5"/>
    <w:rsid w:val="00C73D71"/>
    <w:rsid w:val="00C740A5"/>
    <w:rsid w:val="00C74A8F"/>
    <w:rsid w:val="00C821A5"/>
    <w:rsid w:val="00C86ABE"/>
    <w:rsid w:val="00CB1244"/>
    <w:rsid w:val="00CB423C"/>
    <w:rsid w:val="00CB508B"/>
    <w:rsid w:val="00CC205F"/>
    <w:rsid w:val="00CD2C0D"/>
    <w:rsid w:val="00CD4846"/>
    <w:rsid w:val="00CD7D35"/>
    <w:rsid w:val="00CE3CAA"/>
    <w:rsid w:val="00CE4481"/>
    <w:rsid w:val="00CE4FE2"/>
    <w:rsid w:val="00CF1ECC"/>
    <w:rsid w:val="00D009C9"/>
    <w:rsid w:val="00D04355"/>
    <w:rsid w:val="00D062E5"/>
    <w:rsid w:val="00D11783"/>
    <w:rsid w:val="00D20AB4"/>
    <w:rsid w:val="00D228C8"/>
    <w:rsid w:val="00D2447F"/>
    <w:rsid w:val="00D264E4"/>
    <w:rsid w:val="00D43613"/>
    <w:rsid w:val="00D43DE9"/>
    <w:rsid w:val="00D46D46"/>
    <w:rsid w:val="00D5108B"/>
    <w:rsid w:val="00D5301C"/>
    <w:rsid w:val="00D530A4"/>
    <w:rsid w:val="00D565C4"/>
    <w:rsid w:val="00D64EC4"/>
    <w:rsid w:val="00D7076A"/>
    <w:rsid w:val="00D81F5E"/>
    <w:rsid w:val="00D8424F"/>
    <w:rsid w:val="00D92269"/>
    <w:rsid w:val="00D9226F"/>
    <w:rsid w:val="00D95315"/>
    <w:rsid w:val="00D95AC0"/>
    <w:rsid w:val="00D966A4"/>
    <w:rsid w:val="00DA07F5"/>
    <w:rsid w:val="00DB3F37"/>
    <w:rsid w:val="00DB7910"/>
    <w:rsid w:val="00DC02CE"/>
    <w:rsid w:val="00DD0EAE"/>
    <w:rsid w:val="00DD323D"/>
    <w:rsid w:val="00DD6A92"/>
    <w:rsid w:val="00DE176A"/>
    <w:rsid w:val="00DE268A"/>
    <w:rsid w:val="00DF2F81"/>
    <w:rsid w:val="00E00A6B"/>
    <w:rsid w:val="00E030D5"/>
    <w:rsid w:val="00E041AD"/>
    <w:rsid w:val="00E04FC8"/>
    <w:rsid w:val="00E11CA7"/>
    <w:rsid w:val="00E1573A"/>
    <w:rsid w:val="00E17945"/>
    <w:rsid w:val="00E24113"/>
    <w:rsid w:val="00E32C54"/>
    <w:rsid w:val="00E34939"/>
    <w:rsid w:val="00E4166F"/>
    <w:rsid w:val="00E417BC"/>
    <w:rsid w:val="00E41CA4"/>
    <w:rsid w:val="00E437F3"/>
    <w:rsid w:val="00E449A3"/>
    <w:rsid w:val="00E46694"/>
    <w:rsid w:val="00E661EA"/>
    <w:rsid w:val="00E77899"/>
    <w:rsid w:val="00E7797E"/>
    <w:rsid w:val="00E81B4C"/>
    <w:rsid w:val="00E82016"/>
    <w:rsid w:val="00E8520F"/>
    <w:rsid w:val="00E94B6F"/>
    <w:rsid w:val="00EA0225"/>
    <w:rsid w:val="00EA2299"/>
    <w:rsid w:val="00EA5508"/>
    <w:rsid w:val="00EB2EC4"/>
    <w:rsid w:val="00EB408A"/>
    <w:rsid w:val="00ED4804"/>
    <w:rsid w:val="00ED75E0"/>
    <w:rsid w:val="00EE2B48"/>
    <w:rsid w:val="00EE332D"/>
    <w:rsid w:val="00EE3630"/>
    <w:rsid w:val="00EF7675"/>
    <w:rsid w:val="00F01E95"/>
    <w:rsid w:val="00F06AA1"/>
    <w:rsid w:val="00F225C2"/>
    <w:rsid w:val="00F23420"/>
    <w:rsid w:val="00F267B0"/>
    <w:rsid w:val="00F31327"/>
    <w:rsid w:val="00F41B24"/>
    <w:rsid w:val="00F43B19"/>
    <w:rsid w:val="00F602BA"/>
    <w:rsid w:val="00F70284"/>
    <w:rsid w:val="00F73DD0"/>
    <w:rsid w:val="00F7475E"/>
    <w:rsid w:val="00F837B3"/>
    <w:rsid w:val="00F83C17"/>
    <w:rsid w:val="00F84934"/>
    <w:rsid w:val="00F93BDC"/>
    <w:rsid w:val="00F93DBB"/>
    <w:rsid w:val="00F93F0A"/>
    <w:rsid w:val="00F96D7F"/>
    <w:rsid w:val="00FA6FF2"/>
    <w:rsid w:val="00FB4947"/>
    <w:rsid w:val="00FC2F4C"/>
    <w:rsid w:val="00FC4072"/>
    <w:rsid w:val="00FC456F"/>
    <w:rsid w:val="00FD2A1E"/>
    <w:rsid w:val="00FD5661"/>
    <w:rsid w:val="00FE0218"/>
    <w:rsid w:val="00FE2236"/>
    <w:rsid w:val="00FE41E7"/>
    <w:rsid w:val="00FF06E7"/>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815F3"/>
    <w:pPr>
      <w:tabs>
        <w:tab w:val="left" w:pos="440"/>
        <w:tab w:val="right" w:leader="dot" w:pos="9205"/>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B815F3"/>
    <w:pPr>
      <w:tabs>
        <w:tab w:val="left" w:pos="660"/>
        <w:tab w:val="right" w:leader="dot" w:pos="9205"/>
      </w:tabs>
      <w:spacing w:after="100"/>
      <w:ind w:left="220"/>
    </w:pPr>
  </w:style>
  <w:style w:type="paragraph" w:styleId="TOC3">
    <w:name w:val="toc 3"/>
    <w:basedOn w:val="Normal"/>
    <w:next w:val="Normal"/>
    <w:autoRedefine/>
    <w:uiPriority w:val="39"/>
    <w:unhideWhenUsed/>
    <w:rsid w:val="00162387"/>
    <w:pPr>
      <w:spacing w:after="100" w:line="259" w:lineRule="auto"/>
      <w:ind w:left="440"/>
      <w:jc w:val="left"/>
    </w:pPr>
    <w:rPr>
      <w:rFonts w:asciiTheme="minorHAnsi" w:eastAsiaTheme="minorEastAsia" w:hAnsiTheme="minorHAnsi" w:cstheme="minorBidi"/>
      <w:lang w:eastAsia="ja-JP"/>
    </w:rPr>
  </w:style>
  <w:style w:type="paragraph" w:styleId="TOC4">
    <w:name w:val="toc 4"/>
    <w:basedOn w:val="Normal"/>
    <w:next w:val="Normal"/>
    <w:autoRedefine/>
    <w:uiPriority w:val="39"/>
    <w:unhideWhenUsed/>
    <w:rsid w:val="00162387"/>
    <w:pPr>
      <w:spacing w:after="100" w:line="259" w:lineRule="auto"/>
      <w:ind w:left="660"/>
      <w:jc w:val="left"/>
    </w:pPr>
    <w:rPr>
      <w:rFonts w:asciiTheme="minorHAnsi" w:eastAsiaTheme="minorEastAsia" w:hAnsiTheme="minorHAnsi" w:cstheme="minorBidi"/>
      <w:lang w:eastAsia="ja-JP"/>
    </w:rPr>
  </w:style>
  <w:style w:type="paragraph" w:styleId="TOC5">
    <w:name w:val="toc 5"/>
    <w:basedOn w:val="Normal"/>
    <w:next w:val="Normal"/>
    <w:autoRedefine/>
    <w:uiPriority w:val="39"/>
    <w:unhideWhenUsed/>
    <w:rsid w:val="00162387"/>
    <w:pPr>
      <w:spacing w:after="100" w:line="259" w:lineRule="auto"/>
      <w:ind w:left="880"/>
      <w:jc w:val="left"/>
    </w:pPr>
    <w:rPr>
      <w:rFonts w:asciiTheme="minorHAnsi" w:eastAsiaTheme="minorEastAsia" w:hAnsiTheme="minorHAnsi" w:cstheme="minorBidi"/>
      <w:lang w:eastAsia="ja-JP"/>
    </w:rPr>
  </w:style>
  <w:style w:type="paragraph" w:styleId="TOC6">
    <w:name w:val="toc 6"/>
    <w:basedOn w:val="Normal"/>
    <w:next w:val="Normal"/>
    <w:autoRedefine/>
    <w:uiPriority w:val="39"/>
    <w:unhideWhenUsed/>
    <w:rsid w:val="00162387"/>
    <w:pPr>
      <w:spacing w:after="100" w:line="259" w:lineRule="auto"/>
      <w:ind w:left="1100"/>
      <w:jc w:val="left"/>
    </w:pPr>
    <w:rPr>
      <w:rFonts w:asciiTheme="minorHAnsi" w:eastAsiaTheme="minorEastAsia" w:hAnsiTheme="minorHAnsi" w:cstheme="minorBidi"/>
      <w:lang w:eastAsia="ja-JP"/>
    </w:rPr>
  </w:style>
  <w:style w:type="paragraph" w:styleId="TOC7">
    <w:name w:val="toc 7"/>
    <w:basedOn w:val="Normal"/>
    <w:next w:val="Normal"/>
    <w:autoRedefine/>
    <w:uiPriority w:val="39"/>
    <w:unhideWhenUsed/>
    <w:rsid w:val="00162387"/>
    <w:pPr>
      <w:spacing w:after="100" w:line="259" w:lineRule="auto"/>
      <w:ind w:left="1320"/>
      <w:jc w:val="left"/>
    </w:pPr>
    <w:rPr>
      <w:rFonts w:asciiTheme="minorHAnsi" w:eastAsiaTheme="minorEastAsia" w:hAnsiTheme="minorHAnsi" w:cstheme="minorBidi"/>
      <w:lang w:eastAsia="ja-JP"/>
    </w:rPr>
  </w:style>
  <w:style w:type="paragraph" w:styleId="TOC8">
    <w:name w:val="toc 8"/>
    <w:basedOn w:val="Normal"/>
    <w:next w:val="Normal"/>
    <w:autoRedefine/>
    <w:uiPriority w:val="39"/>
    <w:unhideWhenUsed/>
    <w:rsid w:val="00162387"/>
    <w:pPr>
      <w:spacing w:after="100" w:line="259" w:lineRule="auto"/>
      <w:ind w:left="1540"/>
      <w:jc w:val="left"/>
    </w:pPr>
    <w:rPr>
      <w:rFonts w:asciiTheme="minorHAnsi" w:eastAsiaTheme="minorEastAsia" w:hAnsiTheme="minorHAnsi" w:cstheme="minorBidi"/>
      <w:lang w:eastAsia="ja-JP"/>
    </w:rPr>
  </w:style>
  <w:style w:type="paragraph" w:styleId="TOC9">
    <w:name w:val="toc 9"/>
    <w:basedOn w:val="Normal"/>
    <w:next w:val="Normal"/>
    <w:autoRedefine/>
    <w:uiPriority w:val="39"/>
    <w:unhideWhenUsed/>
    <w:rsid w:val="00162387"/>
    <w:pPr>
      <w:spacing w:after="100" w:line="259" w:lineRule="auto"/>
      <w:ind w:left="1760"/>
      <w:jc w:val="left"/>
    </w:pPr>
    <w:rPr>
      <w:rFonts w:asciiTheme="minorHAnsi" w:eastAsiaTheme="minorEastAsia" w:hAnsiTheme="minorHAnsi" w:cstheme="minorBidi"/>
      <w:lang w:eastAsia="ja-JP"/>
    </w:rPr>
  </w:style>
  <w:style w:type="character" w:customStyle="1" w:styleId="UnresolvedMention1">
    <w:name w:val="Unresolved Mention1"/>
    <w:basedOn w:val="DefaultParagraphFont"/>
    <w:uiPriority w:val="99"/>
    <w:semiHidden/>
    <w:unhideWhenUsed/>
    <w:rsid w:val="00162387"/>
    <w:rPr>
      <w:color w:val="605E5C"/>
      <w:shd w:val="clear" w:color="auto" w:fill="E1DFDD"/>
    </w:rPr>
  </w:style>
  <w:style w:type="character" w:styleId="CommentReference">
    <w:name w:val="annotation reference"/>
    <w:basedOn w:val="DefaultParagraphFont"/>
    <w:uiPriority w:val="99"/>
    <w:semiHidden/>
    <w:unhideWhenUsed/>
    <w:rsid w:val="00162387"/>
    <w:rPr>
      <w:sz w:val="16"/>
      <w:szCs w:val="16"/>
    </w:rPr>
  </w:style>
  <w:style w:type="paragraph" w:styleId="CommentText">
    <w:name w:val="annotation text"/>
    <w:basedOn w:val="Normal"/>
    <w:link w:val="CommentTextChar"/>
    <w:uiPriority w:val="99"/>
    <w:semiHidden/>
    <w:unhideWhenUsed/>
    <w:rsid w:val="00162387"/>
    <w:pPr>
      <w:spacing w:line="240" w:lineRule="auto"/>
    </w:pPr>
    <w:rPr>
      <w:sz w:val="20"/>
      <w:szCs w:val="20"/>
    </w:rPr>
  </w:style>
  <w:style w:type="character" w:customStyle="1" w:styleId="CommentTextChar">
    <w:name w:val="Comment Text Char"/>
    <w:basedOn w:val="DefaultParagraphFont"/>
    <w:link w:val="CommentText"/>
    <w:uiPriority w:val="99"/>
    <w:semiHidden/>
    <w:rsid w:val="00162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387"/>
    <w:rPr>
      <w:b/>
      <w:bCs/>
    </w:rPr>
  </w:style>
  <w:style w:type="character" w:customStyle="1" w:styleId="CommentSubjectChar">
    <w:name w:val="Comment Subject Char"/>
    <w:basedOn w:val="CommentTextChar"/>
    <w:link w:val="CommentSubject"/>
    <w:uiPriority w:val="99"/>
    <w:semiHidden/>
    <w:rsid w:val="0016238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31327"/>
    <w:rPr>
      <w:color w:val="605E5C"/>
      <w:shd w:val="clear" w:color="auto" w:fill="E1DFDD"/>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293905"/>
    <w:rPr>
      <w:rFonts w:ascii="Times New Roman" w:eastAsia="Times New Roman" w:hAnsi="Times New Roman" w:cs="Times New Roman"/>
    </w:rPr>
  </w:style>
  <w:style w:type="paragraph" w:styleId="NormalWeb">
    <w:name w:val="Normal (Web)"/>
    <w:basedOn w:val="Normal"/>
    <w:uiPriority w:val="99"/>
    <w:unhideWhenUsed/>
    <w:rsid w:val="00175140"/>
    <w:pPr>
      <w:spacing w:before="100" w:beforeAutospacing="1" w:after="100" w:afterAutospacing="1" w:line="240" w:lineRule="auto"/>
      <w:jc w:val="left"/>
    </w:pPr>
    <w:rPr>
      <w:sz w:val="24"/>
      <w:szCs w:val="24"/>
      <w:lang w:eastAsia="fr-BE"/>
    </w:rPr>
  </w:style>
  <w:style w:type="character" w:styleId="Strong">
    <w:name w:val="Strong"/>
    <w:basedOn w:val="DefaultParagraphFont"/>
    <w:uiPriority w:val="22"/>
    <w:qFormat/>
    <w:rsid w:val="009B2E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69460">
      <w:bodyDiv w:val="1"/>
      <w:marLeft w:val="0"/>
      <w:marRight w:val="0"/>
      <w:marTop w:val="0"/>
      <w:marBottom w:val="0"/>
      <w:divBdr>
        <w:top w:val="none" w:sz="0" w:space="0" w:color="auto"/>
        <w:left w:val="none" w:sz="0" w:space="0" w:color="auto"/>
        <w:bottom w:val="none" w:sz="0" w:space="0" w:color="auto"/>
        <w:right w:val="none" w:sz="0" w:space="0" w:color="auto"/>
      </w:divBdr>
      <w:divsChild>
        <w:div w:id="1613631598">
          <w:marLeft w:val="0"/>
          <w:marRight w:val="0"/>
          <w:marTop w:val="0"/>
          <w:marBottom w:val="0"/>
          <w:divBdr>
            <w:top w:val="none" w:sz="0" w:space="0" w:color="auto"/>
            <w:left w:val="none" w:sz="0" w:space="0" w:color="auto"/>
            <w:bottom w:val="none" w:sz="0" w:space="0" w:color="auto"/>
            <w:right w:val="none" w:sz="0" w:space="0" w:color="auto"/>
          </w:divBdr>
          <w:divsChild>
            <w:div w:id="101996169">
              <w:marLeft w:val="0"/>
              <w:marRight w:val="0"/>
              <w:marTop w:val="0"/>
              <w:marBottom w:val="0"/>
              <w:divBdr>
                <w:top w:val="none" w:sz="0" w:space="0" w:color="auto"/>
                <w:left w:val="none" w:sz="0" w:space="0" w:color="auto"/>
                <w:bottom w:val="none" w:sz="0" w:space="0" w:color="auto"/>
                <w:right w:val="none" w:sz="0" w:space="0" w:color="auto"/>
              </w:divBdr>
              <w:divsChild>
                <w:div w:id="88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rgio.Lorenciomatallana@eesc.europa.eu" TargetMode="External"/><Relationship Id="rId21" Type="http://schemas.openxmlformats.org/officeDocument/2006/relationships/hyperlink" Target="https://www.eesc.europa.eu/fr/our-work/opinions-information-reports/opinions/les-biens-publics-europeens-une-priorite-politique-pour-financer-la-croissance-durable-de-lue-et-relever-les-defis" TargetMode="External"/><Relationship Id="rId42" Type="http://schemas.openxmlformats.org/officeDocument/2006/relationships/hyperlink" Target="https://www.eesc.europa.eu/fr/our-work/opinions-information-reports/opinions/comment-garantir-des-competences-vertes-et-plaider-en-faveur-detablissements-de-formation-professionnelle-verts" TargetMode="External"/><Relationship Id="rId47" Type="http://schemas.openxmlformats.org/officeDocument/2006/relationships/hyperlink" Target="mailto:Sabrina.Borg@eesc.europa.eu" TargetMode="External"/><Relationship Id="rId63" Type="http://schemas.openxmlformats.org/officeDocument/2006/relationships/hyperlink" Target="mailto:Annalisa.Tessarolo@eesc.europa.eu" TargetMode="External"/><Relationship Id="rId68" Type="http://schemas.openxmlformats.org/officeDocument/2006/relationships/hyperlink" Target="https://www.eesc.europa.eu/fr/our-work/opinions-information-reports/opinions/entreprise-commune-europeenne-pour-le-calcul-haute-performance" TargetMode="External"/><Relationship Id="rId84" Type="http://schemas.openxmlformats.org/officeDocument/2006/relationships/hyperlink" Target="mailto:Myrto.Kolyva@eesc.europa.eu" TargetMode="External"/><Relationship Id="rId89" Type="http://schemas.openxmlformats.org/officeDocument/2006/relationships/hyperlink" Target="mailto:Andreas.Berger@eesc.europa.eu"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sc.europa.eu/en/documents/resolution/defending-eus-values-and-strengthening-its-future-new-geopolitical-order" TargetMode="External"/><Relationship Id="rId29" Type="http://schemas.openxmlformats.org/officeDocument/2006/relationships/hyperlink" Target="https://www.eesc.europa.eu/fr/our-work/opinions-information-reports/opinions/un-nouvel-elan-pour-le-cadre-de-lue-en-matiere-de-finance-durable" TargetMode="External"/><Relationship Id="rId107"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Gerald.Klec@eesc.europa.eu" TargetMode="External"/><Relationship Id="rId32" Type="http://schemas.openxmlformats.org/officeDocument/2006/relationships/hyperlink" Target="mailto:Ana.Dumitrache@eesc.europa.eu" TargetMode="External"/><Relationship Id="rId37" Type="http://schemas.openxmlformats.org/officeDocument/2006/relationships/hyperlink" Target="mailto:Triin.AasmaaGomes@eesc.europa.eu" TargetMode="External"/><Relationship Id="rId40" Type="http://schemas.openxmlformats.org/officeDocument/2006/relationships/hyperlink" Target="https://www.eesc.europa.eu/fr/our-work/opinions-information-reports/opinions/reduire-les-obstacles-lentrepreneuriat-inclusif-promouvoir-linnovation-et-assurer-legalite-des-chances-pour-tous" TargetMode="External"/><Relationship Id="rId45" Type="http://schemas.openxmlformats.org/officeDocument/2006/relationships/hyperlink" Target="mailto:Sabrina.Borg@eesc.europa.eu" TargetMode="External"/><Relationship Id="rId53" Type="http://schemas.openxmlformats.org/officeDocument/2006/relationships/hyperlink" Target="mailto:Francesco.Napolitano@eesc.europa.eu" TargetMode="External"/><Relationship Id="rId58" Type="http://schemas.openxmlformats.org/officeDocument/2006/relationships/hyperlink" Target="https://www.eesc.europa.eu/fr/our-work/opinions-information-reports/opinions/extension-de-la-directive-eurovignette" TargetMode="External"/><Relationship Id="rId66" Type="http://schemas.openxmlformats.org/officeDocument/2006/relationships/hyperlink" Target="https://www.eesc.europa.eu/fr/our-work/opinions-information-reports/opinions/omnibus-defence" TargetMode="External"/><Relationship Id="rId74" Type="http://schemas.openxmlformats.org/officeDocument/2006/relationships/hyperlink" Target="https://www.eesc.europa.eu/fr/our-work/opinions-information-reports/opinions/renforcer-lapplication-des-regles-du-marche-unique-revision-des-outils-et-du-cadre-actuels" TargetMode="External"/><Relationship Id="rId79" Type="http://schemas.openxmlformats.org/officeDocument/2006/relationships/hyperlink" Target="mailto:Caroline.Verhelst@eesc.europa.eu" TargetMode="External"/><Relationship Id="rId87" Type="http://schemas.openxmlformats.org/officeDocument/2006/relationships/hyperlink" Target="mailto:Gaia.Bottoni@eesc.europa.eu" TargetMode="External"/><Relationship Id="rId102" Type="http://schemas.openxmlformats.org/officeDocument/2006/relationships/hyperlink" Target="https://www.eesc.europa.eu/fr/our-work/opinions-information-reports/opinions/elements-constitutifs-du-renforcement-de-la-base-manufacturiere-de-leurope-dans-le-domaine-des-technologies-propres" TargetMode="External"/><Relationship Id="rId110"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mailto:Marco.Manfroni@eesc.europa.eu" TargetMode="External"/><Relationship Id="rId82" Type="http://schemas.openxmlformats.org/officeDocument/2006/relationships/hyperlink" Target="mailto:Myrto.Kolyva@eesc.europa.eu" TargetMode="External"/><Relationship Id="rId90" Type="http://schemas.openxmlformats.org/officeDocument/2006/relationships/hyperlink" Target="https://www.eesc.europa.eu/fr/our-work/opinions-information-reports/information-reports/les-medias-sociaux-et-les-algorithmes-dintelligence-artificielle-garantir-partout-en-europe-le-droit-une-information" TargetMode="External"/><Relationship Id="rId95" Type="http://schemas.openxmlformats.org/officeDocument/2006/relationships/hyperlink" Target="mailto:Andreas.Berger@eesc.europa.eu" TargetMode="External"/><Relationship Id="rId19" Type="http://schemas.openxmlformats.org/officeDocument/2006/relationships/hyperlink" Target="https://www.eesc.europa.eu/fr/our-work/opinions-information-reports/opinions/considerations-supplementaires-sur-la-politique-economique-de-la-zone-euro-2025" TargetMode="External"/><Relationship Id="rId14" Type="http://schemas.openxmlformats.org/officeDocument/2006/relationships/hyperlink" Target="https://dmsearch.eesc.europa.eu/search/ecdocs" TargetMode="External"/><Relationship Id="rId22" Type="http://schemas.openxmlformats.org/officeDocument/2006/relationships/hyperlink" Target="mailto:Gerald.Klec@eesc.europa.eu" TargetMode="External"/><Relationship Id="rId27" Type="http://schemas.openxmlformats.org/officeDocument/2006/relationships/hyperlink" Target="https://www.eesc.europa.eu/fr/our-work/opinions-information-reports/opinions/considerations-supplementaires-sur-la-voie-suivre-pour-le-semestre-europeen-2025" TargetMode="External"/><Relationship Id="rId30" Type="http://schemas.openxmlformats.org/officeDocument/2006/relationships/hyperlink" Target="mailto:Gerald.Klec@eesc.europa.eu" TargetMode="External"/><Relationship Id="rId35" Type="http://schemas.openxmlformats.org/officeDocument/2006/relationships/hyperlink" Target="mailto:Ana.Dumitrache@eesc.europa.eu" TargetMode="External"/><Relationship Id="rId43" Type="http://schemas.openxmlformats.org/officeDocument/2006/relationships/hyperlink" Target="mailto:Triin.AasmaaGomes@eesc.europa.eu" TargetMode="External"/><Relationship Id="rId48" Type="http://schemas.openxmlformats.org/officeDocument/2006/relationships/hyperlink" Target="https://www.eesc.europa.eu/fr/our-work/opinions-information-reports/opinions/ia-megadonnees-et-maladies-rares" TargetMode="External"/><Relationship Id="rId56" Type="http://schemas.openxmlformats.org/officeDocument/2006/relationships/hyperlink" Target="https://www.eesc.europa.eu/fr/our-work/opinions-information-reports/opinions/mettre-fin-aux-importations-denergie-russe" TargetMode="External"/><Relationship Id="rId64" Type="http://schemas.openxmlformats.org/officeDocument/2006/relationships/hyperlink" Target="https://www.eesc.europa.eu/fr/our-work/opinions-information-reports/opinions/appel-en-vue-dorganiser-une-concurrence-loyale-en-ce-qui-concerne-les-plateformes-de-pays-tiers" TargetMode="External"/><Relationship Id="rId69" Type="http://schemas.openxmlformats.org/officeDocument/2006/relationships/hyperlink" Target="mailto:Alice.Tetu@eesc.europa.eu" TargetMode="External"/><Relationship Id="rId77" Type="http://schemas.openxmlformats.org/officeDocument/2006/relationships/hyperlink" Target="mailto:Silvia.Staffa@eesc.europa.eu" TargetMode="External"/><Relationship Id="rId100" Type="http://schemas.openxmlformats.org/officeDocument/2006/relationships/hyperlink" Target="https://www.eesc.europa.eu/fr/our-work/opinions-information-reports/opinions/plan-daction-de-lue-pour-lacier-et-les-metaux" TargetMode="External"/><Relationship Id="rId105" Type="http://schemas.openxmlformats.org/officeDocument/2006/relationships/hyperlink" Target="mailto:Laura.Ernsteina@eesc.europa.eu" TargetMode="External"/><Relationship Id="rId113"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Francesco.Napolitano@eesc.europa.eu" TargetMode="External"/><Relationship Id="rId72" Type="http://schemas.openxmlformats.org/officeDocument/2006/relationships/hyperlink" Target="https://www.eesc.europa.eu/fr/our-work/opinions-information-reports/opinions/les-interdependances-entre-les-applications-dia-et-les-services-des-professions-liberales-repondre-aux-besoins-societaux" TargetMode="External"/><Relationship Id="rId80" Type="http://schemas.openxmlformats.org/officeDocument/2006/relationships/hyperlink" Target="mailto:Gaizka.MaloElcoro-Iribe@eesc.europa.eu" TargetMode="External"/><Relationship Id="rId85" Type="http://schemas.openxmlformats.org/officeDocument/2006/relationships/hyperlink" Target="mailto:Arturo.Iniguez@eesc.europa.eu" TargetMode="External"/><Relationship Id="rId93" Type="http://schemas.openxmlformats.org/officeDocument/2006/relationships/hyperlink" Target="mailto:Marie-Laurence.Drillon@eesc.europa.eu" TargetMode="External"/><Relationship Id="rId98" Type="http://schemas.openxmlformats.org/officeDocument/2006/relationships/hyperlink" Target="https://www.eesc.europa.eu/fr/our-work/opinions-information-reports/opinions/resilience-dans-le-domaine-de-leau-et-double-transition-approches-industrielles-traitant-de-la-relation-entre-leau-la"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Pierluigi.Brombo@eesc.europa.eu" TargetMode="External"/><Relationship Id="rId25" Type="http://schemas.openxmlformats.org/officeDocument/2006/relationships/hyperlink" Target="https://www.eesc.europa.eu/fr/our-work/opinions-information-reports/opinions/revision-du-reglement-sur-la-titrisation-0" TargetMode="External"/><Relationship Id="rId33" Type="http://schemas.openxmlformats.org/officeDocument/2006/relationships/hyperlink" Target="https://www.eesc.europa.eu/fr/our-work/opinions-information-reports/opinions/lignes-directrices-pour-les-politiques-de-lemploi-des-etats-membres-4" TargetMode="External"/><Relationship Id="rId38" Type="http://schemas.openxmlformats.org/officeDocument/2006/relationships/hyperlink" Target="https://www.eesc.europa.eu/fr/our-work/opinions-information-reports/opinions/le-bouclier-europeen-de-la-democratie" TargetMode="External"/><Relationship Id="rId46" Type="http://schemas.openxmlformats.org/officeDocument/2006/relationships/hyperlink" Target="https://www.eesc.europa.eu/fr/our-work/opinions-information-reports/opinions/evaluer-lincidence-des-politiques-publiques-moyen-et-long-termes-grace-la-budgetisation-intergenerationnelle" TargetMode="External"/><Relationship Id="rId59" Type="http://schemas.openxmlformats.org/officeDocument/2006/relationships/hyperlink" Target="mailto:Maja.Radman@eesc.europa.eu" TargetMode="External"/><Relationship Id="rId67" Type="http://schemas.openxmlformats.org/officeDocument/2006/relationships/hyperlink" Target="mailto:Annalisa.Tessarolo@eesc.europa.eu" TargetMode="External"/><Relationship Id="rId103" Type="http://schemas.openxmlformats.org/officeDocument/2006/relationships/hyperlink" Target="mailto:JacopoErnesto.Caja@eesc.europa.eu" TargetMode="External"/><Relationship Id="rId108" Type="http://schemas.openxmlformats.org/officeDocument/2006/relationships/footer" Target="footer2.xml"/><Relationship Id="rId20" Type="http://schemas.openxmlformats.org/officeDocument/2006/relationships/hyperlink" Target="mailto:Omar.Bello@eesc.europa.eu" TargetMode="External"/><Relationship Id="rId41" Type="http://schemas.openxmlformats.org/officeDocument/2006/relationships/hyperlink" Target="mailto:Bartek.Bednarowicz@eesc.europa.eu" TargetMode="External"/><Relationship Id="rId54" Type="http://schemas.openxmlformats.org/officeDocument/2006/relationships/hyperlink" Target="https://www.eesc.europa.eu/fr/our-work/opinions-information-reports/opinions/revision-des-directives-composant-le-paquet-controle-technique" TargetMode="External"/><Relationship Id="rId62" Type="http://schemas.openxmlformats.org/officeDocument/2006/relationships/hyperlink" Target="https://www.eesc.europa.eu/fr/our-work/opinions-information-reports/opinions/challenge-single-market-european-defence-policy-well-balanced-needs-citizens" TargetMode="External"/><Relationship Id="rId70" Type="http://schemas.openxmlformats.org/officeDocument/2006/relationships/hyperlink" Target="https://www.eesc.europa.eu/fr/our-work/opinions-information-reports/opinions/start-et-scale-europeennes" TargetMode="External"/><Relationship Id="rId75" Type="http://schemas.openxmlformats.org/officeDocument/2006/relationships/hyperlink" Target="mailto:Annalisa.Tessarolo@eesc.europa.eu" TargetMode="External"/><Relationship Id="rId83" Type="http://schemas.openxmlformats.org/officeDocument/2006/relationships/hyperlink" Target="https://www.eesc.europa.eu/fr/our-work/opinions-information-reports/opinions/paquet-de-mesures-de-simplification-de-la-pac" TargetMode="External"/><Relationship Id="rId88" Type="http://schemas.openxmlformats.org/officeDocument/2006/relationships/hyperlink" Target="https://www.eesc.europa.eu/fr/our-work/opinions-information-reports/opinions/un-nouveau-pacte-pour-la-mediterranee" TargetMode="External"/><Relationship Id="rId91" Type="http://schemas.openxmlformats.org/officeDocument/2006/relationships/hyperlink" Target="mailto:Daniele.Vitali@eesc.europa.eu" TargetMode="External"/><Relationship Id="rId96" Type="http://schemas.openxmlformats.org/officeDocument/2006/relationships/hyperlink" Target="https://www.eesc.europa.eu/fr/our-work/opinions-information-reports/opinions/initiative-sur-la-resilience-dans-le-domaine-de-leau" TargetMode="External"/><Relationship Id="rId11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esc.europa.eu/fr/our-work/opinions-information-reports/opinions/investissements-lies-la-defense-dans-le-budget-de-lue" TargetMode="External"/><Relationship Id="rId28" Type="http://schemas.openxmlformats.org/officeDocument/2006/relationships/hyperlink" Target="mailto:anna.pantazi@eesc.europa.eu" TargetMode="External"/><Relationship Id="rId36" Type="http://schemas.openxmlformats.org/officeDocument/2006/relationships/hyperlink" Target="https://www.eesc.europa.eu/fr/our-work/opinions-information-reports/opinions/instituer-un-systeme-commun-pour-le-retour-de-ressortissants-de-pays-tiers-en-sejour-irregulier-dans-lunion" TargetMode="External"/><Relationship Id="rId49" Type="http://schemas.openxmlformats.org/officeDocument/2006/relationships/hyperlink" Target="mailto:Alessia.Cova@eesc.europa.eu" TargetMode="External"/><Relationship Id="rId57" Type="http://schemas.openxmlformats.org/officeDocument/2006/relationships/hyperlink" Target="mailto:GiorgiaAndrea.Bordignon@eesc.europa.eu" TargetMode="External"/><Relationship Id="rId106"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www.eesc.europa.eu/fr/our-work/opinions-information-reports/opinions/comment-une-approche-de-prevention-active-et-inclusive-peut-elle-contribuer-ameliorer-la-sante-et-la-securite-sur-le" TargetMode="External"/><Relationship Id="rId44" Type="http://schemas.openxmlformats.org/officeDocument/2006/relationships/hyperlink" Target="https://www.eesc.europa.eu/fr/our-work/opinions-information-reports/opinions/comment-lapprentissage-et-les-dispositifs-dalternance-peuvent-soutenir-les-competences-attendues-des-entreprises-face" TargetMode="External"/><Relationship Id="rId52" Type="http://schemas.openxmlformats.org/officeDocument/2006/relationships/hyperlink" Target="https://www.eesc.europa.eu/fr/our-work/opinions-information-reports/opinions/train-de-mesures-sur-lenergie-citoyenne-engagement-des-citoyens-communautes-energetiques-et-prosumerisme" TargetMode="External"/><Relationship Id="rId60" Type="http://schemas.openxmlformats.org/officeDocument/2006/relationships/hyperlink" Target="https://www.eesc.europa.eu/fr/our-work/opinions-information-reports/opinions/train-de-mesures-sur-les-entreprises-moyenne-capitalisation" TargetMode="External"/><Relationship Id="rId65" Type="http://schemas.openxmlformats.org/officeDocument/2006/relationships/hyperlink" Target="mailto:Radoslava.Stefankova@eesc.europa.eu" TargetMode="External"/><Relationship Id="rId73" Type="http://schemas.openxmlformats.org/officeDocument/2006/relationships/hyperlink" Target="mailto:Yousra.AsbouniElOuahabi@eesc.europa.eu" TargetMode="External"/><Relationship Id="rId78" Type="http://schemas.openxmlformats.org/officeDocument/2006/relationships/hyperlink" Target="https://www.eesc.europa.eu/fr/our-work/opinions-information-reports/opinions/modification-de-la-loi-europeenne-sur-le-climat" TargetMode="External"/><Relationship Id="rId81" Type="http://schemas.openxmlformats.org/officeDocument/2006/relationships/hyperlink" Target="https://www.eesc.europa.eu/fr/our-work/opinions-information-reports/opinions/lavenir-des-aliments-biologiques-et-de-qualite-et-la-maniere-dont-nous-pouvons-en-accroitre-la-consommation" TargetMode="External"/><Relationship Id="rId86" Type="http://schemas.openxmlformats.org/officeDocument/2006/relationships/hyperlink" Target="https://www.eesc.europa.eu/fr/our-work/opinions-information-reports/opinions/une-planete-saine-pour-des-personnes-en-bonne-sante-vers-une-approche-une-seule-sante" TargetMode="External"/><Relationship Id="rId94" Type="http://schemas.openxmlformats.org/officeDocument/2006/relationships/hyperlink" Target="https://www.eesc.europa.eu/fr/our-work/opinions-information-reports/opinions/favoriser-une-croissance-durable-et-des-emplois-de-qualite-dans-la-region-euro-mediterraneenne-promouvoir-lesprit" TargetMode="External"/><Relationship Id="rId99" Type="http://schemas.openxmlformats.org/officeDocument/2006/relationships/hyperlink" Target="mailto:Heli.Niemela-Farrer@eesc.europa.eu" TargetMode="External"/><Relationship Id="rId101" Type="http://schemas.openxmlformats.org/officeDocument/2006/relationships/hyperlink" Target="mailto:Adam.Dorywalski@eesc.europa.eu"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fr/our-work/opinions-information-reports/plenary-session-summaries" TargetMode="External"/><Relationship Id="rId18" Type="http://schemas.openxmlformats.org/officeDocument/2006/relationships/hyperlink" Target="mailto:Lilla.Szabo@eesc.europa.eu" TargetMode="External"/><Relationship Id="rId39" Type="http://schemas.openxmlformats.org/officeDocument/2006/relationships/hyperlink" Target="mailto:JeanMarie.Rogue@eesc.europa.eu" TargetMode="External"/><Relationship Id="rId109" Type="http://schemas.openxmlformats.org/officeDocument/2006/relationships/footer" Target="footer3.xml"/><Relationship Id="rId34" Type="http://schemas.openxmlformats.org/officeDocument/2006/relationships/hyperlink" Target="mailto:Antoni.Torrasestruch@eesc.europa.eu" TargetMode="External"/><Relationship Id="rId50" Type="http://schemas.openxmlformats.org/officeDocument/2006/relationships/hyperlink" Target="https://www.eesc.europa.eu/fr/our-work/opinions-information-reports/opinions/vers-un-plan-europeen-pour-des-logements-abordables-la-contribution-de-la-societe-civile" TargetMode="External"/><Relationship Id="rId55" Type="http://schemas.openxmlformats.org/officeDocument/2006/relationships/hyperlink" Target="mailto:Albert.Precup@eesc.europa.eu" TargetMode="External"/><Relationship Id="rId76" Type="http://schemas.openxmlformats.org/officeDocument/2006/relationships/hyperlink" Target="https://www.eesc.europa.eu/fr/our-work/opinions-information-reports/opinions/les-determinants-commerciaux-de-la-sante" TargetMode="External"/><Relationship Id="rId97" Type="http://schemas.openxmlformats.org/officeDocument/2006/relationships/hyperlink" Target="mailto:Heli.Niemela-Farrer@eesc.europa.eu" TargetMode="External"/><Relationship Id="rId104" Type="http://schemas.openxmlformats.org/officeDocument/2006/relationships/hyperlink" Target="https://www.eesc.europa.eu/fr/our-work/opinions-information-reports/opinions/strategie-europeenne-pour-une-union-de-la-preparation" TargetMode="External"/><Relationship Id="rId7" Type="http://schemas.openxmlformats.org/officeDocument/2006/relationships/styles" Target="styles.xml"/><Relationship Id="rId71" Type="http://schemas.openxmlformats.org/officeDocument/2006/relationships/hyperlink" Target="mailto:Marco.Manfroni@eesc.europa.eu" TargetMode="External"/><Relationship Id="rId92" Type="http://schemas.openxmlformats.org/officeDocument/2006/relationships/hyperlink" Target="https://www.eesc.europa.eu/fr/our-work/opinions-information-reports/opinions/diplomatie-bleue-et-cooperation-dans-le-domaine-de-leau-voies-pour-alleger-la-pression-des-migrations-provoquees-par-le"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A6WAAD5KZT2Q-235352946-6943</_dlc_DocId>
    <_dlc_DocIdUrl xmlns="1a33af13-4045-4f88-9d7b-618e30f79918">
      <Url>http://dm/eesc/2025/_layouts/15/DocIdRedir.aspx?ID=A6WAAD5KZT2Q-235352946-6943</Url>
      <Description>A6WAAD5KZT2Q-235352946-6943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2025-10-14T12:00:00+00:00</ProductionDate>
    <DocumentNumber xmlns="a3e83899-37aa-47c6-ba54-4ea80e9c17cf">2635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2025-10-21T12:00:00+00:00</MeetingDate>
    <TaxCatchAll xmlns="1a33af13-4045-4f88-9d7b-618e30f79918">
      <Value>67</Value>
      <Value>50</Value>
      <Value>47</Value>
      <Value>46</Value>
      <Value>42</Value>
      <Value>41</Value>
      <Value>40</Value>
      <Value>39</Value>
      <Value>37</Value>
      <Value>36</Value>
      <Value>35</Value>
      <Value>34</Value>
      <Value>33</Value>
      <Value>31</Value>
      <Value>30</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295485</FicheNumber>
    <OriginalSender xmlns="1a33af13-4045-4f88-9d7b-618e30f79918">
      <UserInfo>
        <DisplayName>Antunes Cristiano</DisplayName>
        <AccountId>693</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E93AC-4898-4109-AE1C-782FF6D9207D}">
  <ds:schemaRefs>
    <ds:schemaRef ds:uri="http://schemas.microsoft.com/sharepoint/events"/>
  </ds:schemaRefs>
</ds:datastoreItem>
</file>

<file path=customXml/itemProps2.xml><?xml version="1.0" encoding="utf-8"?>
<ds:datastoreItem xmlns:ds="http://schemas.openxmlformats.org/officeDocument/2006/customXml" ds:itemID="{251DA164-654E-4830-A30E-6551B086BD55}">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a382cf6-584e-4bd2-bd73-0bac1a20efcb"/>
    <ds:schemaRef ds:uri="a3e83899-37aa-47c6-ba54-4ea80e9c17cf"/>
  </ds:schemaRefs>
</ds:datastoreItem>
</file>

<file path=customXml/itemProps3.xml><?xml version="1.0" encoding="utf-8"?>
<ds:datastoreItem xmlns:ds="http://schemas.openxmlformats.org/officeDocument/2006/customXml" ds:itemID="{CC39E004-2F4A-4D6B-8D45-CC2D3988AE54}">
  <ds:schemaRefs>
    <ds:schemaRef ds:uri="http://schemas.openxmlformats.org/officeDocument/2006/bibliography"/>
  </ds:schemaRefs>
</ds:datastoreItem>
</file>

<file path=customXml/itemProps4.xml><?xml version="1.0" encoding="utf-8"?>
<ds:datastoreItem xmlns:ds="http://schemas.openxmlformats.org/officeDocument/2006/customXml" ds:itemID="{40232FA9-BABA-4D8A-A62F-631447A3B632}"/>
</file>

<file path=customXml/itemProps5.xml><?xml version="1.0" encoding="utf-8"?>
<ds:datastoreItem xmlns:ds="http://schemas.openxmlformats.org/officeDocument/2006/customXml" ds:itemID="{29C7C823-1F7B-4634-81C5-C91DA8380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20551</Words>
  <Characters>113034</Characters>
  <Application>Microsoft Office Word</Application>
  <DocSecurity>0</DocSecurity>
  <Lines>941</Lines>
  <Paragraphs>266</Paragraphs>
  <ScaleCrop>false</ScaleCrop>
  <HeadingPairs>
    <vt:vector size="2" baseType="variant">
      <vt:variant>
        <vt:lpstr>Title</vt:lpstr>
      </vt:variant>
      <vt:variant>
        <vt:i4>1</vt:i4>
      </vt:variant>
    </vt:vector>
  </HeadingPairs>
  <TitlesOfParts>
    <vt:vector size="1" baseType="lpstr">
      <vt:lpstr>Summary of  opinions - 597th plenary session - June 2025</vt:lpstr>
    </vt:vector>
  </TitlesOfParts>
  <Manager/>
  <Company/>
  <LinksUpToDate>false</LinksUpToDate>
  <CharactersWithSpaces>133319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- 599th plenary session - September 2025  </dc:title>
  <dc:subject>TCD</dc:subject>
  <dc:creator/>
  <cp:keywords>EESC-2025-01645-00-00-TCD-TRA-EN</cp:keywords>
  <dc:description>Rapporteur:  - Original language: EN - Date of document: 26-06-2025 - Date of meeting: 30-16-2025 14:30 - External documents:  - Administrator: MME TAMASAUSKIENE Julija</dc:description>
  <cp:lastModifiedBy/>
  <cp:revision>1</cp:revision>
  <cp:lastPrinted>2025-09-25T14:38:00Z</cp:lastPrinted>
  <dcterms:created xsi:type="dcterms:W3CDTF">2025-10-14T13:43:00Z</dcterms:created>
  <dcterms:modified xsi:type="dcterms:W3CDTF">2025-10-14T13:44:00Z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07/10/2025, 24/06/2025, 02/05/2022, 02/05/2022, 28/06/2021</vt:lpwstr>
  </property>
  <property fmtid="{D5CDD505-2E9C-101B-9397-08002B2CF9AE}" pid="4" name="Pref_Time">
    <vt:lpwstr>14:08:15, 16:06:11, 12:28:29, 12:25:37, 08:41:48</vt:lpwstr>
  </property>
  <property fmtid="{D5CDD505-2E9C-101B-9397-08002B2CF9AE}" pid="5" name="Pref_User">
    <vt:lpwstr>amett, pacup, enied, enied, enied</vt:lpwstr>
  </property>
  <property fmtid="{D5CDD505-2E9C-101B-9397-08002B2CF9AE}" pid="6" name="Pref_FileName">
    <vt:lpwstr>EESC-2025-02635-00-00-TCD-ORI.docx, EESC-2025-01645-00-00-TCD-ORI.docx,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4df005d4-2076-4f18-9fb9-655cf1736b97</vt:lpwstr>
  </property>
  <property fmtid="{D5CDD505-2E9C-101B-9397-08002B2CF9AE}" pid="9" name="AvailableTranslations">
    <vt:lpwstr>42;#EL|6d4f4d51-af9b-4650-94b4-4276bee85c91;#39;#LV|46f7e311-5d9f-4663-b433-18aeccb7ace7;#24;#PL|1e03da61-4678-4e07-b136-b5024ca9197b;#31;#SL|98a412ae-eb01-49e9-ae3d-585a81724cfc;#35;#FI|87606a43-d45f-42d6-b8c9-e1a3457db5b7;#47;#BG|1a1b3951-7821-4e6a-85f5-5673fc08bd2c;#40;#DA|5d49c027-8956-412b-aa16-e85a0f96ad0e;#46;#SK|46d9fce0-ef79-4f71-b89b-cd6aa82426b8;#23;#DE|f6b31e5a-26fa-4935-b661-318e46daf27e;#50;#HR|2f555653-ed1a-4fe6-8362-9082d95989e5;#12;#FR|d2afafd3-4c81-4f60-8f52-ee33f2f54ff3;#36;#RO|feb747a2-64cd-4299-af12-4833ddc30497;#27;#NL|55c6556c-b4f4-441d-9acf-c498d4f838bd;#37;#HU|6b229040-c589-4408-b4c1-4285663d20a8;#33;#PT|50ccc04a-eadd-42ae-a0cb-acaf45f812ba;#30;#LT|a7ff5ce7-6123-4f68-865a-a57c31810414;#34;#IT|0774613c-01ed-4e5d-a25d-11d2388de825;#28;#SV|c2ed69e7-a339-43d7-8f22-d93680a92aa0;#16;#ES|e7a6b05b-ae16-40c8-add9-68b64b03aeba;#41;#ET|ff6c3f4c-b02c-4c3c-ab07-2c37995a7a0a;#5;#EN|f2175f21-25d7-44a3-96da-d6a61b075e1b</vt:lpwstr>
  </property>
  <property fmtid="{D5CDD505-2E9C-101B-9397-08002B2CF9AE}" pid="10" name="DocumentType_0">
    <vt:lpwstr>TCD|cd9d6eb6-3f4f-424a-b2d1-57c9d450eaaf</vt:lpwstr>
  </property>
  <property fmtid="{D5CDD505-2E9C-101B-9397-08002B2CF9AE}" pid="11" name="MeetingNumber">
    <vt:i4>600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2635</vt:i4>
  </property>
  <property fmtid="{D5CDD505-2E9C-101B-9397-08002B2CF9AE}" pid="15" name="DocumentVersion">
    <vt:i4>2</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19;#TCD|cd9d6eb6-3f4f-424a-b2d1-57c9d450eaaf</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2025-10-21T12:00:00Z</vt:filetime>
  </property>
  <property fmtid="{D5CDD505-2E9C-101B-9397-08002B2CF9AE}" pid="28" name="AvailableTranslations_0">
    <vt:lpwstr>LV|46f7e311-5d9f-4663-b433-18aeccb7ace7;PL|1e03da61-4678-4e07-b136-b5024ca9197b;SL|98a412ae-eb01-49e9-ae3d-585a81724cfc;FI|87606a43-d45f-42d6-b8c9-e1a3457db5b7;BG|1a1b3951-7821-4e6a-85f5-5673fc08bd2c;DA|5d49c027-8956-412b-aa16-e85a0f96ad0e;DE|f6b31e5a-26fa-4935-b661-318e46daf27e;HR|2f555653-ed1a-4fe6-8362-9082d95989e5;NL|55c6556c-b4f4-441d-9acf-c498d4f838bd;HU|6b229040-c589-4408-b4c1-4285663d20a8;IT|0774613c-01ed-4e5d-a25d-11d2388de825;SV|c2ed69e7-a339-43d7-8f22-d93680a92aa0;ES|e7a6b05b-ae16-40c8-add9-68b64b03aeba;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35;#FI|87606a43-d45f-42d6-b8c9-e1a3457db5b7;#34;#IT|0774613c-01ed-4e5d-a25d-11d2388de825;#31;#SL|98a412ae-eb01-49e9-ae3d-585a81724cfc;#67;#SPL-CES|32d8cb1f-c9ec-4365-95c7-8385a18618ac;#28;#SV|c2ed69e7-a339-43d7-8f22-d93680a92aa0;#27;#NL|55c6556c-b4f4-441d-9acf-c498d4f838bd;#24;#PL|1e03da61-4678-4e07-b136-b5024ca9197b;#23;#DE|f6b31e5a-26fa-4935-b661-318e46daf27e;#19;#TCD|cd9d6eb6-3f4f-424a-b2d1-57c9d450eaaf;#16;#ES|e7a6b05b-ae16-40c8-add9-68b64b03aeba;#15;#Unrestricted|826e22d7-d029-4ec0-a450-0c28ff673572;#13;#TRA|150d2a88-1431-44e6-a8ca-0bb753ab8672;#47;#BG|1a1b3951-7821-4e6a-85f5-5673fc08bd2c;#50;#HR|2f555653-ed1a-4fe6-8362-9082d95989e5;#8;#Final|ea5e6674-7b27-4bac-b091-73adbb394efe;#5;#EN|f2175f21-25d7-44a3-96da-d6a61b075e1b;#40;#DA|5d49c027-8956-412b-aa16-e85a0f96ad0e;#39;#LV|46f7e311-5d9f-4663-b433-18aeccb7ace7;#1;#EESC|422833ec-8d7e-4e65-8e4e-8bed07ffb729;#37;#HU|6b229040-c589-4408-b4c1-4285663d20a8</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295485</vt:i4>
  </property>
  <property fmtid="{D5CDD505-2E9C-101B-9397-08002B2CF9AE}" pid="36" name="DocumentLanguage">
    <vt:lpwstr>12;#FR|d2afafd3-4c81-4f60-8f52-ee33f2f54ff3</vt:lpwstr>
  </property>
  <property fmtid="{D5CDD505-2E9C-101B-9397-08002B2CF9AE}" pid="37" name="_docset_NoMedatataSyncRequired">
    <vt:lpwstr>False</vt:lpwstr>
  </property>
  <property fmtid="{D5CDD505-2E9C-101B-9397-08002B2CF9AE}" pid="38" name="DocumentLanguage_0">
    <vt:lpwstr>EN|f2175f21-25d7-44a3-96da-d6a61b075e1b</vt:lpwstr>
  </property>
</Properties>
</file>