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F46ABE9" w:rsidR="004D7AC0" w:rsidRDefault="003F5613" w:rsidP="00D95E0E">
      <w:pPr>
        <w:jc w:val="center"/>
      </w:pPr>
      <w:r>
        <w:rPr>
          <w:noProof/>
          <w:lang w:val="en-GB" w:eastAsia="en-GB"/>
        </w:rPr>
        <w:drawing>
          <wp:inline distT="0" distB="0" distL="0" distR="0" wp14:anchorId="13A54CE1" wp14:editId="47830830">
            <wp:extent cx="1792800" cy="1242000"/>
            <wp:effectExtent l="0" t="0" r="0" b="0"/>
            <wp:docPr id="1" name="Picture 1" title="EESC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fi-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anchorId="4982DE48" wp14:editId="353E038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3760A28D" w:rsidR="004D7AC0" w:rsidRPr="00260E65" w:rsidRDefault="003F77B6" w:rsidP="004D7AC0">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3760A28D" w:rsidR="004D7AC0" w:rsidRPr="00260E65" w:rsidRDefault="003F77B6" w:rsidP="004D7AC0">
                      <w:pPr>
                        <w:jc w:val="center"/>
                        <w:rPr>
                          <w:rFonts w:ascii="Arial" w:hAnsi="Arial" w:cs="Arial"/>
                          <w:b/>
                          <w:bCs/>
                          <w:sz w:val="48"/>
                        </w:rPr>
                      </w:pPr>
                      <w:r>
                        <w:rPr>
                          <w:rFonts w:ascii="Arial" w:hAnsi="Arial"/>
                          <w:b/>
                          <w:sz w:val="48"/>
                        </w:rPr>
                        <w:t>FI</w:t>
                      </w:r>
                    </w:p>
                  </w:txbxContent>
                </v:textbox>
                <w10:wrap anchorx="page" anchory="page"/>
              </v:shape>
            </w:pict>
          </mc:Fallback>
        </mc:AlternateContent>
      </w:r>
    </w:p>
    <w:p w14:paraId="4982DD4E" w14:textId="77777777" w:rsidR="004D7AC0" w:rsidRDefault="004D7AC0" w:rsidP="00D95E0E"/>
    <w:p w14:paraId="4982DD4F" w14:textId="3B71D0BE" w:rsidR="004D7AC0" w:rsidRDefault="004D7AC0" w:rsidP="00D95E0E">
      <w:pPr>
        <w:jc w:val="right"/>
      </w:pPr>
      <w:r>
        <w:t xml:space="preserve">Bryssel </w:t>
      </w:r>
      <w:r w:rsidR="0080664A">
        <w:t>14</w:t>
      </w:r>
      <w:r>
        <w:t xml:space="preserve">. </w:t>
      </w:r>
      <w:r w:rsidR="0080664A">
        <w:t>loka</w:t>
      </w:r>
      <w:r>
        <w:t xml:space="preserve">kuuta </w:t>
      </w:r>
      <w:r w:rsidR="0080664A">
        <w:t>2025</w:t>
      </w:r>
      <w:r>
        <w:t xml:space="preserve"> </w:t>
      </w:r>
    </w:p>
    <w:p w14:paraId="4982DD50" w14:textId="77777777" w:rsidR="004D7AC0" w:rsidRDefault="004D7AC0" w:rsidP="00D95E0E"/>
    <w:p w14:paraId="4982DD51" w14:textId="77777777" w:rsidR="004D7AC0" w:rsidRDefault="004D7AC0" w:rsidP="00D95E0E"/>
    <w:p w14:paraId="4982DD52" w14:textId="77777777" w:rsidR="004D7AC0" w:rsidRDefault="004D7AC0" w:rsidP="00D95E0E"/>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1FE3C7AA" w:rsidR="003066BE" w:rsidRDefault="0080664A" w:rsidP="00D95E0E">
            <w:pPr>
              <w:snapToGrid w:val="0"/>
              <w:jc w:val="center"/>
              <w:rPr>
                <w:b/>
                <w:sz w:val="32"/>
                <w:szCs w:val="32"/>
              </w:rPr>
            </w:pPr>
            <w:r>
              <w:rPr>
                <w:b/>
                <w:sz w:val="32"/>
              </w:rPr>
              <w:t>599</w:t>
            </w:r>
            <w:r w:rsidR="00D81F5E">
              <w:rPr>
                <w:b/>
                <w:sz w:val="32"/>
              </w:rPr>
              <w:t>. TÄYSISTUNNOSSA</w:t>
            </w:r>
          </w:p>
          <w:p w14:paraId="4982DD54" w14:textId="77777777" w:rsidR="003066BE" w:rsidRDefault="003066BE" w:rsidP="00D95E0E">
            <w:pPr>
              <w:snapToGrid w:val="0"/>
              <w:jc w:val="center"/>
              <w:rPr>
                <w:b/>
                <w:sz w:val="32"/>
                <w:szCs w:val="32"/>
              </w:rPr>
            </w:pPr>
          </w:p>
          <w:p w14:paraId="4982DD55" w14:textId="25E6D73C" w:rsidR="003066BE" w:rsidRDefault="0080664A" w:rsidP="00D95E0E">
            <w:pPr>
              <w:snapToGrid w:val="0"/>
              <w:jc w:val="center"/>
              <w:rPr>
                <w:b/>
                <w:sz w:val="32"/>
                <w:szCs w:val="32"/>
              </w:rPr>
            </w:pPr>
            <w:r>
              <w:rPr>
                <w:b/>
                <w:sz w:val="32"/>
              </w:rPr>
              <w:t>17</w:t>
            </w:r>
            <w:r w:rsidR="003066BE">
              <w:rPr>
                <w:b/>
                <w:sz w:val="32"/>
              </w:rPr>
              <w:t>.</w:t>
            </w:r>
            <w:r>
              <w:rPr>
                <w:b/>
                <w:sz w:val="32"/>
              </w:rPr>
              <w:t xml:space="preserve"> ja 18.</w:t>
            </w:r>
            <w:r w:rsidR="003066BE">
              <w:rPr>
                <w:b/>
                <w:sz w:val="32"/>
              </w:rPr>
              <w:t xml:space="preserve"> </w:t>
            </w:r>
            <w:r>
              <w:rPr>
                <w:b/>
                <w:sz w:val="32"/>
              </w:rPr>
              <w:t>syys</w:t>
            </w:r>
            <w:r w:rsidR="003066BE">
              <w:rPr>
                <w:b/>
                <w:sz w:val="32"/>
              </w:rPr>
              <w:t xml:space="preserve">kuuta </w:t>
            </w:r>
            <w:r>
              <w:rPr>
                <w:b/>
                <w:sz w:val="32"/>
              </w:rPr>
              <w:t>2025</w:t>
            </w:r>
          </w:p>
          <w:p w14:paraId="4982DD56" w14:textId="77777777" w:rsidR="003066BE" w:rsidRDefault="003066BE" w:rsidP="00D95E0E">
            <w:pPr>
              <w:snapToGrid w:val="0"/>
              <w:jc w:val="center"/>
              <w:rPr>
                <w:b/>
                <w:sz w:val="32"/>
                <w:szCs w:val="32"/>
              </w:rPr>
            </w:pPr>
          </w:p>
          <w:p w14:paraId="4982DD57" w14:textId="3BD04811" w:rsidR="004D7AC0" w:rsidRPr="0081153B" w:rsidRDefault="00066CBB" w:rsidP="00D95E0E">
            <w:pPr>
              <w:snapToGrid w:val="0"/>
              <w:jc w:val="center"/>
              <w:rPr>
                <w:rFonts w:eastAsia="MS Mincho"/>
                <w:b/>
                <w:sz w:val="32"/>
                <w:szCs w:val="32"/>
              </w:rPr>
            </w:pPr>
            <w:r>
              <w:rPr>
                <w:b/>
                <w:sz w:val="32"/>
              </w:rPr>
              <w:t>ANNETUT LAUSUNNOT JA PÄÄTÖSLAUSELMAT SEKÄ TIEDONANNOT JA ARVIOINTIKERTOMUKSET</w:t>
            </w:r>
          </w:p>
          <w:p w14:paraId="4982DD58" w14:textId="77777777" w:rsidR="004D7AC0" w:rsidRDefault="004D7AC0" w:rsidP="00D95E0E">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D95E0E">
            <w:pPr>
              <w:snapToGrid w:val="0"/>
              <w:jc w:val="center"/>
            </w:pPr>
            <w:r>
              <w:t xml:space="preserve">Asiakirja on saatavilla unionin virallisilla kielillä </w:t>
            </w:r>
            <w:proofErr w:type="spellStart"/>
            <w:r>
              <w:t>ETSK:n</w:t>
            </w:r>
            <w:proofErr w:type="spellEnd"/>
            <w:r>
              <w:t xml:space="preserve"> verkkosivuilla osoitteessa</w:t>
            </w:r>
            <w:r>
              <w:br/>
            </w:r>
            <w:r>
              <w:br/>
            </w:r>
            <w:hyperlink r:id="rId12" w:history="1">
              <w:r>
                <w:rPr>
                  <w:rStyle w:val="Hyperlink"/>
                </w:rPr>
                <w:t>https://www.eesc.europa.eu/fi/our-work/opinions-information-reports/plenary-session-summaries</w:t>
              </w:r>
            </w:hyperlink>
          </w:p>
          <w:p w14:paraId="4982DD5B" w14:textId="77777777" w:rsidR="004D7AC0" w:rsidRPr="0081153B" w:rsidRDefault="004D7AC0" w:rsidP="00D95E0E">
            <w:pPr>
              <w:snapToGrid w:val="0"/>
              <w:jc w:val="center"/>
            </w:pPr>
          </w:p>
          <w:p w14:paraId="4982DD5C" w14:textId="77777777" w:rsidR="004D7AC0" w:rsidRPr="0081153B" w:rsidRDefault="004D7AC0" w:rsidP="00D95E0E">
            <w:pPr>
              <w:snapToGrid w:val="0"/>
              <w:jc w:val="center"/>
              <w:rPr>
                <w:rFonts w:eastAsia="SimSun"/>
              </w:rPr>
            </w:pPr>
          </w:p>
          <w:p w14:paraId="4982DD5D" w14:textId="77777777" w:rsidR="004D7AC0" w:rsidRPr="00044561" w:rsidRDefault="004D7AC0" w:rsidP="00D95E0E">
            <w:pPr>
              <w:snapToGrid w:val="0"/>
              <w:jc w:val="center"/>
            </w:pPr>
            <w:r>
              <w:t>Mainitut lausunnot ovat haettavissa sähköisessä muodossa komitean hakukoneella:</w:t>
            </w:r>
            <w:r>
              <w:br/>
            </w:r>
            <w:r>
              <w:br/>
            </w:r>
            <w:hyperlink r:id="rId13" w:history="1">
              <w:r>
                <w:rPr>
                  <w:rStyle w:val="Hyperlink"/>
                </w:rPr>
                <w:t>https://dmsearch.eesc.europa.eu/search/opinion</w:t>
              </w:r>
            </w:hyperlink>
          </w:p>
          <w:p w14:paraId="4982DD5E" w14:textId="77777777" w:rsidR="004D7AC0" w:rsidRPr="00044561" w:rsidRDefault="004D7AC0" w:rsidP="00D95E0E">
            <w:pPr>
              <w:snapToGrid w:val="0"/>
              <w:jc w:val="center"/>
            </w:pPr>
          </w:p>
        </w:tc>
      </w:tr>
    </w:tbl>
    <w:p w14:paraId="4982DD60" w14:textId="77777777" w:rsidR="004D7AC0" w:rsidRDefault="004D7AC0" w:rsidP="00D95E0E"/>
    <w:p w14:paraId="4982DD61" w14:textId="77777777" w:rsidR="004D7AC0" w:rsidRDefault="004D7AC0" w:rsidP="00D95E0E"/>
    <w:p w14:paraId="4982DD62" w14:textId="77777777" w:rsidR="004D7AC0" w:rsidRDefault="004D7AC0" w:rsidP="00D95E0E">
      <w:pPr>
        <w:sectPr w:rsidR="004D7AC0" w:rsidSect="00D40A83">
          <w:footerReference w:type="default" r:id="rId14"/>
          <w:pgSz w:w="11907" w:h="16839"/>
          <w:pgMar w:top="1417" w:right="1417" w:bottom="1417" w:left="1417" w:header="709" w:footer="709" w:gutter="0"/>
          <w:cols w:space="708"/>
          <w:docGrid w:linePitch="360"/>
        </w:sectPr>
      </w:pPr>
    </w:p>
    <w:p w14:paraId="4982DD63" w14:textId="77777777" w:rsidR="004D7AC0" w:rsidRPr="00A81AFE" w:rsidRDefault="004D7AC0" w:rsidP="00D95E0E">
      <w:pPr>
        <w:rPr>
          <w:b/>
        </w:rPr>
      </w:pPr>
      <w:r>
        <w:rPr>
          <w:b/>
        </w:rPr>
        <w:lastRenderedPageBreak/>
        <w:t>Sisällys</w:t>
      </w:r>
    </w:p>
    <w:sdt>
      <w:sdtPr>
        <w:id w:val="-17007477"/>
        <w:docPartObj>
          <w:docPartGallery w:val="Table of Contents"/>
          <w:docPartUnique/>
        </w:docPartObj>
      </w:sdtPr>
      <w:sdtEndPr>
        <w:rPr>
          <w:b/>
          <w:bCs/>
          <w:noProof/>
        </w:rPr>
      </w:sdtEndPr>
      <w:sdtContent>
        <w:p w14:paraId="4982DD64" w14:textId="77777777" w:rsidR="004D7AC0" w:rsidRPr="00A81AFE" w:rsidRDefault="004D7AC0" w:rsidP="00D95E0E"/>
        <w:p w14:paraId="2B0E285F" w14:textId="3B2759F1" w:rsidR="00AD0284" w:rsidRDefault="004D7AC0" w:rsidP="00D95E0E">
          <w:pPr>
            <w:pStyle w:val="TOC1"/>
            <w:tabs>
              <w:tab w:val="left" w:pos="440"/>
              <w:tab w:val="right" w:leader="dot" w:pos="9063"/>
            </w:tabs>
            <w:rPr>
              <w:rFonts w:asciiTheme="minorHAnsi" w:eastAsiaTheme="minorEastAsia" w:hAnsiTheme="minorHAnsi" w:cstheme="minorBidi"/>
              <w:noProof/>
              <w:lang w:eastAsia="fi-FI"/>
            </w:rPr>
          </w:pPr>
          <w:r>
            <w:fldChar w:fldCharType="begin"/>
          </w:r>
          <w:r>
            <w:instrText xml:space="preserve"> TOC \o "1-3" \h \z \u </w:instrText>
          </w:r>
          <w:r>
            <w:fldChar w:fldCharType="separate"/>
          </w:r>
          <w:hyperlink w:anchor="_Toc210812674" w:history="1">
            <w:r w:rsidR="00AD0284" w:rsidRPr="00240605">
              <w:rPr>
                <w:rStyle w:val="Hyperlink"/>
                <w:b/>
                <w:noProof/>
              </w:rPr>
              <w:t>1.</w:t>
            </w:r>
            <w:r w:rsidR="00AD0284">
              <w:rPr>
                <w:rFonts w:asciiTheme="minorHAnsi" w:eastAsiaTheme="minorEastAsia" w:hAnsiTheme="minorHAnsi" w:cstheme="minorBidi"/>
                <w:noProof/>
                <w:lang w:eastAsia="fi-FI"/>
              </w:rPr>
              <w:tab/>
            </w:r>
            <w:r w:rsidR="00AD0284" w:rsidRPr="00240605">
              <w:rPr>
                <w:rStyle w:val="Hyperlink"/>
                <w:b/>
                <w:noProof/>
              </w:rPr>
              <w:t>PÄÄTÖSLAUSELMA</w:t>
            </w:r>
            <w:r w:rsidR="00AD0284">
              <w:rPr>
                <w:noProof/>
                <w:webHidden/>
              </w:rPr>
              <w:tab/>
            </w:r>
            <w:r w:rsidR="00AD0284">
              <w:rPr>
                <w:noProof/>
                <w:webHidden/>
              </w:rPr>
              <w:fldChar w:fldCharType="begin"/>
            </w:r>
            <w:r w:rsidR="00AD0284">
              <w:rPr>
                <w:noProof/>
                <w:webHidden/>
              </w:rPr>
              <w:instrText xml:space="preserve"> PAGEREF _Toc210812674 \h </w:instrText>
            </w:r>
            <w:r w:rsidR="00AD0284">
              <w:rPr>
                <w:noProof/>
                <w:webHidden/>
              </w:rPr>
            </w:r>
            <w:r w:rsidR="00AD0284">
              <w:rPr>
                <w:noProof/>
                <w:webHidden/>
              </w:rPr>
              <w:fldChar w:fldCharType="separate"/>
            </w:r>
            <w:r w:rsidR="0061775F">
              <w:rPr>
                <w:noProof/>
                <w:webHidden/>
              </w:rPr>
              <w:t>3</w:t>
            </w:r>
            <w:r w:rsidR="00AD0284">
              <w:rPr>
                <w:noProof/>
                <w:webHidden/>
              </w:rPr>
              <w:fldChar w:fldCharType="end"/>
            </w:r>
          </w:hyperlink>
        </w:p>
        <w:p w14:paraId="592F98E2" w14:textId="5F0607C9"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675" w:history="1">
            <w:r w:rsidR="00AD0284" w:rsidRPr="00240605">
              <w:rPr>
                <w:rStyle w:val="Hyperlink"/>
                <w:b/>
                <w:noProof/>
              </w:rPr>
              <w:t>2.</w:t>
            </w:r>
            <w:r w:rsidR="00AD0284">
              <w:rPr>
                <w:rFonts w:asciiTheme="minorHAnsi" w:eastAsiaTheme="minorEastAsia" w:hAnsiTheme="minorHAnsi" w:cstheme="minorBidi"/>
                <w:noProof/>
                <w:lang w:eastAsia="fi-FI"/>
              </w:rPr>
              <w:tab/>
            </w:r>
            <w:r w:rsidR="00AD0284" w:rsidRPr="00240605">
              <w:rPr>
                <w:rStyle w:val="Hyperlink"/>
                <w:b/>
                <w:noProof/>
              </w:rPr>
              <w:t>TALOUS- JA RAHALIITTO, TALOUDELLINEN JA SOSIAALINEN YHTEENKUULUVUUS</w:t>
            </w:r>
            <w:r w:rsidR="00AD0284">
              <w:rPr>
                <w:noProof/>
                <w:webHidden/>
              </w:rPr>
              <w:tab/>
            </w:r>
            <w:r w:rsidR="00AD0284">
              <w:rPr>
                <w:noProof/>
                <w:webHidden/>
              </w:rPr>
              <w:fldChar w:fldCharType="begin"/>
            </w:r>
            <w:r w:rsidR="00AD0284">
              <w:rPr>
                <w:noProof/>
                <w:webHidden/>
              </w:rPr>
              <w:instrText xml:space="preserve"> PAGEREF _Toc210812675 \h </w:instrText>
            </w:r>
            <w:r w:rsidR="00AD0284">
              <w:rPr>
                <w:noProof/>
                <w:webHidden/>
              </w:rPr>
            </w:r>
            <w:r w:rsidR="00AD0284">
              <w:rPr>
                <w:noProof/>
                <w:webHidden/>
              </w:rPr>
              <w:fldChar w:fldCharType="separate"/>
            </w:r>
            <w:r>
              <w:rPr>
                <w:noProof/>
                <w:webHidden/>
              </w:rPr>
              <w:t>5</w:t>
            </w:r>
            <w:r w:rsidR="00AD0284">
              <w:rPr>
                <w:noProof/>
                <w:webHidden/>
              </w:rPr>
              <w:fldChar w:fldCharType="end"/>
            </w:r>
          </w:hyperlink>
        </w:p>
        <w:p w14:paraId="0E8BA149" w14:textId="5F597877"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703" w:history="1">
            <w:r w:rsidR="00AD0284" w:rsidRPr="00240605">
              <w:rPr>
                <w:rStyle w:val="Hyperlink"/>
                <w:b/>
                <w:noProof/>
              </w:rPr>
              <w:t>3.</w:t>
            </w:r>
            <w:r w:rsidR="00AD0284">
              <w:rPr>
                <w:rFonts w:asciiTheme="minorHAnsi" w:eastAsiaTheme="minorEastAsia" w:hAnsiTheme="minorHAnsi" w:cstheme="minorBidi"/>
                <w:noProof/>
                <w:lang w:eastAsia="fi-FI"/>
              </w:rPr>
              <w:tab/>
            </w:r>
            <w:r w:rsidR="00AD0284" w:rsidRPr="00240605">
              <w:rPr>
                <w:rStyle w:val="Hyperlink"/>
                <w:b/>
                <w:noProof/>
              </w:rPr>
              <w:t>TYÖLLISYYS, SOSIAALIASIAT JA KANSALAISUUS</w:t>
            </w:r>
            <w:r w:rsidR="00AD0284">
              <w:rPr>
                <w:noProof/>
                <w:webHidden/>
              </w:rPr>
              <w:tab/>
            </w:r>
            <w:r w:rsidR="00AD0284">
              <w:rPr>
                <w:noProof/>
                <w:webHidden/>
              </w:rPr>
              <w:fldChar w:fldCharType="begin"/>
            </w:r>
            <w:r w:rsidR="00AD0284">
              <w:rPr>
                <w:noProof/>
                <w:webHidden/>
              </w:rPr>
              <w:instrText xml:space="preserve"> PAGEREF _Toc210812703 \h </w:instrText>
            </w:r>
            <w:r w:rsidR="00AD0284">
              <w:rPr>
                <w:noProof/>
                <w:webHidden/>
              </w:rPr>
            </w:r>
            <w:r w:rsidR="00AD0284">
              <w:rPr>
                <w:noProof/>
                <w:webHidden/>
              </w:rPr>
              <w:fldChar w:fldCharType="separate"/>
            </w:r>
            <w:r>
              <w:rPr>
                <w:noProof/>
                <w:webHidden/>
              </w:rPr>
              <w:t>12</w:t>
            </w:r>
            <w:r w:rsidR="00AD0284">
              <w:rPr>
                <w:noProof/>
                <w:webHidden/>
              </w:rPr>
              <w:fldChar w:fldCharType="end"/>
            </w:r>
          </w:hyperlink>
        </w:p>
        <w:p w14:paraId="7ED560E4" w14:textId="15EA2645"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730" w:history="1">
            <w:r w:rsidR="00AD0284" w:rsidRPr="00240605">
              <w:rPr>
                <w:rStyle w:val="Hyperlink"/>
                <w:b/>
                <w:noProof/>
              </w:rPr>
              <w:t>4.</w:t>
            </w:r>
            <w:r w:rsidR="00AD0284">
              <w:rPr>
                <w:rFonts w:asciiTheme="minorHAnsi" w:eastAsiaTheme="minorEastAsia" w:hAnsiTheme="minorHAnsi" w:cstheme="minorBidi"/>
                <w:noProof/>
                <w:lang w:eastAsia="fi-FI"/>
              </w:rPr>
              <w:tab/>
            </w:r>
            <w:r w:rsidR="00AD0284" w:rsidRPr="00240605">
              <w:rPr>
                <w:rStyle w:val="Hyperlink"/>
                <w:b/>
                <w:noProof/>
              </w:rPr>
              <w:t>LIIKENNE, ENERGIA, PERUSRAKENTEET, TIETOYHTEISKUNTA</w:t>
            </w:r>
            <w:r w:rsidR="00AD0284">
              <w:rPr>
                <w:noProof/>
                <w:webHidden/>
              </w:rPr>
              <w:tab/>
            </w:r>
            <w:r w:rsidR="00AD0284">
              <w:rPr>
                <w:noProof/>
                <w:webHidden/>
              </w:rPr>
              <w:fldChar w:fldCharType="begin"/>
            </w:r>
            <w:r w:rsidR="00AD0284">
              <w:rPr>
                <w:noProof/>
                <w:webHidden/>
              </w:rPr>
              <w:instrText xml:space="preserve"> PAGEREF _Toc210812730 \h </w:instrText>
            </w:r>
            <w:r w:rsidR="00AD0284">
              <w:rPr>
                <w:noProof/>
                <w:webHidden/>
              </w:rPr>
            </w:r>
            <w:r w:rsidR="00AD0284">
              <w:rPr>
                <w:noProof/>
                <w:webHidden/>
              </w:rPr>
              <w:fldChar w:fldCharType="separate"/>
            </w:r>
            <w:r>
              <w:rPr>
                <w:noProof/>
                <w:webHidden/>
              </w:rPr>
              <w:t>22</w:t>
            </w:r>
            <w:r w:rsidR="00AD0284">
              <w:rPr>
                <w:noProof/>
                <w:webHidden/>
              </w:rPr>
              <w:fldChar w:fldCharType="end"/>
            </w:r>
          </w:hyperlink>
        </w:p>
        <w:p w14:paraId="5AF3094E" w14:textId="45BB791C"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731" w:history="1">
            <w:r w:rsidR="00AD0284" w:rsidRPr="00240605">
              <w:rPr>
                <w:rStyle w:val="Hyperlink"/>
                <w:b/>
                <w:noProof/>
              </w:rPr>
              <w:t>5.</w:t>
            </w:r>
            <w:r w:rsidR="00AD0284">
              <w:rPr>
                <w:rFonts w:asciiTheme="minorHAnsi" w:eastAsiaTheme="minorEastAsia" w:hAnsiTheme="minorHAnsi" w:cstheme="minorBidi"/>
                <w:noProof/>
                <w:lang w:eastAsia="fi-FI"/>
              </w:rPr>
              <w:tab/>
            </w:r>
            <w:r w:rsidR="00AD0284" w:rsidRPr="00240605">
              <w:rPr>
                <w:rStyle w:val="Hyperlink"/>
                <w:b/>
                <w:noProof/>
              </w:rPr>
              <w:t>SISÄMARKKINAT, TUOTANTO JA KULUTUS</w:t>
            </w:r>
            <w:r w:rsidR="00AD0284">
              <w:rPr>
                <w:noProof/>
                <w:webHidden/>
              </w:rPr>
              <w:tab/>
            </w:r>
            <w:r w:rsidR="00AD0284">
              <w:rPr>
                <w:noProof/>
                <w:webHidden/>
              </w:rPr>
              <w:fldChar w:fldCharType="begin"/>
            </w:r>
            <w:r w:rsidR="00AD0284">
              <w:rPr>
                <w:noProof/>
                <w:webHidden/>
              </w:rPr>
              <w:instrText xml:space="preserve"> PAGEREF _Toc210812731 \h </w:instrText>
            </w:r>
            <w:r w:rsidR="00AD0284">
              <w:rPr>
                <w:noProof/>
                <w:webHidden/>
              </w:rPr>
            </w:r>
            <w:r w:rsidR="00AD0284">
              <w:rPr>
                <w:noProof/>
                <w:webHidden/>
              </w:rPr>
              <w:fldChar w:fldCharType="separate"/>
            </w:r>
            <w:r>
              <w:rPr>
                <w:noProof/>
                <w:webHidden/>
              </w:rPr>
              <w:t>27</w:t>
            </w:r>
            <w:r w:rsidR="00AD0284">
              <w:rPr>
                <w:noProof/>
                <w:webHidden/>
              </w:rPr>
              <w:fldChar w:fldCharType="end"/>
            </w:r>
          </w:hyperlink>
        </w:p>
        <w:p w14:paraId="38B8E68E" w14:textId="6C5A12A8"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732" w:history="1">
            <w:r w:rsidR="00AD0284" w:rsidRPr="00240605">
              <w:rPr>
                <w:rStyle w:val="Hyperlink"/>
                <w:b/>
                <w:noProof/>
              </w:rPr>
              <w:t>6.</w:t>
            </w:r>
            <w:r w:rsidR="00AD0284">
              <w:rPr>
                <w:rFonts w:asciiTheme="minorHAnsi" w:eastAsiaTheme="minorEastAsia" w:hAnsiTheme="minorHAnsi" w:cstheme="minorBidi"/>
                <w:noProof/>
                <w:lang w:eastAsia="fi-FI"/>
              </w:rPr>
              <w:tab/>
            </w:r>
            <w:r w:rsidR="00AD0284" w:rsidRPr="00240605">
              <w:rPr>
                <w:rStyle w:val="Hyperlink"/>
                <w:b/>
                <w:noProof/>
              </w:rPr>
              <w:t>MAATALOUS, MAASEUDUN KEHITTÄMINEN JA YMPÄRISTÖ</w:t>
            </w:r>
            <w:r w:rsidR="00AD0284">
              <w:rPr>
                <w:noProof/>
                <w:webHidden/>
              </w:rPr>
              <w:tab/>
            </w:r>
            <w:r w:rsidR="00AD0284">
              <w:rPr>
                <w:noProof/>
                <w:webHidden/>
              </w:rPr>
              <w:fldChar w:fldCharType="begin"/>
            </w:r>
            <w:r w:rsidR="00AD0284">
              <w:rPr>
                <w:noProof/>
                <w:webHidden/>
              </w:rPr>
              <w:instrText xml:space="preserve"> PAGEREF _Toc210812732 \h </w:instrText>
            </w:r>
            <w:r w:rsidR="00AD0284">
              <w:rPr>
                <w:noProof/>
                <w:webHidden/>
              </w:rPr>
            </w:r>
            <w:r w:rsidR="00AD0284">
              <w:rPr>
                <w:noProof/>
                <w:webHidden/>
              </w:rPr>
              <w:fldChar w:fldCharType="separate"/>
            </w:r>
            <w:r>
              <w:rPr>
                <w:noProof/>
                <w:webHidden/>
              </w:rPr>
              <w:t>36</w:t>
            </w:r>
            <w:r w:rsidR="00AD0284">
              <w:rPr>
                <w:noProof/>
                <w:webHidden/>
              </w:rPr>
              <w:fldChar w:fldCharType="end"/>
            </w:r>
          </w:hyperlink>
        </w:p>
        <w:p w14:paraId="4EED3339" w14:textId="15B37AEC"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762" w:history="1">
            <w:r w:rsidR="00AD0284" w:rsidRPr="00240605">
              <w:rPr>
                <w:rStyle w:val="Hyperlink"/>
                <w:b/>
                <w:noProof/>
              </w:rPr>
              <w:t>7.</w:t>
            </w:r>
            <w:r w:rsidR="00AD0284">
              <w:rPr>
                <w:rFonts w:asciiTheme="minorHAnsi" w:eastAsiaTheme="minorEastAsia" w:hAnsiTheme="minorHAnsi" w:cstheme="minorBidi"/>
                <w:noProof/>
                <w:lang w:eastAsia="fi-FI"/>
              </w:rPr>
              <w:tab/>
            </w:r>
            <w:r w:rsidR="00AD0284" w:rsidRPr="00240605">
              <w:rPr>
                <w:rStyle w:val="Hyperlink"/>
                <w:b/>
                <w:noProof/>
              </w:rPr>
              <w:t>ULKOSUHTEET</w:t>
            </w:r>
            <w:r w:rsidR="00AD0284">
              <w:rPr>
                <w:noProof/>
                <w:webHidden/>
              </w:rPr>
              <w:tab/>
            </w:r>
            <w:r w:rsidR="00AD0284">
              <w:rPr>
                <w:noProof/>
                <w:webHidden/>
              </w:rPr>
              <w:fldChar w:fldCharType="begin"/>
            </w:r>
            <w:r w:rsidR="00AD0284">
              <w:rPr>
                <w:noProof/>
                <w:webHidden/>
              </w:rPr>
              <w:instrText xml:space="preserve"> PAGEREF _Toc210812762 \h </w:instrText>
            </w:r>
            <w:r w:rsidR="00AD0284">
              <w:rPr>
                <w:noProof/>
                <w:webHidden/>
              </w:rPr>
            </w:r>
            <w:r w:rsidR="00AD0284">
              <w:rPr>
                <w:noProof/>
                <w:webHidden/>
              </w:rPr>
              <w:fldChar w:fldCharType="separate"/>
            </w:r>
            <w:r>
              <w:rPr>
                <w:noProof/>
                <w:webHidden/>
              </w:rPr>
              <w:t>42</w:t>
            </w:r>
            <w:r w:rsidR="00AD0284">
              <w:rPr>
                <w:noProof/>
                <w:webHidden/>
              </w:rPr>
              <w:fldChar w:fldCharType="end"/>
            </w:r>
          </w:hyperlink>
        </w:p>
        <w:p w14:paraId="7CD2E792" w14:textId="5621E78D"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763" w:history="1">
            <w:r w:rsidR="00AD0284" w:rsidRPr="00240605">
              <w:rPr>
                <w:rStyle w:val="Hyperlink"/>
                <w:b/>
                <w:noProof/>
              </w:rPr>
              <w:t>8.</w:t>
            </w:r>
            <w:r w:rsidR="00AD0284">
              <w:rPr>
                <w:rFonts w:asciiTheme="minorHAnsi" w:eastAsiaTheme="minorEastAsia" w:hAnsiTheme="minorHAnsi" w:cstheme="minorBidi"/>
                <w:noProof/>
                <w:lang w:eastAsia="fi-FI"/>
              </w:rPr>
              <w:tab/>
            </w:r>
            <w:r w:rsidR="00AD0284" w:rsidRPr="00240605">
              <w:rPr>
                <w:rStyle w:val="Hyperlink"/>
                <w:b/>
                <w:noProof/>
              </w:rPr>
              <w:t>NEUVOA-ANTAVA VALIOKUNTA ”TEOLLISUUDEN MUUTOKSET”</w:t>
            </w:r>
            <w:r w:rsidR="00AD0284">
              <w:rPr>
                <w:noProof/>
                <w:webHidden/>
              </w:rPr>
              <w:tab/>
            </w:r>
            <w:r w:rsidR="00AD0284">
              <w:rPr>
                <w:noProof/>
                <w:webHidden/>
              </w:rPr>
              <w:fldChar w:fldCharType="begin"/>
            </w:r>
            <w:r w:rsidR="00AD0284">
              <w:rPr>
                <w:noProof/>
                <w:webHidden/>
              </w:rPr>
              <w:instrText xml:space="preserve"> PAGEREF _Toc210812763 \h </w:instrText>
            </w:r>
            <w:r w:rsidR="00AD0284">
              <w:rPr>
                <w:noProof/>
                <w:webHidden/>
              </w:rPr>
            </w:r>
            <w:r w:rsidR="00AD0284">
              <w:rPr>
                <w:noProof/>
                <w:webHidden/>
              </w:rPr>
              <w:fldChar w:fldCharType="separate"/>
            </w:r>
            <w:r>
              <w:rPr>
                <w:noProof/>
                <w:webHidden/>
              </w:rPr>
              <w:t>46</w:t>
            </w:r>
            <w:r w:rsidR="00AD0284">
              <w:rPr>
                <w:noProof/>
                <w:webHidden/>
              </w:rPr>
              <w:fldChar w:fldCharType="end"/>
            </w:r>
          </w:hyperlink>
        </w:p>
        <w:p w14:paraId="1DCF39A8" w14:textId="15DE9EE2" w:rsidR="00AD0284" w:rsidRDefault="0061775F" w:rsidP="00D95E0E">
          <w:pPr>
            <w:pStyle w:val="TOC1"/>
            <w:tabs>
              <w:tab w:val="left" w:pos="440"/>
              <w:tab w:val="right" w:leader="dot" w:pos="9063"/>
            </w:tabs>
            <w:rPr>
              <w:rFonts w:asciiTheme="minorHAnsi" w:eastAsiaTheme="minorEastAsia" w:hAnsiTheme="minorHAnsi" w:cstheme="minorBidi"/>
              <w:noProof/>
              <w:lang w:eastAsia="fi-FI"/>
            </w:rPr>
          </w:pPr>
          <w:hyperlink w:anchor="_Toc210812772" w:history="1">
            <w:r w:rsidR="00AD0284" w:rsidRPr="00240605">
              <w:rPr>
                <w:rStyle w:val="Hyperlink"/>
                <w:b/>
                <w:noProof/>
              </w:rPr>
              <w:t>9.</w:t>
            </w:r>
            <w:r w:rsidR="00AD0284">
              <w:rPr>
                <w:rFonts w:asciiTheme="minorHAnsi" w:eastAsiaTheme="minorEastAsia" w:hAnsiTheme="minorHAnsi" w:cstheme="minorBidi"/>
                <w:noProof/>
                <w:lang w:eastAsia="fi-FI"/>
              </w:rPr>
              <w:tab/>
            </w:r>
            <w:r w:rsidR="00AD0284" w:rsidRPr="00240605">
              <w:rPr>
                <w:rStyle w:val="Hyperlink"/>
                <w:b/>
                <w:noProof/>
              </w:rPr>
              <w:t>EUROOPAN VARAUTUMISUNIONISTRATEGIA</w:t>
            </w:r>
            <w:r w:rsidR="00AD0284">
              <w:rPr>
                <w:noProof/>
                <w:webHidden/>
              </w:rPr>
              <w:tab/>
            </w:r>
            <w:r w:rsidR="00AD0284">
              <w:rPr>
                <w:noProof/>
                <w:webHidden/>
              </w:rPr>
              <w:fldChar w:fldCharType="begin"/>
            </w:r>
            <w:r w:rsidR="00AD0284">
              <w:rPr>
                <w:noProof/>
                <w:webHidden/>
              </w:rPr>
              <w:instrText xml:space="preserve"> PAGEREF _Toc210812772 \h </w:instrText>
            </w:r>
            <w:r w:rsidR="00AD0284">
              <w:rPr>
                <w:noProof/>
                <w:webHidden/>
              </w:rPr>
            </w:r>
            <w:r w:rsidR="00AD0284">
              <w:rPr>
                <w:noProof/>
                <w:webHidden/>
              </w:rPr>
              <w:fldChar w:fldCharType="separate"/>
            </w:r>
            <w:r>
              <w:rPr>
                <w:noProof/>
                <w:webHidden/>
              </w:rPr>
              <w:t>51</w:t>
            </w:r>
            <w:r w:rsidR="00AD0284">
              <w:rPr>
                <w:noProof/>
                <w:webHidden/>
              </w:rPr>
              <w:fldChar w:fldCharType="end"/>
            </w:r>
          </w:hyperlink>
        </w:p>
        <w:p w14:paraId="4982DD6A" w14:textId="31E393EF" w:rsidR="004D7AC0" w:rsidRDefault="004D7AC0" w:rsidP="00D95E0E">
          <w:r>
            <w:rPr>
              <w:b/>
            </w:rPr>
            <w:fldChar w:fldCharType="end"/>
          </w:r>
        </w:p>
      </w:sdtContent>
    </w:sdt>
    <w:p w14:paraId="4982DD6B" w14:textId="77777777" w:rsidR="004D7AC0" w:rsidRDefault="004D7AC0" w:rsidP="00D95E0E"/>
    <w:p w14:paraId="4982DD6C" w14:textId="77777777" w:rsidR="004D7AC0" w:rsidRDefault="004D7AC0" w:rsidP="00D95E0E">
      <w:pPr>
        <w:spacing w:after="160"/>
        <w:jc w:val="left"/>
      </w:pPr>
      <w:r>
        <w:br w:type="page"/>
      </w:r>
    </w:p>
    <w:p w14:paraId="4982DD6D" w14:textId="3D041B04" w:rsidR="004D7AC0" w:rsidRDefault="006C481E" w:rsidP="00D95E0E">
      <w:pPr>
        <w:pStyle w:val="Heading1"/>
        <w:rPr>
          <w:b/>
        </w:rPr>
      </w:pPr>
      <w:bookmarkStart w:id="0" w:name="_Toc210812674"/>
      <w:r>
        <w:rPr>
          <w:b/>
        </w:rPr>
        <w:lastRenderedPageBreak/>
        <w:t>PÄÄTÖSLAUSELMA</w:t>
      </w:r>
      <w:bookmarkEnd w:id="0"/>
    </w:p>
    <w:p w14:paraId="4982DD6E" w14:textId="77777777" w:rsidR="004D7AC0" w:rsidRDefault="004D7AC0" w:rsidP="00D95E0E"/>
    <w:p w14:paraId="6F900875" w14:textId="77777777" w:rsidR="0080664A" w:rsidRDefault="0080664A" w:rsidP="00D95E0E">
      <w:pPr>
        <w:numPr>
          <w:ilvl w:val="0"/>
          <w:numId w:val="2"/>
        </w:numPr>
        <w:overflowPunct w:val="0"/>
        <w:autoSpaceDE w:val="0"/>
        <w:autoSpaceDN w:val="0"/>
        <w:adjustRightInd w:val="0"/>
        <w:ind w:left="567" w:hanging="567"/>
        <w:rPr>
          <w:b/>
          <w:bCs/>
          <w:i/>
          <w:iCs/>
          <w:sz w:val="28"/>
          <w:szCs w:val="28"/>
        </w:rPr>
      </w:pPr>
      <w:r>
        <w:rPr>
          <w:b/>
          <w:i/>
          <w:sz w:val="28"/>
        </w:rPr>
        <w:t xml:space="preserve">Päätöslauselma </w:t>
      </w:r>
      <w:r>
        <w:rPr>
          <w:b/>
          <w:sz w:val="28"/>
        </w:rPr>
        <w:t xml:space="preserve">– </w:t>
      </w:r>
      <w:hyperlink r:id="rId15" w:history="1">
        <w:r>
          <w:rPr>
            <w:rStyle w:val="Hyperlink"/>
            <w:b/>
            <w:i/>
            <w:sz w:val="28"/>
          </w:rPr>
          <w:t>EU:n arvojen puolustaminen ja sen tulevaisuuden turvaaminen uuden geopoliittisen järjestyksen yhteydessä</w:t>
        </w:r>
      </w:hyperlink>
    </w:p>
    <w:p w14:paraId="03A17176" w14:textId="77777777" w:rsidR="0080664A" w:rsidRDefault="0080664A" w:rsidP="00D95E0E">
      <w:pPr>
        <w:ind w:left="266"/>
        <w:rPr>
          <w:bCs/>
          <w:lang w:val="en-IE"/>
        </w:rPr>
      </w:pPr>
    </w:p>
    <w:tbl>
      <w:tblPr>
        <w:tblW w:w="5000" w:type="pct"/>
        <w:tblLook w:val="04A0" w:firstRow="1" w:lastRow="0" w:firstColumn="1" w:lastColumn="0" w:noHBand="0" w:noVBand="1"/>
      </w:tblPr>
      <w:tblGrid>
        <w:gridCol w:w="1983"/>
        <w:gridCol w:w="7090"/>
      </w:tblGrid>
      <w:tr w:rsidR="0080664A" w14:paraId="236DF52A" w14:textId="77777777" w:rsidTr="0080664A">
        <w:tc>
          <w:tcPr>
            <w:tcW w:w="1093" w:type="pct"/>
            <w:hideMark/>
          </w:tcPr>
          <w:p w14:paraId="638A6DD8" w14:textId="77777777" w:rsidR="0080664A" w:rsidRDefault="0080664A" w:rsidP="00D95E0E">
            <w:pPr>
              <w:tabs>
                <w:tab w:val="center" w:pos="284"/>
              </w:tabs>
              <w:ind w:left="266" w:hanging="266"/>
              <w:rPr>
                <w:b/>
              </w:rPr>
            </w:pPr>
            <w:r>
              <w:rPr>
                <w:b/>
              </w:rPr>
              <w:t>Esittelijät</w:t>
            </w:r>
          </w:p>
        </w:tc>
        <w:tc>
          <w:tcPr>
            <w:tcW w:w="3907" w:type="pct"/>
            <w:hideMark/>
          </w:tcPr>
          <w:p w14:paraId="50A4D73A" w14:textId="77777777" w:rsidR="0080664A" w:rsidRDefault="0080664A" w:rsidP="00D95E0E">
            <w:pPr>
              <w:jc w:val="left"/>
              <w:rPr>
                <w:sz w:val="24"/>
                <w:szCs w:val="20"/>
              </w:rPr>
            </w:pPr>
            <w:r>
              <w:t>Elena-Alexandra CALISTRU (kansalaisyhteiskunnan organisaatiot – RO)</w:t>
            </w:r>
          </w:p>
          <w:p w14:paraId="5EE1AB27" w14:textId="77777777" w:rsidR="0080664A" w:rsidRDefault="0080664A" w:rsidP="00D95E0E">
            <w:pPr>
              <w:jc w:val="left"/>
            </w:pPr>
            <w:proofErr w:type="spellStart"/>
            <w:r>
              <w:t>Antje</w:t>
            </w:r>
            <w:proofErr w:type="spellEnd"/>
            <w:r>
              <w:t xml:space="preserve"> GERSTEIN (työnantajat – DE)</w:t>
            </w:r>
          </w:p>
          <w:p w14:paraId="126FE444" w14:textId="77777777" w:rsidR="0080664A" w:rsidRDefault="0080664A" w:rsidP="00D95E0E">
            <w:pPr>
              <w:jc w:val="left"/>
              <w:rPr>
                <w:sz w:val="24"/>
              </w:rPr>
            </w:pPr>
            <w:r>
              <w:t>Luca JAHIER (kansalaisyhteiskunnan organisaatiot – IT)</w:t>
            </w:r>
          </w:p>
          <w:p w14:paraId="6994CA29" w14:textId="77777777" w:rsidR="0080664A" w:rsidRDefault="0080664A" w:rsidP="00D95E0E">
            <w:pPr>
              <w:jc w:val="left"/>
              <w:rPr>
                <w:sz w:val="24"/>
              </w:rPr>
            </w:pPr>
            <w:proofErr w:type="spellStart"/>
            <w:r>
              <w:t>Winand</w:t>
            </w:r>
            <w:proofErr w:type="spellEnd"/>
            <w:r>
              <w:t xml:space="preserve"> QUAEDVLIEG (työnantajat – NL)</w:t>
            </w:r>
          </w:p>
          <w:p w14:paraId="0C1C6F59" w14:textId="77777777" w:rsidR="0080664A" w:rsidRDefault="0080664A" w:rsidP="00D95E0E">
            <w:pPr>
              <w:jc w:val="left"/>
              <w:rPr>
                <w:sz w:val="24"/>
              </w:rPr>
            </w:pPr>
            <w:r>
              <w:t>Sophia REISECKER (työntekijät – AT)</w:t>
            </w:r>
          </w:p>
          <w:p w14:paraId="39E864C0" w14:textId="77777777" w:rsidR="0080664A" w:rsidRDefault="0080664A" w:rsidP="00D95E0E">
            <w:pPr>
              <w:tabs>
                <w:tab w:val="center" w:pos="284"/>
              </w:tabs>
              <w:ind w:left="266" w:hanging="266"/>
            </w:pPr>
            <w:r>
              <w:t>Peter SCHMIDT (työntekijät – DE)</w:t>
            </w:r>
          </w:p>
        </w:tc>
      </w:tr>
      <w:tr w:rsidR="0080664A" w14:paraId="0C5889D0" w14:textId="77777777" w:rsidTr="0080664A">
        <w:tc>
          <w:tcPr>
            <w:tcW w:w="1093" w:type="pct"/>
            <w:hideMark/>
          </w:tcPr>
          <w:p w14:paraId="4C6316D0" w14:textId="77777777" w:rsidR="0080664A" w:rsidRDefault="0080664A" w:rsidP="00D95E0E">
            <w:pPr>
              <w:tabs>
                <w:tab w:val="center" w:pos="284"/>
              </w:tabs>
              <w:ind w:left="266" w:hanging="266"/>
              <w:rPr>
                <w:b/>
              </w:rPr>
            </w:pPr>
            <w:r>
              <w:rPr>
                <w:b/>
              </w:rPr>
              <w:t>Viiteasiakirja</w:t>
            </w:r>
          </w:p>
        </w:tc>
        <w:tc>
          <w:tcPr>
            <w:tcW w:w="3907" w:type="pct"/>
            <w:hideMark/>
          </w:tcPr>
          <w:p w14:paraId="106EF924" w14:textId="77777777" w:rsidR="0080664A" w:rsidRDefault="0080664A" w:rsidP="00D95E0E">
            <w:pPr>
              <w:tabs>
                <w:tab w:val="center" w:pos="284"/>
              </w:tabs>
              <w:ind w:left="266" w:hanging="266"/>
            </w:pPr>
            <w:r>
              <w:t>EESC-2025-02268-00-00-RES</w:t>
            </w:r>
          </w:p>
        </w:tc>
      </w:tr>
    </w:tbl>
    <w:p w14:paraId="3BAB98BA" w14:textId="77777777" w:rsidR="0080664A" w:rsidRDefault="0080664A" w:rsidP="00D95E0E">
      <w:pPr>
        <w:keepNext/>
        <w:keepLines/>
        <w:tabs>
          <w:tab w:val="center" w:pos="284"/>
        </w:tabs>
        <w:ind w:left="266" w:hanging="266"/>
        <w:rPr>
          <w:b/>
          <w:lang w:val="en-IE"/>
        </w:rPr>
      </w:pPr>
    </w:p>
    <w:p w14:paraId="410ED8D5" w14:textId="77777777" w:rsidR="0080664A" w:rsidRDefault="0080664A" w:rsidP="00D95E0E">
      <w:pPr>
        <w:keepNext/>
        <w:keepLines/>
        <w:tabs>
          <w:tab w:val="center" w:pos="284"/>
        </w:tabs>
        <w:ind w:left="266" w:hanging="266"/>
        <w:rPr>
          <w:b/>
        </w:rPr>
      </w:pPr>
      <w:r>
        <w:rPr>
          <w:b/>
        </w:rPr>
        <w:t>Keskeiset kohdat</w:t>
      </w:r>
    </w:p>
    <w:p w14:paraId="71A1453C" w14:textId="77777777" w:rsidR="0080664A" w:rsidRDefault="0080664A" w:rsidP="00D95E0E">
      <w:pPr>
        <w:keepNext/>
        <w:keepLines/>
        <w:tabs>
          <w:tab w:val="center" w:pos="284"/>
        </w:tabs>
        <w:ind w:left="266" w:hanging="266"/>
        <w:rPr>
          <w:b/>
          <w:lang w:val="en-IE"/>
        </w:rPr>
      </w:pPr>
    </w:p>
    <w:p w14:paraId="52E9F12D" w14:textId="77777777" w:rsidR="0080664A" w:rsidRPr="006C481E" w:rsidRDefault="0080664A" w:rsidP="00D95E0E">
      <w:pPr>
        <w:rPr>
          <w:bCs/>
          <w:iCs/>
        </w:rPr>
      </w:pPr>
      <w:r w:rsidRPr="006C481E">
        <w:rPr>
          <w:bCs/>
        </w:rPr>
        <w:t>ETSK</w:t>
      </w:r>
    </w:p>
    <w:p w14:paraId="7C379342" w14:textId="77777777" w:rsidR="0080664A" w:rsidRDefault="0080664A" w:rsidP="00D95E0E">
      <w:pPr>
        <w:numPr>
          <w:ilvl w:val="0"/>
          <w:numId w:val="12"/>
        </w:numPr>
        <w:tabs>
          <w:tab w:val="clear" w:pos="720"/>
        </w:tabs>
        <w:overflowPunct w:val="0"/>
        <w:autoSpaceDE w:val="0"/>
        <w:autoSpaceDN w:val="0"/>
        <w:adjustRightInd w:val="0"/>
        <w:ind w:left="426"/>
        <w:rPr>
          <w:bCs/>
          <w:iCs/>
        </w:rPr>
      </w:pPr>
      <w:r>
        <w:t>korostaa, että Venäjän sota Ukrainaa vastaan ja muutokset Yhdysvaltojen hallinnossa ovat merkki uudesta geopoliittisesta todellisuudesta, jossa nationalismi ja autoritaarisuus ovat keskeisiä taustavoimia, sekä siitä, että maailmankaupan ja avointen markkinoiden aikakausi on jäämässä taakse.</w:t>
      </w:r>
    </w:p>
    <w:p w14:paraId="12B1091E" w14:textId="77777777" w:rsidR="0080664A" w:rsidRDefault="0080664A" w:rsidP="00D95E0E">
      <w:pPr>
        <w:numPr>
          <w:ilvl w:val="0"/>
          <w:numId w:val="12"/>
        </w:numPr>
        <w:tabs>
          <w:tab w:val="clear" w:pos="720"/>
        </w:tabs>
        <w:overflowPunct w:val="0"/>
        <w:autoSpaceDE w:val="0"/>
        <w:autoSpaceDN w:val="0"/>
        <w:adjustRightInd w:val="0"/>
        <w:ind w:left="426"/>
        <w:rPr>
          <w:bCs/>
          <w:iCs/>
        </w:rPr>
      </w:pPr>
      <w:r>
        <w:t>katsoo, että EU:n on muututtava turvallisuusunioniksi, saavutettava kestävä strateginen riippumattomuus ja vahvistettava maailmanlaajuista taloudellista kilpailukykyään. Samalla on huolehdittava sääntelyn yksinkertaistamisesta, lujitettava sosiaalista yhteenkuuluvuutta ja pidettävä huoli vaurauden oikeudenmukaisesta jakautumisesta.</w:t>
      </w:r>
    </w:p>
    <w:p w14:paraId="184B4E71" w14:textId="77777777" w:rsidR="0080664A" w:rsidRDefault="0080664A" w:rsidP="00D95E0E">
      <w:pPr>
        <w:numPr>
          <w:ilvl w:val="0"/>
          <w:numId w:val="12"/>
        </w:numPr>
        <w:tabs>
          <w:tab w:val="clear" w:pos="720"/>
        </w:tabs>
        <w:overflowPunct w:val="0"/>
        <w:autoSpaceDE w:val="0"/>
        <w:autoSpaceDN w:val="0"/>
        <w:adjustRightInd w:val="0"/>
        <w:ind w:left="426"/>
        <w:rPr>
          <w:bCs/>
          <w:iCs/>
        </w:rPr>
      </w:pPr>
      <w:r>
        <w:t>kehottaa jäsenvaltioita vahvistamaan sitoutumisensa monenvälisyyteen. Koska kauppaa on ryhdytty käyttämään yhä enemmän painostuskeinona – erityisesti sen jälkeen, kun Yhdysvallat otti tullit käyttöön huhtikuussa 2025, EU:n on huolehdittava selviytymiskyvystään ja pantava jälleen enemmän painoa kahdenvälisille kumppanuuksille.</w:t>
      </w:r>
    </w:p>
    <w:p w14:paraId="3B75C462" w14:textId="77777777" w:rsidR="0080664A" w:rsidRDefault="0080664A" w:rsidP="00D95E0E">
      <w:pPr>
        <w:numPr>
          <w:ilvl w:val="0"/>
          <w:numId w:val="12"/>
        </w:numPr>
        <w:tabs>
          <w:tab w:val="clear" w:pos="720"/>
        </w:tabs>
        <w:overflowPunct w:val="0"/>
        <w:autoSpaceDE w:val="0"/>
        <w:autoSpaceDN w:val="0"/>
        <w:adjustRightInd w:val="0"/>
        <w:ind w:left="426"/>
        <w:rPr>
          <w:bCs/>
          <w:iCs/>
        </w:rPr>
      </w:pPr>
      <w:r>
        <w:t>korostaa, että nämä haasteet eivät ole uusia vaan niiden ratkaisemisessa on pikemminkin kyse Euroopan unionin perustamiseen johtaneen tehtävän kiireellisestä jatkamisesta: EU sai alkunsa suurimmasta toisen maailmansodan jälkeen käynnistetystä rauhanhankkeesta, ja se voi toimia maailmanlaajuisena vakauden, oikeusvaltioperiaatteen ja demokratian tyyssijana. On olennaisen tärkeää toimia päättäväisesti ja suhtautua luottavaisesti Euroopan kehitykseen.</w:t>
      </w:r>
    </w:p>
    <w:p w14:paraId="6862E0ED" w14:textId="77777777" w:rsidR="0080664A" w:rsidRDefault="0080664A" w:rsidP="00D95E0E">
      <w:pPr>
        <w:numPr>
          <w:ilvl w:val="0"/>
          <w:numId w:val="12"/>
        </w:numPr>
        <w:tabs>
          <w:tab w:val="clear" w:pos="720"/>
        </w:tabs>
        <w:overflowPunct w:val="0"/>
        <w:autoSpaceDE w:val="0"/>
        <w:autoSpaceDN w:val="0"/>
        <w:adjustRightInd w:val="0"/>
        <w:ind w:left="426"/>
        <w:rPr>
          <w:bCs/>
          <w:iCs/>
        </w:rPr>
      </w:pPr>
      <w:r>
        <w:t>toteaa jälleen kerran, että EU:n vahvuus perustuu sen liberaaleihin demokraattisiin arvoihin – ihmisoikeuksiin, kansalaisvapauksiin, vastuulliseen hallintoon ja elinvoimaiseen kansalaisyhteiskuntaan – ja että näillä on jatkossakin oltava keskeinen asema EU suhteissa muuhun maailmaan.</w:t>
      </w:r>
    </w:p>
    <w:p w14:paraId="42808498" w14:textId="77777777" w:rsidR="0080664A" w:rsidRDefault="0080664A" w:rsidP="00D95E0E">
      <w:pPr>
        <w:numPr>
          <w:ilvl w:val="0"/>
          <w:numId w:val="12"/>
        </w:numPr>
        <w:tabs>
          <w:tab w:val="clear" w:pos="720"/>
        </w:tabs>
        <w:overflowPunct w:val="0"/>
        <w:autoSpaceDE w:val="0"/>
        <w:autoSpaceDN w:val="0"/>
        <w:adjustRightInd w:val="0"/>
        <w:ind w:left="426"/>
        <w:rPr>
          <w:bCs/>
          <w:iCs/>
        </w:rPr>
      </w:pPr>
      <w:r>
        <w:t>korostaa, että kansalaisyhteiskunnalla on ratkaiseva merkitys. ETSK sitoutuu toimimaan valvojan ja välittäjän roolissa ja huolehtimaan siitä, että EU:n toimielimet noudattavat demokratian periaatteita myös toimiessaan uuden geopoliittisen järjestyksen puitteissa.</w:t>
      </w:r>
    </w:p>
    <w:p w14:paraId="57811841" w14:textId="77777777" w:rsidR="0080664A" w:rsidRDefault="0080664A" w:rsidP="00D95E0E">
      <w:pPr>
        <w:numPr>
          <w:ilvl w:val="0"/>
          <w:numId w:val="12"/>
        </w:numPr>
        <w:tabs>
          <w:tab w:val="clear" w:pos="720"/>
        </w:tabs>
        <w:overflowPunct w:val="0"/>
        <w:autoSpaceDE w:val="0"/>
        <w:autoSpaceDN w:val="0"/>
        <w:adjustRightInd w:val="0"/>
        <w:ind w:left="426"/>
        <w:rPr>
          <w:bCs/>
          <w:iCs/>
        </w:rPr>
      </w:pPr>
      <w:r>
        <w:t>vahvistaa, että demokratian on jatkossakin pohjauduttava seuraaviin perusperiaatteisiin:</w:t>
      </w:r>
    </w:p>
    <w:p w14:paraId="0E8C62CA" w14:textId="77777777" w:rsidR="0080664A" w:rsidRDefault="0080664A" w:rsidP="00D95E0E">
      <w:pPr>
        <w:numPr>
          <w:ilvl w:val="1"/>
          <w:numId w:val="11"/>
        </w:numPr>
        <w:tabs>
          <w:tab w:val="clear" w:pos="1440"/>
          <w:tab w:val="num" w:pos="1134"/>
        </w:tabs>
        <w:overflowPunct w:val="0"/>
        <w:autoSpaceDE w:val="0"/>
        <w:autoSpaceDN w:val="0"/>
        <w:adjustRightInd w:val="0"/>
        <w:ind w:left="993"/>
        <w:rPr>
          <w:bCs/>
          <w:iCs/>
        </w:rPr>
      </w:pPr>
      <w:r>
        <w:t>Kaikilla henkilöillä ja yhteisöillä on oltava yhtäläiset mahdollisuudet saada oikeussuojaa ja yhtäläiset oikeudet, ja syrjäytyneisiin yhteisöihin on kiinnitettävä erityistä huomiota. Riippumattomat ja hyvin toimivat tuomioistuimet ovat välttämättömyys, josta ei tingitä.</w:t>
      </w:r>
    </w:p>
    <w:p w14:paraId="3AB68572" w14:textId="77777777" w:rsidR="0080664A" w:rsidRDefault="0080664A" w:rsidP="00D95E0E">
      <w:pPr>
        <w:numPr>
          <w:ilvl w:val="1"/>
          <w:numId w:val="11"/>
        </w:numPr>
        <w:tabs>
          <w:tab w:val="clear" w:pos="1440"/>
          <w:tab w:val="num" w:pos="1134"/>
        </w:tabs>
        <w:overflowPunct w:val="0"/>
        <w:autoSpaceDE w:val="0"/>
        <w:autoSpaceDN w:val="0"/>
        <w:adjustRightInd w:val="0"/>
        <w:ind w:left="993"/>
        <w:rPr>
          <w:bCs/>
          <w:iCs/>
        </w:rPr>
      </w:pPr>
      <w:r>
        <w:lastRenderedPageBreak/>
        <w:t>Sosiaalisen markkinatalouden avulla olisi sovitettava yhteen kilpailukykyä edistävä innovointi ja sosiaalinen suojelu, ja tätä olisi tuettava työmarkkinaosapuolten vuoropuhelun ja tasapainoisten valtasuhteiden keinoin.</w:t>
      </w:r>
    </w:p>
    <w:p w14:paraId="072A4ABF" w14:textId="77777777" w:rsidR="0080664A" w:rsidRDefault="0080664A" w:rsidP="00D95E0E">
      <w:pPr>
        <w:numPr>
          <w:ilvl w:val="1"/>
          <w:numId w:val="11"/>
        </w:numPr>
        <w:tabs>
          <w:tab w:val="clear" w:pos="1440"/>
          <w:tab w:val="num" w:pos="1134"/>
        </w:tabs>
        <w:overflowPunct w:val="0"/>
        <w:autoSpaceDE w:val="0"/>
        <w:autoSpaceDN w:val="0"/>
        <w:adjustRightInd w:val="0"/>
        <w:ind w:left="993"/>
        <w:rPr>
          <w:bCs/>
          <w:iCs/>
        </w:rPr>
      </w:pPr>
      <w:r>
        <w:t>Kansalaisvapauksien, mm. sananvapauden, ja elinvoimaisen kansalaisyhteiskunnan säilyminen olisi turvattava. ETSK kehottaa kuitenkin myös toteuttamaan päättäväisiä toimia disinformaation ja vihapuheen torjumiseksi digitaalisessa ympäristössä.</w:t>
      </w:r>
    </w:p>
    <w:p w14:paraId="7C823D2D" w14:textId="77777777" w:rsidR="0080664A" w:rsidRDefault="0080664A" w:rsidP="00D95E0E">
      <w:pPr>
        <w:numPr>
          <w:ilvl w:val="1"/>
          <w:numId w:val="11"/>
        </w:numPr>
        <w:tabs>
          <w:tab w:val="clear" w:pos="1440"/>
          <w:tab w:val="num" w:pos="1134"/>
        </w:tabs>
        <w:overflowPunct w:val="0"/>
        <w:autoSpaceDE w:val="0"/>
        <w:autoSpaceDN w:val="0"/>
        <w:adjustRightInd w:val="0"/>
        <w:ind w:left="993"/>
        <w:rPr>
          <w:bCs/>
          <w:iCs/>
        </w:rPr>
      </w:pPr>
      <w:r>
        <w:t>EU:n tekemän yhteistyön ohjenuorana on oltava monenvälisyys, ei nationalismi. Maailmanlaajuisten haasteiden, kuten sotien, ilmastonmuutoksen ja elintarviketurvakysymyksen, ratkaiseminen edellyttää kansainvälistä yhteistyötä.</w:t>
      </w:r>
    </w:p>
    <w:p w14:paraId="2B71E59A" w14:textId="77777777" w:rsidR="0080664A" w:rsidRDefault="0080664A" w:rsidP="00D95E0E">
      <w:pPr>
        <w:numPr>
          <w:ilvl w:val="1"/>
          <w:numId w:val="11"/>
        </w:numPr>
        <w:tabs>
          <w:tab w:val="clear" w:pos="1440"/>
          <w:tab w:val="num" w:pos="1134"/>
        </w:tabs>
        <w:overflowPunct w:val="0"/>
        <w:autoSpaceDE w:val="0"/>
        <w:autoSpaceDN w:val="0"/>
        <w:adjustRightInd w:val="0"/>
        <w:ind w:left="993"/>
        <w:rPr>
          <w:bCs/>
          <w:iCs/>
        </w:rPr>
      </w:pPr>
      <w:r>
        <w:t>Demokraattisten prosessien on oltava osallistavia ja osallistumiseen kannustavia. Päätösten olisi perustuttava vuoropuheluun ja oltava ratkaisulähtöisiä, jotta voidaan varmistaa, että minkään sidosryhmien tarpeita ei sivuuteta tai uhrata.</w:t>
      </w:r>
    </w:p>
    <w:p w14:paraId="5A45924B" w14:textId="77777777" w:rsidR="0080664A" w:rsidRPr="006C481E" w:rsidRDefault="0080664A" w:rsidP="00D95E0E">
      <w:pPr>
        <w:pStyle w:val="ListParagraph"/>
        <w:numPr>
          <w:ilvl w:val="0"/>
          <w:numId w:val="13"/>
        </w:numPr>
        <w:overflowPunct w:val="0"/>
        <w:autoSpaceDE w:val="0"/>
        <w:autoSpaceDN w:val="0"/>
        <w:adjustRightInd w:val="0"/>
        <w:ind w:left="426"/>
        <w:rPr>
          <w:bCs/>
          <w:iCs/>
        </w:rPr>
      </w:pPr>
      <w:r>
        <w:t>toteaa, että nykyiset haasteet ovat valtavia, mutta on edelleen optimistinen. EU:sta voi poliittisen tahdon ja kansalaisyhteiskunnan vahvan sitoutumisen avulla tulla entistä riippumattomampi, taloudellisesti vankkapohjaisempi ja yhteiskunnallisesti rauhallisempi yhteisö. ETSK on valmis tuomaan kansalaisyhteiskunnan näkemykset esiin Euroopan tulevaisuutta rakennettaessa.</w:t>
      </w:r>
    </w:p>
    <w:p w14:paraId="3A0A2DF9" w14:textId="77777777" w:rsidR="0080664A" w:rsidRDefault="0080664A" w:rsidP="00D95E0E">
      <w:pPr>
        <w:ind w:left="644"/>
        <w:rPr>
          <w:bCs/>
          <w:iCs/>
        </w:rPr>
      </w:pPr>
    </w:p>
    <w:tbl>
      <w:tblPr>
        <w:tblW w:w="3516" w:type="pct"/>
        <w:tblLook w:val="04A0" w:firstRow="1" w:lastRow="0" w:firstColumn="1" w:lastColumn="0" w:noHBand="0" w:noVBand="1"/>
      </w:tblPr>
      <w:tblGrid>
        <w:gridCol w:w="1985"/>
        <w:gridCol w:w="4395"/>
      </w:tblGrid>
      <w:tr w:rsidR="0080664A" w14:paraId="66A0F3E7" w14:textId="77777777" w:rsidTr="0080664A">
        <w:tc>
          <w:tcPr>
            <w:tcW w:w="1556" w:type="pct"/>
            <w:hideMark/>
          </w:tcPr>
          <w:p w14:paraId="3392846C" w14:textId="77777777" w:rsidR="0080664A" w:rsidRDefault="0080664A" w:rsidP="00D95E0E">
            <w:pPr>
              <w:rPr>
                <w:i/>
              </w:rPr>
            </w:pPr>
            <w:r>
              <w:rPr>
                <w:b/>
                <w:i/>
              </w:rPr>
              <w:t>Yhteyshenkilö 1</w:t>
            </w:r>
          </w:p>
        </w:tc>
        <w:tc>
          <w:tcPr>
            <w:tcW w:w="3444" w:type="pct"/>
            <w:hideMark/>
          </w:tcPr>
          <w:p w14:paraId="16EEEA58" w14:textId="6AD65326" w:rsidR="0080664A" w:rsidRDefault="0080664A" w:rsidP="00D95E0E">
            <w:pPr>
              <w:rPr>
                <w:i/>
              </w:rPr>
            </w:pPr>
            <w:proofErr w:type="spellStart"/>
            <w:r>
              <w:rPr>
                <w:i/>
              </w:rPr>
              <w:t>Pierluigi</w:t>
            </w:r>
            <w:proofErr w:type="spellEnd"/>
            <w:r>
              <w:rPr>
                <w:i/>
              </w:rPr>
              <w:t xml:space="preserve"> </w:t>
            </w:r>
            <w:proofErr w:type="spellStart"/>
            <w:r w:rsidR="00057DCF">
              <w:rPr>
                <w:i/>
              </w:rPr>
              <w:t>Brombo</w:t>
            </w:r>
            <w:proofErr w:type="spellEnd"/>
          </w:p>
        </w:tc>
      </w:tr>
      <w:tr w:rsidR="0080664A" w14:paraId="7C113DF5" w14:textId="77777777" w:rsidTr="0080664A">
        <w:tc>
          <w:tcPr>
            <w:tcW w:w="1556" w:type="pct"/>
            <w:hideMark/>
          </w:tcPr>
          <w:p w14:paraId="47B9DF20" w14:textId="77777777" w:rsidR="0080664A" w:rsidRDefault="0080664A" w:rsidP="00D95E0E">
            <w:pPr>
              <w:rPr>
                <w:i/>
              </w:rPr>
            </w:pPr>
            <w:r>
              <w:rPr>
                <w:i/>
              </w:rPr>
              <w:t>P.</w:t>
            </w:r>
          </w:p>
        </w:tc>
        <w:tc>
          <w:tcPr>
            <w:tcW w:w="3444" w:type="pct"/>
            <w:hideMark/>
          </w:tcPr>
          <w:p w14:paraId="40B1B248" w14:textId="77777777" w:rsidR="0080664A" w:rsidRDefault="0080664A" w:rsidP="00D95E0E">
            <w:pPr>
              <w:rPr>
                <w:i/>
              </w:rPr>
            </w:pPr>
            <w:r>
              <w:rPr>
                <w:i/>
              </w:rPr>
              <w:t>+32 25469718</w:t>
            </w:r>
          </w:p>
        </w:tc>
      </w:tr>
      <w:tr w:rsidR="0080664A" w14:paraId="42D4EE30" w14:textId="77777777" w:rsidTr="0080664A">
        <w:tc>
          <w:tcPr>
            <w:tcW w:w="1556" w:type="pct"/>
            <w:hideMark/>
          </w:tcPr>
          <w:p w14:paraId="3C82DCFC" w14:textId="77777777" w:rsidR="0080664A" w:rsidRDefault="0080664A" w:rsidP="00D95E0E">
            <w:pPr>
              <w:rPr>
                <w:i/>
              </w:rPr>
            </w:pPr>
            <w:r>
              <w:rPr>
                <w:i/>
              </w:rPr>
              <w:t>Sähköposti</w:t>
            </w:r>
          </w:p>
        </w:tc>
        <w:tc>
          <w:tcPr>
            <w:tcW w:w="3444" w:type="pct"/>
            <w:hideMark/>
          </w:tcPr>
          <w:p w14:paraId="0364887E" w14:textId="77777777" w:rsidR="0080664A" w:rsidRDefault="0061775F" w:rsidP="00D95E0E">
            <w:pPr>
              <w:rPr>
                <w:i/>
              </w:rPr>
            </w:pPr>
            <w:hyperlink r:id="rId16" w:history="1">
              <w:r w:rsidR="0080664A">
                <w:rPr>
                  <w:rStyle w:val="Hyperlink"/>
                  <w:i/>
                </w:rPr>
                <w:t>Pierluigi.Brombo@eesc.europa.eu</w:t>
              </w:r>
            </w:hyperlink>
          </w:p>
        </w:tc>
      </w:tr>
      <w:tr w:rsidR="0080664A" w14:paraId="2F053518" w14:textId="77777777" w:rsidTr="0080664A">
        <w:tc>
          <w:tcPr>
            <w:tcW w:w="1556" w:type="pct"/>
            <w:hideMark/>
          </w:tcPr>
          <w:p w14:paraId="7DC28BEA" w14:textId="77777777" w:rsidR="0080664A" w:rsidRDefault="0080664A" w:rsidP="00D95E0E">
            <w:pPr>
              <w:rPr>
                <w:i/>
              </w:rPr>
            </w:pPr>
            <w:r>
              <w:rPr>
                <w:b/>
                <w:i/>
              </w:rPr>
              <w:t>Yhteyshenkilö 2</w:t>
            </w:r>
          </w:p>
        </w:tc>
        <w:tc>
          <w:tcPr>
            <w:tcW w:w="3444" w:type="pct"/>
            <w:hideMark/>
          </w:tcPr>
          <w:p w14:paraId="2B7E801A" w14:textId="08A77EAA" w:rsidR="0080664A" w:rsidRDefault="0080664A" w:rsidP="00D95E0E">
            <w:pPr>
              <w:rPr>
                <w:i/>
              </w:rPr>
            </w:pPr>
            <w:r>
              <w:rPr>
                <w:i/>
              </w:rPr>
              <w:t xml:space="preserve">Lilla </w:t>
            </w:r>
            <w:proofErr w:type="spellStart"/>
            <w:r w:rsidR="00057DCF">
              <w:rPr>
                <w:i/>
              </w:rPr>
              <w:t>Szabó</w:t>
            </w:r>
            <w:proofErr w:type="spellEnd"/>
          </w:p>
        </w:tc>
      </w:tr>
      <w:tr w:rsidR="0080664A" w14:paraId="2F58E487" w14:textId="77777777" w:rsidTr="0080664A">
        <w:tc>
          <w:tcPr>
            <w:tcW w:w="1556" w:type="pct"/>
            <w:hideMark/>
          </w:tcPr>
          <w:p w14:paraId="75D2B6C7" w14:textId="77777777" w:rsidR="0080664A" w:rsidRDefault="0080664A" w:rsidP="00D95E0E">
            <w:pPr>
              <w:rPr>
                <w:i/>
              </w:rPr>
            </w:pPr>
            <w:r>
              <w:rPr>
                <w:i/>
              </w:rPr>
              <w:t>P.</w:t>
            </w:r>
          </w:p>
        </w:tc>
        <w:tc>
          <w:tcPr>
            <w:tcW w:w="3444" w:type="pct"/>
            <w:hideMark/>
          </w:tcPr>
          <w:p w14:paraId="2FBAE110" w14:textId="77777777" w:rsidR="0080664A" w:rsidRDefault="0080664A" w:rsidP="00D95E0E">
            <w:pPr>
              <w:rPr>
                <w:i/>
              </w:rPr>
            </w:pPr>
            <w:r>
              <w:rPr>
                <w:i/>
              </w:rPr>
              <w:t>+32 25468397</w:t>
            </w:r>
          </w:p>
        </w:tc>
      </w:tr>
      <w:tr w:rsidR="0080664A" w14:paraId="33F4C193" w14:textId="77777777" w:rsidTr="0080664A">
        <w:tc>
          <w:tcPr>
            <w:tcW w:w="1556" w:type="pct"/>
            <w:hideMark/>
          </w:tcPr>
          <w:p w14:paraId="0043CDFD" w14:textId="77777777" w:rsidR="0080664A" w:rsidRDefault="0080664A" w:rsidP="00D95E0E">
            <w:pPr>
              <w:rPr>
                <w:i/>
              </w:rPr>
            </w:pPr>
            <w:r>
              <w:rPr>
                <w:i/>
              </w:rPr>
              <w:t>Sähköposti</w:t>
            </w:r>
          </w:p>
        </w:tc>
        <w:tc>
          <w:tcPr>
            <w:tcW w:w="3444" w:type="pct"/>
            <w:hideMark/>
          </w:tcPr>
          <w:p w14:paraId="44420634" w14:textId="77777777" w:rsidR="0080664A" w:rsidRDefault="0061775F" w:rsidP="00D95E0E">
            <w:pPr>
              <w:rPr>
                <w:i/>
              </w:rPr>
            </w:pPr>
            <w:hyperlink r:id="rId17" w:history="1">
              <w:r w:rsidR="0080664A">
                <w:rPr>
                  <w:rStyle w:val="Hyperlink"/>
                  <w:i/>
                </w:rPr>
                <w:t>Lilla.Szabo@eesc.europa.eu</w:t>
              </w:r>
            </w:hyperlink>
          </w:p>
        </w:tc>
      </w:tr>
    </w:tbl>
    <w:p w14:paraId="4982DD97" w14:textId="77777777" w:rsidR="004D7AC0" w:rsidRDefault="004D7AC0" w:rsidP="00D95E0E">
      <w:pPr>
        <w:pStyle w:val="ListParagraph"/>
        <w:ind w:left="0"/>
      </w:pPr>
    </w:p>
    <w:p w14:paraId="4982DD98" w14:textId="77777777" w:rsidR="004D7AC0" w:rsidRDefault="004D7AC0" w:rsidP="00D95E0E">
      <w:pPr>
        <w:jc w:val="left"/>
      </w:pPr>
      <w:r>
        <w:br w:type="page"/>
      </w:r>
    </w:p>
    <w:p w14:paraId="4982DD99" w14:textId="65F372FC" w:rsidR="004D7AC0" w:rsidRDefault="0080664A" w:rsidP="00D95E0E">
      <w:pPr>
        <w:pStyle w:val="Heading1"/>
        <w:rPr>
          <w:b/>
        </w:rPr>
      </w:pPr>
      <w:bookmarkStart w:id="1" w:name="_Toc210812675"/>
      <w:r>
        <w:rPr>
          <w:b/>
        </w:rPr>
        <w:lastRenderedPageBreak/>
        <w:t>TALOUS- JA RAHALIITTO, TALOUDELLINEN JA SOSIAALINEN YHTEENKUULUVUUS</w:t>
      </w:r>
      <w:bookmarkEnd w:id="1"/>
    </w:p>
    <w:p w14:paraId="4982DD9A" w14:textId="77777777" w:rsidR="004D7AC0" w:rsidRDefault="004D7AC0" w:rsidP="00D95E0E">
      <w:pPr>
        <w:spacing w:line="240" w:lineRule="auto"/>
      </w:pPr>
    </w:p>
    <w:p w14:paraId="0BF51044" w14:textId="71C39A69" w:rsidR="00E014B4" w:rsidRDefault="0061775F" w:rsidP="00D95E0E">
      <w:pPr>
        <w:numPr>
          <w:ilvl w:val="0"/>
          <w:numId w:val="3"/>
        </w:numPr>
        <w:overflowPunct w:val="0"/>
        <w:autoSpaceDE w:val="0"/>
        <w:autoSpaceDN w:val="0"/>
        <w:adjustRightInd w:val="0"/>
        <w:spacing w:line="240" w:lineRule="auto"/>
        <w:ind w:hanging="567"/>
        <w:rPr>
          <w:sz w:val="20"/>
        </w:rPr>
      </w:pPr>
      <w:hyperlink r:id="rId18" w:history="1">
        <w:r w:rsidR="00E014B4">
          <w:rPr>
            <w:rStyle w:val="Hyperlink"/>
            <w:b/>
            <w:i/>
            <w:sz w:val="28"/>
          </w:rPr>
          <w:t>Lisähuomioita euroalueen talouspolitiikasta 2025</w:t>
        </w:r>
      </w:hyperlink>
    </w:p>
    <w:p w14:paraId="537DA5CB" w14:textId="77777777" w:rsidR="00E014B4" w:rsidRDefault="00E014B4" w:rsidP="00D95E0E">
      <w:pPr>
        <w:tabs>
          <w:tab w:val="center" w:pos="284"/>
        </w:tabs>
        <w:spacing w:line="240" w:lineRule="auto"/>
        <w:ind w:left="266" w:hanging="266"/>
        <w:rPr>
          <w:b/>
        </w:rPr>
      </w:pPr>
    </w:p>
    <w:tbl>
      <w:tblPr>
        <w:tblW w:w="5000" w:type="pct"/>
        <w:tblLook w:val="04A0" w:firstRow="1" w:lastRow="0" w:firstColumn="1" w:lastColumn="0" w:noHBand="0" w:noVBand="1"/>
      </w:tblPr>
      <w:tblGrid>
        <w:gridCol w:w="1954"/>
        <w:gridCol w:w="7119"/>
      </w:tblGrid>
      <w:tr w:rsidR="00E014B4" w14:paraId="5D138991" w14:textId="77777777" w:rsidTr="00E014B4">
        <w:tc>
          <w:tcPr>
            <w:tcW w:w="1077" w:type="pct"/>
            <w:hideMark/>
          </w:tcPr>
          <w:p w14:paraId="164E3337" w14:textId="77777777" w:rsidR="00E014B4" w:rsidRDefault="00E014B4" w:rsidP="00D95E0E">
            <w:pPr>
              <w:tabs>
                <w:tab w:val="center" w:pos="284"/>
              </w:tabs>
              <w:ind w:left="266" w:hanging="266"/>
              <w:rPr>
                <w:b/>
              </w:rPr>
            </w:pPr>
            <w:r>
              <w:rPr>
                <w:b/>
              </w:rPr>
              <w:t>Esittelijä</w:t>
            </w:r>
          </w:p>
        </w:tc>
        <w:tc>
          <w:tcPr>
            <w:tcW w:w="3923" w:type="pct"/>
            <w:hideMark/>
          </w:tcPr>
          <w:p w14:paraId="510F8FFC" w14:textId="77777777" w:rsidR="00E014B4" w:rsidRDefault="00E014B4" w:rsidP="00D95E0E">
            <w:pPr>
              <w:tabs>
                <w:tab w:val="center" w:pos="284"/>
              </w:tabs>
              <w:ind w:left="266" w:right="-3091" w:hanging="266"/>
            </w:pPr>
            <w:proofErr w:type="spellStart"/>
            <w:r>
              <w:t>Juraj</w:t>
            </w:r>
            <w:proofErr w:type="spellEnd"/>
            <w:r>
              <w:t xml:space="preserve"> SIPKO (kansalaisyhteiskunnan organisaatiot – SK)</w:t>
            </w:r>
          </w:p>
        </w:tc>
      </w:tr>
      <w:tr w:rsidR="00E014B4" w14:paraId="64071AAC" w14:textId="77777777" w:rsidTr="00E014B4">
        <w:tc>
          <w:tcPr>
            <w:tcW w:w="1077" w:type="pct"/>
            <w:hideMark/>
          </w:tcPr>
          <w:p w14:paraId="271875F2" w14:textId="77777777" w:rsidR="00E014B4" w:rsidRDefault="00E014B4" w:rsidP="00D95E0E">
            <w:pPr>
              <w:tabs>
                <w:tab w:val="center" w:pos="284"/>
              </w:tabs>
              <w:ind w:left="266" w:hanging="266"/>
              <w:rPr>
                <w:b/>
              </w:rPr>
            </w:pPr>
            <w:r>
              <w:rPr>
                <w:b/>
              </w:rPr>
              <w:t>Viiteasiakirjat</w:t>
            </w:r>
          </w:p>
        </w:tc>
        <w:tc>
          <w:tcPr>
            <w:tcW w:w="3923" w:type="pct"/>
            <w:hideMark/>
          </w:tcPr>
          <w:p w14:paraId="70718C2B" w14:textId="77777777" w:rsidR="00E014B4" w:rsidRDefault="00E014B4" w:rsidP="00D95E0E">
            <w:pPr>
              <w:tabs>
                <w:tab w:val="center" w:pos="284"/>
              </w:tabs>
              <w:ind w:left="266" w:right="-3091" w:hanging="266"/>
            </w:pPr>
            <w:r>
              <w:t>oma-aloitteinen lausunto</w:t>
            </w:r>
          </w:p>
          <w:p w14:paraId="4F1B43DB" w14:textId="77777777" w:rsidR="00E014B4" w:rsidRDefault="00E014B4" w:rsidP="00D95E0E">
            <w:pPr>
              <w:tabs>
                <w:tab w:val="center" w:pos="284"/>
              </w:tabs>
              <w:ind w:left="266" w:right="-3091" w:hanging="266"/>
            </w:pPr>
            <w:r>
              <w:t>EESC-2025-01656-00-00-AC-TRA</w:t>
            </w:r>
          </w:p>
        </w:tc>
      </w:tr>
    </w:tbl>
    <w:p w14:paraId="7F972AD2" w14:textId="77777777" w:rsidR="00E014B4" w:rsidRDefault="00E014B4" w:rsidP="00D95E0E">
      <w:pPr>
        <w:tabs>
          <w:tab w:val="center" w:pos="284"/>
        </w:tabs>
        <w:ind w:left="266" w:hanging="266"/>
        <w:rPr>
          <w:b/>
        </w:rPr>
      </w:pPr>
    </w:p>
    <w:p w14:paraId="6552C188" w14:textId="77777777" w:rsidR="00E014B4" w:rsidRDefault="00E014B4" w:rsidP="00D95E0E">
      <w:pPr>
        <w:keepNext/>
        <w:keepLines/>
        <w:tabs>
          <w:tab w:val="center" w:pos="284"/>
        </w:tabs>
        <w:ind w:left="266" w:hanging="266"/>
        <w:rPr>
          <w:b/>
        </w:rPr>
      </w:pPr>
      <w:r>
        <w:rPr>
          <w:b/>
        </w:rPr>
        <w:t>Keskeiset kohdat</w:t>
      </w:r>
    </w:p>
    <w:p w14:paraId="32D7795D" w14:textId="77777777" w:rsidR="00E014B4" w:rsidRDefault="00E014B4" w:rsidP="00D95E0E">
      <w:pPr>
        <w:keepNext/>
        <w:keepLines/>
        <w:tabs>
          <w:tab w:val="center" w:pos="284"/>
        </w:tabs>
        <w:ind w:left="266" w:hanging="266"/>
        <w:rPr>
          <w:b/>
        </w:rPr>
      </w:pPr>
    </w:p>
    <w:p w14:paraId="0F57C166" w14:textId="77777777" w:rsidR="00E014B4" w:rsidRDefault="00E014B4" w:rsidP="00D95E0E">
      <w:pPr>
        <w:rPr>
          <w:bCs/>
          <w:iCs/>
        </w:rPr>
      </w:pPr>
      <w:r>
        <w:t>ETSK</w:t>
      </w:r>
    </w:p>
    <w:p w14:paraId="34A32D03" w14:textId="77777777" w:rsidR="00E014B4" w:rsidRDefault="00E014B4" w:rsidP="00D95E0E">
      <w:pPr>
        <w:numPr>
          <w:ilvl w:val="0"/>
          <w:numId w:val="14"/>
        </w:numPr>
        <w:overflowPunct w:val="0"/>
        <w:autoSpaceDE w:val="0"/>
        <w:autoSpaceDN w:val="0"/>
        <w:adjustRightInd w:val="0"/>
        <w:ind w:left="426"/>
        <w:rPr>
          <w:bCs/>
          <w:iCs/>
        </w:rPr>
      </w:pPr>
      <w:r>
        <w:t>toteaa, että EU:n ja euroalueen maiden taloudellinen suorituskyky ei etenkään viimeisten viiden vuoden aikana ole ollut riittävän hyvä erityisesti verrattuna Yhdysvaltojen ja Kiinan talouksiin, jotta EU olisi voinut säilyttää vahvan asemansa maailmantaloudessa.</w:t>
      </w:r>
    </w:p>
    <w:p w14:paraId="7302A673" w14:textId="77777777" w:rsidR="00E014B4" w:rsidRDefault="00E014B4" w:rsidP="00D95E0E">
      <w:pPr>
        <w:pStyle w:val="ListParagraph"/>
        <w:numPr>
          <w:ilvl w:val="0"/>
          <w:numId w:val="14"/>
        </w:numPr>
        <w:ind w:left="426"/>
        <w:rPr>
          <w:bCs/>
          <w:iCs/>
        </w:rPr>
      </w:pPr>
      <w:r>
        <w:t>huomauttaa, että hitaan kasvuvauhdin lisäksi EU:n ja euroalueen taloudet kamppailivat korkean inflaation kanssa, mihin liittyi läheisesti suhteellisen riittämätön rakenteellinen sietokyky nykyisiä turvallisuusriskejä vastaan.</w:t>
      </w:r>
    </w:p>
    <w:p w14:paraId="47B88C3A" w14:textId="77777777" w:rsidR="00E014B4" w:rsidRDefault="00E014B4" w:rsidP="00D95E0E">
      <w:pPr>
        <w:pStyle w:val="ListParagraph"/>
        <w:numPr>
          <w:ilvl w:val="0"/>
          <w:numId w:val="14"/>
        </w:numPr>
        <w:ind w:left="426"/>
        <w:rPr>
          <w:bCs/>
          <w:iCs/>
        </w:rPr>
      </w:pPr>
      <w:r>
        <w:t>on tyytyväinen siihen, että EU:n ja euroalueen taloudet ovat saavuttaneet kaiken kaikkiaan positiivisen kauppataseen, ja suosittelee painokkaasti, että talous- ja kauppapolitiikassa toteutetaan kaikki tarvittavat toimenpiteet tämän positiivisen kauppataseen ja vaihtotaseen ylijäämän säilyttämiseksi.</w:t>
      </w:r>
    </w:p>
    <w:p w14:paraId="0DE8700E" w14:textId="77777777" w:rsidR="00E014B4" w:rsidRDefault="00E014B4" w:rsidP="00D95E0E">
      <w:pPr>
        <w:pStyle w:val="ListParagraph"/>
        <w:numPr>
          <w:ilvl w:val="0"/>
          <w:numId w:val="14"/>
        </w:numPr>
        <w:ind w:left="426"/>
        <w:rPr>
          <w:bCs/>
          <w:iCs/>
        </w:rPr>
      </w:pPr>
      <w:r>
        <w:t>suosittelee keskittymään strategisesti tärkeisiin teollisuudenaloihin ja luomaan sopivat hallinnolliset ja taloudelliset edellytykset voimakkaaseen investointiin.</w:t>
      </w:r>
    </w:p>
    <w:p w14:paraId="291F7A8A" w14:textId="77777777" w:rsidR="00E014B4" w:rsidRDefault="00E014B4" w:rsidP="00D95E0E">
      <w:pPr>
        <w:pStyle w:val="ListParagraph"/>
        <w:numPr>
          <w:ilvl w:val="0"/>
          <w:numId w:val="14"/>
        </w:numPr>
        <w:ind w:left="426"/>
        <w:rPr>
          <w:bCs/>
          <w:iCs/>
        </w:rPr>
      </w:pPr>
      <w:r>
        <w:t>tukee sisämarkkinastrategiaan liittyvää Euroopan komission työtä ja katsoo, että rahoitusta on mahdollista tehostaa säästö- ja investointiunionin ja suurempien, yhdennettyjen pääomamarkkinoiden ansiosta.</w:t>
      </w:r>
    </w:p>
    <w:p w14:paraId="37ACD57A" w14:textId="77777777" w:rsidR="00E014B4" w:rsidRDefault="00E014B4" w:rsidP="00D95E0E">
      <w:pPr>
        <w:pStyle w:val="ListParagraph"/>
        <w:numPr>
          <w:ilvl w:val="0"/>
          <w:numId w:val="14"/>
        </w:numPr>
        <w:ind w:left="426"/>
        <w:rPr>
          <w:bCs/>
          <w:iCs/>
        </w:rPr>
      </w:pPr>
      <w:r>
        <w:t xml:space="preserve">katsoo, että on sovellettava kohdennettua politiikkaa, jolla tuetaan menestyvien ja kunnianhimoisten yritysten pääsyä maailmanmarkkinoille, ja huomauttaa, että korkean osaamistason työntekijöille on varmistettava riittävät mahdollisuudet teknologisilla ja innovatiivisilla työpaikoilla Euroopassa sekä käynnissä olevassa </w:t>
      </w:r>
      <w:proofErr w:type="spellStart"/>
      <w:r>
        <w:t>Choose</w:t>
      </w:r>
      <w:proofErr w:type="spellEnd"/>
      <w:r>
        <w:t xml:space="preserve"> Europe -aloitteessa.</w:t>
      </w:r>
    </w:p>
    <w:p w14:paraId="7C867EE3" w14:textId="77777777" w:rsidR="00E014B4" w:rsidRDefault="00E014B4" w:rsidP="00D95E0E">
      <w:pPr>
        <w:pStyle w:val="ListParagraph"/>
        <w:numPr>
          <w:ilvl w:val="0"/>
          <w:numId w:val="14"/>
        </w:numPr>
        <w:ind w:left="426"/>
        <w:rPr>
          <w:bCs/>
          <w:iCs/>
        </w:rPr>
      </w:pPr>
      <w:r>
        <w:t>suhtautuu myönteisesti käynnissä oleviin pyrkimyksiin yksinkertaistaa menettelyjä ja korostaa, että sosiaalisia ja ympäristönsuojelua koskevia normeja ei saa heikentää.</w:t>
      </w:r>
    </w:p>
    <w:p w14:paraId="4EBEB4F0" w14:textId="77777777" w:rsidR="00E014B4" w:rsidRDefault="00E014B4" w:rsidP="00D95E0E">
      <w:pPr>
        <w:pStyle w:val="ListParagraph"/>
        <w:numPr>
          <w:ilvl w:val="0"/>
          <w:numId w:val="14"/>
        </w:numPr>
        <w:ind w:left="426"/>
        <w:rPr>
          <w:bCs/>
          <w:iCs/>
        </w:rPr>
      </w:pPr>
      <w:r>
        <w:t>suhtautuu myönteisesti pyrkimyksiin luoda julkisen talouden liikkumavaraa EU:n finanssipoliittisten sääntöjen kohdennetulla tarkistamisella ja toteuttamalla sellaista EU:n investointikapasiteettia, jolla rahoitetaan sisämarkkinoiden kannalta strategisesti kiinnostavia kasvua edistäviä investointeja.</w:t>
      </w:r>
    </w:p>
    <w:p w14:paraId="05303960" w14:textId="77777777" w:rsidR="00E014B4" w:rsidRDefault="00E014B4" w:rsidP="00D95E0E">
      <w:pPr>
        <w:pStyle w:val="ListParagraph"/>
        <w:numPr>
          <w:ilvl w:val="0"/>
          <w:numId w:val="14"/>
        </w:numPr>
        <w:ind w:left="426"/>
        <w:rPr>
          <w:bCs/>
          <w:iCs/>
        </w:rPr>
      </w:pPr>
      <w:r>
        <w:t>suosittaa, että Euroopan komissio allekirjoittaa viipymättä kahdenvälisiä kauppasopimuksia kaikkien niiden maiden kanssa, joilla on suurin ulkomaankaupan liikevaihto, ja että se jatkaa työtä monenvälisyyden uudistamiseksi ja kiireellisten uudistusten käynnistämiseksi Maailman kauppajärjestössä (WTO).</w:t>
      </w:r>
    </w:p>
    <w:p w14:paraId="2615D7B7" w14:textId="77777777" w:rsidR="00E014B4" w:rsidRDefault="00E014B4" w:rsidP="00D95E0E">
      <w:pPr>
        <w:ind w:left="709"/>
      </w:pPr>
    </w:p>
    <w:tbl>
      <w:tblPr>
        <w:tblW w:w="5000" w:type="pct"/>
        <w:tblLook w:val="04A0" w:firstRow="1" w:lastRow="0" w:firstColumn="1" w:lastColumn="0" w:noHBand="0" w:noVBand="1"/>
      </w:tblPr>
      <w:tblGrid>
        <w:gridCol w:w="1954"/>
        <w:gridCol w:w="7119"/>
      </w:tblGrid>
      <w:tr w:rsidR="00E014B4" w14:paraId="0ED635D1" w14:textId="77777777" w:rsidTr="00E014B4">
        <w:tc>
          <w:tcPr>
            <w:tcW w:w="1077" w:type="pct"/>
            <w:hideMark/>
          </w:tcPr>
          <w:p w14:paraId="2F015808" w14:textId="77777777" w:rsidR="00E014B4" w:rsidRDefault="00E014B4" w:rsidP="00D95E0E">
            <w:pPr>
              <w:rPr>
                <w:i/>
              </w:rPr>
            </w:pPr>
            <w:r>
              <w:rPr>
                <w:b/>
                <w:i/>
              </w:rPr>
              <w:t>Yhteydenotot</w:t>
            </w:r>
          </w:p>
        </w:tc>
        <w:tc>
          <w:tcPr>
            <w:tcW w:w="3923" w:type="pct"/>
            <w:hideMark/>
          </w:tcPr>
          <w:p w14:paraId="619AE87F" w14:textId="0CD6607D" w:rsidR="00E014B4" w:rsidRDefault="00E014B4" w:rsidP="00D95E0E">
            <w:pPr>
              <w:rPr>
                <w:i/>
              </w:rPr>
            </w:pPr>
            <w:r>
              <w:rPr>
                <w:i/>
              </w:rPr>
              <w:t xml:space="preserve">Omar </w:t>
            </w:r>
            <w:proofErr w:type="spellStart"/>
            <w:r w:rsidR="00057DCF">
              <w:rPr>
                <w:i/>
              </w:rPr>
              <w:t>Bello</w:t>
            </w:r>
            <w:proofErr w:type="spellEnd"/>
          </w:p>
        </w:tc>
      </w:tr>
      <w:tr w:rsidR="00E014B4" w14:paraId="4B4EDD85" w14:textId="77777777" w:rsidTr="00E014B4">
        <w:tc>
          <w:tcPr>
            <w:tcW w:w="1077" w:type="pct"/>
            <w:hideMark/>
          </w:tcPr>
          <w:p w14:paraId="4ADB590F" w14:textId="77777777" w:rsidR="00E014B4" w:rsidRDefault="00E014B4" w:rsidP="00D95E0E">
            <w:pPr>
              <w:rPr>
                <w:i/>
              </w:rPr>
            </w:pPr>
            <w:r>
              <w:rPr>
                <w:i/>
              </w:rPr>
              <w:t>P.</w:t>
            </w:r>
          </w:p>
        </w:tc>
        <w:tc>
          <w:tcPr>
            <w:tcW w:w="3923" w:type="pct"/>
            <w:hideMark/>
          </w:tcPr>
          <w:p w14:paraId="5BF46EE3" w14:textId="77777777" w:rsidR="00E014B4" w:rsidRDefault="00E014B4" w:rsidP="00D95E0E">
            <w:pPr>
              <w:rPr>
                <w:i/>
              </w:rPr>
            </w:pPr>
            <w:r>
              <w:rPr>
                <w:i/>
              </w:rPr>
              <w:t>+32 2</w:t>
            </w:r>
            <w:r>
              <w:t xml:space="preserve"> </w:t>
            </w:r>
            <w:r>
              <w:rPr>
                <w:i/>
              </w:rPr>
              <w:t>5468269</w:t>
            </w:r>
          </w:p>
        </w:tc>
      </w:tr>
      <w:tr w:rsidR="00E014B4" w14:paraId="1E88DA11" w14:textId="77777777" w:rsidTr="00E014B4">
        <w:tc>
          <w:tcPr>
            <w:tcW w:w="1077" w:type="pct"/>
            <w:hideMark/>
          </w:tcPr>
          <w:p w14:paraId="2B95161A" w14:textId="77777777" w:rsidR="00E014B4" w:rsidRDefault="00E014B4" w:rsidP="00D95E0E">
            <w:pPr>
              <w:rPr>
                <w:i/>
              </w:rPr>
            </w:pPr>
            <w:r>
              <w:rPr>
                <w:i/>
              </w:rPr>
              <w:t>Sähköposti</w:t>
            </w:r>
          </w:p>
        </w:tc>
        <w:tc>
          <w:tcPr>
            <w:tcW w:w="3923" w:type="pct"/>
            <w:hideMark/>
          </w:tcPr>
          <w:p w14:paraId="117DB4AC" w14:textId="77777777" w:rsidR="00E014B4" w:rsidRDefault="0061775F" w:rsidP="00D95E0E">
            <w:pPr>
              <w:rPr>
                <w:i/>
              </w:rPr>
            </w:pPr>
            <w:hyperlink r:id="rId19" w:history="1">
              <w:r w:rsidR="00E014B4">
                <w:rPr>
                  <w:rStyle w:val="Hyperlink"/>
                  <w:i/>
                </w:rPr>
                <w:t>Omar.Bello@eesc.europa.eu</w:t>
              </w:r>
            </w:hyperlink>
          </w:p>
        </w:tc>
      </w:tr>
    </w:tbl>
    <w:p w14:paraId="70380045" w14:textId="77777777" w:rsidR="00E014B4" w:rsidRDefault="00E014B4" w:rsidP="00D95E0E">
      <w:pPr>
        <w:jc w:val="left"/>
      </w:pPr>
      <w:r>
        <w:br w:type="page"/>
      </w:r>
    </w:p>
    <w:p w14:paraId="14F6B8A9" w14:textId="720B3F2A" w:rsidR="00E014B4" w:rsidRPr="006C481E" w:rsidRDefault="0061775F" w:rsidP="00D95E0E">
      <w:pPr>
        <w:pStyle w:val="ListParagraph"/>
        <w:numPr>
          <w:ilvl w:val="0"/>
          <w:numId w:val="4"/>
        </w:numPr>
        <w:ind w:left="567" w:hanging="567"/>
        <w:jc w:val="left"/>
        <w:rPr>
          <w:b/>
        </w:rPr>
      </w:pPr>
      <w:hyperlink r:id="rId20" w:history="1">
        <w:r w:rsidR="00E014B4">
          <w:rPr>
            <w:rStyle w:val="Hyperlink"/>
            <w:b/>
            <w:i/>
            <w:sz w:val="28"/>
          </w:rPr>
          <w:t>Eurooppalaiset julkishyödykkeet: poliittinen painopiste rahoitettaessa EU:n kestävää kasvua ja vastattaessa maailmanlaajuisiin haasteisiin</w:t>
        </w:r>
      </w:hyperlink>
    </w:p>
    <w:p w14:paraId="34831E34" w14:textId="77777777" w:rsidR="006C481E" w:rsidRPr="006C481E" w:rsidRDefault="006C481E" w:rsidP="00D95E0E">
      <w:pPr>
        <w:jc w:val="left"/>
        <w:rPr>
          <w:b/>
        </w:rPr>
      </w:pPr>
    </w:p>
    <w:tbl>
      <w:tblPr>
        <w:tblW w:w="0" w:type="auto"/>
        <w:tblLook w:val="04A0" w:firstRow="1" w:lastRow="0" w:firstColumn="1" w:lastColumn="0" w:noHBand="0" w:noVBand="1"/>
      </w:tblPr>
      <w:tblGrid>
        <w:gridCol w:w="1701"/>
        <w:gridCol w:w="7088"/>
      </w:tblGrid>
      <w:tr w:rsidR="00E014B4" w14:paraId="079C1108" w14:textId="77777777" w:rsidTr="00E014B4">
        <w:tc>
          <w:tcPr>
            <w:tcW w:w="1701" w:type="dxa"/>
            <w:hideMark/>
          </w:tcPr>
          <w:p w14:paraId="5816E191" w14:textId="77777777" w:rsidR="00E014B4" w:rsidRDefault="00E014B4" w:rsidP="00D95E0E">
            <w:pPr>
              <w:ind w:left="176" w:hanging="284"/>
              <w:rPr>
                <w:b/>
              </w:rPr>
            </w:pPr>
            <w:r>
              <w:rPr>
                <w:b/>
              </w:rPr>
              <w:t>Esittelijä</w:t>
            </w:r>
          </w:p>
        </w:tc>
        <w:tc>
          <w:tcPr>
            <w:tcW w:w="7088" w:type="dxa"/>
            <w:hideMark/>
          </w:tcPr>
          <w:p w14:paraId="00D85E08" w14:textId="77777777" w:rsidR="00E014B4" w:rsidRDefault="00E014B4" w:rsidP="00D95E0E">
            <w:pPr>
              <w:tabs>
                <w:tab w:val="center" w:pos="284"/>
              </w:tabs>
            </w:pPr>
            <w:proofErr w:type="spellStart"/>
            <w:r>
              <w:t>Stefano</w:t>
            </w:r>
            <w:proofErr w:type="spellEnd"/>
            <w:r>
              <w:t xml:space="preserve"> PALMIERI (työntekijät – IT)</w:t>
            </w:r>
          </w:p>
        </w:tc>
      </w:tr>
      <w:tr w:rsidR="00E014B4" w14:paraId="4C5E610D" w14:textId="77777777" w:rsidTr="00E014B4">
        <w:tc>
          <w:tcPr>
            <w:tcW w:w="1701" w:type="dxa"/>
            <w:hideMark/>
          </w:tcPr>
          <w:p w14:paraId="00E0B23D" w14:textId="77777777" w:rsidR="00E014B4" w:rsidRDefault="00E014B4" w:rsidP="00D95E0E">
            <w:pPr>
              <w:tabs>
                <w:tab w:val="center" w:pos="284"/>
              </w:tabs>
              <w:ind w:left="266" w:hanging="374"/>
              <w:rPr>
                <w:b/>
              </w:rPr>
            </w:pPr>
            <w:r>
              <w:rPr>
                <w:b/>
              </w:rPr>
              <w:t>Viiteasiakirja</w:t>
            </w:r>
          </w:p>
        </w:tc>
        <w:tc>
          <w:tcPr>
            <w:tcW w:w="7088" w:type="dxa"/>
            <w:hideMark/>
          </w:tcPr>
          <w:p w14:paraId="47227FC3" w14:textId="77777777" w:rsidR="00E014B4" w:rsidRDefault="00E014B4" w:rsidP="00D95E0E">
            <w:pPr>
              <w:tabs>
                <w:tab w:val="center" w:pos="284"/>
              </w:tabs>
              <w:rPr>
                <w:szCs w:val="20"/>
              </w:rPr>
            </w:pPr>
            <w:r>
              <w:t>Oma-aloitteinen lausunto</w:t>
            </w:r>
          </w:p>
          <w:p w14:paraId="118C3F20" w14:textId="77777777" w:rsidR="00E014B4" w:rsidRDefault="00E014B4" w:rsidP="00D95E0E">
            <w:pPr>
              <w:tabs>
                <w:tab w:val="center" w:pos="284"/>
              </w:tabs>
              <w:rPr>
                <w:highlight w:val="yellow"/>
              </w:rPr>
            </w:pPr>
            <w:r>
              <w:t>EESC-2025-01686-00-00-AC</w:t>
            </w:r>
          </w:p>
        </w:tc>
      </w:tr>
    </w:tbl>
    <w:p w14:paraId="5BBE12ED" w14:textId="77777777" w:rsidR="00E014B4" w:rsidRDefault="00E014B4" w:rsidP="00D95E0E">
      <w:pPr>
        <w:keepNext/>
        <w:keepLines/>
        <w:tabs>
          <w:tab w:val="center" w:pos="284"/>
        </w:tabs>
        <w:ind w:left="266" w:hanging="266"/>
        <w:rPr>
          <w:b/>
          <w:sz w:val="16"/>
          <w:szCs w:val="16"/>
        </w:rPr>
      </w:pPr>
    </w:p>
    <w:p w14:paraId="25E8FAD2" w14:textId="77777777" w:rsidR="00E014B4" w:rsidRPr="007B0590" w:rsidRDefault="00E014B4" w:rsidP="00D95E0E">
      <w:pPr>
        <w:keepNext/>
        <w:keepLines/>
        <w:tabs>
          <w:tab w:val="center" w:pos="284"/>
        </w:tabs>
        <w:ind w:left="266" w:hanging="266"/>
        <w:rPr>
          <w:b/>
        </w:rPr>
      </w:pPr>
      <w:r w:rsidRPr="007B0590">
        <w:rPr>
          <w:b/>
        </w:rPr>
        <w:t>Keskeiset kohdat</w:t>
      </w:r>
    </w:p>
    <w:p w14:paraId="75EB1344" w14:textId="77777777" w:rsidR="00E014B4" w:rsidRPr="007B0590" w:rsidRDefault="00E014B4" w:rsidP="00D95E0E">
      <w:pPr>
        <w:keepNext/>
        <w:keepLines/>
        <w:tabs>
          <w:tab w:val="center" w:pos="284"/>
        </w:tabs>
        <w:ind w:left="266" w:hanging="266"/>
        <w:rPr>
          <w:b/>
        </w:rPr>
      </w:pPr>
    </w:p>
    <w:p w14:paraId="564F14C2" w14:textId="77777777" w:rsidR="00E014B4" w:rsidRPr="007B0590" w:rsidRDefault="00E014B4" w:rsidP="00D95E0E">
      <w:pPr>
        <w:ind w:left="425" w:hanging="425"/>
      </w:pPr>
      <w:r w:rsidRPr="007B0590">
        <w:t>ETSK</w:t>
      </w:r>
    </w:p>
    <w:p w14:paraId="32DC3676" w14:textId="77777777" w:rsidR="00E014B4" w:rsidRDefault="00E014B4" w:rsidP="00D95E0E">
      <w:pPr>
        <w:pStyle w:val="ListParagraph"/>
        <w:numPr>
          <w:ilvl w:val="0"/>
          <w:numId w:val="15"/>
        </w:numPr>
        <w:ind w:left="426"/>
      </w:pPr>
      <w:r>
        <w:t>on vakuuttunut siitä, että eurooppalaisten julkishyödykkeiden tarjonnalla on huomattava merkitys kansalaisten hyvinvoinnin kannalta, ja katsoo siksi, että niiden yksilöimiseen ja tarjoamiseen olisi kiinnitettävä erityistä huomiota seuraavassa, vuoden 2027 jälkeisessä monivuotisessa rahoituskehyksessä.</w:t>
      </w:r>
    </w:p>
    <w:p w14:paraId="45221A7E" w14:textId="77777777" w:rsidR="00E014B4" w:rsidRDefault="00E014B4" w:rsidP="00D95E0E">
      <w:pPr>
        <w:pStyle w:val="ListParagraph"/>
        <w:numPr>
          <w:ilvl w:val="0"/>
          <w:numId w:val="15"/>
        </w:numPr>
        <w:ind w:left="426"/>
      </w:pPr>
      <w:r>
        <w:t>kiinnittää huomiota myös globaalien julkishyödykkeiden, kuten rauhan, köyhyyden torjunnan, ympäristönsuojelun ja rahoitusvakauden, kasvavaan merkitykseen ja korostaa tarvetta vahvistaa globaalihallintaa ja siitä vastaavia organisaatioita (Yhdistyneet kansakunnat, Maailman kauppajärjestö, Kansainvälinen valuuttarahasto, Maailmanpankki jne.).</w:t>
      </w:r>
    </w:p>
    <w:p w14:paraId="485F3481" w14:textId="77777777" w:rsidR="00E014B4" w:rsidRDefault="00E014B4" w:rsidP="00D95E0E">
      <w:pPr>
        <w:pStyle w:val="ListParagraph"/>
        <w:numPr>
          <w:ilvl w:val="0"/>
          <w:numId w:val="15"/>
        </w:numPr>
        <w:ind w:left="426"/>
      </w:pPr>
      <w:r>
        <w:t>katsoo, että ns. toiminnalliset eurooppalaiset julkishyödykkeet, jotka liittyvät Euroopan unionista tehdyn sopimuksen 3 artiklaan ja joiden avulla voidaan varmistaa EU:n sujuva toiminta, vaativat erityistä huomiota. Niihin kuuluvat sisämarkkinoiden toteuttaminen, talous- ja rahaliiton loppuunsaattaminen, taloudellinen, sosiaalinen ja alueellinen yhteenkuuluvuus, EU:n avoin strateginen riippumattomuus (esimerkiksi EU:n yhteinen terveyspolitiikka, elintarviketurva ja EU:n energiaunioni), puolustus ja turvallisuus, EU:n tutkimus- ja kehitystoiminta sekä oikeusvaltioperiaate.</w:t>
      </w:r>
    </w:p>
    <w:p w14:paraId="076E25D0" w14:textId="77777777" w:rsidR="00E014B4" w:rsidRDefault="00E014B4" w:rsidP="00D95E0E">
      <w:pPr>
        <w:pStyle w:val="ListParagraph"/>
        <w:numPr>
          <w:ilvl w:val="0"/>
          <w:numId w:val="15"/>
        </w:numPr>
        <w:ind w:left="426"/>
      </w:pPr>
      <w:r>
        <w:t>tähdentää, että kaikissa eurooppalaisista julkishyödykkeistä käytävissä keskusteluissa on tärkeää ottaa huomioon EU:n tuoma lisäarvo. BKT:tä voitaisiin eurooppalaisten julkishyödykkeiden avulla saada lisättyä, mutta jos EU:n yhdentyminen ei etene, tämä lisäysmahdollisuus saattaa mennä sivu suun, jolloin niin sanotut Euroopan yhdentymisen toteutumattomuuden kustannukset konkretisoituvat.</w:t>
      </w:r>
    </w:p>
    <w:p w14:paraId="27AD5416" w14:textId="77777777" w:rsidR="00E014B4" w:rsidRDefault="00E014B4" w:rsidP="00D95E0E">
      <w:pPr>
        <w:pStyle w:val="ListParagraph"/>
        <w:numPr>
          <w:ilvl w:val="0"/>
          <w:numId w:val="15"/>
        </w:numPr>
        <w:ind w:left="426"/>
      </w:pPr>
      <w:r>
        <w:t xml:space="preserve">korostaa, että seuraavan monivuotisen rahoituskehyksen on eurooppalaisia julkishyödykkeitä varten kaavaillun kehyksen, strategisten painopisteiden sekä vallitsevasta monihäiriötilasta johtuvien haasteiden vuoksi oltava kunnianhimoinen: ”seuraavan monivuotisen rahoituskehyksen taso prosenttiosuutena suhteessa </w:t>
      </w:r>
      <w:proofErr w:type="spellStart"/>
      <w:r>
        <w:t>BKTL:oon</w:t>
      </w:r>
      <w:proofErr w:type="spellEnd"/>
      <w:r>
        <w:t xml:space="preserve"> ei saisi laskea reaalisesti, vaan sen pitäisi tosiasiallisesti nousta huomattavasti, jotta kasvaviin haasteisiin pystytään vastaamaan EU:n tasolla”.</w:t>
      </w:r>
    </w:p>
    <w:p w14:paraId="3F7F9A52" w14:textId="77777777" w:rsidR="00E014B4" w:rsidRDefault="00E014B4" w:rsidP="00D95E0E">
      <w:pPr>
        <w:pStyle w:val="ListParagraph"/>
        <w:numPr>
          <w:ilvl w:val="0"/>
          <w:numId w:val="15"/>
        </w:numPr>
        <w:ind w:left="426"/>
      </w:pPr>
      <w:r>
        <w:t>katsoo, että nyt on tärkeämpää kuin koskaan tutkia perusteellisemmin erilaisia tapoja rahoittaa eurooppalaisia julkishyödykkeitä riittävin EU:n omin varoin.</w:t>
      </w:r>
    </w:p>
    <w:p w14:paraId="1D501CD3" w14:textId="77777777" w:rsidR="00E014B4" w:rsidRDefault="00E014B4" w:rsidP="00D95E0E">
      <w:pPr>
        <w:pStyle w:val="ListParagraph"/>
        <w:numPr>
          <w:ilvl w:val="0"/>
          <w:numId w:val="15"/>
        </w:numPr>
        <w:ind w:left="426"/>
      </w:pPr>
      <w:r>
        <w:t>on huolestunut EU:n omia varoja koskevien päätösten viivästymisestä ja varoittaa, että umpikuja päätösten teossa saattaisi vaarantaa jopa EU:n olemassaolon.</w:t>
      </w:r>
    </w:p>
    <w:p w14:paraId="256E86BF" w14:textId="77777777" w:rsidR="00E014B4" w:rsidRPr="007B0590" w:rsidRDefault="00E014B4" w:rsidP="00D95E0E">
      <w:pPr>
        <w:pStyle w:val="ListParagraph"/>
        <w:ind w:left="567"/>
      </w:pPr>
    </w:p>
    <w:tbl>
      <w:tblPr>
        <w:tblW w:w="5691" w:type="dxa"/>
        <w:tblLook w:val="04A0" w:firstRow="1" w:lastRow="0" w:firstColumn="1" w:lastColumn="0" w:noHBand="0" w:noVBand="1"/>
      </w:tblPr>
      <w:tblGrid>
        <w:gridCol w:w="1402"/>
        <w:gridCol w:w="4289"/>
      </w:tblGrid>
      <w:tr w:rsidR="00E014B4" w14:paraId="605A8190" w14:textId="77777777" w:rsidTr="00E014B4">
        <w:tc>
          <w:tcPr>
            <w:tcW w:w="1173" w:type="dxa"/>
            <w:hideMark/>
          </w:tcPr>
          <w:p w14:paraId="1C341ACA" w14:textId="77777777" w:rsidR="00E014B4" w:rsidRDefault="00E014B4" w:rsidP="00D95E0E">
            <w:pPr>
              <w:rPr>
                <w:bCs/>
                <w:i/>
              </w:rPr>
            </w:pPr>
            <w:r>
              <w:rPr>
                <w:b/>
                <w:bCs/>
                <w:i/>
              </w:rPr>
              <w:t>Yhteydenotot</w:t>
            </w:r>
          </w:p>
        </w:tc>
        <w:tc>
          <w:tcPr>
            <w:tcW w:w="4518" w:type="dxa"/>
            <w:hideMark/>
          </w:tcPr>
          <w:p w14:paraId="15F48337" w14:textId="0841033F" w:rsidR="00E014B4" w:rsidRDefault="00E014B4" w:rsidP="00D95E0E">
            <w:pPr>
              <w:rPr>
                <w:bCs/>
                <w:i/>
                <w:iCs/>
              </w:rPr>
            </w:pPr>
            <w:r>
              <w:rPr>
                <w:i/>
              </w:rPr>
              <w:t xml:space="preserve">Gerald </w:t>
            </w:r>
            <w:proofErr w:type="spellStart"/>
            <w:r w:rsidR="00057DCF">
              <w:rPr>
                <w:i/>
              </w:rPr>
              <w:t>Klec</w:t>
            </w:r>
            <w:proofErr w:type="spellEnd"/>
          </w:p>
        </w:tc>
      </w:tr>
      <w:tr w:rsidR="00E014B4" w14:paraId="378F7B3B" w14:textId="77777777" w:rsidTr="00E014B4">
        <w:tc>
          <w:tcPr>
            <w:tcW w:w="1173" w:type="dxa"/>
            <w:hideMark/>
          </w:tcPr>
          <w:p w14:paraId="0B294E14" w14:textId="77777777" w:rsidR="00E014B4" w:rsidRDefault="00E014B4" w:rsidP="00D95E0E">
            <w:pPr>
              <w:rPr>
                <w:i/>
              </w:rPr>
            </w:pPr>
            <w:r>
              <w:rPr>
                <w:i/>
              </w:rPr>
              <w:t>P.</w:t>
            </w:r>
          </w:p>
        </w:tc>
        <w:tc>
          <w:tcPr>
            <w:tcW w:w="4518" w:type="dxa"/>
            <w:hideMark/>
          </w:tcPr>
          <w:p w14:paraId="4AA503CC" w14:textId="77777777" w:rsidR="00E014B4" w:rsidRDefault="00E014B4" w:rsidP="00D95E0E">
            <w:pPr>
              <w:rPr>
                <w:i/>
                <w:iCs/>
              </w:rPr>
            </w:pPr>
            <w:r>
              <w:rPr>
                <w:i/>
              </w:rPr>
              <w:t>+32 25469909</w:t>
            </w:r>
          </w:p>
        </w:tc>
      </w:tr>
      <w:tr w:rsidR="00E014B4" w14:paraId="08DD5D77" w14:textId="77777777" w:rsidTr="00E014B4">
        <w:tc>
          <w:tcPr>
            <w:tcW w:w="1173" w:type="dxa"/>
            <w:hideMark/>
          </w:tcPr>
          <w:p w14:paraId="16776346" w14:textId="77777777" w:rsidR="00E014B4" w:rsidRDefault="00E014B4" w:rsidP="00D95E0E">
            <w:pPr>
              <w:rPr>
                <w:i/>
              </w:rPr>
            </w:pPr>
            <w:r>
              <w:rPr>
                <w:i/>
              </w:rPr>
              <w:t>Sähköposti</w:t>
            </w:r>
          </w:p>
        </w:tc>
        <w:tc>
          <w:tcPr>
            <w:tcW w:w="4518" w:type="dxa"/>
            <w:hideMark/>
          </w:tcPr>
          <w:p w14:paraId="7D2829ED" w14:textId="77777777" w:rsidR="00E014B4" w:rsidRPr="00FA4385" w:rsidRDefault="0061775F" w:rsidP="00D95E0E">
            <w:pPr>
              <w:rPr>
                <w:i/>
                <w:iCs/>
              </w:rPr>
            </w:pPr>
            <w:hyperlink r:id="rId21" w:history="1">
              <w:r w:rsidR="00E014B4" w:rsidRPr="00FA4385">
                <w:rPr>
                  <w:rStyle w:val="Hyperlink"/>
                  <w:i/>
                  <w:iCs/>
                </w:rPr>
                <w:t>Gerald.Klec@eesc.europa.eu</w:t>
              </w:r>
            </w:hyperlink>
            <w:r w:rsidR="00E014B4" w:rsidRPr="00FA4385">
              <w:rPr>
                <w:i/>
                <w:iCs/>
              </w:rPr>
              <w:t xml:space="preserve"> </w:t>
            </w:r>
          </w:p>
        </w:tc>
      </w:tr>
    </w:tbl>
    <w:p w14:paraId="3C3C037B" w14:textId="77777777" w:rsidR="00E014B4" w:rsidRDefault="00E014B4" w:rsidP="00D95E0E">
      <w:pPr>
        <w:jc w:val="left"/>
      </w:pPr>
      <w:r>
        <w:br w:type="page"/>
      </w:r>
    </w:p>
    <w:p w14:paraId="66592BA6" w14:textId="402CDB33" w:rsidR="00E014B4" w:rsidRDefault="0061775F" w:rsidP="00D95E0E">
      <w:pPr>
        <w:numPr>
          <w:ilvl w:val="0"/>
          <w:numId w:val="3"/>
        </w:numPr>
        <w:overflowPunct w:val="0"/>
        <w:autoSpaceDE w:val="0"/>
        <w:autoSpaceDN w:val="0"/>
        <w:adjustRightInd w:val="0"/>
        <w:ind w:left="283"/>
        <w:rPr>
          <w:b/>
          <w:i/>
          <w:iCs/>
          <w:sz w:val="28"/>
          <w:szCs w:val="28"/>
        </w:rPr>
      </w:pPr>
      <w:hyperlink r:id="rId22" w:history="1">
        <w:r w:rsidR="00E014B4">
          <w:rPr>
            <w:rStyle w:val="Hyperlink"/>
            <w:b/>
            <w:i/>
            <w:sz w:val="28"/>
          </w:rPr>
          <w:t>Puolustukseen liittyvät investoinnit EU:n talousarviossa</w:t>
        </w:r>
      </w:hyperlink>
    </w:p>
    <w:p w14:paraId="05EC6CEE" w14:textId="77777777" w:rsidR="00E014B4" w:rsidRDefault="00E014B4" w:rsidP="00D95E0E">
      <w:pPr>
        <w:ind w:left="284"/>
        <w:rPr>
          <w:b/>
          <w:i/>
          <w:iCs/>
          <w:sz w:val="20"/>
          <w:szCs w:val="20"/>
        </w:rPr>
      </w:pPr>
    </w:p>
    <w:tbl>
      <w:tblPr>
        <w:tblW w:w="9322" w:type="dxa"/>
        <w:tblLook w:val="04A0" w:firstRow="1" w:lastRow="0" w:firstColumn="1" w:lastColumn="0" w:noHBand="0" w:noVBand="1"/>
      </w:tblPr>
      <w:tblGrid>
        <w:gridCol w:w="1701"/>
        <w:gridCol w:w="7621"/>
      </w:tblGrid>
      <w:tr w:rsidR="00E014B4" w14:paraId="103CA790" w14:textId="77777777" w:rsidTr="00E014B4">
        <w:tc>
          <w:tcPr>
            <w:tcW w:w="1701" w:type="dxa"/>
            <w:hideMark/>
          </w:tcPr>
          <w:p w14:paraId="5A1B8FF8" w14:textId="77777777" w:rsidR="00E014B4" w:rsidRDefault="00E014B4" w:rsidP="00D95E0E">
            <w:pPr>
              <w:tabs>
                <w:tab w:val="center" w:pos="284"/>
              </w:tabs>
              <w:ind w:left="266" w:hanging="266"/>
              <w:rPr>
                <w:b/>
              </w:rPr>
            </w:pPr>
            <w:r>
              <w:rPr>
                <w:b/>
              </w:rPr>
              <w:t>Esittelijä</w:t>
            </w:r>
          </w:p>
          <w:p w14:paraId="6E6F0F0F" w14:textId="77777777" w:rsidR="00E014B4" w:rsidRDefault="00E014B4" w:rsidP="00D95E0E">
            <w:pPr>
              <w:tabs>
                <w:tab w:val="center" w:pos="284"/>
              </w:tabs>
              <w:ind w:left="266" w:hanging="266"/>
              <w:rPr>
                <w:b/>
              </w:rPr>
            </w:pPr>
            <w:r>
              <w:rPr>
                <w:b/>
              </w:rPr>
              <w:t>Yhteisesittelijä</w:t>
            </w:r>
          </w:p>
        </w:tc>
        <w:tc>
          <w:tcPr>
            <w:tcW w:w="7621" w:type="dxa"/>
            <w:hideMark/>
          </w:tcPr>
          <w:p w14:paraId="35A196DB" w14:textId="58B2D211" w:rsidR="00E014B4" w:rsidRDefault="00E014B4" w:rsidP="00D95E0E">
            <w:pPr>
              <w:tabs>
                <w:tab w:val="center" w:pos="284"/>
              </w:tabs>
              <w:ind w:left="266" w:hanging="266"/>
              <w:rPr>
                <w:bCs/>
              </w:rPr>
            </w:pPr>
            <w:proofErr w:type="spellStart"/>
            <w:r>
              <w:t>Jacek</w:t>
            </w:r>
            <w:proofErr w:type="spellEnd"/>
            <w:r>
              <w:t xml:space="preserve"> </w:t>
            </w:r>
            <w:r w:rsidR="00522685">
              <w:t xml:space="preserve">KRAWCZYK </w:t>
            </w:r>
            <w:r>
              <w:t>(työnantajat – PL)</w:t>
            </w:r>
          </w:p>
          <w:p w14:paraId="13251253" w14:textId="6042CAA3" w:rsidR="00E014B4" w:rsidRDefault="00E014B4" w:rsidP="00D95E0E">
            <w:pPr>
              <w:tabs>
                <w:tab w:val="center" w:pos="284"/>
              </w:tabs>
              <w:ind w:left="266" w:hanging="266"/>
              <w:rPr>
                <w:bCs/>
              </w:rPr>
            </w:pPr>
            <w:proofErr w:type="spellStart"/>
            <w:r>
              <w:t>Florian</w:t>
            </w:r>
            <w:proofErr w:type="spellEnd"/>
            <w:r>
              <w:t xml:space="preserve"> </w:t>
            </w:r>
            <w:r w:rsidR="00522685">
              <w:t xml:space="preserve">MARIN </w:t>
            </w:r>
            <w:r>
              <w:t>(työntekijät – RO)</w:t>
            </w:r>
          </w:p>
        </w:tc>
      </w:tr>
      <w:tr w:rsidR="00E014B4" w14:paraId="4F75C841" w14:textId="77777777" w:rsidTr="00E014B4">
        <w:tc>
          <w:tcPr>
            <w:tcW w:w="1701" w:type="dxa"/>
            <w:hideMark/>
          </w:tcPr>
          <w:p w14:paraId="01F4F5A4" w14:textId="77777777" w:rsidR="00E014B4" w:rsidRDefault="00E014B4" w:rsidP="00D95E0E">
            <w:pPr>
              <w:tabs>
                <w:tab w:val="center" w:pos="284"/>
              </w:tabs>
              <w:ind w:left="266" w:hanging="266"/>
              <w:rPr>
                <w:b/>
              </w:rPr>
            </w:pPr>
            <w:r>
              <w:rPr>
                <w:b/>
              </w:rPr>
              <w:t>Viiteasiakirjat</w:t>
            </w:r>
          </w:p>
        </w:tc>
        <w:tc>
          <w:tcPr>
            <w:tcW w:w="7621" w:type="dxa"/>
            <w:hideMark/>
          </w:tcPr>
          <w:p w14:paraId="2D803C24" w14:textId="77777777" w:rsidR="00E014B4" w:rsidRDefault="00E014B4" w:rsidP="00D95E0E">
            <w:pPr>
              <w:tabs>
                <w:tab w:val="center" w:pos="284"/>
              </w:tabs>
              <w:ind w:left="266" w:hanging="266"/>
              <w:rPr>
                <w:szCs w:val="20"/>
              </w:rPr>
            </w:pPr>
            <w:r>
              <w:t xml:space="preserve">COM(2025) 188 </w:t>
            </w:r>
            <w:proofErr w:type="spellStart"/>
            <w:r>
              <w:t>final</w:t>
            </w:r>
            <w:proofErr w:type="spellEnd"/>
            <w:r>
              <w:t xml:space="preserve"> </w:t>
            </w:r>
            <w:r>
              <w:rPr>
                <w:b/>
                <w:i/>
              </w:rPr>
              <w:t xml:space="preserve">– </w:t>
            </w:r>
            <w:r>
              <w:t>2025/0103 (COD)</w:t>
            </w:r>
          </w:p>
          <w:p w14:paraId="2B900753" w14:textId="77777777" w:rsidR="00E014B4" w:rsidRDefault="00E014B4" w:rsidP="00D95E0E">
            <w:pPr>
              <w:tabs>
                <w:tab w:val="center" w:pos="284"/>
              </w:tabs>
              <w:ind w:left="266" w:hanging="266"/>
            </w:pPr>
            <w:r>
              <w:t>EESC-2025-01682-00-00-AC-TRA</w:t>
            </w:r>
          </w:p>
        </w:tc>
      </w:tr>
    </w:tbl>
    <w:p w14:paraId="068D39AE" w14:textId="77777777" w:rsidR="00522685" w:rsidRDefault="00522685" w:rsidP="00D95E0E">
      <w:pPr>
        <w:keepNext/>
        <w:keepLines/>
        <w:tabs>
          <w:tab w:val="center" w:pos="284"/>
        </w:tabs>
        <w:ind w:left="266" w:hanging="266"/>
        <w:rPr>
          <w:b/>
        </w:rPr>
      </w:pPr>
    </w:p>
    <w:p w14:paraId="74903BEE" w14:textId="0719DF03" w:rsidR="00E014B4" w:rsidRDefault="00E014B4" w:rsidP="00D95E0E">
      <w:pPr>
        <w:keepNext/>
        <w:keepLines/>
        <w:tabs>
          <w:tab w:val="center" w:pos="284"/>
        </w:tabs>
        <w:ind w:left="266" w:hanging="266"/>
        <w:rPr>
          <w:b/>
        </w:rPr>
      </w:pPr>
      <w:r>
        <w:rPr>
          <w:b/>
        </w:rPr>
        <w:t>Keskeiset kohdat</w:t>
      </w:r>
    </w:p>
    <w:p w14:paraId="5C57FCE4" w14:textId="77777777" w:rsidR="00E014B4" w:rsidRDefault="00E014B4" w:rsidP="00D95E0E">
      <w:pPr>
        <w:rPr>
          <w:bCs/>
          <w:iCs/>
        </w:rPr>
      </w:pPr>
    </w:p>
    <w:p w14:paraId="368D922B" w14:textId="77777777" w:rsidR="00E014B4" w:rsidRDefault="00E014B4" w:rsidP="00D95E0E">
      <w:pPr>
        <w:rPr>
          <w:bCs/>
          <w:iCs/>
        </w:rPr>
      </w:pPr>
      <w:r>
        <w:t>ETSK</w:t>
      </w:r>
    </w:p>
    <w:p w14:paraId="702D3F34" w14:textId="77777777" w:rsidR="00E014B4" w:rsidRDefault="00E014B4" w:rsidP="00D95E0E">
      <w:pPr>
        <w:pStyle w:val="Heading2"/>
        <w:numPr>
          <w:ilvl w:val="0"/>
          <w:numId w:val="16"/>
        </w:numPr>
        <w:overflowPunct w:val="0"/>
        <w:autoSpaceDE w:val="0"/>
        <w:autoSpaceDN w:val="0"/>
        <w:adjustRightInd w:val="0"/>
        <w:ind w:left="426"/>
        <w:rPr>
          <w:szCs w:val="20"/>
        </w:rPr>
      </w:pPr>
      <w:bookmarkStart w:id="2" w:name="_Toc210812676"/>
      <w:r>
        <w:t>korostaa, että rauhan on oltava jatkossakin EU:n keskeinen tavoite ja painottaa diplomatian merkitystä konfliktien ratkaisemisen ja kriisien ehkäisemisen välineenä aina kun mahdollista.</w:t>
      </w:r>
      <w:bookmarkEnd w:id="2"/>
    </w:p>
    <w:p w14:paraId="12DEA7F4" w14:textId="77777777" w:rsidR="00E014B4" w:rsidRDefault="00E014B4" w:rsidP="00D95E0E">
      <w:pPr>
        <w:pStyle w:val="Heading2"/>
        <w:numPr>
          <w:ilvl w:val="0"/>
          <w:numId w:val="16"/>
        </w:numPr>
        <w:overflowPunct w:val="0"/>
        <w:autoSpaceDE w:val="0"/>
        <w:autoSpaceDN w:val="0"/>
        <w:adjustRightInd w:val="0"/>
        <w:ind w:left="426"/>
      </w:pPr>
      <w:bookmarkStart w:id="3" w:name="_Toc210812677"/>
      <w:r>
        <w:t>kannattaa kattavaa ja osallistavaa eurooppalaista puolustusstrategiaa, jossa sotilaallista valmiutta täydennetään siviilivalmiudella.</w:t>
      </w:r>
      <w:bookmarkEnd w:id="3"/>
    </w:p>
    <w:p w14:paraId="02DDEB13" w14:textId="77777777" w:rsidR="00E014B4" w:rsidRDefault="00E014B4" w:rsidP="00D95E0E">
      <w:pPr>
        <w:pStyle w:val="Heading2"/>
        <w:numPr>
          <w:ilvl w:val="0"/>
          <w:numId w:val="16"/>
        </w:numPr>
        <w:overflowPunct w:val="0"/>
        <w:autoSpaceDE w:val="0"/>
        <w:autoSpaceDN w:val="0"/>
        <w:adjustRightInd w:val="0"/>
        <w:ind w:left="426"/>
      </w:pPr>
      <w:bookmarkStart w:id="4" w:name="_Toc210812678"/>
      <w:r>
        <w:t>antaa tukensa Euroopan komission valkoiselle kirjalle Euroopan puolustusvalmiudesta vuoteen 2030 mennessä ja kehottaa EU:ta omaksumaan koordinoidun toimintamallin, jossa puolustusta, rauhaa ja turvallisuutta pidetään yhteisinä julkishyödykkeinä ja jota tuetaan vahvoilla oikeudellisilla, institutionaalisilla ja taloudellisilla puitteilla demokraattisine valvontajärjestelyineen.</w:t>
      </w:r>
      <w:bookmarkEnd w:id="4"/>
    </w:p>
    <w:p w14:paraId="168FEA8F" w14:textId="77777777" w:rsidR="00E014B4" w:rsidRDefault="00E014B4" w:rsidP="00D95E0E">
      <w:pPr>
        <w:pStyle w:val="Heading2"/>
        <w:numPr>
          <w:ilvl w:val="0"/>
          <w:numId w:val="16"/>
        </w:numPr>
        <w:overflowPunct w:val="0"/>
        <w:autoSpaceDE w:val="0"/>
        <w:autoSpaceDN w:val="0"/>
        <w:adjustRightInd w:val="0"/>
        <w:ind w:left="426"/>
      </w:pPr>
      <w:bookmarkStart w:id="5" w:name="_Toc210812679"/>
      <w:r>
        <w:t xml:space="preserve">panee merkille, että ehdotus EU:n talousarvioon tehtävien puolustukseen liittyvien investointien edistämisestä </w:t>
      </w:r>
      <w:proofErr w:type="spellStart"/>
      <w:r>
        <w:t>ReArm</w:t>
      </w:r>
      <w:proofErr w:type="spellEnd"/>
      <w:r>
        <w:t xml:space="preserve"> Europe -suunnitelman toteuttamiseksi on annettu ripeästi.</w:t>
      </w:r>
      <w:bookmarkEnd w:id="5"/>
    </w:p>
    <w:p w14:paraId="2A261B56" w14:textId="77777777" w:rsidR="00E014B4" w:rsidRDefault="00E014B4" w:rsidP="00D95E0E">
      <w:pPr>
        <w:pStyle w:val="Heading2"/>
        <w:numPr>
          <w:ilvl w:val="0"/>
          <w:numId w:val="16"/>
        </w:numPr>
        <w:overflowPunct w:val="0"/>
        <w:autoSpaceDE w:val="0"/>
        <w:autoSpaceDN w:val="0"/>
        <w:adjustRightInd w:val="0"/>
        <w:ind w:left="426"/>
      </w:pPr>
      <w:bookmarkStart w:id="6" w:name="_Toc210812680"/>
      <w:r>
        <w:t>tukee ehdotuksen päätavoitetta edistää ja helpottaa edelleen puolustusinvestointeja mahdollistamalla joustavammat ja koordinoidut investoinnit Euroopan puolustuksen teolliseen ja teknologiseen perustaan (EDTIB) puolustusvalmiuden saavuttamiseksi viiden vuoden sisällä.</w:t>
      </w:r>
      <w:bookmarkEnd w:id="6"/>
    </w:p>
    <w:p w14:paraId="12F3833E" w14:textId="77777777" w:rsidR="00E014B4" w:rsidRDefault="00E014B4" w:rsidP="00D95E0E">
      <w:pPr>
        <w:pStyle w:val="Heading2"/>
        <w:numPr>
          <w:ilvl w:val="0"/>
          <w:numId w:val="16"/>
        </w:numPr>
        <w:overflowPunct w:val="0"/>
        <w:autoSpaceDE w:val="0"/>
        <w:autoSpaceDN w:val="0"/>
        <w:adjustRightInd w:val="0"/>
        <w:ind w:left="426"/>
      </w:pPr>
      <w:bookmarkStart w:id="7" w:name="_Toc210812681"/>
      <w:r>
        <w:t>suosittaa ja ehdottaa muutoksia lainsäädäntöehdotukseen seuraavilla aloilla:</w:t>
      </w:r>
      <w:bookmarkEnd w:id="7"/>
      <w:r>
        <w:t xml:space="preserve"> </w:t>
      </w:r>
    </w:p>
    <w:p w14:paraId="22FEA290" w14:textId="77777777" w:rsidR="00E014B4" w:rsidRDefault="00E014B4" w:rsidP="00D95E0E">
      <w:pPr>
        <w:pStyle w:val="Heading2"/>
        <w:numPr>
          <w:ilvl w:val="0"/>
          <w:numId w:val="16"/>
        </w:numPr>
        <w:overflowPunct w:val="0"/>
        <w:autoSpaceDE w:val="0"/>
        <w:autoSpaceDN w:val="0"/>
        <w:adjustRightInd w:val="0"/>
        <w:ind w:left="851"/>
      </w:pPr>
      <w:bookmarkStart w:id="8" w:name="_Toc210812682"/>
      <w:r>
        <w:t>satelliittivälitteisen tiedustelun ja viestinnän sisällyttäminen ehdotukseen</w:t>
      </w:r>
      <w:bookmarkEnd w:id="8"/>
    </w:p>
    <w:p w14:paraId="1DAF3B44" w14:textId="77777777" w:rsidR="00E014B4" w:rsidRDefault="00E014B4" w:rsidP="00D95E0E">
      <w:pPr>
        <w:pStyle w:val="Heading2"/>
        <w:numPr>
          <w:ilvl w:val="0"/>
          <w:numId w:val="16"/>
        </w:numPr>
        <w:overflowPunct w:val="0"/>
        <w:autoSpaceDE w:val="0"/>
        <w:autoSpaceDN w:val="0"/>
        <w:adjustRightInd w:val="0"/>
        <w:ind w:left="851"/>
      </w:pPr>
      <w:bookmarkStart w:id="9" w:name="_Toc210812683"/>
      <w:proofErr w:type="spellStart"/>
      <w:r>
        <w:t>yhteentoimivuus</w:t>
      </w:r>
      <w:bookmarkEnd w:id="9"/>
      <w:proofErr w:type="spellEnd"/>
    </w:p>
    <w:p w14:paraId="66816815" w14:textId="77777777" w:rsidR="00E014B4" w:rsidRDefault="00E014B4" w:rsidP="00D95E0E">
      <w:pPr>
        <w:pStyle w:val="Heading2"/>
        <w:numPr>
          <w:ilvl w:val="0"/>
          <w:numId w:val="16"/>
        </w:numPr>
        <w:overflowPunct w:val="0"/>
        <w:autoSpaceDE w:val="0"/>
        <w:autoSpaceDN w:val="0"/>
        <w:adjustRightInd w:val="0"/>
        <w:ind w:left="851"/>
      </w:pPr>
      <w:bookmarkStart w:id="10" w:name="_Toc210812684"/>
      <w:r>
        <w:t>varojen siirtäminen ja enimmäisprosenttimäärän asettaminen siirrettäville varoille</w:t>
      </w:r>
      <w:bookmarkEnd w:id="10"/>
    </w:p>
    <w:p w14:paraId="0D82D94E" w14:textId="77777777" w:rsidR="00E014B4" w:rsidRDefault="00E014B4" w:rsidP="00D95E0E">
      <w:pPr>
        <w:pStyle w:val="Heading2"/>
        <w:numPr>
          <w:ilvl w:val="0"/>
          <w:numId w:val="16"/>
        </w:numPr>
        <w:overflowPunct w:val="0"/>
        <w:autoSpaceDE w:val="0"/>
        <w:autoSpaceDN w:val="0"/>
        <w:adjustRightInd w:val="0"/>
        <w:ind w:left="851"/>
      </w:pPr>
      <w:bookmarkStart w:id="11" w:name="_Toc210812685"/>
      <w:r>
        <w:t>kaksikäyttötarkoitusten mainitseminen</w:t>
      </w:r>
      <w:bookmarkEnd w:id="11"/>
    </w:p>
    <w:p w14:paraId="6FD7397C" w14:textId="77777777" w:rsidR="00E014B4" w:rsidRDefault="00E014B4" w:rsidP="00D95E0E">
      <w:pPr>
        <w:pStyle w:val="Heading2"/>
        <w:numPr>
          <w:ilvl w:val="0"/>
          <w:numId w:val="16"/>
        </w:numPr>
        <w:overflowPunct w:val="0"/>
        <w:autoSpaceDE w:val="0"/>
        <w:autoSpaceDN w:val="0"/>
        <w:adjustRightInd w:val="0"/>
        <w:ind w:left="851"/>
      </w:pPr>
      <w:bookmarkStart w:id="12" w:name="_Toc210812686"/>
      <w:r>
        <w:t>riittävä joustavuus nykyisissä sopimuksissa</w:t>
      </w:r>
      <w:bookmarkEnd w:id="12"/>
    </w:p>
    <w:p w14:paraId="2EC53412" w14:textId="77777777" w:rsidR="00E014B4" w:rsidRDefault="00E014B4" w:rsidP="00D95E0E">
      <w:pPr>
        <w:pStyle w:val="Heading2"/>
        <w:numPr>
          <w:ilvl w:val="0"/>
          <w:numId w:val="16"/>
        </w:numPr>
        <w:overflowPunct w:val="0"/>
        <w:autoSpaceDE w:val="0"/>
        <w:autoSpaceDN w:val="0"/>
        <w:adjustRightInd w:val="0"/>
        <w:ind w:left="851"/>
      </w:pPr>
      <w:bookmarkStart w:id="13" w:name="_Toc210812687"/>
      <w:r>
        <w:t>EU:n yhteinen strategia kompensaatiolle</w:t>
      </w:r>
      <w:bookmarkEnd w:id="13"/>
    </w:p>
    <w:p w14:paraId="5E6B7147" w14:textId="77777777" w:rsidR="00E014B4" w:rsidRDefault="00E014B4" w:rsidP="00D95E0E">
      <w:pPr>
        <w:pStyle w:val="Heading2"/>
        <w:numPr>
          <w:ilvl w:val="0"/>
          <w:numId w:val="16"/>
        </w:numPr>
        <w:overflowPunct w:val="0"/>
        <w:autoSpaceDE w:val="0"/>
        <w:autoSpaceDN w:val="0"/>
        <w:adjustRightInd w:val="0"/>
        <w:ind w:left="851"/>
      </w:pPr>
      <w:bookmarkStart w:id="14" w:name="_Toc210812688"/>
      <w:r>
        <w:t>avoimuuden lisääminen EU:n ulkopuolisille yrityksille maksettavista kuluista</w:t>
      </w:r>
      <w:bookmarkEnd w:id="14"/>
    </w:p>
    <w:p w14:paraId="5AE5895B" w14:textId="77777777" w:rsidR="00E014B4" w:rsidRDefault="00E014B4" w:rsidP="00D95E0E">
      <w:pPr>
        <w:pStyle w:val="Heading2"/>
        <w:numPr>
          <w:ilvl w:val="0"/>
          <w:numId w:val="16"/>
        </w:numPr>
        <w:overflowPunct w:val="0"/>
        <w:autoSpaceDE w:val="0"/>
        <w:autoSpaceDN w:val="0"/>
        <w:adjustRightInd w:val="0"/>
        <w:ind w:left="851"/>
      </w:pPr>
      <w:bookmarkStart w:id="15" w:name="_Toc210812689"/>
      <w:r>
        <w:t>puolustus- ja kaksikäyttöinvestointeja koskeva EU:n yhteinen rekisteri</w:t>
      </w:r>
      <w:bookmarkEnd w:id="15"/>
    </w:p>
    <w:p w14:paraId="32D35CB9" w14:textId="77777777" w:rsidR="00E014B4" w:rsidRDefault="00E014B4" w:rsidP="00D95E0E">
      <w:pPr>
        <w:pStyle w:val="Heading2"/>
        <w:numPr>
          <w:ilvl w:val="0"/>
          <w:numId w:val="16"/>
        </w:numPr>
        <w:overflowPunct w:val="0"/>
        <w:autoSpaceDE w:val="0"/>
        <w:autoSpaceDN w:val="0"/>
        <w:adjustRightInd w:val="0"/>
        <w:ind w:left="851"/>
      </w:pPr>
      <w:bookmarkStart w:id="16" w:name="_Toc210812690"/>
      <w:r>
        <w:t>täydentävyyden kehittäminen Euroopan sosiaalirahaston kanssa</w:t>
      </w:r>
      <w:bookmarkEnd w:id="16"/>
    </w:p>
    <w:p w14:paraId="7198F7ED" w14:textId="77777777" w:rsidR="00E014B4" w:rsidRDefault="00E014B4" w:rsidP="00D95E0E">
      <w:pPr>
        <w:pStyle w:val="Heading2"/>
        <w:numPr>
          <w:ilvl w:val="0"/>
          <w:numId w:val="16"/>
        </w:numPr>
        <w:overflowPunct w:val="0"/>
        <w:autoSpaceDE w:val="0"/>
        <w:autoSpaceDN w:val="0"/>
        <w:adjustRightInd w:val="0"/>
        <w:ind w:left="851"/>
      </w:pPr>
      <w:bookmarkStart w:id="17" w:name="_Toc210812691"/>
      <w:r>
        <w:t>täydentävyyden varmistaminen Euroopan turvallisuutta edistävän välineen (SAFE-väline) kanssa.</w:t>
      </w:r>
      <w:bookmarkEnd w:id="17"/>
    </w:p>
    <w:p w14:paraId="146C2D52" w14:textId="77777777" w:rsidR="00E014B4" w:rsidRDefault="00E014B4" w:rsidP="00D95E0E">
      <w:pPr>
        <w:rPr>
          <w:bCs/>
          <w:iCs/>
        </w:rPr>
      </w:pPr>
    </w:p>
    <w:tbl>
      <w:tblPr>
        <w:tblW w:w="9322" w:type="dxa"/>
        <w:tblLook w:val="04A0" w:firstRow="1" w:lastRow="0" w:firstColumn="1" w:lastColumn="0" w:noHBand="0" w:noVBand="1"/>
      </w:tblPr>
      <w:tblGrid>
        <w:gridCol w:w="1418"/>
        <w:gridCol w:w="7904"/>
      </w:tblGrid>
      <w:tr w:rsidR="00E014B4" w14:paraId="6CF0D954" w14:textId="77777777" w:rsidTr="00E014B4">
        <w:tc>
          <w:tcPr>
            <w:tcW w:w="1418" w:type="dxa"/>
            <w:hideMark/>
          </w:tcPr>
          <w:p w14:paraId="15135DC3" w14:textId="77777777" w:rsidR="00E014B4" w:rsidRDefault="00E014B4" w:rsidP="00D95E0E">
            <w:pPr>
              <w:rPr>
                <w:i/>
              </w:rPr>
            </w:pPr>
            <w:r>
              <w:rPr>
                <w:b/>
                <w:i/>
              </w:rPr>
              <w:t>Yhteydenotot</w:t>
            </w:r>
          </w:p>
        </w:tc>
        <w:tc>
          <w:tcPr>
            <w:tcW w:w="7904" w:type="dxa"/>
            <w:hideMark/>
          </w:tcPr>
          <w:p w14:paraId="2300B372" w14:textId="73C90383" w:rsidR="00E014B4" w:rsidRDefault="00E014B4" w:rsidP="00D95E0E">
            <w:pPr>
              <w:rPr>
                <w:i/>
              </w:rPr>
            </w:pPr>
            <w:r>
              <w:rPr>
                <w:i/>
              </w:rPr>
              <w:t xml:space="preserve">Gerald </w:t>
            </w:r>
            <w:proofErr w:type="spellStart"/>
            <w:r w:rsidR="00057DCF">
              <w:rPr>
                <w:i/>
              </w:rPr>
              <w:t>Klec</w:t>
            </w:r>
            <w:proofErr w:type="spellEnd"/>
          </w:p>
        </w:tc>
      </w:tr>
      <w:tr w:rsidR="00E014B4" w14:paraId="41C6E4AD" w14:textId="77777777" w:rsidTr="00E014B4">
        <w:tc>
          <w:tcPr>
            <w:tcW w:w="1418" w:type="dxa"/>
            <w:hideMark/>
          </w:tcPr>
          <w:p w14:paraId="6ECE5F34" w14:textId="77777777" w:rsidR="00E014B4" w:rsidRDefault="00E014B4" w:rsidP="00D95E0E">
            <w:pPr>
              <w:rPr>
                <w:i/>
              </w:rPr>
            </w:pPr>
            <w:r>
              <w:rPr>
                <w:i/>
              </w:rPr>
              <w:t>P.</w:t>
            </w:r>
          </w:p>
        </w:tc>
        <w:tc>
          <w:tcPr>
            <w:tcW w:w="7904" w:type="dxa"/>
            <w:hideMark/>
          </w:tcPr>
          <w:p w14:paraId="7E27391C" w14:textId="77777777" w:rsidR="00E014B4" w:rsidRDefault="00E014B4" w:rsidP="00D95E0E">
            <w:pPr>
              <w:rPr>
                <w:i/>
              </w:rPr>
            </w:pPr>
            <w:r>
              <w:rPr>
                <w:i/>
              </w:rPr>
              <w:t>+32 2</w:t>
            </w:r>
            <w:r>
              <w:t xml:space="preserve"> </w:t>
            </w:r>
            <w:r>
              <w:rPr>
                <w:i/>
              </w:rPr>
              <w:t>5469909</w:t>
            </w:r>
          </w:p>
        </w:tc>
      </w:tr>
      <w:tr w:rsidR="00E014B4" w14:paraId="2F7DE311" w14:textId="77777777" w:rsidTr="00E014B4">
        <w:tc>
          <w:tcPr>
            <w:tcW w:w="1418" w:type="dxa"/>
            <w:hideMark/>
          </w:tcPr>
          <w:p w14:paraId="063FA448" w14:textId="77777777" w:rsidR="00E014B4" w:rsidRDefault="00E014B4" w:rsidP="00D95E0E">
            <w:pPr>
              <w:rPr>
                <w:i/>
              </w:rPr>
            </w:pPr>
            <w:r>
              <w:rPr>
                <w:i/>
              </w:rPr>
              <w:t>Sähköposti</w:t>
            </w:r>
          </w:p>
        </w:tc>
        <w:tc>
          <w:tcPr>
            <w:tcW w:w="7904" w:type="dxa"/>
            <w:hideMark/>
          </w:tcPr>
          <w:p w14:paraId="528E130E" w14:textId="77777777" w:rsidR="00E014B4" w:rsidRDefault="0061775F" w:rsidP="00D95E0E">
            <w:pPr>
              <w:rPr>
                <w:i/>
                <w:iCs/>
              </w:rPr>
            </w:pPr>
            <w:hyperlink r:id="rId23" w:history="1">
              <w:r w:rsidR="00E014B4">
                <w:rPr>
                  <w:rStyle w:val="Hyperlink"/>
                  <w:i/>
                </w:rPr>
                <w:t>Gerald.Klec@eesc.europa.eu</w:t>
              </w:r>
            </w:hyperlink>
          </w:p>
        </w:tc>
      </w:tr>
    </w:tbl>
    <w:p w14:paraId="39C2A0B1" w14:textId="3561F62B" w:rsidR="00E014B4" w:rsidRDefault="00E014B4" w:rsidP="00D95E0E">
      <w:pPr>
        <w:pStyle w:val="ListParagraph"/>
        <w:ind w:left="0"/>
      </w:pPr>
    </w:p>
    <w:p w14:paraId="0A2D9562" w14:textId="77777777" w:rsidR="00E014B4" w:rsidRDefault="00E014B4" w:rsidP="00D95E0E">
      <w:pPr>
        <w:jc w:val="left"/>
      </w:pPr>
      <w:r>
        <w:br w:type="page"/>
      </w:r>
    </w:p>
    <w:p w14:paraId="66C4AE47" w14:textId="55AFF522" w:rsidR="00E014B4" w:rsidRDefault="0061775F" w:rsidP="00D95E0E">
      <w:pPr>
        <w:numPr>
          <w:ilvl w:val="0"/>
          <w:numId w:val="3"/>
        </w:numPr>
        <w:overflowPunct w:val="0"/>
        <w:autoSpaceDE w:val="0"/>
        <w:autoSpaceDN w:val="0"/>
        <w:adjustRightInd w:val="0"/>
        <w:spacing w:line="240" w:lineRule="auto"/>
        <w:ind w:hanging="567"/>
        <w:rPr>
          <w:sz w:val="20"/>
        </w:rPr>
      </w:pPr>
      <w:hyperlink r:id="rId24" w:history="1">
        <w:proofErr w:type="spellStart"/>
        <w:r w:rsidR="00E014B4">
          <w:rPr>
            <w:rStyle w:val="Hyperlink"/>
            <w:b/>
            <w:i/>
            <w:sz w:val="28"/>
          </w:rPr>
          <w:t>Arvopaperistamisasetuksen</w:t>
        </w:r>
        <w:proofErr w:type="spellEnd"/>
        <w:r w:rsidR="00E014B4">
          <w:rPr>
            <w:rStyle w:val="Hyperlink"/>
            <w:b/>
            <w:i/>
            <w:sz w:val="28"/>
          </w:rPr>
          <w:t xml:space="preserve"> tarkistaminen</w:t>
        </w:r>
      </w:hyperlink>
    </w:p>
    <w:p w14:paraId="225EBBBA" w14:textId="77777777" w:rsidR="00E014B4" w:rsidRDefault="00E014B4" w:rsidP="00D95E0E">
      <w:pPr>
        <w:tabs>
          <w:tab w:val="center" w:pos="284"/>
        </w:tabs>
        <w:spacing w:line="240" w:lineRule="auto"/>
        <w:ind w:left="266" w:hanging="266"/>
        <w:rPr>
          <w:b/>
        </w:rPr>
      </w:pPr>
    </w:p>
    <w:tbl>
      <w:tblPr>
        <w:tblW w:w="5000" w:type="pct"/>
        <w:tblLook w:val="04A0" w:firstRow="1" w:lastRow="0" w:firstColumn="1" w:lastColumn="0" w:noHBand="0" w:noVBand="1"/>
      </w:tblPr>
      <w:tblGrid>
        <w:gridCol w:w="1954"/>
        <w:gridCol w:w="7119"/>
      </w:tblGrid>
      <w:tr w:rsidR="00E014B4" w14:paraId="091523AB" w14:textId="77777777" w:rsidTr="00E014B4">
        <w:tc>
          <w:tcPr>
            <w:tcW w:w="1077" w:type="pct"/>
            <w:hideMark/>
          </w:tcPr>
          <w:p w14:paraId="2754918F" w14:textId="77777777" w:rsidR="00E014B4" w:rsidRDefault="00E014B4" w:rsidP="00D95E0E">
            <w:pPr>
              <w:tabs>
                <w:tab w:val="center" w:pos="284"/>
              </w:tabs>
              <w:ind w:left="266" w:hanging="266"/>
              <w:rPr>
                <w:b/>
              </w:rPr>
            </w:pPr>
            <w:r>
              <w:rPr>
                <w:b/>
              </w:rPr>
              <w:t>Esittelijä</w:t>
            </w:r>
          </w:p>
        </w:tc>
        <w:tc>
          <w:tcPr>
            <w:tcW w:w="3923" w:type="pct"/>
            <w:hideMark/>
          </w:tcPr>
          <w:p w14:paraId="7260DD42" w14:textId="2F838FF0" w:rsidR="00E014B4" w:rsidRDefault="00E014B4" w:rsidP="00D95E0E">
            <w:pPr>
              <w:tabs>
                <w:tab w:val="center" w:pos="284"/>
              </w:tabs>
              <w:ind w:left="266" w:right="-3091" w:hanging="266"/>
            </w:pPr>
            <w:proofErr w:type="spellStart"/>
            <w:r>
              <w:t>Petru</w:t>
            </w:r>
            <w:proofErr w:type="spellEnd"/>
            <w:r>
              <w:t xml:space="preserve"> Sorin </w:t>
            </w:r>
            <w:r w:rsidR="00522685">
              <w:t xml:space="preserve">DANDEA </w:t>
            </w:r>
            <w:r>
              <w:t>(työntekijät – RO)</w:t>
            </w:r>
          </w:p>
        </w:tc>
      </w:tr>
      <w:tr w:rsidR="00E014B4" w14:paraId="50F143BF" w14:textId="77777777" w:rsidTr="00E014B4">
        <w:tc>
          <w:tcPr>
            <w:tcW w:w="1077" w:type="pct"/>
            <w:hideMark/>
          </w:tcPr>
          <w:p w14:paraId="0B05FFD0" w14:textId="77777777" w:rsidR="00E014B4" w:rsidRDefault="00E014B4" w:rsidP="00D95E0E">
            <w:pPr>
              <w:tabs>
                <w:tab w:val="center" w:pos="284"/>
              </w:tabs>
              <w:ind w:left="266" w:hanging="266"/>
              <w:rPr>
                <w:b/>
              </w:rPr>
            </w:pPr>
            <w:r>
              <w:rPr>
                <w:b/>
              </w:rPr>
              <w:t>Yhteisesittelijä</w:t>
            </w:r>
          </w:p>
        </w:tc>
        <w:tc>
          <w:tcPr>
            <w:tcW w:w="3923" w:type="pct"/>
            <w:hideMark/>
          </w:tcPr>
          <w:p w14:paraId="003373E2" w14:textId="400BF8DA" w:rsidR="00E014B4" w:rsidRDefault="00E014B4" w:rsidP="00D95E0E">
            <w:pPr>
              <w:tabs>
                <w:tab w:val="center" w:pos="284"/>
              </w:tabs>
              <w:ind w:left="266" w:right="-3091" w:hanging="266"/>
              <w:rPr>
                <w:bCs/>
              </w:rPr>
            </w:pPr>
            <w:proofErr w:type="spellStart"/>
            <w:r>
              <w:t>Kęstutis</w:t>
            </w:r>
            <w:proofErr w:type="spellEnd"/>
            <w:r>
              <w:t xml:space="preserve"> </w:t>
            </w:r>
            <w:r w:rsidR="00522685">
              <w:t xml:space="preserve">KUPŠYS </w:t>
            </w:r>
            <w:r>
              <w:t>(kansalaisyhteiskunnan organisaatiot – LT)</w:t>
            </w:r>
          </w:p>
        </w:tc>
      </w:tr>
      <w:tr w:rsidR="00E014B4" w14:paraId="0AB2EB84" w14:textId="77777777" w:rsidTr="00E014B4">
        <w:tc>
          <w:tcPr>
            <w:tcW w:w="1077" w:type="pct"/>
            <w:hideMark/>
          </w:tcPr>
          <w:p w14:paraId="0EA6B5F5" w14:textId="77777777" w:rsidR="00E014B4" w:rsidRDefault="00E014B4" w:rsidP="00D95E0E">
            <w:pPr>
              <w:tabs>
                <w:tab w:val="center" w:pos="284"/>
              </w:tabs>
              <w:ind w:left="266" w:hanging="266"/>
              <w:rPr>
                <w:b/>
              </w:rPr>
            </w:pPr>
            <w:r>
              <w:rPr>
                <w:b/>
              </w:rPr>
              <w:t>Viiteasiakirjat</w:t>
            </w:r>
          </w:p>
        </w:tc>
        <w:tc>
          <w:tcPr>
            <w:tcW w:w="3923" w:type="pct"/>
            <w:hideMark/>
          </w:tcPr>
          <w:p w14:paraId="2C9F24F6" w14:textId="77777777" w:rsidR="00E014B4" w:rsidRDefault="00E014B4" w:rsidP="00D95E0E">
            <w:pPr>
              <w:tabs>
                <w:tab w:val="center" w:pos="284"/>
              </w:tabs>
              <w:ind w:left="266" w:right="-3091" w:hanging="266"/>
            </w:pPr>
            <w:r>
              <w:t xml:space="preserve">COM(2025) 825 </w:t>
            </w:r>
            <w:proofErr w:type="spellStart"/>
            <w:r>
              <w:t>final</w:t>
            </w:r>
            <w:proofErr w:type="spellEnd"/>
            <w:r>
              <w:t xml:space="preserve"> – 2025/0825 (COD)</w:t>
            </w:r>
          </w:p>
          <w:p w14:paraId="7059CA9B" w14:textId="77777777" w:rsidR="00E014B4" w:rsidRDefault="00E014B4" w:rsidP="00D95E0E">
            <w:pPr>
              <w:tabs>
                <w:tab w:val="center" w:pos="284"/>
              </w:tabs>
              <w:ind w:left="266" w:right="-3091" w:hanging="266"/>
            </w:pPr>
            <w:r>
              <w:t xml:space="preserve">COM(2025) 826 </w:t>
            </w:r>
            <w:proofErr w:type="spellStart"/>
            <w:r>
              <w:t>final</w:t>
            </w:r>
            <w:proofErr w:type="spellEnd"/>
            <w:r>
              <w:t xml:space="preserve"> – 2025/0826 (COD)</w:t>
            </w:r>
          </w:p>
          <w:p w14:paraId="3FBE82F6" w14:textId="77777777" w:rsidR="00E014B4" w:rsidRDefault="00E014B4" w:rsidP="00D95E0E">
            <w:pPr>
              <w:tabs>
                <w:tab w:val="center" w:pos="284"/>
              </w:tabs>
              <w:ind w:left="266" w:right="-3091" w:hanging="266"/>
            </w:pPr>
            <w:r>
              <w:t>EESC-2025-02283-00-00-AC-TRA</w:t>
            </w:r>
          </w:p>
        </w:tc>
      </w:tr>
    </w:tbl>
    <w:p w14:paraId="0D01D9C2" w14:textId="77777777" w:rsidR="00E014B4" w:rsidRDefault="00E014B4" w:rsidP="00D95E0E">
      <w:pPr>
        <w:tabs>
          <w:tab w:val="center" w:pos="284"/>
        </w:tabs>
        <w:spacing w:line="240" w:lineRule="auto"/>
        <w:ind w:left="266" w:hanging="266"/>
        <w:rPr>
          <w:b/>
          <w:lang w:val="pt-PT"/>
        </w:rPr>
      </w:pPr>
    </w:p>
    <w:p w14:paraId="1B0BA0CD" w14:textId="77777777" w:rsidR="00E014B4" w:rsidRDefault="00E014B4" w:rsidP="00D95E0E">
      <w:pPr>
        <w:keepNext/>
        <w:keepLines/>
        <w:tabs>
          <w:tab w:val="center" w:pos="284"/>
        </w:tabs>
        <w:spacing w:line="240" w:lineRule="auto"/>
        <w:ind w:left="266" w:hanging="266"/>
        <w:rPr>
          <w:b/>
        </w:rPr>
      </w:pPr>
      <w:r>
        <w:rPr>
          <w:b/>
        </w:rPr>
        <w:t>Keskeiset kohdat</w:t>
      </w:r>
    </w:p>
    <w:p w14:paraId="28248A3A" w14:textId="77777777" w:rsidR="00E014B4" w:rsidRDefault="00E014B4" w:rsidP="00D95E0E">
      <w:pPr>
        <w:keepNext/>
        <w:keepLines/>
        <w:tabs>
          <w:tab w:val="center" w:pos="284"/>
        </w:tabs>
        <w:spacing w:line="240" w:lineRule="auto"/>
        <w:ind w:left="266" w:hanging="266"/>
        <w:rPr>
          <w:b/>
        </w:rPr>
      </w:pPr>
    </w:p>
    <w:p w14:paraId="1CD79DED" w14:textId="77777777" w:rsidR="00E014B4" w:rsidRDefault="00E014B4" w:rsidP="00D95E0E">
      <w:pPr>
        <w:rPr>
          <w:bCs/>
          <w:iCs/>
        </w:rPr>
      </w:pPr>
      <w:r>
        <w:t>ETSK</w:t>
      </w:r>
    </w:p>
    <w:p w14:paraId="1DA79AAF" w14:textId="77777777" w:rsidR="00E014B4" w:rsidRDefault="00E014B4" w:rsidP="00D95E0E">
      <w:pPr>
        <w:pStyle w:val="Heading2"/>
        <w:numPr>
          <w:ilvl w:val="0"/>
          <w:numId w:val="17"/>
        </w:numPr>
        <w:overflowPunct w:val="0"/>
        <w:autoSpaceDE w:val="0"/>
        <w:autoSpaceDN w:val="0"/>
        <w:adjustRightInd w:val="0"/>
        <w:ind w:left="426"/>
        <w:rPr>
          <w:szCs w:val="20"/>
        </w:rPr>
      </w:pPr>
      <w:bookmarkStart w:id="18" w:name="_Toc210812692"/>
      <w:r>
        <w:rPr>
          <w:b/>
        </w:rPr>
        <w:t>kehottaa</w:t>
      </w:r>
      <w:r>
        <w:t xml:space="preserve"> tukemaan Euroopan komission ehdotuksissa asetettuja tavoitteita.</w:t>
      </w:r>
      <w:bookmarkEnd w:id="18"/>
    </w:p>
    <w:p w14:paraId="41E5FB99" w14:textId="77777777" w:rsidR="00E014B4" w:rsidRDefault="00E014B4" w:rsidP="00D95E0E">
      <w:pPr>
        <w:pStyle w:val="Heading2"/>
        <w:numPr>
          <w:ilvl w:val="0"/>
          <w:numId w:val="17"/>
        </w:numPr>
        <w:overflowPunct w:val="0"/>
        <w:autoSpaceDE w:val="0"/>
        <w:autoSpaceDN w:val="0"/>
        <w:adjustRightInd w:val="0"/>
        <w:ind w:left="426"/>
      </w:pPr>
      <w:bookmarkStart w:id="19" w:name="_Toc210812693"/>
      <w:r>
        <w:rPr>
          <w:b/>
        </w:rPr>
        <w:t>suosittaa</w:t>
      </w:r>
      <w:r>
        <w:t>, että raportointimallien tarkistamisen yhteydessä mukaan sisällytetään standardoidut ympäristöön, yhteiskuntaan ja hallintotapaan (ESG) liittyvät tekijät.</w:t>
      </w:r>
      <w:bookmarkEnd w:id="19"/>
    </w:p>
    <w:p w14:paraId="2EF1F61F" w14:textId="77777777" w:rsidR="00E014B4" w:rsidRDefault="00E014B4" w:rsidP="00D95E0E">
      <w:pPr>
        <w:pStyle w:val="Heading2"/>
        <w:numPr>
          <w:ilvl w:val="0"/>
          <w:numId w:val="17"/>
        </w:numPr>
        <w:overflowPunct w:val="0"/>
        <w:autoSpaceDE w:val="0"/>
        <w:autoSpaceDN w:val="0"/>
        <w:adjustRightInd w:val="0"/>
        <w:ind w:left="426"/>
      </w:pPr>
      <w:bookmarkStart w:id="20" w:name="_Toc210812694"/>
      <w:r>
        <w:rPr>
          <w:b/>
        </w:rPr>
        <w:t>suosittaa</w:t>
      </w:r>
      <w:r>
        <w:t>, että toteutetaan lisätoimenpiteitä, jotta voitaisiin puuttua reaalitalouden nykyisen rahoituksen perustavanlaatuisiin heikkouksiin ja kehittää EU:n osakemarkkinoita.</w:t>
      </w:r>
      <w:bookmarkEnd w:id="20"/>
    </w:p>
    <w:p w14:paraId="137BDF6D" w14:textId="77777777" w:rsidR="00E014B4" w:rsidRDefault="00E014B4" w:rsidP="00D95E0E">
      <w:pPr>
        <w:pStyle w:val="Heading2"/>
        <w:numPr>
          <w:ilvl w:val="0"/>
          <w:numId w:val="17"/>
        </w:numPr>
        <w:overflowPunct w:val="0"/>
        <w:autoSpaceDE w:val="0"/>
        <w:autoSpaceDN w:val="0"/>
        <w:adjustRightInd w:val="0"/>
        <w:ind w:left="426"/>
      </w:pPr>
      <w:bookmarkStart w:id="21" w:name="_Toc210812695"/>
      <w:r>
        <w:rPr>
          <w:b/>
        </w:rPr>
        <w:t>kehottaa</w:t>
      </w:r>
      <w:r>
        <w:t xml:space="preserve"> pyrkimään oikeaan tasapainoon tarjonnan ja kysynnän esteiden vähentämisen ja rahoitusvakauden, markkinoiden eheyden ja sijoittajansuojan välillä sekä </w:t>
      </w:r>
      <w:r>
        <w:rPr>
          <w:b/>
        </w:rPr>
        <w:t>välttämään</w:t>
      </w:r>
      <w:r>
        <w:t xml:space="preserve"> mahdollisuuksien mukaan </w:t>
      </w:r>
      <w:r>
        <w:rPr>
          <w:b/>
        </w:rPr>
        <w:t>kansainvälisten standardien heikentämistä</w:t>
      </w:r>
      <w:r>
        <w:t>.</w:t>
      </w:r>
      <w:bookmarkEnd w:id="21"/>
    </w:p>
    <w:p w14:paraId="12371C1C" w14:textId="77777777" w:rsidR="00E014B4" w:rsidRDefault="00E014B4" w:rsidP="00D95E0E">
      <w:pPr>
        <w:pStyle w:val="Heading2"/>
        <w:numPr>
          <w:ilvl w:val="0"/>
          <w:numId w:val="17"/>
        </w:numPr>
        <w:overflowPunct w:val="0"/>
        <w:autoSpaceDE w:val="0"/>
        <w:autoSpaceDN w:val="0"/>
        <w:adjustRightInd w:val="0"/>
        <w:ind w:left="426"/>
      </w:pPr>
      <w:bookmarkStart w:id="22" w:name="_Toc210812696"/>
      <w:r>
        <w:rPr>
          <w:b/>
        </w:rPr>
        <w:t>ehdottaa</w:t>
      </w:r>
      <w:r>
        <w:t xml:space="preserve">, että erilaiset seuranta-, raportointi- ja uudelleentarkastelulausekkeet </w:t>
      </w:r>
      <w:r>
        <w:rPr>
          <w:b/>
        </w:rPr>
        <w:t>yhdenmukaistetaan</w:t>
      </w:r>
      <w:r>
        <w:t xml:space="preserve">, jotta voidaan parantaa analyysiä siitä, miten muutokset vaikuttavat antolainaukseen. Komitea suosittaa pankkivalvojille nopeutettua seurantamekanismia, jotta voidaan </w:t>
      </w:r>
      <w:r>
        <w:rPr>
          <w:b/>
        </w:rPr>
        <w:t>arvioida vuosittain</w:t>
      </w:r>
      <w:r>
        <w:t xml:space="preserve">, johtaako vapautunut pääoma todelliseen antolainaukseen ja liikkeeseen laskettuihin </w:t>
      </w:r>
      <w:proofErr w:type="spellStart"/>
      <w:r>
        <w:t>arvopaperistettuihin</w:t>
      </w:r>
      <w:proofErr w:type="spellEnd"/>
      <w:r>
        <w:t xml:space="preserve"> omaisuuseriin vai käytetäänkö sitä vakuutena. Komitea </w:t>
      </w:r>
      <w:r>
        <w:rPr>
          <w:b/>
        </w:rPr>
        <w:t>suosittaa</w:t>
      </w:r>
      <w:r>
        <w:t xml:space="preserve">, että arviointi- ja </w:t>
      </w:r>
      <w:r>
        <w:rPr>
          <w:b/>
        </w:rPr>
        <w:t>raportointikausia lyhennetään kahteen vuoteen</w:t>
      </w:r>
      <w:r>
        <w:t xml:space="preserve"> Euroopan valvontaviranomaisten raportoinnissa komissiolle ja että tulokset sisällytetään edellä mainittuun nopeutettuun seurantamekanismiin.</w:t>
      </w:r>
      <w:bookmarkEnd w:id="22"/>
    </w:p>
    <w:p w14:paraId="673E2AE5" w14:textId="77777777" w:rsidR="00E014B4" w:rsidRDefault="00E014B4" w:rsidP="00D95E0E">
      <w:pPr>
        <w:pStyle w:val="Heading2"/>
        <w:numPr>
          <w:ilvl w:val="0"/>
          <w:numId w:val="17"/>
        </w:numPr>
        <w:overflowPunct w:val="0"/>
        <w:autoSpaceDE w:val="0"/>
        <w:autoSpaceDN w:val="0"/>
        <w:adjustRightInd w:val="0"/>
        <w:ind w:left="426"/>
      </w:pPr>
      <w:bookmarkStart w:id="23" w:name="_Toc210812697"/>
      <w:r>
        <w:rPr>
          <w:b/>
        </w:rPr>
        <w:t>suosittaa</w:t>
      </w:r>
      <w:r>
        <w:t xml:space="preserve">, että kaikissa lainsäädännön uudelleentarkasteluissa </w:t>
      </w:r>
      <w:r>
        <w:rPr>
          <w:b/>
        </w:rPr>
        <w:t xml:space="preserve">arvioidaan, tarvitaanko lisätoimenpiteitä ja </w:t>
      </w:r>
      <w:r>
        <w:rPr>
          <w:b/>
        </w:rPr>
        <w:noBreakHyphen/>
        <w:t>ehtoja</w:t>
      </w:r>
      <w:r>
        <w:t>, sillä vaihtoehtoista rahoitusta on laajennettava nopeasti.</w:t>
      </w:r>
      <w:bookmarkEnd w:id="23"/>
    </w:p>
    <w:p w14:paraId="57009365" w14:textId="77777777" w:rsidR="00E014B4" w:rsidRDefault="00E014B4" w:rsidP="00D95E0E">
      <w:pPr>
        <w:pStyle w:val="Heading2"/>
        <w:numPr>
          <w:ilvl w:val="0"/>
          <w:numId w:val="17"/>
        </w:numPr>
        <w:overflowPunct w:val="0"/>
        <w:autoSpaceDE w:val="0"/>
        <w:autoSpaceDN w:val="0"/>
        <w:adjustRightInd w:val="0"/>
        <w:ind w:left="426"/>
      </w:pPr>
      <w:bookmarkStart w:id="24" w:name="_Toc210812698"/>
      <w:r>
        <w:rPr>
          <w:b/>
        </w:rPr>
        <w:t>kehottaa</w:t>
      </w:r>
      <w:r>
        <w:t xml:space="preserve"> tukemaan ehdotuksia johdonmukaisemmasta, yhtenäisemmästä ja yhdenmukaistetusta valvonnasta.</w:t>
      </w:r>
      <w:bookmarkEnd w:id="24"/>
    </w:p>
    <w:p w14:paraId="4C235B5D" w14:textId="77777777" w:rsidR="00E014B4" w:rsidRDefault="00E014B4" w:rsidP="00D95E0E">
      <w:pPr>
        <w:pStyle w:val="Heading2"/>
        <w:numPr>
          <w:ilvl w:val="0"/>
          <w:numId w:val="17"/>
        </w:numPr>
        <w:overflowPunct w:val="0"/>
        <w:autoSpaceDE w:val="0"/>
        <w:autoSpaceDN w:val="0"/>
        <w:adjustRightInd w:val="0"/>
        <w:ind w:left="426"/>
      </w:pPr>
      <w:bookmarkStart w:id="25" w:name="_Toc210812699"/>
      <w:r>
        <w:rPr>
          <w:b/>
        </w:rPr>
        <w:t>kehottaa</w:t>
      </w:r>
      <w:r>
        <w:t xml:space="preserve"> tarkentamaan joitakin pakettiin sisältyviä ehdotuksia, muun muassa tarkistamaan joitakin </w:t>
      </w:r>
      <w:r>
        <w:rPr>
          <w:b/>
        </w:rPr>
        <w:t>kalibroinnin ja määritelmien epäjohdonmukaisuuksia</w:t>
      </w:r>
      <w:r>
        <w:t>.</w:t>
      </w:r>
      <w:bookmarkEnd w:id="25"/>
    </w:p>
    <w:p w14:paraId="0374D82E" w14:textId="77777777" w:rsidR="00E014B4" w:rsidRDefault="00E014B4" w:rsidP="00D95E0E">
      <w:pPr>
        <w:pStyle w:val="Heading2"/>
        <w:numPr>
          <w:ilvl w:val="0"/>
          <w:numId w:val="17"/>
        </w:numPr>
        <w:overflowPunct w:val="0"/>
        <w:autoSpaceDE w:val="0"/>
        <w:autoSpaceDN w:val="0"/>
        <w:adjustRightInd w:val="0"/>
        <w:ind w:left="426"/>
      </w:pPr>
      <w:bookmarkStart w:id="26" w:name="_Toc210812700"/>
      <w:r>
        <w:t xml:space="preserve">kehottaa varmistamaan, että teknisillä ehdotuksilla, joilla riskipainojen alarajoista tehtäisiin riskiherkkiä, </w:t>
      </w:r>
      <w:r>
        <w:rPr>
          <w:b/>
        </w:rPr>
        <w:t xml:space="preserve">vältetään mallinnusriski ja </w:t>
      </w:r>
      <w:proofErr w:type="spellStart"/>
      <w:r>
        <w:rPr>
          <w:b/>
        </w:rPr>
        <w:t>arbitraasi</w:t>
      </w:r>
      <w:proofErr w:type="spellEnd"/>
      <w:r>
        <w:t>.</w:t>
      </w:r>
      <w:bookmarkEnd w:id="26"/>
    </w:p>
    <w:p w14:paraId="34960493" w14:textId="77777777" w:rsidR="00E014B4" w:rsidRDefault="00E014B4" w:rsidP="00D95E0E">
      <w:pPr>
        <w:pStyle w:val="Heading2"/>
        <w:numPr>
          <w:ilvl w:val="0"/>
          <w:numId w:val="17"/>
        </w:numPr>
        <w:overflowPunct w:val="0"/>
        <w:autoSpaceDE w:val="0"/>
        <w:autoSpaceDN w:val="0"/>
        <w:adjustRightInd w:val="0"/>
        <w:ind w:left="426"/>
        <w:rPr>
          <w:b/>
          <w:bCs/>
        </w:rPr>
      </w:pPr>
      <w:bookmarkStart w:id="27" w:name="_Toc210812701"/>
      <w:r>
        <w:rPr>
          <w:b/>
        </w:rPr>
        <w:t xml:space="preserve">suosittaa, että peruutetaan </w:t>
      </w:r>
      <w:proofErr w:type="spellStart"/>
      <w:r>
        <w:rPr>
          <w:b/>
        </w:rPr>
        <w:t>arvopaperistamista</w:t>
      </w:r>
      <w:proofErr w:type="spellEnd"/>
      <w:r>
        <w:rPr>
          <w:b/>
        </w:rPr>
        <w:t xml:space="preserve"> koskeva poikkeus silloin, kun julkiset yhteisöt takaavat suuririskisimmän etuoikeusluokan</w:t>
      </w:r>
      <w:r>
        <w:t>.</w:t>
      </w:r>
      <w:bookmarkEnd w:id="27"/>
    </w:p>
    <w:p w14:paraId="7A3A4727" w14:textId="77777777" w:rsidR="00E014B4" w:rsidRDefault="00E014B4" w:rsidP="00D95E0E">
      <w:pPr>
        <w:pStyle w:val="Heading2"/>
        <w:numPr>
          <w:ilvl w:val="0"/>
          <w:numId w:val="17"/>
        </w:numPr>
        <w:overflowPunct w:val="0"/>
        <w:autoSpaceDE w:val="0"/>
        <w:autoSpaceDN w:val="0"/>
        <w:adjustRightInd w:val="0"/>
        <w:ind w:left="426"/>
        <w:rPr>
          <w:bCs/>
          <w:iCs/>
        </w:rPr>
      </w:pPr>
      <w:bookmarkStart w:id="28" w:name="_Toc210812702"/>
      <w:r>
        <w:rPr>
          <w:b/>
        </w:rPr>
        <w:t xml:space="preserve">kehottaa toteuttamaan lisätoimenpiteitä lainanantajien ja </w:t>
      </w:r>
      <w:r>
        <w:rPr>
          <w:b/>
        </w:rPr>
        <w:noBreakHyphen/>
        <w:t>ottajien välisen pitkäaikaisen suhteen säilyttämiseksi ja varmistamaan läpinäkyvyyden</w:t>
      </w:r>
      <w:r>
        <w:t xml:space="preserve">. Komitea </w:t>
      </w:r>
      <w:r>
        <w:rPr>
          <w:b/>
        </w:rPr>
        <w:t>varoittaa</w:t>
      </w:r>
      <w:r>
        <w:t xml:space="preserve"> siirtämästä alullepanovaihetta sääntelemättömälle </w:t>
      </w:r>
      <w:r>
        <w:rPr>
          <w:b/>
        </w:rPr>
        <w:t>muulle kuin pankille</w:t>
      </w:r>
      <w:r>
        <w:t xml:space="preserve"> ja siirtämästä </w:t>
      </w:r>
      <w:proofErr w:type="spellStart"/>
      <w:r>
        <w:t>arvopaperistamisprosesseja</w:t>
      </w:r>
      <w:proofErr w:type="spellEnd"/>
      <w:r>
        <w:t xml:space="preserve"> </w:t>
      </w:r>
      <w:r>
        <w:rPr>
          <w:b/>
        </w:rPr>
        <w:t>aggressiivisen verosuunnittelun</w:t>
      </w:r>
      <w:r>
        <w:t xml:space="preserve"> mahdollistaville lainkäyttöalueille.</w:t>
      </w:r>
      <w:bookmarkEnd w:id="28"/>
    </w:p>
    <w:p w14:paraId="28C89583" w14:textId="77777777" w:rsidR="00E014B4" w:rsidRDefault="00E014B4" w:rsidP="00D95E0E">
      <w:pPr>
        <w:spacing w:line="240" w:lineRule="auto"/>
        <w:ind w:left="709"/>
        <w:rPr>
          <w:szCs w:val="20"/>
        </w:rPr>
      </w:pPr>
    </w:p>
    <w:tbl>
      <w:tblPr>
        <w:tblW w:w="5000" w:type="pct"/>
        <w:tblLook w:val="04A0" w:firstRow="1" w:lastRow="0" w:firstColumn="1" w:lastColumn="0" w:noHBand="0" w:noVBand="1"/>
      </w:tblPr>
      <w:tblGrid>
        <w:gridCol w:w="1954"/>
        <w:gridCol w:w="7119"/>
      </w:tblGrid>
      <w:tr w:rsidR="00E014B4" w14:paraId="776E82B9" w14:textId="77777777" w:rsidTr="00E014B4">
        <w:tc>
          <w:tcPr>
            <w:tcW w:w="1077" w:type="pct"/>
            <w:hideMark/>
          </w:tcPr>
          <w:p w14:paraId="321C7D43" w14:textId="77777777" w:rsidR="00E014B4" w:rsidRDefault="00E014B4" w:rsidP="00D95E0E">
            <w:pPr>
              <w:rPr>
                <w:i/>
              </w:rPr>
            </w:pPr>
            <w:r>
              <w:rPr>
                <w:b/>
                <w:i/>
              </w:rPr>
              <w:t>Yhteydenotot</w:t>
            </w:r>
          </w:p>
        </w:tc>
        <w:tc>
          <w:tcPr>
            <w:tcW w:w="3923" w:type="pct"/>
            <w:hideMark/>
          </w:tcPr>
          <w:p w14:paraId="09FE2F70" w14:textId="03F3A90C" w:rsidR="00E014B4" w:rsidRDefault="00E014B4" w:rsidP="00D95E0E">
            <w:pPr>
              <w:rPr>
                <w:i/>
              </w:rPr>
            </w:pPr>
            <w:r>
              <w:rPr>
                <w:i/>
              </w:rPr>
              <w:t xml:space="preserve">Sergio </w:t>
            </w:r>
            <w:proofErr w:type="spellStart"/>
            <w:r w:rsidR="00057DCF">
              <w:rPr>
                <w:i/>
              </w:rPr>
              <w:t>Lorencio</w:t>
            </w:r>
            <w:proofErr w:type="spellEnd"/>
            <w:r w:rsidR="00057DCF">
              <w:rPr>
                <w:i/>
              </w:rPr>
              <w:t xml:space="preserve"> </w:t>
            </w:r>
            <w:proofErr w:type="spellStart"/>
            <w:r w:rsidR="00057DCF">
              <w:rPr>
                <w:i/>
              </w:rPr>
              <w:t>Matallana</w:t>
            </w:r>
            <w:proofErr w:type="spellEnd"/>
          </w:p>
        </w:tc>
      </w:tr>
      <w:tr w:rsidR="00E014B4" w14:paraId="5F50D5C2" w14:textId="77777777" w:rsidTr="00E014B4">
        <w:tc>
          <w:tcPr>
            <w:tcW w:w="1077" w:type="pct"/>
            <w:hideMark/>
          </w:tcPr>
          <w:p w14:paraId="6599E565" w14:textId="77777777" w:rsidR="00E014B4" w:rsidRDefault="00E014B4" w:rsidP="00D95E0E">
            <w:pPr>
              <w:rPr>
                <w:i/>
              </w:rPr>
            </w:pPr>
            <w:r>
              <w:rPr>
                <w:i/>
              </w:rPr>
              <w:t>P.</w:t>
            </w:r>
          </w:p>
        </w:tc>
        <w:tc>
          <w:tcPr>
            <w:tcW w:w="3923" w:type="pct"/>
            <w:hideMark/>
          </w:tcPr>
          <w:p w14:paraId="5C024D00" w14:textId="77777777" w:rsidR="00E014B4" w:rsidRDefault="00E014B4" w:rsidP="00D95E0E">
            <w:pPr>
              <w:rPr>
                <w:i/>
              </w:rPr>
            </w:pPr>
            <w:r>
              <w:rPr>
                <w:i/>
              </w:rPr>
              <w:t>+32 2 5469240</w:t>
            </w:r>
          </w:p>
        </w:tc>
      </w:tr>
      <w:tr w:rsidR="00E014B4" w14:paraId="334E89B5" w14:textId="77777777" w:rsidTr="00E014B4">
        <w:tc>
          <w:tcPr>
            <w:tcW w:w="1077" w:type="pct"/>
            <w:hideMark/>
          </w:tcPr>
          <w:p w14:paraId="3B256EBC" w14:textId="77777777" w:rsidR="00E014B4" w:rsidRDefault="00E014B4" w:rsidP="00D95E0E">
            <w:pPr>
              <w:rPr>
                <w:i/>
              </w:rPr>
            </w:pPr>
            <w:r>
              <w:rPr>
                <w:i/>
              </w:rPr>
              <w:t>Sähköposti</w:t>
            </w:r>
          </w:p>
        </w:tc>
        <w:tc>
          <w:tcPr>
            <w:tcW w:w="3923" w:type="pct"/>
            <w:hideMark/>
          </w:tcPr>
          <w:p w14:paraId="2615F46C" w14:textId="77777777" w:rsidR="00E014B4" w:rsidRDefault="0061775F" w:rsidP="00D95E0E">
            <w:pPr>
              <w:rPr>
                <w:i/>
              </w:rPr>
            </w:pPr>
            <w:hyperlink r:id="rId25" w:history="1">
              <w:r w:rsidR="00E014B4">
                <w:rPr>
                  <w:rStyle w:val="Hyperlink"/>
                  <w:i/>
                </w:rPr>
                <w:t>Sergio.Lorenciomatallana@eesc.europa.eu</w:t>
              </w:r>
            </w:hyperlink>
          </w:p>
        </w:tc>
      </w:tr>
    </w:tbl>
    <w:p w14:paraId="4C640D60" w14:textId="1D13A623" w:rsidR="00E014B4" w:rsidRDefault="00E014B4" w:rsidP="00D95E0E">
      <w:pPr>
        <w:jc w:val="left"/>
      </w:pPr>
      <w:r>
        <w:br w:type="page"/>
      </w:r>
    </w:p>
    <w:p w14:paraId="65E6F442" w14:textId="1F9D1A4D" w:rsidR="00E014B4" w:rsidRDefault="0061775F" w:rsidP="00D95E0E">
      <w:pPr>
        <w:numPr>
          <w:ilvl w:val="0"/>
          <w:numId w:val="3"/>
        </w:numPr>
        <w:overflowPunct w:val="0"/>
        <w:autoSpaceDE w:val="0"/>
        <w:autoSpaceDN w:val="0"/>
        <w:adjustRightInd w:val="0"/>
        <w:ind w:hanging="567"/>
        <w:rPr>
          <w:sz w:val="20"/>
        </w:rPr>
      </w:pPr>
      <w:hyperlink r:id="rId26" w:history="1">
        <w:r w:rsidR="00E014B4">
          <w:rPr>
            <w:rStyle w:val="Hyperlink"/>
            <w:b/>
            <w:i/>
            <w:sz w:val="28"/>
          </w:rPr>
          <w:t>Lisähuomioita talouspolitiikan EU-ohjausjakson 2025 jatkosta</w:t>
        </w:r>
      </w:hyperlink>
    </w:p>
    <w:p w14:paraId="6835784B" w14:textId="77777777" w:rsidR="00E014B4" w:rsidRDefault="00E014B4" w:rsidP="00D95E0E">
      <w:pPr>
        <w:tabs>
          <w:tab w:val="center" w:pos="284"/>
        </w:tabs>
        <w:ind w:left="266" w:hanging="266"/>
        <w:rPr>
          <w:b/>
        </w:rPr>
      </w:pPr>
    </w:p>
    <w:tbl>
      <w:tblPr>
        <w:tblW w:w="5000" w:type="pct"/>
        <w:tblLook w:val="04A0" w:firstRow="1" w:lastRow="0" w:firstColumn="1" w:lastColumn="0" w:noHBand="0" w:noVBand="1"/>
      </w:tblPr>
      <w:tblGrid>
        <w:gridCol w:w="1954"/>
        <w:gridCol w:w="7119"/>
      </w:tblGrid>
      <w:tr w:rsidR="00E014B4" w14:paraId="1AC565F3" w14:textId="77777777" w:rsidTr="00E014B4">
        <w:tc>
          <w:tcPr>
            <w:tcW w:w="1077" w:type="pct"/>
            <w:hideMark/>
          </w:tcPr>
          <w:p w14:paraId="6654D0CD" w14:textId="77777777" w:rsidR="00E014B4" w:rsidRDefault="00E014B4" w:rsidP="00D95E0E">
            <w:pPr>
              <w:tabs>
                <w:tab w:val="center" w:pos="284"/>
              </w:tabs>
              <w:ind w:left="266" w:hanging="266"/>
              <w:rPr>
                <w:b/>
              </w:rPr>
            </w:pPr>
            <w:r>
              <w:rPr>
                <w:b/>
              </w:rPr>
              <w:t>Esittelijä</w:t>
            </w:r>
          </w:p>
        </w:tc>
        <w:tc>
          <w:tcPr>
            <w:tcW w:w="3923" w:type="pct"/>
            <w:hideMark/>
          </w:tcPr>
          <w:p w14:paraId="5EDB3677" w14:textId="4904D880" w:rsidR="00E014B4" w:rsidRDefault="00E014B4" w:rsidP="00D95E0E">
            <w:pPr>
              <w:tabs>
                <w:tab w:val="center" w:pos="284"/>
              </w:tabs>
              <w:ind w:left="266" w:right="-3091" w:hanging="266"/>
            </w:pPr>
            <w:r>
              <w:t xml:space="preserve">Javier </w:t>
            </w:r>
            <w:r w:rsidR="00522685">
              <w:t xml:space="preserve">DOZ ORRIT </w:t>
            </w:r>
            <w:r>
              <w:t>(työntekijät – ES)</w:t>
            </w:r>
          </w:p>
        </w:tc>
      </w:tr>
      <w:tr w:rsidR="00E014B4" w14:paraId="323C505B" w14:textId="77777777" w:rsidTr="00E014B4">
        <w:tc>
          <w:tcPr>
            <w:tcW w:w="1077" w:type="pct"/>
            <w:hideMark/>
          </w:tcPr>
          <w:p w14:paraId="5141C6E6" w14:textId="77777777" w:rsidR="00E014B4" w:rsidRDefault="00E014B4" w:rsidP="00D95E0E">
            <w:pPr>
              <w:tabs>
                <w:tab w:val="center" w:pos="284"/>
              </w:tabs>
              <w:ind w:left="266" w:hanging="266"/>
              <w:rPr>
                <w:b/>
              </w:rPr>
            </w:pPr>
            <w:r>
              <w:rPr>
                <w:b/>
              </w:rPr>
              <w:t>Viiteasiakirja</w:t>
            </w:r>
          </w:p>
        </w:tc>
        <w:tc>
          <w:tcPr>
            <w:tcW w:w="3923" w:type="pct"/>
            <w:hideMark/>
          </w:tcPr>
          <w:p w14:paraId="63784B9B" w14:textId="77777777" w:rsidR="00E014B4" w:rsidRDefault="00E014B4" w:rsidP="00D95E0E">
            <w:pPr>
              <w:tabs>
                <w:tab w:val="center" w:pos="284"/>
              </w:tabs>
              <w:ind w:left="266" w:right="-3091" w:hanging="266"/>
            </w:pPr>
            <w:r>
              <w:t>oma-aloitteinen lausunto</w:t>
            </w:r>
          </w:p>
          <w:p w14:paraId="18F96249" w14:textId="77777777" w:rsidR="00E014B4" w:rsidRDefault="00E014B4" w:rsidP="00D95E0E">
            <w:pPr>
              <w:tabs>
                <w:tab w:val="center" w:pos="284"/>
              </w:tabs>
              <w:ind w:left="266" w:right="-3091" w:hanging="266"/>
            </w:pPr>
            <w:r>
              <w:t>EESC-2025-01561-00-00-AC-TRA</w:t>
            </w:r>
          </w:p>
        </w:tc>
      </w:tr>
    </w:tbl>
    <w:p w14:paraId="4EE371A0" w14:textId="77777777" w:rsidR="00E014B4" w:rsidRDefault="00E014B4" w:rsidP="00D95E0E">
      <w:pPr>
        <w:tabs>
          <w:tab w:val="center" w:pos="284"/>
        </w:tabs>
        <w:ind w:left="266" w:hanging="266"/>
        <w:rPr>
          <w:b/>
        </w:rPr>
      </w:pPr>
    </w:p>
    <w:p w14:paraId="068AD44E" w14:textId="77777777" w:rsidR="00E014B4" w:rsidRDefault="00E014B4" w:rsidP="00D95E0E">
      <w:pPr>
        <w:keepNext/>
        <w:keepLines/>
        <w:tabs>
          <w:tab w:val="center" w:pos="284"/>
        </w:tabs>
        <w:ind w:left="266" w:hanging="266"/>
        <w:rPr>
          <w:b/>
        </w:rPr>
      </w:pPr>
      <w:r>
        <w:rPr>
          <w:b/>
        </w:rPr>
        <w:t>Keskeiset kohdat</w:t>
      </w:r>
    </w:p>
    <w:p w14:paraId="16FF6B43" w14:textId="77777777" w:rsidR="00E014B4" w:rsidRDefault="00E014B4" w:rsidP="00D95E0E">
      <w:pPr>
        <w:keepNext/>
        <w:keepLines/>
        <w:tabs>
          <w:tab w:val="center" w:pos="284"/>
        </w:tabs>
        <w:ind w:left="266" w:hanging="266"/>
        <w:rPr>
          <w:b/>
        </w:rPr>
      </w:pPr>
    </w:p>
    <w:p w14:paraId="5FC2A249" w14:textId="77777777" w:rsidR="00E014B4" w:rsidRDefault="00E014B4" w:rsidP="00D95E0E">
      <w:pPr>
        <w:rPr>
          <w:bCs/>
          <w:iCs/>
        </w:rPr>
      </w:pPr>
      <w:r>
        <w:t>ETSK</w:t>
      </w:r>
    </w:p>
    <w:p w14:paraId="48D8A628" w14:textId="77777777" w:rsidR="00E014B4" w:rsidRDefault="00E014B4" w:rsidP="00D95E0E">
      <w:pPr>
        <w:numPr>
          <w:ilvl w:val="0"/>
          <w:numId w:val="18"/>
        </w:numPr>
        <w:overflowPunct w:val="0"/>
        <w:autoSpaceDE w:val="0"/>
        <w:autoSpaceDN w:val="0"/>
        <w:adjustRightInd w:val="0"/>
        <w:ind w:left="426"/>
        <w:rPr>
          <w:bCs/>
          <w:iCs/>
        </w:rPr>
      </w:pPr>
      <w:r>
        <w:t>on huolissaan useista epävakauteen ja geopoliittisiin riskeihin liittyvistä ja niiden lähteenä olevista tekijöistä, erityisesti niistä, jotka uhkaavat rauhaa, demokratiaa ja ihmisoikeuksien kunnioittamista, mutta myös niistä, jotka vaikuttavat kasvuun ja inflaatioon, toimitusketjujen turvallisuuteen ja kriittisten raaka-aineiden saatavuuteen (esimerkiksi kauppasota).</w:t>
      </w:r>
    </w:p>
    <w:p w14:paraId="3A6B2BFE" w14:textId="77777777" w:rsidR="00E014B4" w:rsidRDefault="00E014B4" w:rsidP="00D95E0E">
      <w:pPr>
        <w:numPr>
          <w:ilvl w:val="0"/>
          <w:numId w:val="18"/>
        </w:numPr>
        <w:overflowPunct w:val="0"/>
        <w:autoSpaceDE w:val="0"/>
        <w:autoSpaceDN w:val="0"/>
        <w:adjustRightInd w:val="0"/>
        <w:ind w:left="426"/>
        <w:rPr>
          <w:bCs/>
          <w:iCs/>
        </w:rPr>
      </w:pPr>
      <w:r>
        <w:t>on huolissaan sekä julkisten että yksityisten investointien kehityssuuntauksista, sillä ne eivät juurikaan auta vähentämään merkittävällä tavalla Euroopan talouksiin kertynyttä suurta investointivajetta.</w:t>
      </w:r>
    </w:p>
    <w:p w14:paraId="3C83727C" w14:textId="77777777" w:rsidR="00E014B4" w:rsidRDefault="00E014B4" w:rsidP="00D95E0E">
      <w:pPr>
        <w:numPr>
          <w:ilvl w:val="0"/>
          <w:numId w:val="18"/>
        </w:numPr>
        <w:overflowPunct w:val="0"/>
        <w:autoSpaceDE w:val="0"/>
        <w:autoSpaceDN w:val="0"/>
        <w:adjustRightInd w:val="0"/>
        <w:ind w:left="426"/>
        <w:rPr>
          <w:bCs/>
          <w:iCs/>
        </w:rPr>
      </w:pPr>
      <w:r>
        <w:t xml:space="preserve">kannattaa eurooppalaisen ohjausjakson kevätpaketissa 2025 esitettyjä kahta keskeistä poliittista painopistettä eli kilpailukyvyn vahvistamista ja puolustusvoimavarojen parantamista ja tukee päätavoitetta, joka on kansallisen elpymis- ja palautumissuunnitelman investointien ja uudistusten täytäntöönpano vuoteen 2026 mennessä. </w:t>
      </w:r>
    </w:p>
    <w:p w14:paraId="19CBD644" w14:textId="77777777" w:rsidR="00E014B4" w:rsidRDefault="00E014B4" w:rsidP="00D95E0E">
      <w:pPr>
        <w:numPr>
          <w:ilvl w:val="0"/>
          <w:numId w:val="18"/>
        </w:numPr>
        <w:overflowPunct w:val="0"/>
        <w:autoSpaceDE w:val="0"/>
        <w:autoSpaceDN w:val="0"/>
        <w:adjustRightInd w:val="0"/>
        <w:ind w:left="426"/>
        <w:rPr>
          <w:bCs/>
          <w:iCs/>
        </w:rPr>
      </w:pPr>
      <w:r>
        <w:t>katsoo, että kun inflaatio on saatu hallintaan, on aika kehittää maltillisesti elvyttävää rahapolitiikkaa, joka kannustaa investointeihin, ja samalla hyödyntää heikkoa dollaria euron roolin vahvistamiseksi maailmanlaajuisena varantovaluuttana seuraavien kolmen toimenpiteen avulla: otetaan käyttöön digitaalinen euro, hyödynnetään velkakantaa, joka investointipolitiikan rahoittamisen ohella edistää markkinoilla käytävää kauppaa, ja saatetaan pikaisesti loppuun pankkiunioni ja pääomamarkkinaunioni.</w:t>
      </w:r>
    </w:p>
    <w:p w14:paraId="3BE7B2AA" w14:textId="77777777" w:rsidR="00E014B4" w:rsidRDefault="00E014B4" w:rsidP="00D95E0E">
      <w:pPr>
        <w:numPr>
          <w:ilvl w:val="0"/>
          <w:numId w:val="18"/>
        </w:numPr>
        <w:overflowPunct w:val="0"/>
        <w:autoSpaceDE w:val="0"/>
        <w:autoSpaceDN w:val="0"/>
        <w:adjustRightInd w:val="0"/>
        <w:ind w:left="426"/>
        <w:rPr>
          <w:bCs/>
          <w:iCs/>
        </w:rPr>
      </w:pPr>
      <w:r>
        <w:t>katsoo, että olisi tarpeen, että vuoden 2027 jälkeinen monivuotinen rahoituskehys vastaa kahta prosenttia EU:n BKT:stä, jotta voidaan saavuttaa seuraavat investointitavoitteet: kilpailukykyvajeen kaventaminen, tutkimuksen ja teknologisen innovoinnin edistäminen, oikeudenmukaisen vihreän ja digitaalisen siirtymän turvaaminen, sosiaalisen yhteenkuuluvuuden ja Euroopan sosiaalisten oikeuksien pilarin noudattamisen vahvistaminen, strategisen riippumattomuuden edistäminen ulko-, turvallisuus- ja puolustuspolitiikassa sekä Euroopan teollisuuden vahvistaminen investointia helpottavilla politiikoilla ja toimenpiteillä sisäisen ja ulkoisen pääoman houkuttelemiseksi.</w:t>
      </w:r>
    </w:p>
    <w:p w14:paraId="42BDF3EE" w14:textId="77777777" w:rsidR="00E014B4" w:rsidRDefault="00E014B4" w:rsidP="00D95E0E">
      <w:pPr>
        <w:numPr>
          <w:ilvl w:val="0"/>
          <w:numId w:val="18"/>
        </w:numPr>
        <w:overflowPunct w:val="0"/>
        <w:autoSpaceDE w:val="0"/>
        <w:autoSpaceDN w:val="0"/>
        <w:adjustRightInd w:val="0"/>
        <w:ind w:left="426"/>
        <w:rPr>
          <w:bCs/>
          <w:iCs/>
        </w:rPr>
      </w:pPr>
      <w:r>
        <w:t xml:space="preserve">pitää tarpeellisena toteuttaa toimenpiteitä investointien vahvistamiseksi vuoteen 2028 mennessä muun muassa varmistamalla kaikkien elpymis- ja palautumistukivälineen rahastojen ja uusien tavoitteiden täytäntöönpano ja tarvittaessa ottamalla käyttämättä jääneitä varoja käyttöön eurooppalaisille julkishyödykkeille tarkoitettuihin uusiin investointiohjelmiin, perustamalla Euroopan strategisten investointien rahasto, vahvistamalla EIP:n lainanantovalmiuksia </w:t>
      </w:r>
      <w:proofErr w:type="spellStart"/>
      <w:r>
        <w:t>InvestEU:n</w:t>
      </w:r>
      <w:proofErr w:type="spellEnd"/>
      <w:r>
        <w:t xml:space="preserve"> laajentamiseksi ja tutkimalla mahdollisuutta käyttää Euroopan vakausmekanismin varoja.</w:t>
      </w:r>
    </w:p>
    <w:p w14:paraId="0C43D8F1" w14:textId="77777777" w:rsidR="00E014B4" w:rsidRDefault="00E014B4" w:rsidP="00D95E0E">
      <w:pPr>
        <w:numPr>
          <w:ilvl w:val="0"/>
          <w:numId w:val="18"/>
        </w:numPr>
        <w:overflowPunct w:val="0"/>
        <w:autoSpaceDE w:val="0"/>
        <w:autoSpaceDN w:val="0"/>
        <w:adjustRightInd w:val="0"/>
        <w:ind w:left="426"/>
        <w:rPr>
          <w:bCs/>
          <w:iCs/>
        </w:rPr>
      </w:pPr>
      <w:r>
        <w:t xml:space="preserve">toistaa huolensa viivästyksistä nykyisen velkakestävyysanalyysimallin tarkistamisessa, sillä se saattaa johtaa siihen, että tingitään kohtuuttomasti sosiaalimenoista muiden menojen hyväksi silloin, kun jäsenvaltioiden on saavutettava muuttumattomat alijäämätavoitteet. </w:t>
      </w:r>
    </w:p>
    <w:p w14:paraId="21E6431C" w14:textId="77777777" w:rsidR="00E014B4" w:rsidRDefault="00E014B4" w:rsidP="00D95E0E">
      <w:pPr>
        <w:numPr>
          <w:ilvl w:val="0"/>
          <w:numId w:val="18"/>
        </w:numPr>
        <w:overflowPunct w:val="0"/>
        <w:autoSpaceDE w:val="0"/>
        <w:autoSpaceDN w:val="0"/>
        <w:adjustRightInd w:val="0"/>
        <w:ind w:left="426"/>
        <w:rPr>
          <w:bCs/>
          <w:iCs/>
        </w:rPr>
      </w:pPr>
      <w:r>
        <w:t xml:space="preserve">on samaa mieltä koontipakettien I ja II taustalla olevasta yleisperiaatteesta eli siitä, että selkiytetään ja yksinkertaistetaan EU:n lainsäädäntöä ja vähennetään yrityksille, erityisesti pk-yrityksille, </w:t>
      </w:r>
      <w:r>
        <w:lastRenderedPageBreak/>
        <w:t xml:space="preserve">aiheutuvaa tarpeetonta hallinnollista taakkaa, mutta on huolissaan siitä, että jotkin säännökset voivat johtaa heikompaan kestävää rahoitusta koskevaan lainsäädäntöön ja vaarantaa siten vihreän kehityksen ohjelman ja sen toimintasuunnitelman tavoitteiden saavuttamisen. </w:t>
      </w:r>
    </w:p>
    <w:p w14:paraId="19A94D6F" w14:textId="77777777" w:rsidR="00E014B4" w:rsidRDefault="00E014B4" w:rsidP="00D95E0E">
      <w:pPr>
        <w:numPr>
          <w:ilvl w:val="0"/>
          <w:numId w:val="18"/>
        </w:numPr>
        <w:overflowPunct w:val="0"/>
        <w:autoSpaceDE w:val="0"/>
        <w:autoSpaceDN w:val="0"/>
        <w:adjustRightInd w:val="0"/>
        <w:ind w:left="426"/>
        <w:rPr>
          <w:bCs/>
          <w:iCs/>
        </w:rPr>
      </w:pPr>
      <w:r>
        <w:t xml:space="preserve">toistaa kehotuksensa työmarkkinaosapuolten ja kansalaisjärjestöjen pysyvästä ja jäsennellystä osallistumisesta eurooppalaisen ohjausjakson eri vaiheisiin. </w:t>
      </w:r>
    </w:p>
    <w:p w14:paraId="0F0C6103" w14:textId="77777777" w:rsidR="00E014B4" w:rsidRDefault="00E014B4" w:rsidP="00D95E0E">
      <w:pPr>
        <w:ind w:left="426"/>
        <w:rPr>
          <w:bCs/>
          <w:iCs/>
        </w:rPr>
      </w:pPr>
    </w:p>
    <w:tbl>
      <w:tblPr>
        <w:tblW w:w="5000" w:type="pct"/>
        <w:tblLook w:val="04A0" w:firstRow="1" w:lastRow="0" w:firstColumn="1" w:lastColumn="0" w:noHBand="0" w:noVBand="1"/>
      </w:tblPr>
      <w:tblGrid>
        <w:gridCol w:w="1954"/>
        <w:gridCol w:w="7119"/>
      </w:tblGrid>
      <w:tr w:rsidR="00E014B4" w14:paraId="6F620EE0" w14:textId="77777777" w:rsidTr="00E014B4">
        <w:tc>
          <w:tcPr>
            <w:tcW w:w="1077" w:type="pct"/>
            <w:hideMark/>
          </w:tcPr>
          <w:p w14:paraId="68F260B7" w14:textId="77777777" w:rsidR="00E014B4" w:rsidRDefault="00E014B4" w:rsidP="00D95E0E">
            <w:pPr>
              <w:rPr>
                <w:i/>
              </w:rPr>
            </w:pPr>
            <w:r>
              <w:rPr>
                <w:b/>
                <w:i/>
              </w:rPr>
              <w:t>Yhteydenotot</w:t>
            </w:r>
          </w:p>
        </w:tc>
        <w:tc>
          <w:tcPr>
            <w:tcW w:w="3923" w:type="pct"/>
            <w:hideMark/>
          </w:tcPr>
          <w:p w14:paraId="35754843" w14:textId="30FEA141" w:rsidR="00E014B4" w:rsidRDefault="00E014B4" w:rsidP="00D95E0E">
            <w:pPr>
              <w:rPr>
                <w:i/>
              </w:rPr>
            </w:pPr>
            <w:r>
              <w:rPr>
                <w:i/>
              </w:rPr>
              <w:t xml:space="preserve">Anna </w:t>
            </w:r>
            <w:proofErr w:type="spellStart"/>
            <w:r w:rsidR="00057DCF">
              <w:rPr>
                <w:i/>
              </w:rPr>
              <w:t>Pantazi</w:t>
            </w:r>
            <w:proofErr w:type="spellEnd"/>
          </w:p>
        </w:tc>
      </w:tr>
      <w:tr w:rsidR="00E014B4" w14:paraId="45466F8A" w14:textId="77777777" w:rsidTr="00E014B4">
        <w:tc>
          <w:tcPr>
            <w:tcW w:w="1077" w:type="pct"/>
            <w:hideMark/>
          </w:tcPr>
          <w:p w14:paraId="1FE18DBB" w14:textId="77777777" w:rsidR="00E014B4" w:rsidRDefault="00E014B4" w:rsidP="00D95E0E">
            <w:pPr>
              <w:rPr>
                <w:i/>
              </w:rPr>
            </w:pPr>
            <w:r>
              <w:rPr>
                <w:i/>
              </w:rPr>
              <w:t>P.</w:t>
            </w:r>
          </w:p>
        </w:tc>
        <w:tc>
          <w:tcPr>
            <w:tcW w:w="3923" w:type="pct"/>
            <w:hideMark/>
          </w:tcPr>
          <w:p w14:paraId="2B06F735" w14:textId="77777777" w:rsidR="00E014B4" w:rsidRDefault="00E014B4" w:rsidP="00D95E0E">
            <w:pPr>
              <w:rPr>
                <w:i/>
              </w:rPr>
            </w:pPr>
            <w:r>
              <w:rPr>
                <w:i/>
              </w:rPr>
              <w:t>+32 2</w:t>
            </w:r>
            <w:r>
              <w:t xml:space="preserve"> </w:t>
            </w:r>
            <w:r>
              <w:rPr>
                <w:i/>
              </w:rPr>
              <w:t>5469231</w:t>
            </w:r>
          </w:p>
        </w:tc>
      </w:tr>
      <w:tr w:rsidR="00E014B4" w14:paraId="0E5E4D0A" w14:textId="77777777" w:rsidTr="00E014B4">
        <w:tc>
          <w:tcPr>
            <w:tcW w:w="1077" w:type="pct"/>
            <w:hideMark/>
          </w:tcPr>
          <w:p w14:paraId="3A31DF51" w14:textId="77777777" w:rsidR="00E014B4" w:rsidRDefault="00E014B4" w:rsidP="00D95E0E">
            <w:pPr>
              <w:rPr>
                <w:i/>
              </w:rPr>
            </w:pPr>
            <w:r>
              <w:rPr>
                <w:i/>
              </w:rPr>
              <w:t>Sähköposti</w:t>
            </w:r>
          </w:p>
        </w:tc>
        <w:tc>
          <w:tcPr>
            <w:tcW w:w="3923" w:type="pct"/>
            <w:hideMark/>
          </w:tcPr>
          <w:p w14:paraId="26510CA1" w14:textId="77777777" w:rsidR="00E014B4" w:rsidRDefault="0061775F" w:rsidP="00D95E0E">
            <w:pPr>
              <w:rPr>
                <w:i/>
              </w:rPr>
            </w:pPr>
            <w:hyperlink r:id="rId27" w:history="1">
              <w:r w:rsidR="00E014B4">
                <w:rPr>
                  <w:rStyle w:val="Hyperlink"/>
                  <w:i/>
                </w:rPr>
                <w:t>anna.pantazi@eesc.europa.eu</w:t>
              </w:r>
            </w:hyperlink>
            <w:r w:rsidR="00E014B4">
              <w:rPr>
                <w:i/>
              </w:rPr>
              <w:t xml:space="preserve"> </w:t>
            </w:r>
          </w:p>
        </w:tc>
      </w:tr>
    </w:tbl>
    <w:p w14:paraId="15D95267" w14:textId="2C44F6A5" w:rsidR="00E014B4" w:rsidRDefault="00E014B4" w:rsidP="00D95E0E">
      <w:pPr>
        <w:pStyle w:val="ListParagraph"/>
        <w:ind w:left="0"/>
      </w:pPr>
    </w:p>
    <w:p w14:paraId="6CB6DED2" w14:textId="77777777" w:rsidR="00E014B4" w:rsidRDefault="00E014B4" w:rsidP="00D95E0E">
      <w:pPr>
        <w:jc w:val="left"/>
      </w:pPr>
      <w:r>
        <w:br w:type="page"/>
      </w:r>
    </w:p>
    <w:p w14:paraId="7C03FF19" w14:textId="37BB7C8B" w:rsidR="00E014B4" w:rsidRDefault="0061775F" w:rsidP="00D95E0E">
      <w:pPr>
        <w:numPr>
          <w:ilvl w:val="0"/>
          <w:numId w:val="3"/>
        </w:numPr>
        <w:overflowPunct w:val="0"/>
        <w:autoSpaceDE w:val="0"/>
        <w:autoSpaceDN w:val="0"/>
        <w:adjustRightInd w:val="0"/>
        <w:spacing w:line="240" w:lineRule="auto"/>
        <w:ind w:hanging="567"/>
        <w:rPr>
          <w:sz w:val="20"/>
        </w:rPr>
      </w:pPr>
      <w:hyperlink r:id="rId28" w:history="1">
        <w:r w:rsidR="00E014B4">
          <w:rPr>
            <w:rStyle w:val="Hyperlink"/>
            <w:b/>
            <w:i/>
            <w:sz w:val="28"/>
          </w:rPr>
          <w:t>Uutta pontta EU:n kestävän rahoituksen kehykselle</w:t>
        </w:r>
      </w:hyperlink>
    </w:p>
    <w:p w14:paraId="405E547F" w14:textId="77777777" w:rsidR="00E014B4" w:rsidRDefault="00E014B4" w:rsidP="00D95E0E">
      <w:pPr>
        <w:tabs>
          <w:tab w:val="center" w:pos="284"/>
        </w:tabs>
        <w:spacing w:line="240" w:lineRule="auto"/>
        <w:ind w:left="266" w:hanging="266"/>
        <w:rPr>
          <w:b/>
        </w:rPr>
      </w:pPr>
    </w:p>
    <w:tbl>
      <w:tblPr>
        <w:tblW w:w="5000" w:type="pct"/>
        <w:tblLook w:val="04A0" w:firstRow="1" w:lastRow="0" w:firstColumn="1" w:lastColumn="0" w:noHBand="0" w:noVBand="1"/>
      </w:tblPr>
      <w:tblGrid>
        <w:gridCol w:w="1954"/>
        <w:gridCol w:w="7119"/>
      </w:tblGrid>
      <w:tr w:rsidR="00E014B4" w14:paraId="2C452F59" w14:textId="77777777" w:rsidTr="00E014B4">
        <w:tc>
          <w:tcPr>
            <w:tcW w:w="1077" w:type="pct"/>
            <w:hideMark/>
          </w:tcPr>
          <w:p w14:paraId="7DDC740F" w14:textId="77777777" w:rsidR="00E014B4" w:rsidRDefault="00E014B4" w:rsidP="00D95E0E">
            <w:pPr>
              <w:tabs>
                <w:tab w:val="center" w:pos="284"/>
              </w:tabs>
              <w:ind w:left="266" w:hanging="266"/>
              <w:rPr>
                <w:b/>
              </w:rPr>
            </w:pPr>
            <w:r>
              <w:rPr>
                <w:b/>
              </w:rPr>
              <w:t>Esittelijä</w:t>
            </w:r>
          </w:p>
        </w:tc>
        <w:tc>
          <w:tcPr>
            <w:tcW w:w="3923" w:type="pct"/>
          </w:tcPr>
          <w:p w14:paraId="5265F3C2" w14:textId="127BB7EE" w:rsidR="00E014B4" w:rsidRDefault="00E014B4" w:rsidP="00D95E0E">
            <w:pPr>
              <w:tabs>
                <w:tab w:val="center" w:pos="284"/>
              </w:tabs>
              <w:ind w:left="266" w:right="-3091" w:hanging="266"/>
            </w:pPr>
            <w:r>
              <w:t>Javier DOZ ORRIT (työntekijät – ES)</w:t>
            </w:r>
          </w:p>
        </w:tc>
      </w:tr>
      <w:tr w:rsidR="00E014B4" w14:paraId="67CC3445" w14:textId="77777777" w:rsidTr="00E014B4">
        <w:tc>
          <w:tcPr>
            <w:tcW w:w="1077" w:type="pct"/>
            <w:hideMark/>
          </w:tcPr>
          <w:p w14:paraId="753622F3" w14:textId="77777777" w:rsidR="00E014B4" w:rsidRDefault="00E014B4" w:rsidP="00D95E0E">
            <w:pPr>
              <w:tabs>
                <w:tab w:val="center" w:pos="284"/>
              </w:tabs>
              <w:ind w:left="266" w:hanging="266"/>
              <w:rPr>
                <w:b/>
              </w:rPr>
            </w:pPr>
            <w:r>
              <w:rPr>
                <w:b/>
              </w:rPr>
              <w:t>Viiteasiakirja(t)</w:t>
            </w:r>
          </w:p>
        </w:tc>
        <w:tc>
          <w:tcPr>
            <w:tcW w:w="3923" w:type="pct"/>
            <w:hideMark/>
          </w:tcPr>
          <w:p w14:paraId="38E7B844" w14:textId="77777777" w:rsidR="00E014B4" w:rsidRDefault="00E014B4" w:rsidP="00D95E0E">
            <w:pPr>
              <w:tabs>
                <w:tab w:val="center" w:pos="284"/>
              </w:tabs>
              <w:ind w:left="266" w:right="-3091" w:hanging="266"/>
            </w:pPr>
            <w:r>
              <w:t>Puheenjohtajavaltion Tanskan pyytämä valmisteleva lausunto</w:t>
            </w:r>
          </w:p>
          <w:p w14:paraId="2C94E970" w14:textId="77777777" w:rsidR="00E014B4" w:rsidRDefault="00E014B4" w:rsidP="00D95E0E">
            <w:pPr>
              <w:tabs>
                <w:tab w:val="center" w:pos="284"/>
              </w:tabs>
              <w:ind w:left="266" w:right="-3091" w:hanging="266"/>
            </w:pPr>
            <w:r>
              <w:t>EESC-2025-01041-00-00-AC</w:t>
            </w:r>
          </w:p>
        </w:tc>
      </w:tr>
    </w:tbl>
    <w:p w14:paraId="1FFE18F4" w14:textId="77777777" w:rsidR="00E014B4" w:rsidRDefault="00E014B4" w:rsidP="00D95E0E">
      <w:pPr>
        <w:tabs>
          <w:tab w:val="center" w:pos="284"/>
        </w:tabs>
        <w:spacing w:line="240" w:lineRule="auto"/>
        <w:ind w:left="266" w:hanging="266"/>
        <w:rPr>
          <w:b/>
        </w:rPr>
      </w:pPr>
    </w:p>
    <w:p w14:paraId="721012F7" w14:textId="77777777" w:rsidR="00E014B4" w:rsidRDefault="00E014B4" w:rsidP="00D95E0E">
      <w:pPr>
        <w:keepNext/>
        <w:keepLines/>
        <w:tabs>
          <w:tab w:val="center" w:pos="284"/>
        </w:tabs>
        <w:spacing w:line="240" w:lineRule="auto"/>
        <w:ind w:left="266" w:hanging="266"/>
        <w:rPr>
          <w:b/>
        </w:rPr>
      </w:pPr>
      <w:r>
        <w:rPr>
          <w:b/>
        </w:rPr>
        <w:t>Keskeiset kohdat</w:t>
      </w:r>
    </w:p>
    <w:p w14:paraId="6DB49520" w14:textId="77777777" w:rsidR="00E014B4" w:rsidRDefault="00E014B4" w:rsidP="00D95E0E">
      <w:pPr>
        <w:keepNext/>
        <w:keepLines/>
        <w:tabs>
          <w:tab w:val="center" w:pos="284"/>
        </w:tabs>
        <w:spacing w:line="240" w:lineRule="auto"/>
        <w:ind w:left="266" w:hanging="266"/>
        <w:rPr>
          <w:b/>
        </w:rPr>
      </w:pPr>
    </w:p>
    <w:p w14:paraId="43C9CF28" w14:textId="77777777" w:rsidR="00E014B4" w:rsidRDefault="00E014B4" w:rsidP="00D95E0E">
      <w:pPr>
        <w:rPr>
          <w:bCs/>
          <w:iCs/>
        </w:rPr>
      </w:pPr>
      <w:r>
        <w:t>ETSK</w:t>
      </w:r>
    </w:p>
    <w:p w14:paraId="301D05FA"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 xml:space="preserve">arvioi tapoja tehdä EU:n kestävän rahoituksen kehyksestä vankempi ja tarkoituksenmukaisempi, kun otetaan huomioon sen merkitys EU:n taloudellisten, sosiaalisten ja ilmastoon liittyvien tavoitteiden saavuttamisessa. </w:t>
      </w:r>
    </w:p>
    <w:p w14:paraId="647B167E"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painottaa, että yksinkertaistamista ei saisi toteuttaa tavoitetason kustannuksella. Hallinnollista virtaviivaistamista tarvitaan, mutta siinä olisi keskityttävä tehokkaampiin tapoihin panna vaatimukset täytäntöön eikä se saisi merkitä, että vaatimuksia kevennetään.</w:t>
      </w:r>
    </w:p>
    <w:p w14:paraId="611AD556"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 xml:space="preserve">kehottaa EU:n toimielimiä varmistamaan, että koontipaketeilla tuetaan kestävän rahoituksen kehystä ja helpotetaan samalla yritysten vaatimustenmukaisuutta myönteisenä osatekijänä. Muutokset yritysvastuudirektiiviin ja kestävyysraportointidirektiiviin eivät saisi heikentää EU:n kykyä laajentaa kestäviä investointeja ja saavuttaa EU:n ilmastolain tavoitteet. </w:t>
      </w:r>
    </w:p>
    <w:p w14:paraId="5D771DDB"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katsoo, että tämä kehys on parantanut avoimuutta, mutta se ei riitä tarvittavien systeemisten muutosten aikaansaamiseen. Siirtymäsuunnitelmiin liittyvien vaatimusten mukauttaminen ja huolellisuusvelvoitteiden muuttaminen eivät saisi vaarantaa kehyksen eheyttä. Jotkin koontipakettien muutokset saattavat sen tehdä.</w:t>
      </w:r>
    </w:p>
    <w:p w14:paraId="3DC13DB0"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kehottaa komissiota ja parlamenttia säilyttämään kunnianhimon tason ja varmistamaan koko kestävän rahoituksen rakenteen johdonmukaisuuden.</w:t>
      </w:r>
    </w:p>
    <w:p w14:paraId="39686EB1"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tukee samalla pyrkimyksiä tehdä raportointivaatimuksista oikeasuhtaisempia erityisesti pk-yritysten osalta.</w:t>
      </w:r>
    </w:p>
    <w:p w14:paraId="766B4966"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kehottaa jälleen luomaan kestävän rahoituskehyksen, jossa käsitellään ympäristöön, yhteiskuntaan ja hyvään hallintotapaan (ESG) liittyvien tekijöiden koko kirjoa, ja on valmis osallistumaan sosiaalisten vähimmäistakeiden suunnitteluun ja panemaan täytäntöön sosiaalisen luokitusjärjestelmän.</w:t>
      </w:r>
    </w:p>
    <w:p w14:paraId="0CEBCABD"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korostaa tarvetta luoda kehys, jossa otetaan asianmukaisesti huomioon kaikenlaiset kestämättömään toimintaan liittyvät riskit. Tähän sisältyy tällaisen toiminnan sosiaalisten kustannusten tunnustaminen.</w:t>
      </w:r>
    </w:p>
    <w:p w14:paraId="4CCD71BA"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kehottaa selventämään keskeisten kestävyyskäsitteiden määritelmiä. Tähän sisältyy siirtymävaiheen rahoituksen virallinen tunnustaminen erilliseksi osaksi EU:n kestävän rahoituksen ohjelmaa.</w:t>
      </w:r>
    </w:p>
    <w:p w14:paraId="0090C7D6"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kehottaa laatimaan uuden kestävää rahoitusta koskevan lainsäädäntökehyksen, jotta pk-yritysten ja yhteisötalouden yritysten olisi helpompi täyttää vaatimuksensa.</w:t>
      </w:r>
    </w:p>
    <w:p w14:paraId="4D4F195C"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katsoo, että kollektiivisia säästövälineitä, kuten ammatillisia lisäeläkejärjestelmiä, on vahvistettava kestävien investointien vankkana lähteenä.</w:t>
      </w:r>
    </w:p>
    <w:p w14:paraId="6E8CB63D" w14:textId="77777777" w:rsidR="00E014B4" w:rsidRPr="00D95E0E" w:rsidRDefault="00E014B4" w:rsidP="00D95E0E">
      <w:pPr>
        <w:numPr>
          <w:ilvl w:val="0"/>
          <w:numId w:val="19"/>
        </w:numPr>
        <w:overflowPunct w:val="0"/>
        <w:autoSpaceDE w:val="0"/>
        <w:autoSpaceDN w:val="0"/>
        <w:adjustRightInd w:val="0"/>
        <w:ind w:left="426"/>
        <w:rPr>
          <w:bCs/>
          <w:iCs/>
          <w:spacing w:val="-2"/>
        </w:rPr>
      </w:pPr>
      <w:r w:rsidRPr="00D95E0E">
        <w:rPr>
          <w:spacing w:val="-2"/>
        </w:rPr>
        <w:t xml:space="preserve">kehottaa EU:ta ja jäsenvaltioita vahvistamaan taloudellisen ja poliittisen sitoumuksensa kestävän kehityksen toimintaohjelmaan. Vihreitä ja sosiaalisia investointeja varten on säilytettävä riittävä julkisen talouden liikkumavara. </w:t>
      </w:r>
    </w:p>
    <w:p w14:paraId="273822F8" w14:textId="77777777" w:rsidR="00E014B4" w:rsidRDefault="00E014B4" w:rsidP="00D95E0E">
      <w:pPr>
        <w:spacing w:line="240" w:lineRule="auto"/>
        <w:ind w:left="709"/>
        <w:rPr>
          <w:szCs w:val="20"/>
        </w:rPr>
      </w:pPr>
    </w:p>
    <w:tbl>
      <w:tblPr>
        <w:tblW w:w="5000" w:type="pct"/>
        <w:tblLook w:val="04A0" w:firstRow="1" w:lastRow="0" w:firstColumn="1" w:lastColumn="0" w:noHBand="0" w:noVBand="1"/>
      </w:tblPr>
      <w:tblGrid>
        <w:gridCol w:w="1954"/>
        <w:gridCol w:w="7119"/>
      </w:tblGrid>
      <w:tr w:rsidR="00E014B4" w14:paraId="36DEEA75" w14:textId="77777777" w:rsidTr="00E014B4">
        <w:tc>
          <w:tcPr>
            <w:tcW w:w="1077" w:type="pct"/>
            <w:hideMark/>
          </w:tcPr>
          <w:p w14:paraId="2FA251A5" w14:textId="77777777" w:rsidR="00E014B4" w:rsidRDefault="00E014B4" w:rsidP="00D95E0E">
            <w:pPr>
              <w:rPr>
                <w:i/>
              </w:rPr>
            </w:pPr>
            <w:r>
              <w:rPr>
                <w:b/>
                <w:i/>
              </w:rPr>
              <w:t>Yhteydenotot</w:t>
            </w:r>
          </w:p>
        </w:tc>
        <w:tc>
          <w:tcPr>
            <w:tcW w:w="3923" w:type="pct"/>
            <w:hideMark/>
          </w:tcPr>
          <w:p w14:paraId="012300B6" w14:textId="029A155F" w:rsidR="00E014B4" w:rsidRDefault="00E014B4" w:rsidP="00D95E0E">
            <w:pPr>
              <w:rPr>
                <w:i/>
              </w:rPr>
            </w:pPr>
            <w:r>
              <w:rPr>
                <w:i/>
              </w:rPr>
              <w:t xml:space="preserve">Gerald </w:t>
            </w:r>
            <w:proofErr w:type="spellStart"/>
            <w:r w:rsidR="00057DCF">
              <w:rPr>
                <w:i/>
              </w:rPr>
              <w:t>Klec</w:t>
            </w:r>
            <w:proofErr w:type="spellEnd"/>
          </w:p>
        </w:tc>
      </w:tr>
      <w:tr w:rsidR="00E014B4" w14:paraId="5B4F5ED2" w14:textId="77777777" w:rsidTr="00E014B4">
        <w:tc>
          <w:tcPr>
            <w:tcW w:w="1077" w:type="pct"/>
            <w:hideMark/>
          </w:tcPr>
          <w:p w14:paraId="20D56805" w14:textId="77777777" w:rsidR="00E014B4" w:rsidRDefault="00E014B4" w:rsidP="00D95E0E">
            <w:pPr>
              <w:rPr>
                <w:i/>
              </w:rPr>
            </w:pPr>
            <w:r>
              <w:rPr>
                <w:i/>
              </w:rPr>
              <w:t>P.</w:t>
            </w:r>
          </w:p>
        </w:tc>
        <w:tc>
          <w:tcPr>
            <w:tcW w:w="3923" w:type="pct"/>
            <w:hideMark/>
          </w:tcPr>
          <w:p w14:paraId="36043AC5" w14:textId="77777777" w:rsidR="00E014B4" w:rsidRDefault="00E014B4" w:rsidP="00D95E0E">
            <w:pPr>
              <w:rPr>
                <w:i/>
              </w:rPr>
            </w:pPr>
            <w:r>
              <w:rPr>
                <w:i/>
              </w:rPr>
              <w:t>+32 2 5469909</w:t>
            </w:r>
          </w:p>
        </w:tc>
      </w:tr>
      <w:tr w:rsidR="00E014B4" w14:paraId="561E0058" w14:textId="77777777" w:rsidTr="00E014B4">
        <w:tc>
          <w:tcPr>
            <w:tcW w:w="1077" w:type="pct"/>
            <w:hideMark/>
          </w:tcPr>
          <w:p w14:paraId="0EF59487" w14:textId="77777777" w:rsidR="00E014B4" w:rsidRDefault="00E014B4" w:rsidP="00D95E0E">
            <w:pPr>
              <w:rPr>
                <w:i/>
              </w:rPr>
            </w:pPr>
            <w:r>
              <w:rPr>
                <w:i/>
              </w:rPr>
              <w:t>Sähköposti</w:t>
            </w:r>
          </w:p>
        </w:tc>
        <w:tc>
          <w:tcPr>
            <w:tcW w:w="3923" w:type="pct"/>
            <w:hideMark/>
          </w:tcPr>
          <w:p w14:paraId="7E4FCAA4" w14:textId="77777777" w:rsidR="00E014B4" w:rsidRDefault="0061775F" w:rsidP="00D95E0E">
            <w:pPr>
              <w:rPr>
                <w:i/>
              </w:rPr>
            </w:pPr>
            <w:hyperlink r:id="rId29" w:history="1">
              <w:r w:rsidR="00E014B4">
                <w:rPr>
                  <w:rStyle w:val="Hyperlink"/>
                  <w:i/>
                </w:rPr>
                <w:t>Gerald.Klec@eesc.europa.eu</w:t>
              </w:r>
            </w:hyperlink>
            <w:r w:rsidR="00E014B4">
              <w:rPr>
                <w:i/>
              </w:rPr>
              <w:t xml:space="preserve"> </w:t>
            </w:r>
          </w:p>
        </w:tc>
      </w:tr>
    </w:tbl>
    <w:p w14:paraId="4982DDC6" w14:textId="4508E5BE" w:rsidR="004D7AC0" w:rsidRDefault="00DA6648" w:rsidP="00D95E0E">
      <w:pPr>
        <w:pStyle w:val="Heading1"/>
        <w:keepNext/>
        <w:keepLines/>
        <w:rPr>
          <w:b/>
        </w:rPr>
      </w:pPr>
      <w:bookmarkStart w:id="29" w:name="_Toc210812703"/>
      <w:r w:rsidRPr="00DA6648">
        <w:rPr>
          <w:b/>
        </w:rPr>
        <w:lastRenderedPageBreak/>
        <w:t>TYÖLLISYYS, SOSIAALIASIAT JA KANSALAISUUS</w:t>
      </w:r>
      <w:bookmarkEnd w:id="29"/>
    </w:p>
    <w:p w14:paraId="4982DDC7" w14:textId="77777777" w:rsidR="004D7AC0" w:rsidRDefault="004D7AC0" w:rsidP="00D95E0E">
      <w:pPr>
        <w:keepNext/>
        <w:keepLines/>
      </w:pPr>
    </w:p>
    <w:p w14:paraId="2BEE3914" w14:textId="0DAFBAE7" w:rsidR="00DA6648" w:rsidRDefault="0061775F" w:rsidP="00D95E0E">
      <w:pPr>
        <w:keepNext/>
        <w:keepLines/>
        <w:numPr>
          <w:ilvl w:val="0"/>
          <w:numId w:val="5"/>
        </w:numPr>
        <w:overflowPunct w:val="0"/>
        <w:autoSpaceDE w:val="0"/>
        <w:autoSpaceDN w:val="0"/>
        <w:adjustRightInd w:val="0"/>
        <w:ind w:left="567" w:hanging="567"/>
        <w:rPr>
          <w:rStyle w:val="Hyperlink"/>
          <w:b/>
        </w:rPr>
      </w:pPr>
      <w:hyperlink r:id="rId30" w:history="1">
        <w:r w:rsidR="00DA6648">
          <w:rPr>
            <w:rStyle w:val="Hyperlink"/>
            <w:b/>
            <w:i/>
            <w:sz w:val="28"/>
          </w:rPr>
          <w:t xml:space="preserve">Miten aktiivinen ja osallistava ennaltaehkäisy voi edistää työterveyttä ja </w:t>
        </w:r>
        <w:r w:rsidR="00492D3D">
          <w:rPr>
            <w:rStyle w:val="Hyperlink"/>
            <w:b/>
            <w:i/>
            <w:sz w:val="28"/>
          </w:rPr>
          <w:noBreakHyphen/>
        </w:r>
        <w:r w:rsidR="00DA6648">
          <w:rPr>
            <w:rStyle w:val="Hyperlink"/>
            <w:b/>
            <w:i/>
            <w:sz w:val="28"/>
          </w:rPr>
          <w:t>turvallisuutta – tavoite vähentää kuolonuhrien määrä nollaan</w:t>
        </w:r>
      </w:hyperlink>
    </w:p>
    <w:p w14:paraId="6D107BBF" w14:textId="77777777" w:rsidR="00DA6648" w:rsidRDefault="00DA6648" w:rsidP="00D95E0E">
      <w:pPr>
        <w:keepNext/>
        <w:keepLines/>
        <w:tabs>
          <w:tab w:val="center" w:pos="284"/>
        </w:tabs>
        <w:ind w:left="567" w:hanging="567"/>
        <w:rPr>
          <w:sz w:val="16"/>
          <w:szCs w:val="16"/>
          <w:lang w:val="en-US"/>
        </w:rPr>
      </w:pPr>
    </w:p>
    <w:tbl>
      <w:tblPr>
        <w:tblW w:w="0" w:type="auto"/>
        <w:tblLook w:val="04A0" w:firstRow="1" w:lastRow="0" w:firstColumn="1" w:lastColumn="0" w:noHBand="0" w:noVBand="1"/>
      </w:tblPr>
      <w:tblGrid>
        <w:gridCol w:w="1701"/>
        <w:gridCol w:w="6237"/>
      </w:tblGrid>
      <w:tr w:rsidR="00DA6648" w14:paraId="433D7C3A" w14:textId="77777777" w:rsidTr="00DA6648">
        <w:tc>
          <w:tcPr>
            <w:tcW w:w="1701" w:type="dxa"/>
          </w:tcPr>
          <w:p w14:paraId="347FB7F0" w14:textId="08052C9F" w:rsidR="00DA6648" w:rsidRPr="00522685" w:rsidRDefault="00DA6648" w:rsidP="00D95E0E">
            <w:pPr>
              <w:keepNext/>
              <w:keepLines/>
              <w:tabs>
                <w:tab w:val="center" w:pos="284"/>
              </w:tabs>
              <w:ind w:left="567" w:hanging="567"/>
              <w:rPr>
                <w:b/>
              </w:rPr>
            </w:pPr>
            <w:r>
              <w:rPr>
                <w:b/>
              </w:rPr>
              <w:t>Esittelijä</w:t>
            </w:r>
          </w:p>
        </w:tc>
        <w:tc>
          <w:tcPr>
            <w:tcW w:w="6237" w:type="dxa"/>
            <w:hideMark/>
          </w:tcPr>
          <w:p w14:paraId="22C03853" w14:textId="77777777" w:rsidR="00DA6648" w:rsidRDefault="00DA6648" w:rsidP="00D95E0E">
            <w:pPr>
              <w:keepNext/>
              <w:keepLines/>
              <w:ind w:left="567" w:hanging="567"/>
            </w:pPr>
            <w:r>
              <w:t>Nicoletta MERLO (työntekijät – IT)</w:t>
            </w:r>
          </w:p>
        </w:tc>
      </w:tr>
      <w:tr w:rsidR="00DA6648" w14:paraId="3B0BEF5E" w14:textId="77777777" w:rsidTr="00DA6648">
        <w:tc>
          <w:tcPr>
            <w:tcW w:w="1701" w:type="dxa"/>
            <w:hideMark/>
          </w:tcPr>
          <w:p w14:paraId="28D3A021" w14:textId="77777777" w:rsidR="00DA6648" w:rsidRDefault="00DA6648" w:rsidP="00D95E0E">
            <w:pPr>
              <w:keepNext/>
              <w:keepLines/>
              <w:tabs>
                <w:tab w:val="center" w:pos="284"/>
              </w:tabs>
              <w:ind w:left="567" w:hanging="567"/>
              <w:rPr>
                <w:b/>
              </w:rPr>
            </w:pPr>
            <w:r>
              <w:rPr>
                <w:b/>
              </w:rPr>
              <w:t>Viiteasiakirja</w:t>
            </w:r>
          </w:p>
        </w:tc>
        <w:tc>
          <w:tcPr>
            <w:tcW w:w="6237" w:type="dxa"/>
            <w:hideMark/>
          </w:tcPr>
          <w:p w14:paraId="08FDEF69" w14:textId="77777777" w:rsidR="00522685" w:rsidRDefault="00522685" w:rsidP="00D95E0E">
            <w:pPr>
              <w:keepNext/>
              <w:keepLines/>
              <w:tabs>
                <w:tab w:val="center" w:pos="284"/>
              </w:tabs>
              <w:ind w:left="567" w:hanging="567"/>
            </w:pPr>
            <w:r>
              <w:t xml:space="preserve">Puheenjohtajavaltion Tanskan pyytämä valmisteleva lausunto </w:t>
            </w:r>
          </w:p>
          <w:p w14:paraId="59B2CA68" w14:textId="14BF4670" w:rsidR="00DA6648" w:rsidRDefault="00DA6648" w:rsidP="00D95E0E">
            <w:pPr>
              <w:keepNext/>
              <w:keepLines/>
              <w:tabs>
                <w:tab w:val="center" w:pos="284"/>
              </w:tabs>
              <w:ind w:left="567" w:hanging="567"/>
            </w:pPr>
            <w:r>
              <w:t>EESC-2025-01394-00-00-AC-TRA</w:t>
            </w:r>
          </w:p>
        </w:tc>
      </w:tr>
    </w:tbl>
    <w:p w14:paraId="01B06C37" w14:textId="77777777" w:rsidR="00522685" w:rsidRDefault="00522685" w:rsidP="00D95E0E">
      <w:pPr>
        <w:keepNext/>
        <w:keepLines/>
        <w:tabs>
          <w:tab w:val="center" w:pos="284"/>
        </w:tabs>
        <w:ind w:left="266" w:hanging="266"/>
        <w:rPr>
          <w:b/>
        </w:rPr>
      </w:pPr>
    </w:p>
    <w:p w14:paraId="491F6813" w14:textId="0C9D180D" w:rsidR="00DA6648" w:rsidRDefault="00DA6648" w:rsidP="00D95E0E">
      <w:pPr>
        <w:keepNext/>
        <w:keepLines/>
        <w:tabs>
          <w:tab w:val="center" w:pos="284"/>
        </w:tabs>
        <w:ind w:left="266" w:hanging="266"/>
        <w:rPr>
          <w:b/>
        </w:rPr>
      </w:pPr>
      <w:r>
        <w:rPr>
          <w:b/>
        </w:rPr>
        <w:t>Keskeiset kohdat</w:t>
      </w:r>
    </w:p>
    <w:p w14:paraId="54E86AEE" w14:textId="77777777" w:rsidR="00DA6648" w:rsidRDefault="00DA6648" w:rsidP="00D95E0E">
      <w:pPr>
        <w:rPr>
          <w:szCs w:val="20"/>
        </w:rPr>
      </w:pPr>
    </w:p>
    <w:p w14:paraId="735B17FB" w14:textId="77777777" w:rsidR="00DA6648" w:rsidRDefault="00DA6648" w:rsidP="00D95E0E">
      <w:pPr>
        <w:pStyle w:val="NormalWeb"/>
        <w:spacing w:before="0" w:beforeAutospacing="0" w:after="0" w:afterAutospacing="0" w:line="288" w:lineRule="auto"/>
        <w:jc w:val="both"/>
      </w:pPr>
      <w:r>
        <w:t>ETSK</w:t>
      </w:r>
    </w:p>
    <w:p w14:paraId="08B3EB21" w14:textId="77777777" w:rsidR="00DA6648" w:rsidRDefault="00DA6648" w:rsidP="00D95E0E">
      <w:pPr>
        <w:pStyle w:val="ListParagraph"/>
        <w:numPr>
          <w:ilvl w:val="0"/>
          <w:numId w:val="20"/>
        </w:numPr>
        <w:ind w:left="426"/>
      </w:pPr>
      <w:r>
        <w:t>suosittaa, että EU ja jäsenvaltiot huolehtivat työsuojelun puitedirektiivin mukaisesti siitä, että kaikki työntekijät kuuluvat varmasti työsuojelun sekä työterveys- ja työturvallisuusriskien ehkäisyn piiriin työsopimuksestaan, tehtävänimikkeestään tai koulutuspolustaan riippumatta. Tällaiseen suojeluun sisältyvät kattavat vähimmäisnormit, jotka koskevat fyysistä, henkistä ja sosiaalista hyvinvointia työpaikalla.</w:t>
      </w:r>
    </w:p>
    <w:p w14:paraId="794FF6AD" w14:textId="77777777" w:rsidR="00DA6648" w:rsidRDefault="00DA6648" w:rsidP="00D95E0E">
      <w:pPr>
        <w:pStyle w:val="ListParagraph"/>
        <w:numPr>
          <w:ilvl w:val="0"/>
          <w:numId w:val="20"/>
        </w:numPr>
        <w:ind w:left="426"/>
      </w:pPr>
      <w:r>
        <w:t>suosittelee kaikkien sidosryhmien, erityisesti työmarkkinaosapuolten, yhteistyön ja yhteisen vastuun vahvistamista työsuojelun tehokkaan hallinnan varmistamiseksi. Työntekijöiden edustajien aktiivinen osallistuminen ja työmarkkinaosapuolten vuoropuhelun edistäminen yritystasolla on välttämätöntä.</w:t>
      </w:r>
    </w:p>
    <w:p w14:paraId="0BB732B4" w14:textId="77777777" w:rsidR="00DA6648" w:rsidRDefault="00DA6648" w:rsidP="00D95E0E">
      <w:pPr>
        <w:pStyle w:val="ListParagraph"/>
        <w:numPr>
          <w:ilvl w:val="0"/>
          <w:numId w:val="20"/>
        </w:numPr>
        <w:ind w:left="426"/>
      </w:pPr>
      <w:r>
        <w:t>muistuttaa, että on tärkeää tehdä kattavia riskinarviointeja, joissa tarkastellaan kaikkia työperäisiä fyysisiä ja psykososiaalisia riskejä, joille työntekijät altistuvat ja jotka saattavat liittyä myös työn uusiin muotoihin ja ympäristöhaasteisiin.</w:t>
      </w:r>
    </w:p>
    <w:p w14:paraId="0E20CD94" w14:textId="77777777" w:rsidR="00DA6648" w:rsidRDefault="00DA6648" w:rsidP="00D95E0E">
      <w:pPr>
        <w:pStyle w:val="ListParagraph"/>
        <w:numPr>
          <w:ilvl w:val="0"/>
          <w:numId w:val="20"/>
        </w:numPr>
        <w:ind w:left="426"/>
      </w:pPr>
      <w:r>
        <w:t xml:space="preserve">korostaa, että työkokemuksen hankkimisen nivominen koulutukseen on olennaisen tärkeää nuorten työterveyden ja </w:t>
      </w:r>
      <w:r>
        <w:noBreakHyphen/>
        <w:t>turvallisuuden kannalta. Lisäksi on edistettävä turvallisuuden kulttuuria ja varmistettava, että koulutuksessa ja käytännön työelämässä otetaan huomioon sukupuolinäkökulma.</w:t>
      </w:r>
    </w:p>
    <w:p w14:paraId="1B7B645C" w14:textId="77777777" w:rsidR="00DA6648" w:rsidRDefault="00DA6648" w:rsidP="00D95E0E">
      <w:pPr>
        <w:pStyle w:val="ListParagraph"/>
        <w:numPr>
          <w:ilvl w:val="0"/>
          <w:numId w:val="20"/>
        </w:numPr>
        <w:ind w:left="426"/>
      </w:pPr>
      <w:r>
        <w:t>suosittelee, että työterveys- ja työturvallisuuspolitiikkaa mukautetaan väestönkehityksen suunnan mukaisesti kiinnittäen erityistä huomiota työvoiman ikääntymiseen.</w:t>
      </w:r>
    </w:p>
    <w:p w14:paraId="67C5DCBC" w14:textId="77777777" w:rsidR="00DA6648" w:rsidRDefault="00DA6648" w:rsidP="00D95E0E">
      <w:pPr>
        <w:pStyle w:val="ListParagraph"/>
        <w:numPr>
          <w:ilvl w:val="0"/>
          <w:numId w:val="20"/>
        </w:numPr>
        <w:ind w:left="426"/>
      </w:pPr>
      <w:r>
        <w:t>suosittelee, että EU:n työterveys- ja työturvallisuussäännöstön täytäntöönpanoa arvioidaan säännöllisesti ja että säännöstöä tarvittaessa päivitetään saadun näytön pohjalta, jotta se pysyisi työntekotapojen kehityksen tasalla.</w:t>
      </w:r>
    </w:p>
    <w:p w14:paraId="2CB204CB" w14:textId="77777777" w:rsidR="00DA6648" w:rsidRDefault="00DA6648" w:rsidP="00D95E0E">
      <w:pPr>
        <w:pStyle w:val="ListParagraph"/>
        <w:numPr>
          <w:ilvl w:val="0"/>
          <w:numId w:val="20"/>
        </w:numPr>
        <w:ind w:left="426"/>
      </w:pPr>
      <w:r>
        <w:t xml:space="preserve">korostaa nykyisten työterveys- ja työturvallisuussääntöjen noudattamisen ja sen valvonnan tehostamisen olevan ratkaisevan tärkeä askel kohti tavoitetta saada kuolonuhrien määrä vähennettyä nollaan. Lisäksi ammattiliittoja ja työnantajajärjestöjä olisi tuettava niiden pyrkiessä tehtävänsä mukaisesti seuraamaan ja levittämään työterveyteen ja </w:t>
      </w:r>
      <w:r>
        <w:noBreakHyphen/>
        <w:t>turvallisuuteen liittyviä hyviä käytäntöjä sekä havaitsemaan riskejä.</w:t>
      </w:r>
    </w:p>
    <w:p w14:paraId="446EBA2F" w14:textId="77777777" w:rsidR="00DA6648" w:rsidRDefault="00DA6648" w:rsidP="00D95E0E"/>
    <w:tbl>
      <w:tblPr>
        <w:tblW w:w="0" w:type="auto"/>
        <w:tblLook w:val="04A0" w:firstRow="1" w:lastRow="0" w:firstColumn="1" w:lastColumn="0" w:noHBand="0" w:noVBand="1"/>
      </w:tblPr>
      <w:tblGrid>
        <w:gridCol w:w="1402"/>
        <w:gridCol w:w="4493"/>
      </w:tblGrid>
      <w:tr w:rsidR="00DA6648" w14:paraId="46588D27" w14:textId="77777777" w:rsidTr="00DA6648">
        <w:tc>
          <w:tcPr>
            <w:tcW w:w="1210" w:type="dxa"/>
            <w:hideMark/>
          </w:tcPr>
          <w:p w14:paraId="66E98021" w14:textId="77777777" w:rsidR="00DA6648" w:rsidRDefault="00DA6648" w:rsidP="00D95E0E">
            <w:pPr>
              <w:rPr>
                <w:i/>
              </w:rPr>
            </w:pPr>
            <w:r>
              <w:rPr>
                <w:b/>
                <w:i/>
              </w:rPr>
              <w:t>Yhteydenotot</w:t>
            </w:r>
          </w:p>
        </w:tc>
        <w:tc>
          <w:tcPr>
            <w:tcW w:w="4493" w:type="dxa"/>
            <w:hideMark/>
          </w:tcPr>
          <w:p w14:paraId="26E550C6" w14:textId="2A977AE9" w:rsidR="00DA6648" w:rsidRDefault="00DA6648" w:rsidP="00D95E0E">
            <w:pPr>
              <w:ind w:hanging="12"/>
              <w:rPr>
                <w:i/>
              </w:rPr>
            </w:pPr>
            <w:r>
              <w:rPr>
                <w:i/>
              </w:rPr>
              <w:t xml:space="preserve">Ana </w:t>
            </w:r>
            <w:proofErr w:type="spellStart"/>
            <w:r w:rsidR="00057DCF">
              <w:rPr>
                <w:i/>
              </w:rPr>
              <w:t>Dumitrache</w:t>
            </w:r>
            <w:proofErr w:type="spellEnd"/>
          </w:p>
        </w:tc>
      </w:tr>
      <w:tr w:rsidR="00DA6648" w14:paraId="1D010922" w14:textId="77777777" w:rsidTr="00DA6648">
        <w:tc>
          <w:tcPr>
            <w:tcW w:w="1210" w:type="dxa"/>
            <w:hideMark/>
          </w:tcPr>
          <w:p w14:paraId="4E2BE71C" w14:textId="77777777" w:rsidR="00DA6648" w:rsidRDefault="00DA6648" w:rsidP="00D95E0E">
            <w:pPr>
              <w:rPr>
                <w:i/>
              </w:rPr>
            </w:pPr>
            <w:r>
              <w:rPr>
                <w:i/>
              </w:rPr>
              <w:t>P.</w:t>
            </w:r>
          </w:p>
        </w:tc>
        <w:tc>
          <w:tcPr>
            <w:tcW w:w="4493" w:type="dxa"/>
            <w:hideMark/>
          </w:tcPr>
          <w:p w14:paraId="054E0421" w14:textId="77777777" w:rsidR="00DA6648" w:rsidRDefault="00DA6648" w:rsidP="00D95E0E">
            <w:pPr>
              <w:rPr>
                <w:i/>
              </w:rPr>
            </w:pPr>
            <w:r>
              <w:rPr>
                <w:i/>
              </w:rPr>
              <w:t>+32 25468131</w:t>
            </w:r>
          </w:p>
        </w:tc>
      </w:tr>
      <w:tr w:rsidR="00DA6648" w14:paraId="053066BA" w14:textId="77777777" w:rsidTr="00DA6648">
        <w:tc>
          <w:tcPr>
            <w:tcW w:w="1210" w:type="dxa"/>
            <w:hideMark/>
          </w:tcPr>
          <w:p w14:paraId="4BC81818" w14:textId="77777777" w:rsidR="00DA6648" w:rsidRDefault="00DA6648" w:rsidP="00D95E0E">
            <w:pPr>
              <w:rPr>
                <w:i/>
              </w:rPr>
            </w:pPr>
            <w:r>
              <w:rPr>
                <w:i/>
              </w:rPr>
              <w:t>Sähköposti</w:t>
            </w:r>
          </w:p>
        </w:tc>
        <w:tc>
          <w:tcPr>
            <w:tcW w:w="4493" w:type="dxa"/>
            <w:hideMark/>
          </w:tcPr>
          <w:p w14:paraId="56513A24" w14:textId="77777777" w:rsidR="00DA6648" w:rsidRDefault="0061775F" w:rsidP="00D95E0E">
            <w:pPr>
              <w:rPr>
                <w:i/>
              </w:rPr>
            </w:pPr>
            <w:hyperlink r:id="rId31" w:history="1">
              <w:r w:rsidR="00DA6648">
                <w:rPr>
                  <w:rStyle w:val="Hyperlink"/>
                  <w:i/>
                </w:rPr>
                <w:t>Ana.Dumitrache@eesc.europa.eu</w:t>
              </w:r>
            </w:hyperlink>
          </w:p>
        </w:tc>
      </w:tr>
    </w:tbl>
    <w:p w14:paraId="4982DDF0" w14:textId="56B49B6D" w:rsidR="00DA6648" w:rsidRDefault="00DA6648" w:rsidP="00D95E0E">
      <w:pPr>
        <w:pStyle w:val="ListParagraph"/>
        <w:ind w:left="0"/>
      </w:pPr>
    </w:p>
    <w:p w14:paraId="69BB7EF5" w14:textId="77777777" w:rsidR="00DA6648" w:rsidRDefault="00DA6648" w:rsidP="00D95E0E">
      <w:pPr>
        <w:jc w:val="left"/>
      </w:pPr>
      <w:r>
        <w:br w:type="page"/>
      </w:r>
    </w:p>
    <w:p w14:paraId="49CFF906" w14:textId="501DB817" w:rsidR="00DA6648" w:rsidRDefault="0061775F" w:rsidP="00D95E0E">
      <w:pPr>
        <w:numPr>
          <w:ilvl w:val="0"/>
          <w:numId w:val="3"/>
        </w:numPr>
        <w:overflowPunct w:val="0"/>
        <w:autoSpaceDE w:val="0"/>
        <w:autoSpaceDN w:val="0"/>
        <w:adjustRightInd w:val="0"/>
        <w:ind w:hanging="567"/>
        <w:rPr>
          <w:sz w:val="24"/>
          <w:szCs w:val="24"/>
        </w:rPr>
      </w:pPr>
      <w:hyperlink r:id="rId32" w:history="1">
        <w:r w:rsidR="00DA6648">
          <w:rPr>
            <w:rStyle w:val="Hyperlink"/>
            <w:b/>
            <w:i/>
            <w:sz w:val="28"/>
          </w:rPr>
          <w:t>Jäsenvaltioiden työllisyyspolitiikan suuntaviivat</w:t>
        </w:r>
      </w:hyperlink>
    </w:p>
    <w:p w14:paraId="4A91256F" w14:textId="77777777" w:rsidR="00DA6648" w:rsidRDefault="00DA6648" w:rsidP="00D95E0E">
      <w:pPr>
        <w:tabs>
          <w:tab w:val="center" w:pos="284"/>
        </w:tabs>
        <w:ind w:left="266" w:hanging="266"/>
        <w:rPr>
          <w:b/>
        </w:rPr>
      </w:pPr>
    </w:p>
    <w:tbl>
      <w:tblPr>
        <w:tblW w:w="9322" w:type="dxa"/>
        <w:tblLook w:val="04A0" w:firstRow="1" w:lastRow="0" w:firstColumn="1" w:lastColumn="0" w:noHBand="0" w:noVBand="1"/>
      </w:tblPr>
      <w:tblGrid>
        <w:gridCol w:w="1701"/>
        <w:gridCol w:w="7621"/>
      </w:tblGrid>
      <w:tr w:rsidR="00DA6648" w14:paraId="7D8D0285" w14:textId="77777777" w:rsidTr="00DA6648">
        <w:tc>
          <w:tcPr>
            <w:tcW w:w="1701" w:type="dxa"/>
            <w:hideMark/>
          </w:tcPr>
          <w:p w14:paraId="3D55ED63" w14:textId="77777777" w:rsidR="00DA6648" w:rsidRDefault="00DA6648" w:rsidP="00D95E0E">
            <w:pPr>
              <w:tabs>
                <w:tab w:val="center" w:pos="284"/>
              </w:tabs>
              <w:ind w:left="266" w:hanging="266"/>
              <w:rPr>
                <w:b/>
              </w:rPr>
            </w:pPr>
            <w:r>
              <w:rPr>
                <w:b/>
              </w:rPr>
              <w:t>Esittelijä</w:t>
            </w:r>
          </w:p>
        </w:tc>
        <w:tc>
          <w:tcPr>
            <w:tcW w:w="7621" w:type="dxa"/>
            <w:hideMark/>
          </w:tcPr>
          <w:p w14:paraId="2480D58B" w14:textId="77777777" w:rsidR="00DA6648" w:rsidRDefault="00DA6648" w:rsidP="00D95E0E">
            <w:pPr>
              <w:tabs>
                <w:tab w:val="center" w:pos="284"/>
              </w:tabs>
              <w:ind w:left="266" w:hanging="266"/>
            </w:pPr>
            <w:proofErr w:type="spellStart"/>
            <w:r>
              <w:t>Mariya</w:t>
            </w:r>
            <w:proofErr w:type="spellEnd"/>
            <w:r>
              <w:t xml:space="preserve"> MINCHEVA (työnantajat – BG)</w:t>
            </w:r>
          </w:p>
        </w:tc>
      </w:tr>
      <w:tr w:rsidR="00DA6648" w14:paraId="75D50579" w14:textId="77777777" w:rsidTr="00DA6648">
        <w:tc>
          <w:tcPr>
            <w:tcW w:w="1701" w:type="dxa"/>
            <w:hideMark/>
          </w:tcPr>
          <w:p w14:paraId="25A69E08" w14:textId="77777777" w:rsidR="00DA6648" w:rsidRDefault="00DA6648" w:rsidP="00D95E0E">
            <w:pPr>
              <w:tabs>
                <w:tab w:val="center" w:pos="284"/>
              </w:tabs>
              <w:ind w:left="266" w:hanging="266"/>
              <w:rPr>
                <w:b/>
              </w:rPr>
            </w:pPr>
            <w:r>
              <w:rPr>
                <w:b/>
              </w:rPr>
              <w:t xml:space="preserve">Viiteasiakirja </w:t>
            </w:r>
          </w:p>
        </w:tc>
        <w:tc>
          <w:tcPr>
            <w:tcW w:w="7621" w:type="dxa"/>
            <w:hideMark/>
          </w:tcPr>
          <w:p w14:paraId="2EFC1E00" w14:textId="77777777" w:rsidR="00522685" w:rsidRDefault="00522685" w:rsidP="00D95E0E">
            <w:pPr>
              <w:tabs>
                <w:tab w:val="center" w:pos="284"/>
              </w:tabs>
              <w:ind w:left="266" w:hanging="266"/>
            </w:pPr>
            <w:r>
              <w:rPr>
                <w:lang w:val="en-GB"/>
              </w:rPr>
              <w:t>COM(2025) 230 final</w:t>
            </w:r>
            <w:r>
              <w:t xml:space="preserve"> </w:t>
            </w:r>
          </w:p>
          <w:p w14:paraId="04095A2C" w14:textId="37E14A2C" w:rsidR="00DA6648" w:rsidRDefault="00DA6648" w:rsidP="00D95E0E">
            <w:pPr>
              <w:tabs>
                <w:tab w:val="center" w:pos="284"/>
              </w:tabs>
              <w:ind w:left="266" w:hanging="266"/>
            </w:pPr>
            <w:r>
              <w:t>EESC-202</w:t>
            </w:r>
            <w:r w:rsidR="00057DCF">
              <w:t>5</w:t>
            </w:r>
            <w:r>
              <w:t>-02264-00-00-AC</w:t>
            </w:r>
          </w:p>
        </w:tc>
      </w:tr>
    </w:tbl>
    <w:p w14:paraId="083FFBB4" w14:textId="77777777" w:rsidR="00DA6648" w:rsidRDefault="00DA6648" w:rsidP="00D95E0E">
      <w:pPr>
        <w:tabs>
          <w:tab w:val="center" w:pos="284"/>
        </w:tabs>
        <w:ind w:left="266" w:hanging="266"/>
      </w:pPr>
    </w:p>
    <w:p w14:paraId="19A7EEE7" w14:textId="77777777" w:rsidR="00DA6648" w:rsidRDefault="00DA6648" w:rsidP="00D95E0E">
      <w:pPr>
        <w:keepNext/>
        <w:keepLines/>
        <w:tabs>
          <w:tab w:val="center" w:pos="284"/>
        </w:tabs>
        <w:ind w:left="266" w:hanging="266"/>
        <w:rPr>
          <w:b/>
        </w:rPr>
      </w:pPr>
      <w:r>
        <w:rPr>
          <w:b/>
        </w:rPr>
        <w:t>Keskeiset kohdat</w:t>
      </w:r>
    </w:p>
    <w:p w14:paraId="5A84C478" w14:textId="77777777" w:rsidR="00DA6648" w:rsidRDefault="00DA6648" w:rsidP="00D95E0E">
      <w:pPr>
        <w:ind w:left="567"/>
        <w:outlineLvl w:val="1"/>
        <w:rPr>
          <w:rStyle w:val="Strong"/>
          <w:szCs w:val="20"/>
        </w:rPr>
      </w:pPr>
    </w:p>
    <w:p w14:paraId="32722468" w14:textId="77777777" w:rsidR="00DA6648" w:rsidRDefault="00DA6648" w:rsidP="00D95E0E">
      <w:pPr>
        <w:outlineLvl w:val="1"/>
      </w:pPr>
      <w:bookmarkStart w:id="30" w:name="_Toc210812704"/>
      <w:r>
        <w:t>ETSK</w:t>
      </w:r>
      <w:bookmarkEnd w:id="30"/>
    </w:p>
    <w:p w14:paraId="5FEB8A70" w14:textId="77777777" w:rsidR="00DA6648" w:rsidRDefault="00DA6648" w:rsidP="00D95E0E">
      <w:pPr>
        <w:numPr>
          <w:ilvl w:val="0"/>
          <w:numId w:val="21"/>
        </w:numPr>
        <w:overflowPunct w:val="0"/>
        <w:autoSpaceDE w:val="0"/>
        <w:autoSpaceDN w:val="0"/>
        <w:adjustRightInd w:val="0"/>
        <w:ind w:left="426"/>
        <w:outlineLvl w:val="1"/>
        <w:rPr>
          <w:bCs/>
          <w:iCs/>
        </w:rPr>
      </w:pPr>
      <w:bookmarkStart w:id="31" w:name="_Toc210812705"/>
      <w:r>
        <w:t>kannattaa työllisyyden suuntaviivojen uusimista vuonna 2025 osana talouspolitiikan eurooppalaisen ohjausjakson kevätpakettia.</w:t>
      </w:r>
      <w:bookmarkEnd w:id="31"/>
    </w:p>
    <w:p w14:paraId="6A2AD0AA" w14:textId="77777777" w:rsidR="00DA6648" w:rsidRDefault="00DA6648" w:rsidP="00D95E0E">
      <w:pPr>
        <w:numPr>
          <w:ilvl w:val="0"/>
          <w:numId w:val="21"/>
        </w:numPr>
        <w:overflowPunct w:val="0"/>
        <w:autoSpaceDE w:val="0"/>
        <w:autoSpaceDN w:val="0"/>
        <w:adjustRightInd w:val="0"/>
        <w:ind w:left="426"/>
        <w:outlineLvl w:val="1"/>
        <w:rPr>
          <w:bCs/>
          <w:iCs/>
        </w:rPr>
      </w:pPr>
      <w:bookmarkStart w:id="32" w:name="_Toc210812706"/>
      <w:r>
        <w:t>katsoo, että johdanto-osan kappaleisiin vuonna 2025 lisätyissä uusissa tekijöissä otetaan asianmukaisesti huomioon talouskehitykseen ja työmarkkinoihin vaikuttavat muutokset ja haasteet.</w:t>
      </w:r>
      <w:bookmarkEnd w:id="32"/>
    </w:p>
    <w:p w14:paraId="0793EBC5" w14:textId="77777777" w:rsidR="00DA6648" w:rsidRDefault="00DA6648" w:rsidP="00D95E0E">
      <w:pPr>
        <w:numPr>
          <w:ilvl w:val="0"/>
          <w:numId w:val="21"/>
        </w:numPr>
        <w:overflowPunct w:val="0"/>
        <w:autoSpaceDE w:val="0"/>
        <w:autoSpaceDN w:val="0"/>
        <w:adjustRightInd w:val="0"/>
        <w:ind w:left="426"/>
        <w:outlineLvl w:val="1"/>
        <w:rPr>
          <w:bCs/>
          <w:iCs/>
        </w:rPr>
      </w:pPr>
      <w:bookmarkStart w:id="33" w:name="_Toc210812707"/>
      <w:r>
        <w:t>panee tyytyväisenä merkille myös lisätyn viittauksen vuoden 2030 kansallisiin tavoitteisiin, jotka liittyvät Euroopan sosiaalisten oikeuksien pilaria koskevassa toimintasuunnitelmassa asetettuihin yleistavoitteisiin.</w:t>
      </w:r>
      <w:bookmarkEnd w:id="33"/>
    </w:p>
    <w:p w14:paraId="50C88828" w14:textId="77777777" w:rsidR="00DA6648" w:rsidRDefault="00DA6648" w:rsidP="00D95E0E">
      <w:pPr>
        <w:numPr>
          <w:ilvl w:val="0"/>
          <w:numId w:val="21"/>
        </w:numPr>
        <w:overflowPunct w:val="0"/>
        <w:autoSpaceDE w:val="0"/>
        <w:autoSpaceDN w:val="0"/>
        <w:adjustRightInd w:val="0"/>
        <w:ind w:left="426"/>
        <w:outlineLvl w:val="1"/>
        <w:rPr>
          <w:bCs/>
          <w:iCs/>
        </w:rPr>
      </w:pPr>
      <w:bookmarkStart w:id="34" w:name="_Toc210812708"/>
      <w:r>
        <w:t>pitää tervetulleina ponnisteluja työllisyyden yleistavoitteen saavuttamiseksi vuoteen 2030 mennessä. Huomattakoon, että työllisyys kasvoi enemmän aloilla, joilla työvoimapula on suhteellisen suuri. Samaan aikaan työmarkkinoiden ulkopuolella olevien osuus on edelleen suhteellisen suuri aliedustettujen ryhmien keskuudessa.</w:t>
      </w:r>
      <w:bookmarkEnd w:id="34"/>
    </w:p>
    <w:p w14:paraId="381C4B16" w14:textId="77777777" w:rsidR="00DA6648" w:rsidRDefault="00DA6648" w:rsidP="00D95E0E">
      <w:pPr>
        <w:numPr>
          <w:ilvl w:val="0"/>
          <w:numId w:val="21"/>
        </w:numPr>
        <w:overflowPunct w:val="0"/>
        <w:autoSpaceDE w:val="0"/>
        <w:autoSpaceDN w:val="0"/>
        <w:adjustRightInd w:val="0"/>
        <w:ind w:left="426"/>
        <w:outlineLvl w:val="1"/>
        <w:rPr>
          <w:bCs/>
          <w:iCs/>
        </w:rPr>
      </w:pPr>
      <w:bookmarkStart w:id="35" w:name="_Toc210812709"/>
      <w:r>
        <w:t>korostaa, että hyvin toimivat työehtosopimusneuvottelujärjestelmät ovat edelleen tärkeä väline työn tuottavuuden lisäämisessä ja oikean tasapainon löytämisessä palkanmuodostukseen, kun ajatellaan oikeudenmukaisuutta ja palkkojen mukauttamista tuottavuuden kehitykseen.</w:t>
      </w:r>
      <w:bookmarkEnd w:id="35"/>
    </w:p>
    <w:p w14:paraId="30795BB1" w14:textId="77777777" w:rsidR="00DA6648" w:rsidRDefault="00DA6648" w:rsidP="00D95E0E">
      <w:pPr>
        <w:numPr>
          <w:ilvl w:val="0"/>
          <w:numId w:val="21"/>
        </w:numPr>
        <w:overflowPunct w:val="0"/>
        <w:autoSpaceDE w:val="0"/>
        <w:autoSpaceDN w:val="0"/>
        <w:adjustRightInd w:val="0"/>
        <w:ind w:left="426"/>
        <w:outlineLvl w:val="1"/>
        <w:rPr>
          <w:bCs/>
          <w:iCs/>
        </w:rPr>
      </w:pPr>
      <w:bookmarkStart w:id="36" w:name="_Toc210812710"/>
      <w:r>
        <w:t>kannattaa useiden julkisten työvoimapalvelujen toteuttamia toimia, joissa keskitytään erityisesti aktivointitoimenpiteisiin ja osaamiseen sekä työntekijöiden tukemiseen siirtymisessä uuteen työhön vihreän ja digitaalisen siirtymän edistämiseksi. Komitea korostaa, että olisi panostettava nuoriin ja helpotettava siirtymistä koulusta työelämään.</w:t>
      </w:r>
      <w:bookmarkEnd w:id="36"/>
    </w:p>
    <w:p w14:paraId="3ABF60D4" w14:textId="77777777" w:rsidR="00DA6648" w:rsidRDefault="00DA6648" w:rsidP="00D95E0E">
      <w:pPr>
        <w:numPr>
          <w:ilvl w:val="0"/>
          <w:numId w:val="21"/>
        </w:numPr>
        <w:overflowPunct w:val="0"/>
        <w:autoSpaceDE w:val="0"/>
        <w:autoSpaceDN w:val="0"/>
        <w:adjustRightInd w:val="0"/>
        <w:ind w:left="426"/>
        <w:outlineLvl w:val="1"/>
        <w:rPr>
          <w:bCs/>
          <w:iCs/>
        </w:rPr>
      </w:pPr>
      <w:bookmarkStart w:id="37" w:name="_Toc210812711"/>
      <w:r>
        <w:t>panee huolestuneena merkille, että jonkinasteisesta myönteisestä kehityksestä huolimatta edistyminen kansallisten tavoitteiden saavuttamisessa köyhyyden vähentämiseksi vuoteen 2030 mennessä vaihtelee huomattavasti jäsenvaltioiden välillä ja edellyttää jäljellä olevan vuosikymmenen aikana huomattavaa toimien kiihdyttämistä EU:n tavoitteen saavuttamiseksi. Lisäksi lapsiköyhyys on edelleen hälyttävän yleistä.</w:t>
      </w:r>
      <w:bookmarkEnd w:id="37"/>
    </w:p>
    <w:p w14:paraId="5AF28273" w14:textId="77777777" w:rsidR="00DA6648" w:rsidRDefault="00DA6648" w:rsidP="00D95E0E">
      <w:pPr>
        <w:numPr>
          <w:ilvl w:val="0"/>
          <w:numId w:val="21"/>
        </w:numPr>
        <w:overflowPunct w:val="0"/>
        <w:autoSpaceDE w:val="0"/>
        <w:autoSpaceDN w:val="0"/>
        <w:adjustRightInd w:val="0"/>
        <w:ind w:left="426"/>
        <w:outlineLvl w:val="1"/>
        <w:rPr>
          <w:bCs/>
          <w:iCs/>
        </w:rPr>
      </w:pPr>
      <w:bookmarkStart w:id="38" w:name="_Toc210812712"/>
      <w:r>
        <w:t>korostaa, että geopoliittisista haasteista ja varautumiseen, turvallisuuteen ja puolustukseen liittyvistä uusista poliittisista tavoitteista huolimatta koheesiopolitiikan on pysyttävä EU:n poliittisen asialistan keskiössä ja sitä olisi rahoitettava asianmukaisesti monivuotisesta rahoituskehyksestä.</w:t>
      </w:r>
      <w:bookmarkEnd w:id="38"/>
    </w:p>
    <w:p w14:paraId="24836306" w14:textId="77777777" w:rsidR="00DA6648" w:rsidRDefault="00DA6648" w:rsidP="00D95E0E">
      <w:pPr>
        <w:ind w:left="567"/>
        <w:outlineLvl w:val="1"/>
        <w:rPr>
          <w:bCs/>
          <w:iCs/>
        </w:rPr>
      </w:pPr>
    </w:p>
    <w:tbl>
      <w:tblPr>
        <w:tblW w:w="7088" w:type="dxa"/>
        <w:tblLook w:val="04A0" w:firstRow="1" w:lastRow="0" w:firstColumn="1" w:lastColumn="0" w:noHBand="0" w:noVBand="1"/>
      </w:tblPr>
      <w:tblGrid>
        <w:gridCol w:w="1418"/>
        <w:gridCol w:w="5670"/>
      </w:tblGrid>
      <w:tr w:rsidR="00DA6648" w14:paraId="00605E35" w14:textId="77777777" w:rsidTr="00DA6648">
        <w:tc>
          <w:tcPr>
            <w:tcW w:w="1418" w:type="dxa"/>
            <w:hideMark/>
          </w:tcPr>
          <w:p w14:paraId="5F7AB093" w14:textId="77777777" w:rsidR="00DA6648" w:rsidRDefault="00DA6648" w:rsidP="00D95E0E">
            <w:pPr>
              <w:rPr>
                <w:i/>
              </w:rPr>
            </w:pPr>
            <w:r>
              <w:rPr>
                <w:b/>
                <w:i/>
              </w:rPr>
              <w:t>Yhteydenotot</w:t>
            </w:r>
          </w:p>
        </w:tc>
        <w:tc>
          <w:tcPr>
            <w:tcW w:w="5670" w:type="dxa"/>
            <w:hideMark/>
          </w:tcPr>
          <w:p w14:paraId="00D4D79D" w14:textId="1636A1C8" w:rsidR="00DA6648" w:rsidRDefault="00DA6648" w:rsidP="00D95E0E">
            <w:pPr>
              <w:rPr>
                <w:i/>
              </w:rPr>
            </w:pPr>
            <w:r>
              <w:rPr>
                <w:i/>
              </w:rPr>
              <w:t xml:space="preserve">Antoni </w:t>
            </w:r>
            <w:proofErr w:type="spellStart"/>
            <w:r w:rsidR="00057DCF">
              <w:rPr>
                <w:i/>
              </w:rPr>
              <w:t>Torras</w:t>
            </w:r>
            <w:proofErr w:type="spellEnd"/>
            <w:r w:rsidR="00057DCF">
              <w:rPr>
                <w:i/>
              </w:rPr>
              <w:t xml:space="preserve"> </w:t>
            </w:r>
            <w:proofErr w:type="spellStart"/>
            <w:r w:rsidR="00057DCF">
              <w:rPr>
                <w:i/>
              </w:rPr>
              <w:t>Estruch</w:t>
            </w:r>
            <w:proofErr w:type="spellEnd"/>
            <w:r w:rsidR="00C1486C">
              <w:rPr>
                <w:i/>
              </w:rPr>
              <w:t>,</w:t>
            </w:r>
            <w:r>
              <w:rPr>
                <w:i/>
              </w:rPr>
              <w:t xml:space="preserve"> Ana </w:t>
            </w:r>
            <w:proofErr w:type="spellStart"/>
            <w:r w:rsidR="00057DCF">
              <w:rPr>
                <w:i/>
              </w:rPr>
              <w:t>Dumitrache</w:t>
            </w:r>
            <w:proofErr w:type="spellEnd"/>
          </w:p>
        </w:tc>
      </w:tr>
      <w:tr w:rsidR="00DA6648" w14:paraId="3A23BEB6" w14:textId="77777777" w:rsidTr="00DA6648">
        <w:tc>
          <w:tcPr>
            <w:tcW w:w="1418" w:type="dxa"/>
            <w:hideMark/>
          </w:tcPr>
          <w:p w14:paraId="0C0AC544" w14:textId="77777777" w:rsidR="00DA6648" w:rsidRDefault="00DA6648" w:rsidP="00D95E0E">
            <w:pPr>
              <w:rPr>
                <w:i/>
              </w:rPr>
            </w:pPr>
            <w:r>
              <w:rPr>
                <w:i/>
              </w:rPr>
              <w:t>P.</w:t>
            </w:r>
          </w:p>
        </w:tc>
        <w:tc>
          <w:tcPr>
            <w:tcW w:w="5670" w:type="dxa"/>
            <w:hideMark/>
          </w:tcPr>
          <w:p w14:paraId="143E6E8C" w14:textId="47D7020D" w:rsidR="00DA6648" w:rsidRDefault="00DA6648" w:rsidP="00D95E0E">
            <w:pPr>
              <w:rPr>
                <w:i/>
              </w:rPr>
            </w:pPr>
            <w:r>
              <w:rPr>
                <w:i/>
              </w:rPr>
              <w:t>+32 25468391</w:t>
            </w:r>
            <w:r w:rsidR="00C1486C">
              <w:rPr>
                <w:i/>
              </w:rPr>
              <w:t>,</w:t>
            </w:r>
            <w:r>
              <w:rPr>
                <w:i/>
              </w:rPr>
              <w:t xml:space="preserve"> +32 25468131</w:t>
            </w:r>
          </w:p>
        </w:tc>
      </w:tr>
      <w:tr w:rsidR="00DA6648" w14:paraId="517434CB" w14:textId="77777777" w:rsidTr="00DA6648">
        <w:tc>
          <w:tcPr>
            <w:tcW w:w="1418" w:type="dxa"/>
            <w:hideMark/>
          </w:tcPr>
          <w:p w14:paraId="08581B65" w14:textId="77777777" w:rsidR="00DA6648" w:rsidRDefault="00DA6648" w:rsidP="00D95E0E">
            <w:pPr>
              <w:rPr>
                <w:i/>
              </w:rPr>
            </w:pPr>
            <w:r>
              <w:rPr>
                <w:i/>
              </w:rPr>
              <w:t>Sähköposti</w:t>
            </w:r>
          </w:p>
        </w:tc>
        <w:tc>
          <w:tcPr>
            <w:tcW w:w="5670" w:type="dxa"/>
            <w:hideMark/>
          </w:tcPr>
          <w:p w14:paraId="371FABE9" w14:textId="77777777" w:rsidR="00DA6648" w:rsidRDefault="0061775F" w:rsidP="00D95E0E">
            <w:pPr>
              <w:rPr>
                <w:szCs w:val="20"/>
              </w:rPr>
            </w:pPr>
            <w:hyperlink r:id="rId33" w:history="1">
              <w:r w:rsidR="00DA6648">
                <w:rPr>
                  <w:rStyle w:val="Hyperlink"/>
                  <w:i/>
                </w:rPr>
                <w:t>Antoni.Torrasestruch@eesc.europa.eu</w:t>
              </w:r>
            </w:hyperlink>
          </w:p>
          <w:p w14:paraId="5512E8A7" w14:textId="77777777" w:rsidR="00DA6648" w:rsidRDefault="0061775F" w:rsidP="00D95E0E">
            <w:pPr>
              <w:rPr>
                <w:i/>
              </w:rPr>
            </w:pPr>
            <w:hyperlink r:id="rId34" w:history="1">
              <w:r w:rsidR="00DA6648">
                <w:rPr>
                  <w:rStyle w:val="Hyperlink"/>
                  <w:i/>
                </w:rPr>
                <w:t>Ana.Dumitrache@eesc.europa.eu</w:t>
              </w:r>
            </w:hyperlink>
          </w:p>
        </w:tc>
      </w:tr>
    </w:tbl>
    <w:p w14:paraId="1F81EED8" w14:textId="4961D9AB" w:rsidR="00DA6648" w:rsidRDefault="00DA6648" w:rsidP="00D95E0E">
      <w:pPr>
        <w:pStyle w:val="ListParagraph"/>
        <w:ind w:left="0"/>
      </w:pPr>
    </w:p>
    <w:p w14:paraId="49E85BC6" w14:textId="77777777" w:rsidR="00DA6648" w:rsidRDefault="00DA6648" w:rsidP="00D95E0E">
      <w:pPr>
        <w:jc w:val="left"/>
      </w:pPr>
      <w:r>
        <w:br w:type="page"/>
      </w:r>
    </w:p>
    <w:p w14:paraId="5874F81D" w14:textId="206E8D13" w:rsidR="00DA6648" w:rsidRDefault="0061775F" w:rsidP="00D95E0E">
      <w:pPr>
        <w:numPr>
          <w:ilvl w:val="0"/>
          <w:numId w:val="3"/>
        </w:numPr>
        <w:overflowPunct w:val="0"/>
        <w:autoSpaceDE w:val="0"/>
        <w:autoSpaceDN w:val="0"/>
        <w:adjustRightInd w:val="0"/>
        <w:ind w:hanging="567"/>
        <w:rPr>
          <w:sz w:val="24"/>
          <w:szCs w:val="24"/>
        </w:rPr>
      </w:pPr>
      <w:hyperlink r:id="rId35" w:history="1">
        <w:r w:rsidR="00DA6648">
          <w:rPr>
            <w:rStyle w:val="Hyperlink"/>
            <w:b/>
            <w:i/>
            <w:sz w:val="28"/>
          </w:rPr>
          <w:t>Yhteisen järjestelmän perustaminen unionissa laittomasti oleskelevien kolmansien maiden kansalaisten palauttamiseksi</w:t>
        </w:r>
      </w:hyperlink>
      <w:r w:rsidR="00DA6648">
        <w:rPr>
          <w:b/>
          <w:i/>
          <w:sz w:val="28"/>
        </w:rPr>
        <w:t xml:space="preserve"> </w:t>
      </w:r>
    </w:p>
    <w:p w14:paraId="1A5F4488" w14:textId="77777777" w:rsidR="00DA6648" w:rsidRPr="00522685" w:rsidRDefault="00DA6648" w:rsidP="00D95E0E">
      <w:pPr>
        <w:tabs>
          <w:tab w:val="center" w:pos="284"/>
        </w:tabs>
        <w:ind w:left="266" w:hanging="266"/>
        <w:rPr>
          <w:b/>
        </w:rPr>
      </w:pPr>
    </w:p>
    <w:tbl>
      <w:tblPr>
        <w:tblW w:w="0" w:type="auto"/>
        <w:tblLook w:val="04A0" w:firstRow="1" w:lastRow="0" w:firstColumn="1" w:lastColumn="0" w:noHBand="0" w:noVBand="1"/>
      </w:tblPr>
      <w:tblGrid>
        <w:gridCol w:w="1701"/>
        <w:gridCol w:w="6345"/>
      </w:tblGrid>
      <w:tr w:rsidR="00DA6648" w:rsidRPr="00522685" w14:paraId="18043FAA" w14:textId="77777777" w:rsidTr="00DA6648">
        <w:tc>
          <w:tcPr>
            <w:tcW w:w="1701" w:type="dxa"/>
            <w:hideMark/>
          </w:tcPr>
          <w:p w14:paraId="53D4E0A2" w14:textId="77777777" w:rsidR="00DA6648" w:rsidRPr="00522685" w:rsidRDefault="00DA6648" w:rsidP="00D95E0E">
            <w:pPr>
              <w:tabs>
                <w:tab w:val="center" w:pos="284"/>
              </w:tabs>
              <w:ind w:left="266" w:hanging="266"/>
              <w:rPr>
                <w:b/>
              </w:rPr>
            </w:pPr>
            <w:r w:rsidRPr="00522685">
              <w:rPr>
                <w:b/>
              </w:rPr>
              <w:t>Esittelijä</w:t>
            </w:r>
          </w:p>
        </w:tc>
        <w:tc>
          <w:tcPr>
            <w:tcW w:w="6345" w:type="dxa"/>
            <w:hideMark/>
          </w:tcPr>
          <w:p w14:paraId="28BA8EC7" w14:textId="77777777" w:rsidR="00DA6648" w:rsidRPr="00522685" w:rsidRDefault="00DA6648" w:rsidP="00D95E0E">
            <w:pPr>
              <w:tabs>
                <w:tab w:val="center" w:pos="284"/>
              </w:tabs>
              <w:ind w:left="266" w:hanging="266"/>
            </w:pPr>
            <w:r w:rsidRPr="00522685">
              <w:t>José Antonio MORENO DÍAZ (työntekijät – ES)</w:t>
            </w:r>
          </w:p>
        </w:tc>
      </w:tr>
      <w:tr w:rsidR="00DA6648" w:rsidRPr="00522685" w14:paraId="4F1CBF93" w14:textId="77777777" w:rsidTr="00DA6648">
        <w:tc>
          <w:tcPr>
            <w:tcW w:w="1701" w:type="dxa"/>
            <w:hideMark/>
          </w:tcPr>
          <w:p w14:paraId="760B084A" w14:textId="77777777" w:rsidR="00DA6648" w:rsidRPr="00522685" w:rsidRDefault="00DA6648" w:rsidP="00D95E0E">
            <w:pPr>
              <w:tabs>
                <w:tab w:val="center" w:pos="284"/>
              </w:tabs>
              <w:ind w:left="266" w:hanging="266"/>
              <w:rPr>
                <w:b/>
              </w:rPr>
            </w:pPr>
            <w:r w:rsidRPr="00522685">
              <w:rPr>
                <w:b/>
              </w:rPr>
              <w:t>Yhteisesittelijä</w:t>
            </w:r>
          </w:p>
        </w:tc>
        <w:tc>
          <w:tcPr>
            <w:tcW w:w="6345" w:type="dxa"/>
            <w:hideMark/>
          </w:tcPr>
          <w:p w14:paraId="2049ED2E" w14:textId="77777777" w:rsidR="00DA6648" w:rsidRPr="00522685" w:rsidRDefault="00DA6648" w:rsidP="00D95E0E">
            <w:pPr>
              <w:tabs>
                <w:tab w:val="center" w:pos="284"/>
              </w:tabs>
              <w:ind w:left="266" w:hanging="266"/>
            </w:pPr>
            <w:proofErr w:type="spellStart"/>
            <w:r w:rsidRPr="00522685">
              <w:t>Cristian</w:t>
            </w:r>
            <w:proofErr w:type="spellEnd"/>
            <w:r w:rsidRPr="00522685">
              <w:t xml:space="preserve"> PÎRVULESCU (kansalaisyhteiskunnan organisaatiot – RO) </w:t>
            </w:r>
          </w:p>
        </w:tc>
      </w:tr>
      <w:tr w:rsidR="00DA6648" w:rsidRPr="00522685" w14:paraId="185D6C7B" w14:textId="77777777" w:rsidTr="00DA6648">
        <w:tc>
          <w:tcPr>
            <w:tcW w:w="1701" w:type="dxa"/>
            <w:vMerge w:val="restart"/>
            <w:hideMark/>
          </w:tcPr>
          <w:p w14:paraId="0FF65879" w14:textId="77777777" w:rsidR="00DA6648" w:rsidRPr="00522685" w:rsidRDefault="00DA6648" w:rsidP="00D95E0E">
            <w:pPr>
              <w:tabs>
                <w:tab w:val="center" w:pos="284"/>
              </w:tabs>
              <w:ind w:left="266" w:hanging="266"/>
              <w:rPr>
                <w:b/>
              </w:rPr>
            </w:pPr>
            <w:r w:rsidRPr="00522685">
              <w:rPr>
                <w:b/>
              </w:rPr>
              <w:t xml:space="preserve">Viiteasiakirjat </w:t>
            </w:r>
          </w:p>
        </w:tc>
        <w:tc>
          <w:tcPr>
            <w:tcW w:w="6345" w:type="dxa"/>
            <w:hideMark/>
          </w:tcPr>
          <w:p w14:paraId="78ACCDBB" w14:textId="77777777" w:rsidR="00DA6648" w:rsidRPr="00522685" w:rsidRDefault="00DA6648" w:rsidP="00D95E0E">
            <w:pPr>
              <w:tabs>
                <w:tab w:val="center" w:pos="284"/>
              </w:tabs>
              <w:ind w:left="266" w:hanging="266"/>
            </w:pPr>
            <w:r w:rsidRPr="00522685">
              <w:t xml:space="preserve">COM(2025) 101 </w:t>
            </w:r>
            <w:proofErr w:type="spellStart"/>
            <w:r w:rsidRPr="00522685">
              <w:t>final</w:t>
            </w:r>
            <w:proofErr w:type="spellEnd"/>
            <w:r w:rsidRPr="00522685">
              <w:t xml:space="preserve"> – 2025/0059 (COD)</w:t>
            </w:r>
          </w:p>
        </w:tc>
      </w:tr>
      <w:tr w:rsidR="00DA6648" w:rsidRPr="00522685" w14:paraId="707FE093" w14:textId="77777777" w:rsidTr="00DA6648">
        <w:tc>
          <w:tcPr>
            <w:tcW w:w="0" w:type="auto"/>
            <w:vMerge/>
            <w:vAlign w:val="center"/>
            <w:hideMark/>
          </w:tcPr>
          <w:p w14:paraId="531773BD" w14:textId="77777777" w:rsidR="00DA6648" w:rsidRPr="00522685" w:rsidRDefault="00DA6648" w:rsidP="00D95E0E">
            <w:pPr>
              <w:jc w:val="left"/>
              <w:rPr>
                <w:b/>
              </w:rPr>
            </w:pPr>
          </w:p>
        </w:tc>
        <w:tc>
          <w:tcPr>
            <w:tcW w:w="6345" w:type="dxa"/>
            <w:hideMark/>
          </w:tcPr>
          <w:p w14:paraId="45BFF752" w14:textId="77777777" w:rsidR="00DA6648" w:rsidRPr="00522685" w:rsidRDefault="00DA6648" w:rsidP="00D95E0E">
            <w:pPr>
              <w:tabs>
                <w:tab w:val="center" w:pos="284"/>
              </w:tabs>
              <w:ind w:left="266" w:hanging="266"/>
            </w:pPr>
            <w:r w:rsidRPr="00522685">
              <w:t>EESC-2025-01284-00-00-AC-TRA</w:t>
            </w:r>
          </w:p>
        </w:tc>
      </w:tr>
    </w:tbl>
    <w:p w14:paraId="74D754CB" w14:textId="77777777" w:rsidR="00DA6648" w:rsidRPr="00522685" w:rsidRDefault="00DA6648" w:rsidP="00D95E0E">
      <w:pPr>
        <w:keepNext/>
        <w:keepLines/>
        <w:tabs>
          <w:tab w:val="center" w:pos="284"/>
        </w:tabs>
        <w:ind w:left="266" w:hanging="266"/>
        <w:rPr>
          <w:b/>
        </w:rPr>
      </w:pPr>
    </w:p>
    <w:p w14:paraId="03DCF772" w14:textId="77777777" w:rsidR="00DA6648" w:rsidRPr="00522685" w:rsidRDefault="00DA6648" w:rsidP="00D95E0E">
      <w:pPr>
        <w:keepNext/>
        <w:keepLines/>
        <w:tabs>
          <w:tab w:val="center" w:pos="284"/>
        </w:tabs>
        <w:ind w:left="266" w:hanging="266"/>
        <w:rPr>
          <w:b/>
        </w:rPr>
      </w:pPr>
      <w:r w:rsidRPr="00522685">
        <w:rPr>
          <w:b/>
        </w:rPr>
        <w:t>Keskeiset kohdat</w:t>
      </w:r>
    </w:p>
    <w:p w14:paraId="4F0D8217" w14:textId="77777777" w:rsidR="00DA6648" w:rsidRPr="00522685" w:rsidRDefault="00DA6648" w:rsidP="00D95E0E">
      <w:pPr>
        <w:keepNext/>
        <w:keepLines/>
        <w:tabs>
          <w:tab w:val="center" w:pos="284"/>
        </w:tabs>
        <w:ind w:left="266" w:hanging="266"/>
        <w:rPr>
          <w:b/>
        </w:rPr>
      </w:pPr>
    </w:p>
    <w:p w14:paraId="5444969A" w14:textId="77777777" w:rsidR="00DA6648" w:rsidRPr="00522685" w:rsidRDefault="00DA6648" w:rsidP="00D95E0E">
      <w:pPr>
        <w:rPr>
          <w:bCs/>
          <w:iCs/>
        </w:rPr>
      </w:pPr>
      <w:r w:rsidRPr="00522685">
        <w:t>ETSK</w:t>
      </w:r>
    </w:p>
    <w:p w14:paraId="66528183" w14:textId="77777777" w:rsidR="00DA6648" w:rsidRPr="00D62F18" w:rsidRDefault="00DA6648" w:rsidP="00D95E0E">
      <w:pPr>
        <w:pStyle w:val="Heading2"/>
        <w:numPr>
          <w:ilvl w:val="0"/>
          <w:numId w:val="22"/>
        </w:numPr>
        <w:ind w:left="426"/>
        <w:rPr>
          <w:szCs w:val="20"/>
        </w:rPr>
      </w:pPr>
      <w:bookmarkStart w:id="39" w:name="_Toc210812713"/>
      <w:r w:rsidRPr="00D62F18">
        <w:t>korostaa, että EU:n palauttamispolitiikan on pohjauduttava selkeään ihmisoikeuskeskeiseen perusteluun, ja kehottaa laatimaan kattavan vaikutustenarvioinnin, jossa otetaan huomioon kansainvälisen ja eurooppalaisen ihmisoikeuslainsäädännön mukaiset sitovat velvoitteet.</w:t>
      </w:r>
      <w:bookmarkEnd w:id="39"/>
    </w:p>
    <w:p w14:paraId="063F6A31" w14:textId="77777777" w:rsidR="00DA6648" w:rsidRPr="00D62F18" w:rsidRDefault="00DA6648" w:rsidP="00D95E0E">
      <w:pPr>
        <w:pStyle w:val="Heading2"/>
        <w:numPr>
          <w:ilvl w:val="0"/>
          <w:numId w:val="22"/>
        </w:numPr>
        <w:ind w:left="426"/>
      </w:pPr>
      <w:bookmarkStart w:id="40" w:name="_Toc210812714"/>
      <w:r w:rsidRPr="00D62F18">
        <w:t>pitää valitettavana, että asetusta ei sisällytetä laajempaan strategiaan laillisten ja turvallisten muuttoväylien edistämiseksi. Ilman todellisia vaihtoehtoja palauttamismenettelyt pysyvät tehottomina ja vahvistavat ulossulkemista, valvontaa ja rajoittamista.</w:t>
      </w:r>
      <w:bookmarkEnd w:id="40"/>
      <w:r w:rsidRPr="00D62F18">
        <w:t xml:space="preserve"> </w:t>
      </w:r>
    </w:p>
    <w:p w14:paraId="49D986FB" w14:textId="77777777" w:rsidR="00DA6648" w:rsidRPr="00D62F18" w:rsidRDefault="00DA6648" w:rsidP="00D95E0E">
      <w:pPr>
        <w:pStyle w:val="Heading2"/>
        <w:numPr>
          <w:ilvl w:val="0"/>
          <w:numId w:val="22"/>
        </w:numPr>
        <w:ind w:left="426"/>
      </w:pPr>
      <w:bookmarkStart w:id="41" w:name="_Toc210812715"/>
      <w:r w:rsidRPr="00D62F18">
        <w:t>korostaa, että ehdotuksesta puuttuu perusteellinen vaikutusten ennakkoarviointi. Koska asetus vaikuttaa miljoonien ihmisten elämään, olisi tarvittu vakavaa tutkimusta ja jäsenneltyjä kuulemisia erityiselinten ja kansalaisjärjestöjen kanssa.</w:t>
      </w:r>
      <w:bookmarkEnd w:id="41"/>
    </w:p>
    <w:p w14:paraId="391C3954" w14:textId="77777777" w:rsidR="00DA6648" w:rsidRPr="00D62F18" w:rsidRDefault="00DA6648" w:rsidP="00D95E0E">
      <w:pPr>
        <w:pStyle w:val="Heading2"/>
        <w:numPr>
          <w:ilvl w:val="0"/>
          <w:numId w:val="22"/>
        </w:numPr>
        <w:ind w:left="426"/>
      </w:pPr>
      <w:bookmarkStart w:id="42" w:name="_Toc210812716"/>
      <w:r w:rsidRPr="00D62F18">
        <w:t>korostaa tarvetta perustaa tehokkaita, riippumattomia ja avoimia seurantamekanismeja velvoitteiden noudattamisen valvomiseksi, mukaan lukien palauttamiskäytäntöjen, säilöönotto-olosuhteiden ja toimivaltaisten viranomaisten toiminnan valvonta.</w:t>
      </w:r>
      <w:bookmarkEnd w:id="42"/>
    </w:p>
    <w:p w14:paraId="0AD025CF" w14:textId="77777777" w:rsidR="00DA6648" w:rsidRPr="00D62F18" w:rsidRDefault="00DA6648" w:rsidP="00D95E0E">
      <w:pPr>
        <w:pStyle w:val="Heading2"/>
        <w:numPr>
          <w:ilvl w:val="0"/>
          <w:numId w:val="22"/>
        </w:numPr>
        <w:ind w:left="426"/>
      </w:pPr>
      <w:bookmarkStart w:id="43" w:name="_Toc210812717"/>
      <w:r w:rsidRPr="00D62F18">
        <w:t>muistuttaa, että paluun olisi tapahduttava ensisijaisesti vapaaehtoiselta pohjalta. Tämän periaatteen on säilyttävä EU:n palauttamispolitiikan kulmakivenä, ja pakkoon perustuvaa palauttamista on harkittava vasta viimeisenä keinona.</w:t>
      </w:r>
      <w:bookmarkEnd w:id="43"/>
    </w:p>
    <w:p w14:paraId="6E4724F4" w14:textId="77777777" w:rsidR="00DA6648" w:rsidRPr="00D62F18" w:rsidRDefault="00DA6648" w:rsidP="00D95E0E">
      <w:pPr>
        <w:pStyle w:val="Heading2"/>
        <w:numPr>
          <w:ilvl w:val="0"/>
          <w:numId w:val="22"/>
        </w:numPr>
        <w:ind w:left="426"/>
      </w:pPr>
      <w:bookmarkStart w:id="44" w:name="_Toc210812718"/>
      <w:r w:rsidRPr="00D62F18">
        <w:t>varoittaa, että ehdotus voi johtaa maahanmuuttajien oikeuksien vakavaan heikkenemiseen ja horjuttaa oikeusvaltioperiaatetta. Komitea esimerkiksi pitää säilöönoton perusteita liian laajoina ja määritelmää ”pakenemisen vaarasta” epämääräisenä ja kehottaa EU:ta kaventamaan näitä säännöksiä merkittävästi.</w:t>
      </w:r>
      <w:bookmarkEnd w:id="44"/>
    </w:p>
    <w:p w14:paraId="3A618BAB" w14:textId="77777777" w:rsidR="00DA6648" w:rsidRPr="00D62F18" w:rsidRDefault="00DA6648" w:rsidP="00D95E0E">
      <w:pPr>
        <w:pStyle w:val="Heading2"/>
        <w:numPr>
          <w:ilvl w:val="0"/>
          <w:numId w:val="22"/>
        </w:numPr>
        <w:ind w:left="426"/>
      </w:pPr>
      <w:bookmarkStart w:id="45" w:name="_Toc210812719"/>
      <w:r w:rsidRPr="00D62F18">
        <w:t>vaatii sitovia ihmisoikeusnormeja, jotta vältetään palauttaminen tilanteisiin, joissa yksilöt saattavat kohdata vakavaa haittaa tai oikeusloukkauksia.</w:t>
      </w:r>
      <w:bookmarkEnd w:id="45"/>
    </w:p>
    <w:p w14:paraId="4B37EFAB" w14:textId="77777777" w:rsidR="00DA6648" w:rsidRPr="00D62F18" w:rsidRDefault="00DA6648" w:rsidP="00D95E0E">
      <w:pPr>
        <w:pStyle w:val="Heading2"/>
        <w:numPr>
          <w:ilvl w:val="0"/>
          <w:numId w:val="22"/>
        </w:numPr>
        <w:ind w:left="426"/>
      </w:pPr>
      <w:bookmarkStart w:id="46" w:name="_Toc210812720"/>
      <w:r w:rsidRPr="00D62F18">
        <w:t>ei tue palauttamista muihin maihin kuin lähtömaahan. Jos palauttaminen lähtömaahan ei ole mahdollista, olipa syy mikä tahansa, palauttamismenettelyt olisi keskeytettävä.</w:t>
      </w:r>
      <w:bookmarkEnd w:id="46"/>
    </w:p>
    <w:p w14:paraId="3BF25713" w14:textId="77777777" w:rsidR="00DA6648" w:rsidRPr="00D62F18" w:rsidRDefault="00DA6648" w:rsidP="00D95E0E">
      <w:pPr>
        <w:pStyle w:val="Heading2"/>
        <w:numPr>
          <w:ilvl w:val="0"/>
          <w:numId w:val="22"/>
        </w:numPr>
        <w:ind w:left="426"/>
      </w:pPr>
      <w:bookmarkStart w:id="47" w:name="_Toc210812721"/>
      <w:r w:rsidRPr="00D62F18">
        <w:t>vastustaa voimakkaasti palauttamiskeskusten perustamista tai ylläpitämistä ja varoittaa, että ne ovat ristiriidassa EU:n ja kansainvälisten oikeudellisten velvoitteiden kanssa.</w:t>
      </w:r>
      <w:bookmarkEnd w:id="47"/>
    </w:p>
    <w:p w14:paraId="5B035994" w14:textId="77777777" w:rsidR="00DA6648" w:rsidRPr="00D62F18" w:rsidRDefault="00DA6648" w:rsidP="00D95E0E">
      <w:pPr>
        <w:pStyle w:val="Heading2"/>
        <w:numPr>
          <w:ilvl w:val="0"/>
          <w:numId w:val="22"/>
        </w:numPr>
        <w:ind w:left="426"/>
      </w:pPr>
      <w:bookmarkStart w:id="48" w:name="_Toc210812722"/>
      <w:r w:rsidRPr="00D62F18">
        <w:t>katsoo, että asetuksessa ei puututa asianmukaisesti maahanmuuton yhteydessä tapahtuvaan lasten säilöönottoon. Tämä käytäntö olisi poistettava kansainvälisten ihmisoikeusnormien mukaisesti.</w:t>
      </w:r>
      <w:bookmarkEnd w:id="48"/>
    </w:p>
    <w:p w14:paraId="2A906F43" w14:textId="77777777" w:rsidR="00DA6648" w:rsidRPr="00522685" w:rsidRDefault="00DA6648" w:rsidP="00D95E0E">
      <w:pPr>
        <w:pStyle w:val="Heading2"/>
        <w:numPr>
          <w:ilvl w:val="0"/>
          <w:numId w:val="0"/>
        </w:numPr>
        <w:ind w:left="720"/>
      </w:pPr>
    </w:p>
    <w:tbl>
      <w:tblPr>
        <w:tblW w:w="0" w:type="auto"/>
        <w:tblLook w:val="04A0" w:firstRow="1" w:lastRow="0" w:firstColumn="1" w:lastColumn="0" w:noHBand="0" w:noVBand="1"/>
      </w:tblPr>
      <w:tblGrid>
        <w:gridCol w:w="1402"/>
        <w:gridCol w:w="5670"/>
      </w:tblGrid>
      <w:tr w:rsidR="00DA6648" w14:paraId="4053251E" w14:textId="77777777" w:rsidTr="00DA6648">
        <w:tc>
          <w:tcPr>
            <w:tcW w:w="1134" w:type="dxa"/>
            <w:hideMark/>
          </w:tcPr>
          <w:p w14:paraId="020937C8" w14:textId="77777777" w:rsidR="00DA6648" w:rsidRDefault="00DA6648" w:rsidP="00D95E0E">
            <w:pPr>
              <w:rPr>
                <w:i/>
              </w:rPr>
            </w:pPr>
            <w:r>
              <w:rPr>
                <w:b/>
                <w:i/>
              </w:rPr>
              <w:t>Yhteydenotot</w:t>
            </w:r>
          </w:p>
        </w:tc>
        <w:tc>
          <w:tcPr>
            <w:tcW w:w="5670" w:type="dxa"/>
            <w:hideMark/>
          </w:tcPr>
          <w:p w14:paraId="36ADB059" w14:textId="6C59444B" w:rsidR="00DA6648" w:rsidRDefault="00DA6648" w:rsidP="00D95E0E">
            <w:pPr>
              <w:rPr>
                <w:i/>
              </w:rPr>
            </w:pPr>
            <w:proofErr w:type="spellStart"/>
            <w:r>
              <w:rPr>
                <w:i/>
              </w:rPr>
              <w:t>Triin</w:t>
            </w:r>
            <w:proofErr w:type="spellEnd"/>
            <w:r>
              <w:rPr>
                <w:i/>
              </w:rPr>
              <w:t xml:space="preserve"> </w:t>
            </w:r>
            <w:proofErr w:type="spellStart"/>
            <w:r w:rsidR="00057DCF">
              <w:rPr>
                <w:i/>
              </w:rPr>
              <w:t>Aasmaa</w:t>
            </w:r>
            <w:proofErr w:type="spellEnd"/>
            <w:r w:rsidR="00057DCF">
              <w:rPr>
                <w:i/>
              </w:rPr>
              <w:t xml:space="preserve"> </w:t>
            </w:r>
            <w:proofErr w:type="spellStart"/>
            <w:r w:rsidR="00057DCF">
              <w:rPr>
                <w:i/>
              </w:rPr>
              <w:t>Gomes</w:t>
            </w:r>
            <w:proofErr w:type="spellEnd"/>
          </w:p>
        </w:tc>
      </w:tr>
      <w:tr w:rsidR="00DA6648" w14:paraId="3550E647" w14:textId="77777777" w:rsidTr="00DA6648">
        <w:tc>
          <w:tcPr>
            <w:tcW w:w="1134" w:type="dxa"/>
            <w:hideMark/>
          </w:tcPr>
          <w:p w14:paraId="50C3D81F" w14:textId="77777777" w:rsidR="00DA6648" w:rsidRDefault="00DA6648" w:rsidP="00D95E0E">
            <w:pPr>
              <w:rPr>
                <w:i/>
              </w:rPr>
            </w:pPr>
            <w:r>
              <w:rPr>
                <w:i/>
              </w:rPr>
              <w:t>P.</w:t>
            </w:r>
          </w:p>
        </w:tc>
        <w:tc>
          <w:tcPr>
            <w:tcW w:w="5670" w:type="dxa"/>
            <w:hideMark/>
          </w:tcPr>
          <w:p w14:paraId="04471081" w14:textId="77777777" w:rsidR="00DA6648" w:rsidRDefault="00DA6648" w:rsidP="00D95E0E">
            <w:pPr>
              <w:rPr>
                <w:i/>
              </w:rPr>
            </w:pPr>
            <w:r>
              <w:rPr>
                <w:i/>
              </w:rPr>
              <w:t>+32 25469524</w:t>
            </w:r>
          </w:p>
        </w:tc>
      </w:tr>
      <w:tr w:rsidR="00DA6648" w14:paraId="52ECB317" w14:textId="77777777" w:rsidTr="00DA6648">
        <w:tc>
          <w:tcPr>
            <w:tcW w:w="1134" w:type="dxa"/>
            <w:hideMark/>
          </w:tcPr>
          <w:p w14:paraId="7B9EFB38" w14:textId="77777777" w:rsidR="00DA6648" w:rsidRDefault="00DA6648" w:rsidP="00D95E0E">
            <w:pPr>
              <w:rPr>
                <w:i/>
              </w:rPr>
            </w:pPr>
            <w:r>
              <w:rPr>
                <w:i/>
              </w:rPr>
              <w:t>Sähköposti</w:t>
            </w:r>
          </w:p>
        </w:tc>
        <w:tc>
          <w:tcPr>
            <w:tcW w:w="5670" w:type="dxa"/>
            <w:hideMark/>
          </w:tcPr>
          <w:p w14:paraId="1D1893D9" w14:textId="77777777" w:rsidR="00DA6648" w:rsidRDefault="0061775F" w:rsidP="00D95E0E">
            <w:pPr>
              <w:rPr>
                <w:i/>
                <w:iCs/>
              </w:rPr>
            </w:pPr>
            <w:hyperlink r:id="rId36" w:history="1">
              <w:r w:rsidR="00DA6648">
                <w:rPr>
                  <w:rStyle w:val="Hyperlink"/>
                  <w:i/>
                </w:rPr>
                <w:t>Triin.AasmaaGomes@eesc.europa.eu</w:t>
              </w:r>
            </w:hyperlink>
          </w:p>
        </w:tc>
      </w:tr>
    </w:tbl>
    <w:p w14:paraId="43665F46" w14:textId="04A301D1" w:rsidR="00DA6648" w:rsidRDefault="00DA6648" w:rsidP="00D95E0E">
      <w:pPr>
        <w:pStyle w:val="ListParagraph"/>
        <w:ind w:left="0"/>
      </w:pPr>
    </w:p>
    <w:p w14:paraId="7C896FCF" w14:textId="77777777" w:rsidR="00DA6648" w:rsidRDefault="00DA6648" w:rsidP="00D95E0E">
      <w:pPr>
        <w:jc w:val="left"/>
      </w:pPr>
      <w:r>
        <w:br w:type="page"/>
      </w:r>
    </w:p>
    <w:p w14:paraId="249BD30B" w14:textId="159AD4DC" w:rsidR="00DA6648" w:rsidRDefault="0061775F" w:rsidP="00D95E0E">
      <w:pPr>
        <w:numPr>
          <w:ilvl w:val="0"/>
          <w:numId w:val="3"/>
        </w:numPr>
        <w:overflowPunct w:val="0"/>
        <w:autoSpaceDE w:val="0"/>
        <w:autoSpaceDN w:val="0"/>
        <w:adjustRightInd w:val="0"/>
        <w:spacing w:line="240" w:lineRule="auto"/>
        <w:ind w:hanging="567"/>
        <w:rPr>
          <w:sz w:val="24"/>
          <w:szCs w:val="24"/>
        </w:rPr>
      </w:pPr>
      <w:hyperlink r:id="rId37" w:history="1">
        <w:r w:rsidR="00DA6648">
          <w:rPr>
            <w:rStyle w:val="Hyperlink"/>
            <w:b/>
            <w:i/>
            <w:sz w:val="28"/>
          </w:rPr>
          <w:t>Eurooppalainen demokratian kilpi</w:t>
        </w:r>
      </w:hyperlink>
    </w:p>
    <w:p w14:paraId="08FC1C6C" w14:textId="77777777" w:rsidR="00DA6648" w:rsidRPr="00D95E0E" w:rsidRDefault="00DA6648" w:rsidP="00D95E0E">
      <w:pPr>
        <w:tabs>
          <w:tab w:val="center" w:pos="284"/>
        </w:tabs>
        <w:spacing w:line="240" w:lineRule="auto"/>
        <w:ind w:left="266" w:hanging="266"/>
        <w:rPr>
          <w:b/>
          <w:sz w:val="16"/>
          <w:szCs w:val="16"/>
        </w:rPr>
      </w:pPr>
    </w:p>
    <w:tbl>
      <w:tblPr>
        <w:tblW w:w="0" w:type="auto"/>
        <w:tblLook w:val="04A0" w:firstRow="1" w:lastRow="0" w:firstColumn="1" w:lastColumn="0" w:noHBand="0" w:noVBand="1"/>
      </w:tblPr>
      <w:tblGrid>
        <w:gridCol w:w="1701"/>
        <w:gridCol w:w="6237"/>
      </w:tblGrid>
      <w:tr w:rsidR="00DA6648" w14:paraId="4163A198" w14:textId="77777777" w:rsidTr="00DA6648">
        <w:tc>
          <w:tcPr>
            <w:tcW w:w="1701" w:type="dxa"/>
            <w:hideMark/>
          </w:tcPr>
          <w:p w14:paraId="4ADB2364" w14:textId="77777777" w:rsidR="00DA6648" w:rsidRDefault="00DA6648" w:rsidP="00D95E0E">
            <w:pPr>
              <w:tabs>
                <w:tab w:val="center" w:pos="284"/>
              </w:tabs>
              <w:ind w:left="266" w:hanging="266"/>
              <w:rPr>
                <w:b/>
              </w:rPr>
            </w:pPr>
            <w:r>
              <w:rPr>
                <w:b/>
              </w:rPr>
              <w:t>Esittelijä</w:t>
            </w:r>
          </w:p>
        </w:tc>
        <w:tc>
          <w:tcPr>
            <w:tcW w:w="6237" w:type="dxa"/>
            <w:hideMark/>
          </w:tcPr>
          <w:p w14:paraId="53E98A18" w14:textId="77777777" w:rsidR="00DA6648" w:rsidRDefault="00DA6648" w:rsidP="00D95E0E">
            <w:pPr>
              <w:tabs>
                <w:tab w:val="center" w:pos="284"/>
              </w:tabs>
              <w:ind w:left="266" w:hanging="266"/>
            </w:pPr>
            <w:r>
              <w:t>Christian MOOS (kansalaisyhteiskunnan organisaatiot – DE)</w:t>
            </w:r>
          </w:p>
        </w:tc>
      </w:tr>
      <w:tr w:rsidR="00DA6648" w14:paraId="4CEA5DAD" w14:textId="77777777" w:rsidTr="00DA6648">
        <w:tc>
          <w:tcPr>
            <w:tcW w:w="1701" w:type="dxa"/>
            <w:hideMark/>
          </w:tcPr>
          <w:p w14:paraId="263B2D1F" w14:textId="77777777" w:rsidR="00DA6648" w:rsidRDefault="00DA6648" w:rsidP="00D95E0E">
            <w:pPr>
              <w:tabs>
                <w:tab w:val="center" w:pos="284"/>
              </w:tabs>
              <w:ind w:left="266" w:hanging="266"/>
              <w:rPr>
                <w:b/>
              </w:rPr>
            </w:pPr>
            <w:r>
              <w:rPr>
                <w:b/>
              </w:rPr>
              <w:t>Yhteisesittelijä</w:t>
            </w:r>
          </w:p>
        </w:tc>
        <w:tc>
          <w:tcPr>
            <w:tcW w:w="6237" w:type="dxa"/>
            <w:hideMark/>
          </w:tcPr>
          <w:p w14:paraId="473EBD20" w14:textId="77777777" w:rsidR="00DA6648" w:rsidRDefault="00DA6648" w:rsidP="00D95E0E">
            <w:pPr>
              <w:tabs>
                <w:tab w:val="center" w:pos="284"/>
              </w:tabs>
              <w:ind w:left="266" w:hanging="266"/>
            </w:pPr>
            <w:r>
              <w:t>José Antonio MORENO DÍAZ (työntekijät – ES)</w:t>
            </w:r>
          </w:p>
        </w:tc>
      </w:tr>
      <w:tr w:rsidR="00DA6648" w14:paraId="18DF0B2F" w14:textId="77777777" w:rsidTr="00DA6648">
        <w:tc>
          <w:tcPr>
            <w:tcW w:w="1701" w:type="dxa"/>
            <w:hideMark/>
          </w:tcPr>
          <w:p w14:paraId="41A65516" w14:textId="77777777" w:rsidR="00DA6648" w:rsidRDefault="00DA6648" w:rsidP="00D95E0E">
            <w:pPr>
              <w:tabs>
                <w:tab w:val="center" w:pos="284"/>
              </w:tabs>
              <w:ind w:left="266" w:hanging="266"/>
              <w:rPr>
                <w:b/>
              </w:rPr>
            </w:pPr>
            <w:r>
              <w:rPr>
                <w:b/>
              </w:rPr>
              <w:t xml:space="preserve">Viiteasiakirja </w:t>
            </w:r>
          </w:p>
        </w:tc>
        <w:tc>
          <w:tcPr>
            <w:tcW w:w="6237" w:type="dxa"/>
            <w:hideMark/>
          </w:tcPr>
          <w:p w14:paraId="57B4A8AE" w14:textId="77777777" w:rsidR="00AE5068" w:rsidRDefault="00AE5068" w:rsidP="00D95E0E">
            <w:pPr>
              <w:tabs>
                <w:tab w:val="center" w:pos="284"/>
              </w:tabs>
              <w:ind w:left="266" w:hanging="266"/>
            </w:pPr>
            <w:r>
              <w:t xml:space="preserve">Puheenjohtajavaltion Tanskan pyytämä valmisteleva lausunto </w:t>
            </w:r>
          </w:p>
          <w:p w14:paraId="251B06C2" w14:textId="6E193289" w:rsidR="00DA6648" w:rsidRDefault="00DA6648" w:rsidP="00D95E0E">
            <w:pPr>
              <w:tabs>
                <w:tab w:val="center" w:pos="284"/>
              </w:tabs>
              <w:ind w:left="266" w:hanging="266"/>
            </w:pPr>
            <w:r>
              <w:t>EESC-2024-01683-00-00-AC</w:t>
            </w:r>
          </w:p>
        </w:tc>
      </w:tr>
    </w:tbl>
    <w:p w14:paraId="01C5714B" w14:textId="77777777" w:rsidR="00DA6648" w:rsidRPr="00D95E0E" w:rsidRDefault="00DA6648" w:rsidP="00D95E0E">
      <w:pPr>
        <w:tabs>
          <w:tab w:val="center" w:pos="284"/>
        </w:tabs>
        <w:spacing w:line="240" w:lineRule="auto"/>
        <w:ind w:left="266" w:hanging="266"/>
        <w:rPr>
          <w:sz w:val="16"/>
          <w:szCs w:val="16"/>
        </w:rPr>
      </w:pPr>
    </w:p>
    <w:p w14:paraId="0E9802E5" w14:textId="77777777" w:rsidR="00DA6648" w:rsidRDefault="00DA6648" w:rsidP="00D95E0E">
      <w:pPr>
        <w:keepNext/>
        <w:keepLines/>
        <w:tabs>
          <w:tab w:val="center" w:pos="284"/>
        </w:tabs>
        <w:spacing w:line="240" w:lineRule="auto"/>
        <w:ind w:left="266" w:hanging="266"/>
        <w:rPr>
          <w:b/>
        </w:rPr>
      </w:pPr>
      <w:r>
        <w:rPr>
          <w:b/>
        </w:rPr>
        <w:t>Keskeiset kohdat</w:t>
      </w:r>
    </w:p>
    <w:p w14:paraId="78B3D674" w14:textId="77777777" w:rsidR="00DA6648" w:rsidRPr="00D95E0E" w:rsidRDefault="00DA6648" w:rsidP="00D95E0E">
      <w:pPr>
        <w:keepNext/>
        <w:keepLines/>
        <w:tabs>
          <w:tab w:val="center" w:pos="284"/>
        </w:tabs>
        <w:spacing w:line="240" w:lineRule="auto"/>
        <w:ind w:left="266" w:hanging="266"/>
        <w:rPr>
          <w:b/>
          <w:sz w:val="16"/>
          <w:szCs w:val="16"/>
        </w:rPr>
      </w:pPr>
    </w:p>
    <w:p w14:paraId="263707BB" w14:textId="77777777" w:rsidR="00DA6648" w:rsidRDefault="00DA6648" w:rsidP="00D95E0E">
      <w:pPr>
        <w:rPr>
          <w:bCs/>
          <w:iCs/>
        </w:rPr>
      </w:pPr>
      <w:r>
        <w:t>ETSK</w:t>
      </w:r>
    </w:p>
    <w:p w14:paraId="624F58B0"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varoittaa, että demokratiaan, oikeusvaltioperiaatteeseen ja eurooppalaisiin arvoihin kohdistuu sekä unionin sisäisten että sen ulkopuolisten toimijoiden aiheuttamia uhkia.</w:t>
      </w:r>
    </w:p>
    <w:p w14:paraId="190A518C"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kehottaa vahvistamaan EU:n toimia demokratian suojelemiseksi, myös laajentumispolitiikan puitteissa, ja tukemaan ehdokasmaita niiden puolustautuessa sisäisiltä ja ulkoisilta uhkilta.</w:t>
      </w:r>
    </w:p>
    <w:p w14:paraId="3BE73A22"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tarjoutuu vahvistamaan eurooppalaista demokratiaa tarjoamalla kansalaisyhteiskunnalle ja työmarkkinaosapuolille foorumin, jolla ne voivat osallistua EU:n politiikkaan.</w:t>
      </w:r>
    </w:p>
    <w:p w14:paraId="30ADEEC3"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kehottaa tekemään kansalaisyhteiskunnan organisaatioiden kanssa tiiviimpää yhteistyötä disinformaation ja propagandan torjumiseksi.</w:t>
      </w:r>
    </w:p>
    <w:p w14:paraId="1BAD8276" w14:textId="72F490A3"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pyytää EU:n lainsäätäjiä yksinkertaistamaan kansalaisyhteiskunnan toimijoita koskevia rahoitus</w:t>
      </w:r>
      <w:r w:rsidR="00D95E0E">
        <w:rPr>
          <w:spacing w:val="-2"/>
          <w:sz w:val="22"/>
        </w:rPr>
        <w:softHyphen/>
      </w:r>
      <w:r w:rsidRPr="00D95E0E">
        <w:rPr>
          <w:spacing w:val="-2"/>
          <w:sz w:val="22"/>
        </w:rPr>
        <w:t>menettelyjä, vähentämään raportointivelvoitteita ja laajentamaan kertakorvauksiin perustuvia rahoitusmahdollisuuksia.</w:t>
      </w:r>
    </w:p>
    <w:p w14:paraId="6A72B79D"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kehottaa valvomaan tiukemmin oikeusvaltionormien noudattamista kaikissa jäsenvaltioissa ja arvioimaan EU:n lainsäädännön vaikutuksia kansalaisyhteiskunnan toimintamahdollisuuksiin.</w:t>
      </w:r>
    </w:p>
    <w:p w14:paraId="4DFAFE91"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peräänkuuluttaa sellaista uutta monivuotista rahoituskehystä, jonka avulla vaalitaan demokratiaa ja jonka yhteydessä sovelletaan tiukasti ehdollisuusjärjestelmää ja siis evätään rahoitusvarat sellaisilta jäsenvaltioilta, jotka toimivat EU:n arvojen vastaisesti. Samalla on kuitenkin huolehdittava siitä, että eurooppalaisia arvoja kunnioittavilla paikallisviranomaisilla ja kansalaisyhteiskunnalla on mahdollisuus saada rahoitusta.</w:t>
      </w:r>
    </w:p>
    <w:p w14:paraId="3104D62C"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kannustaa EU:ta ja jäsenvaltioita perustamaan koulutusohjelmia henkilöstön riskitietoisuuden parantamiseksi ja tekemään medialukutaidosta keskeisen painopisteen oppilaitoksissa ja elinikäisen oppimisen yhteydessä.</w:t>
      </w:r>
    </w:p>
    <w:p w14:paraId="21991321"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kehottaa investoimaan eurooppalaisiin digitaalisiin alustoihin ja tekoälyyn, jotta voidaan vähentää riippuvuutta kolmansien maiden palveluntarjoajista.</w:t>
      </w:r>
    </w:p>
    <w:p w14:paraId="087F94DC"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kehottaa valvomaan tiukasti sosiaalista mediaa koskevien säädösten noudattamista, arvioimaan jatkuvasti niiden tehokkuutta ja pidättymään niiden heikentämisestä kauppaneuvotteluissa.</w:t>
      </w:r>
    </w:p>
    <w:p w14:paraId="217E746C"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 xml:space="preserve">kannattaa </w:t>
      </w:r>
      <w:proofErr w:type="spellStart"/>
      <w:r w:rsidRPr="00D95E0E">
        <w:rPr>
          <w:spacing w:val="-2"/>
          <w:sz w:val="22"/>
        </w:rPr>
        <w:t>EuroStack</w:t>
      </w:r>
      <w:proofErr w:type="spellEnd"/>
      <w:r w:rsidRPr="00D95E0E">
        <w:rPr>
          <w:spacing w:val="-2"/>
          <w:sz w:val="22"/>
        </w:rPr>
        <w:t xml:space="preserve">-aloitteen vahvistamista, jotta saataisiin kehitettyä demokraattisen digitaalisen innovoinnin eurooppalainen malli, ja pyytää lisäämään East </w:t>
      </w:r>
      <w:proofErr w:type="spellStart"/>
      <w:r w:rsidRPr="00D95E0E">
        <w:rPr>
          <w:spacing w:val="-2"/>
          <w:sz w:val="22"/>
        </w:rPr>
        <w:t>StratCom</w:t>
      </w:r>
      <w:proofErr w:type="spellEnd"/>
      <w:r w:rsidRPr="00D95E0E">
        <w:rPr>
          <w:spacing w:val="-2"/>
          <w:sz w:val="22"/>
        </w:rPr>
        <w:t xml:space="preserve"> </w:t>
      </w:r>
      <w:r w:rsidRPr="00D95E0E">
        <w:rPr>
          <w:spacing w:val="-2"/>
          <w:sz w:val="22"/>
        </w:rPr>
        <w:noBreakHyphen/>
        <w:t xml:space="preserve">työryhmän ja Europe Direct </w:t>
      </w:r>
      <w:r w:rsidRPr="00D95E0E">
        <w:rPr>
          <w:spacing w:val="-2"/>
          <w:sz w:val="22"/>
        </w:rPr>
        <w:noBreakHyphen/>
        <w:t>keskusten rahoitusta faktatietojen tarjoajien verkoston luomiseksi.</w:t>
      </w:r>
    </w:p>
    <w:p w14:paraId="0B450511" w14:textId="77777777" w:rsidR="00DA6648" w:rsidRPr="00D95E0E" w:rsidRDefault="00DA6648" w:rsidP="00D95E0E">
      <w:pPr>
        <w:pStyle w:val="NormalWeb"/>
        <w:numPr>
          <w:ilvl w:val="0"/>
          <w:numId w:val="23"/>
        </w:numPr>
        <w:spacing w:before="0" w:beforeAutospacing="0" w:after="0" w:afterAutospacing="0" w:line="288" w:lineRule="auto"/>
        <w:ind w:left="426"/>
        <w:jc w:val="both"/>
        <w:rPr>
          <w:spacing w:val="-2"/>
          <w:sz w:val="22"/>
          <w:szCs w:val="22"/>
        </w:rPr>
      </w:pPr>
      <w:r w:rsidRPr="00D95E0E">
        <w:rPr>
          <w:spacing w:val="-2"/>
          <w:sz w:val="22"/>
        </w:rPr>
        <w:t>kehottaa kansallisia hallituksia uudistamaan poliittisten puolueiden saamia lahjoituksia koskevia sääntöjään, tukkimaan nykyiset porsaanreiät ja kieltämään kolmansien maiden antaman puoluerahoituksen.</w:t>
      </w:r>
    </w:p>
    <w:p w14:paraId="71E008A2" w14:textId="299F0147" w:rsidR="00DA6648" w:rsidRPr="00D95E0E" w:rsidRDefault="00DA6648" w:rsidP="00D95E0E">
      <w:pPr>
        <w:pStyle w:val="NormalWeb"/>
        <w:numPr>
          <w:ilvl w:val="0"/>
          <w:numId w:val="23"/>
        </w:numPr>
        <w:spacing w:before="0" w:beforeAutospacing="0" w:after="0" w:afterAutospacing="0" w:line="288" w:lineRule="auto"/>
        <w:ind w:left="426"/>
        <w:jc w:val="both"/>
        <w:rPr>
          <w:spacing w:val="-2"/>
        </w:rPr>
      </w:pPr>
      <w:r w:rsidRPr="00D95E0E">
        <w:rPr>
          <w:spacing w:val="-2"/>
          <w:sz w:val="22"/>
        </w:rPr>
        <w:t>ehdottaa, että eurooppalaista demokratian kilpeä käsittelevästä Euroopan parlamentin erityisvalio</w:t>
      </w:r>
      <w:r w:rsidR="00D95E0E">
        <w:rPr>
          <w:spacing w:val="-2"/>
          <w:sz w:val="22"/>
        </w:rPr>
        <w:softHyphen/>
      </w:r>
      <w:r w:rsidRPr="00D95E0E">
        <w:rPr>
          <w:spacing w:val="-2"/>
          <w:sz w:val="22"/>
        </w:rPr>
        <w:t>kunnasta tehdään demokratian puolustamista ja vahvistamista käsittelevä pysyvä valiokunta.</w:t>
      </w:r>
    </w:p>
    <w:p w14:paraId="241763BF" w14:textId="77777777" w:rsidR="00AE5068" w:rsidRPr="00D95E0E" w:rsidRDefault="00AE5068" w:rsidP="00D95E0E">
      <w:pPr>
        <w:pStyle w:val="NormalWeb"/>
        <w:spacing w:before="0" w:beforeAutospacing="0" w:after="0" w:afterAutospacing="0"/>
        <w:jc w:val="both"/>
        <w:rPr>
          <w:sz w:val="16"/>
          <w:szCs w:val="16"/>
        </w:rPr>
      </w:pPr>
    </w:p>
    <w:tbl>
      <w:tblPr>
        <w:tblW w:w="7088" w:type="dxa"/>
        <w:tblLook w:val="04A0" w:firstRow="1" w:lastRow="0" w:firstColumn="1" w:lastColumn="0" w:noHBand="0" w:noVBand="1"/>
      </w:tblPr>
      <w:tblGrid>
        <w:gridCol w:w="1418"/>
        <w:gridCol w:w="5670"/>
      </w:tblGrid>
      <w:tr w:rsidR="00DA6648" w14:paraId="49526109" w14:textId="77777777" w:rsidTr="00DA6648">
        <w:tc>
          <w:tcPr>
            <w:tcW w:w="1418" w:type="dxa"/>
            <w:hideMark/>
          </w:tcPr>
          <w:p w14:paraId="3AB8162E" w14:textId="77777777" w:rsidR="00DA6648" w:rsidRDefault="00DA6648" w:rsidP="00D95E0E">
            <w:pPr>
              <w:rPr>
                <w:i/>
              </w:rPr>
            </w:pPr>
            <w:r>
              <w:rPr>
                <w:b/>
                <w:i/>
              </w:rPr>
              <w:t>Yhteydenotot</w:t>
            </w:r>
          </w:p>
        </w:tc>
        <w:tc>
          <w:tcPr>
            <w:tcW w:w="5670" w:type="dxa"/>
            <w:hideMark/>
          </w:tcPr>
          <w:p w14:paraId="4337A8C5" w14:textId="4C2258A7" w:rsidR="00DA6648" w:rsidRDefault="00DA6648" w:rsidP="00D95E0E">
            <w:pPr>
              <w:rPr>
                <w:i/>
              </w:rPr>
            </w:pPr>
            <w:r>
              <w:rPr>
                <w:i/>
              </w:rPr>
              <w:t xml:space="preserve">Jean-Marie </w:t>
            </w:r>
            <w:proofErr w:type="spellStart"/>
            <w:r w:rsidR="00057DCF">
              <w:rPr>
                <w:i/>
              </w:rPr>
              <w:t>Rogue</w:t>
            </w:r>
            <w:proofErr w:type="spellEnd"/>
          </w:p>
        </w:tc>
      </w:tr>
      <w:tr w:rsidR="00DA6648" w14:paraId="27F3DF66" w14:textId="77777777" w:rsidTr="00DA6648">
        <w:tc>
          <w:tcPr>
            <w:tcW w:w="1418" w:type="dxa"/>
            <w:hideMark/>
          </w:tcPr>
          <w:p w14:paraId="78617D71" w14:textId="77777777" w:rsidR="00DA6648" w:rsidRDefault="00DA6648" w:rsidP="00D95E0E">
            <w:pPr>
              <w:rPr>
                <w:i/>
              </w:rPr>
            </w:pPr>
            <w:r>
              <w:rPr>
                <w:i/>
              </w:rPr>
              <w:t>P.</w:t>
            </w:r>
          </w:p>
        </w:tc>
        <w:tc>
          <w:tcPr>
            <w:tcW w:w="5670" w:type="dxa"/>
            <w:hideMark/>
          </w:tcPr>
          <w:p w14:paraId="4F165CD3" w14:textId="77777777" w:rsidR="00DA6648" w:rsidRDefault="00DA6648" w:rsidP="00D95E0E">
            <w:pPr>
              <w:rPr>
                <w:i/>
              </w:rPr>
            </w:pPr>
            <w:r>
              <w:rPr>
                <w:i/>
              </w:rPr>
              <w:t>+32 25468909</w:t>
            </w:r>
          </w:p>
        </w:tc>
      </w:tr>
      <w:tr w:rsidR="00DA6648" w14:paraId="0407D447" w14:textId="77777777" w:rsidTr="00DA6648">
        <w:tc>
          <w:tcPr>
            <w:tcW w:w="1418" w:type="dxa"/>
            <w:hideMark/>
          </w:tcPr>
          <w:p w14:paraId="51CE103D" w14:textId="77777777" w:rsidR="00DA6648" w:rsidRDefault="00DA6648" w:rsidP="00D95E0E">
            <w:pPr>
              <w:rPr>
                <w:i/>
              </w:rPr>
            </w:pPr>
            <w:r>
              <w:rPr>
                <w:i/>
              </w:rPr>
              <w:t>Sähköposti</w:t>
            </w:r>
          </w:p>
        </w:tc>
        <w:tc>
          <w:tcPr>
            <w:tcW w:w="5670" w:type="dxa"/>
            <w:hideMark/>
          </w:tcPr>
          <w:p w14:paraId="6951D93C" w14:textId="77777777" w:rsidR="00DA6648" w:rsidRDefault="0061775F" w:rsidP="00D95E0E">
            <w:pPr>
              <w:rPr>
                <w:i/>
                <w:iCs/>
                <w:szCs w:val="20"/>
              </w:rPr>
            </w:pPr>
            <w:hyperlink r:id="rId38" w:history="1">
              <w:r w:rsidR="00DA6648">
                <w:rPr>
                  <w:rStyle w:val="Hyperlink"/>
                  <w:i/>
                </w:rPr>
                <w:t>JeanMarie.Rogue@eesc.europa.eu</w:t>
              </w:r>
            </w:hyperlink>
            <w:r w:rsidR="00DA6648">
              <w:rPr>
                <w:i/>
              </w:rPr>
              <w:t xml:space="preserve"> </w:t>
            </w:r>
          </w:p>
        </w:tc>
      </w:tr>
    </w:tbl>
    <w:p w14:paraId="5D95FAE7" w14:textId="16AF8F16" w:rsidR="00DA6648" w:rsidRDefault="0061775F" w:rsidP="00D95E0E">
      <w:pPr>
        <w:keepNext/>
        <w:keepLines/>
        <w:numPr>
          <w:ilvl w:val="0"/>
          <w:numId w:val="3"/>
        </w:numPr>
        <w:overflowPunct w:val="0"/>
        <w:autoSpaceDE w:val="0"/>
        <w:autoSpaceDN w:val="0"/>
        <w:adjustRightInd w:val="0"/>
        <w:ind w:hanging="567"/>
        <w:rPr>
          <w:b/>
          <w:bCs/>
          <w:i/>
          <w:iCs/>
          <w:sz w:val="28"/>
          <w:szCs w:val="28"/>
        </w:rPr>
      </w:pPr>
      <w:hyperlink r:id="rId39" w:history="1">
        <w:r w:rsidR="00DA6648">
          <w:rPr>
            <w:rStyle w:val="Hyperlink"/>
            <w:b/>
            <w:i/>
            <w:sz w:val="28"/>
          </w:rPr>
          <w:t>Osallistavan yrittäjyyden esteiden vähentäminen, innovoinnin edistäminen ja yhtäläisten mahdollisuuksien tarjoaminen kaikille</w:t>
        </w:r>
      </w:hyperlink>
    </w:p>
    <w:p w14:paraId="5DC769FA" w14:textId="77777777" w:rsidR="00DA6648" w:rsidRDefault="00DA6648" w:rsidP="00D95E0E">
      <w:pPr>
        <w:keepNext/>
        <w:keepLines/>
        <w:tabs>
          <w:tab w:val="center" w:pos="284"/>
        </w:tabs>
        <w:ind w:left="266" w:hanging="266"/>
        <w:rPr>
          <w:b/>
        </w:rPr>
      </w:pPr>
    </w:p>
    <w:tbl>
      <w:tblPr>
        <w:tblW w:w="4942" w:type="pct"/>
        <w:tblLook w:val="04A0" w:firstRow="1" w:lastRow="0" w:firstColumn="1" w:lastColumn="0" w:noHBand="0" w:noVBand="1"/>
      </w:tblPr>
      <w:tblGrid>
        <w:gridCol w:w="1986"/>
        <w:gridCol w:w="6982"/>
      </w:tblGrid>
      <w:tr w:rsidR="00DA6648" w14:paraId="49C5F394" w14:textId="77777777" w:rsidTr="00DA6648">
        <w:tc>
          <w:tcPr>
            <w:tcW w:w="1107" w:type="pct"/>
            <w:hideMark/>
          </w:tcPr>
          <w:p w14:paraId="4639718A" w14:textId="77777777" w:rsidR="00DA6648" w:rsidRDefault="00DA6648" w:rsidP="00D95E0E">
            <w:pPr>
              <w:keepNext/>
              <w:keepLines/>
              <w:ind w:left="-113"/>
              <w:rPr>
                <w:b/>
              </w:rPr>
            </w:pPr>
            <w:r>
              <w:rPr>
                <w:b/>
              </w:rPr>
              <w:t xml:space="preserve">Esittelijä </w:t>
            </w:r>
          </w:p>
        </w:tc>
        <w:tc>
          <w:tcPr>
            <w:tcW w:w="3893" w:type="pct"/>
            <w:hideMark/>
          </w:tcPr>
          <w:p w14:paraId="24C58D2E" w14:textId="02A049C1" w:rsidR="00DA6648" w:rsidRDefault="00DA6648" w:rsidP="00D95E0E">
            <w:pPr>
              <w:keepNext/>
              <w:keepLines/>
            </w:pPr>
            <w:proofErr w:type="spellStart"/>
            <w:r>
              <w:t>Juliane</w:t>
            </w:r>
            <w:proofErr w:type="spellEnd"/>
            <w:r>
              <w:t xml:space="preserve"> Marie NEIIENDAM (kansalaisyhteiskunnan organisaatiot</w:t>
            </w:r>
            <w:r w:rsidR="00D62F18">
              <w:t xml:space="preserve"> – DK</w:t>
            </w:r>
            <w:r>
              <w:t>)</w:t>
            </w:r>
          </w:p>
        </w:tc>
      </w:tr>
      <w:tr w:rsidR="00DA6648" w14:paraId="1D17D480" w14:textId="77777777" w:rsidTr="00DA6648">
        <w:tc>
          <w:tcPr>
            <w:tcW w:w="1107" w:type="pct"/>
            <w:hideMark/>
          </w:tcPr>
          <w:p w14:paraId="66DB9E9B" w14:textId="77777777" w:rsidR="00DA6648" w:rsidRDefault="00DA6648" w:rsidP="00D95E0E">
            <w:pPr>
              <w:keepNext/>
              <w:keepLines/>
              <w:ind w:left="-113"/>
              <w:rPr>
                <w:b/>
              </w:rPr>
            </w:pPr>
            <w:r>
              <w:rPr>
                <w:b/>
              </w:rPr>
              <w:t>Viiteasiakirja</w:t>
            </w:r>
          </w:p>
        </w:tc>
        <w:tc>
          <w:tcPr>
            <w:tcW w:w="3893" w:type="pct"/>
            <w:hideMark/>
          </w:tcPr>
          <w:p w14:paraId="14B7B3BA" w14:textId="62E6CE8B" w:rsidR="00AE5068" w:rsidRDefault="00AE5068" w:rsidP="00D95E0E">
            <w:pPr>
              <w:keepNext/>
              <w:keepLines/>
            </w:pPr>
            <w:r>
              <w:t>oma-aloitteinen lausunto</w:t>
            </w:r>
          </w:p>
          <w:p w14:paraId="12608D42" w14:textId="150C5223" w:rsidR="00DA6648" w:rsidRDefault="00DA6648" w:rsidP="00D95E0E">
            <w:pPr>
              <w:keepNext/>
              <w:keepLines/>
            </w:pPr>
            <w:r>
              <w:t>EESC-2025-00972-00-00-AC-TRA</w:t>
            </w:r>
          </w:p>
        </w:tc>
      </w:tr>
    </w:tbl>
    <w:p w14:paraId="56E13F13" w14:textId="77777777" w:rsidR="00AE5068" w:rsidRDefault="00AE5068" w:rsidP="00D95E0E">
      <w:pPr>
        <w:keepNext/>
        <w:keepLines/>
        <w:tabs>
          <w:tab w:val="center" w:pos="284"/>
        </w:tabs>
        <w:ind w:left="266" w:hanging="266"/>
        <w:rPr>
          <w:b/>
        </w:rPr>
      </w:pPr>
    </w:p>
    <w:p w14:paraId="04119755" w14:textId="7D057EDF" w:rsidR="00DA6648" w:rsidRDefault="00DA6648" w:rsidP="00D95E0E">
      <w:pPr>
        <w:keepNext/>
        <w:keepLines/>
        <w:tabs>
          <w:tab w:val="center" w:pos="284"/>
        </w:tabs>
        <w:ind w:left="266" w:hanging="266"/>
        <w:rPr>
          <w:b/>
        </w:rPr>
      </w:pPr>
      <w:r>
        <w:rPr>
          <w:b/>
        </w:rPr>
        <w:t>Keskeiset kohdat</w:t>
      </w:r>
    </w:p>
    <w:p w14:paraId="31E73D6B" w14:textId="77777777" w:rsidR="00DA6648" w:rsidRDefault="00DA6648" w:rsidP="00D95E0E">
      <w:pPr>
        <w:keepNext/>
        <w:keepLines/>
        <w:tabs>
          <w:tab w:val="center" w:pos="284"/>
        </w:tabs>
        <w:ind w:left="266" w:hanging="266"/>
        <w:rPr>
          <w:b/>
        </w:rPr>
      </w:pPr>
    </w:p>
    <w:p w14:paraId="0F2C0BCA" w14:textId="77777777" w:rsidR="00DA6648" w:rsidRDefault="00DA6648" w:rsidP="00D95E0E">
      <w:pPr>
        <w:rPr>
          <w:bCs/>
          <w:iCs/>
        </w:rPr>
      </w:pPr>
      <w:r>
        <w:t>ETSK</w:t>
      </w:r>
    </w:p>
    <w:p w14:paraId="27CCF6A9" w14:textId="77777777" w:rsidR="00DA6648" w:rsidRDefault="00DA6648" w:rsidP="00D95E0E">
      <w:pPr>
        <w:pStyle w:val="ListParagraph"/>
        <w:numPr>
          <w:ilvl w:val="0"/>
          <w:numId w:val="24"/>
        </w:numPr>
        <w:ind w:left="426"/>
      </w:pPr>
      <w:r>
        <w:t>kehottaa ryhtymään kiireellisiin koordinoituihin EU:n ja kansallisen tason toimiin, jotta saataisiin käyttöön osallistavan yrittäjyyden mahdollisuudet taloudellisen toiminnan sekä tasa-arvon, innovoinnin ja sosiaalisen oikeudenmukaisuuden edistäjänä.</w:t>
      </w:r>
    </w:p>
    <w:p w14:paraId="7D1F86A9" w14:textId="77777777" w:rsidR="00DA6648" w:rsidRDefault="00DA6648" w:rsidP="00D95E0E">
      <w:pPr>
        <w:pStyle w:val="ListParagraph"/>
        <w:numPr>
          <w:ilvl w:val="0"/>
          <w:numId w:val="24"/>
        </w:numPr>
        <w:ind w:left="426"/>
      </w:pPr>
      <w:r>
        <w:t>kehottaa komissiota ja jäsenvaltioita sisällyttämään osallistavuuden kaikkiin yrittäjyyspolitiikkoihin eri aloilla ja kiinnittämään huomiota erityisesti yhteisötalouden rooliin.</w:t>
      </w:r>
    </w:p>
    <w:p w14:paraId="3D7DF65C" w14:textId="77777777" w:rsidR="00DA6648" w:rsidRDefault="00DA6648" w:rsidP="00D95E0E">
      <w:pPr>
        <w:pStyle w:val="ListParagraph"/>
        <w:numPr>
          <w:ilvl w:val="0"/>
          <w:numId w:val="24"/>
        </w:numPr>
        <w:ind w:left="426"/>
      </w:pPr>
      <w:r>
        <w:t xml:space="preserve">suosittelee, että aliedustettuihin ryhmiin kuuluvia yritysten perustajia – mm. vammaisia henkilöitä, mielenterveysongelmista kärsiviä henkilöitä, epävarmassa tilanteessa olevia naisia, </w:t>
      </w:r>
      <w:proofErr w:type="spellStart"/>
      <w:r>
        <w:t>hlbtiqa</w:t>
      </w:r>
      <w:proofErr w:type="spellEnd"/>
      <w:r>
        <w:t xml:space="preserve">+-henkilöitä, maahanmuuttajia ja etnistä syrjintää kohtaavia yhteisöjä – autetaan antamaan panoksensa omalla osaamisellaan ja edistämään innovointia osoittamalla kohdennettua rahoitusta ja kehittämällä oikeudenmukaisempia rahoitusvälineitä. </w:t>
      </w:r>
    </w:p>
    <w:p w14:paraId="2460EFBB" w14:textId="77777777" w:rsidR="00DA6648" w:rsidRDefault="00DA6648" w:rsidP="00D95E0E">
      <w:pPr>
        <w:pStyle w:val="ListParagraph"/>
        <w:numPr>
          <w:ilvl w:val="0"/>
          <w:numId w:val="24"/>
        </w:numPr>
        <w:ind w:left="426"/>
      </w:pPr>
      <w:r>
        <w:t>korostaa tarvetta sisällyttää yrittäjyys opetussuunnitelmiin ja tarjota esteetöntä ja räätälöityä koulutusta ja mentorointia.</w:t>
      </w:r>
    </w:p>
    <w:p w14:paraId="35D99746" w14:textId="77777777" w:rsidR="00DA6648" w:rsidRDefault="00DA6648" w:rsidP="00D95E0E">
      <w:pPr>
        <w:pStyle w:val="ListParagraph"/>
        <w:numPr>
          <w:ilvl w:val="0"/>
          <w:numId w:val="24"/>
        </w:numPr>
        <w:ind w:left="426"/>
      </w:pPr>
      <w:r>
        <w:t>kannustaa komissiota tehostamaan tasa-arvolainsäädännön seurantaa, hyväksymään yhdenvertaista kohtelua koskevan horisontaalisen direktiivin ja soveltamaan intersektionaalisuutta tulevassa sukupuolten tasa-arvostrategiassa 2026–2030.</w:t>
      </w:r>
    </w:p>
    <w:p w14:paraId="778D3710" w14:textId="77777777" w:rsidR="00DA6648" w:rsidRDefault="00DA6648" w:rsidP="00D95E0E">
      <w:pPr>
        <w:pStyle w:val="ListParagraph"/>
        <w:numPr>
          <w:ilvl w:val="0"/>
          <w:numId w:val="24"/>
        </w:numPr>
        <w:ind w:left="426"/>
      </w:pPr>
      <w:r>
        <w:t>kehottaa komissiota ja jäsenvaltioita yksinkertaistamaan sääntelyä ja keventämään erityisesti haavoittuvassa asemassa olevien yrittäjien hallinnollista taakkaa.</w:t>
      </w:r>
    </w:p>
    <w:p w14:paraId="7F864A75" w14:textId="77777777" w:rsidR="00DA6648" w:rsidRDefault="00DA6648" w:rsidP="00D95E0E">
      <w:pPr>
        <w:pStyle w:val="ListParagraph"/>
        <w:numPr>
          <w:ilvl w:val="0"/>
          <w:numId w:val="24"/>
        </w:numPr>
        <w:ind w:left="426"/>
      </w:pPr>
      <w:r>
        <w:t xml:space="preserve">suosittelee, että jäsenvaltiot perustavat kansallisia yhteyspisteitä itsenäisen ammatinharjoittamisen tukemiseksi sekä parantavat vammaisuuden ja itsenäisen ammatinharjoittamisen oikeuksien </w:t>
      </w:r>
      <w:proofErr w:type="spellStart"/>
      <w:r>
        <w:t>rajatylittävää</w:t>
      </w:r>
      <w:proofErr w:type="spellEnd"/>
      <w:r>
        <w:t xml:space="preserve"> tunnustamista EU:n vammaiskortin puitteissa.</w:t>
      </w:r>
    </w:p>
    <w:p w14:paraId="5DE36F33" w14:textId="77777777" w:rsidR="00DA6648" w:rsidRDefault="00DA6648" w:rsidP="00D95E0E">
      <w:pPr>
        <w:pStyle w:val="ListParagraph"/>
        <w:numPr>
          <w:ilvl w:val="0"/>
          <w:numId w:val="24"/>
        </w:numPr>
        <w:ind w:left="426"/>
      </w:pPr>
      <w:r>
        <w:t>katsoo, että kaikissa yrittäjyysaloitteissa tulee soveltaa kaikkien käyttäjien tarpeet huomioon ottavan suunnittelun, esteettömyyden, intersektionaalisuuden ja osallistavuuden periaatteita oikeudenmukaisen, häiriönsietokykyisen ja tulevaisuuteen valmiin talouden vertailuarvoina.</w:t>
      </w:r>
    </w:p>
    <w:p w14:paraId="792DEBBD" w14:textId="77777777" w:rsidR="00DA6648" w:rsidRDefault="00DA6648" w:rsidP="00D95E0E">
      <w:pPr>
        <w:pStyle w:val="ListParagraph"/>
      </w:pPr>
    </w:p>
    <w:tbl>
      <w:tblPr>
        <w:tblW w:w="3516" w:type="pct"/>
        <w:tblLook w:val="04A0" w:firstRow="1" w:lastRow="0" w:firstColumn="1" w:lastColumn="0" w:noHBand="0" w:noVBand="1"/>
      </w:tblPr>
      <w:tblGrid>
        <w:gridCol w:w="1985"/>
        <w:gridCol w:w="4395"/>
      </w:tblGrid>
      <w:tr w:rsidR="00DA6648" w14:paraId="0111C9A1" w14:textId="77777777" w:rsidTr="00DA6648">
        <w:tc>
          <w:tcPr>
            <w:tcW w:w="1556" w:type="pct"/>
            <w:hideMark/>
          </w:tcPr>
          <w:p w14:paraId="71B9A74B" w14:textId="77777777" w:rsidR="00DA6648" w:rsidRDefault="00DA6648" w:rsidP="00D95E0E">
            <w:pPr>
              <w:rPr>
                <w:i/>
              </w:rPr>
            </w:pPr>
            <w:r>
              <w:rPr>
                <w:b/>
                <w:i/>
              </w:rPr>
              <w:t>Yhteydenotot</w:t>
            </w:r>
          </w:p>
        </w:tc>
        <w:tc>
          <w:tcPr>
            <w:tcW w:w="3444" w:type="pct"/>
            <w:hideMark/>
          </w:tcPr>
          <w:p w14:paraId="7A53EF57" w14:textId="14F06EC6" w:rsidR="00DA6648" w:rsidRDefault="00DA6648" w:rsidP="00D95E0E">
            <w:pPr>
              <w:rPr>
                <w:i/>
              </w:rPr>
            </w:pPr>
            <w:proofErr w:type="spellStart"/>
            <w:r>
              <w:rPr>
                <w:i/>
              </w:rPr>
              <w:t>Bartek</w:t>
            </w:r>
            <w:proofErr w:type="spellEnd"/>
            <w:r>
              <w:rPr>
                <w:i/>
              </w:rPr>
              <w:t xml:space="preserve"> </w:t>
            </w:r>
            <w:proofErr w:type="spellStart"/>
            <w:r w:rsidR="00057DCF">
              <w:rPr>
                <w:i/>
              </w:rPr>
              <w:t>Bednarowicz</w:t>
            </w:r>
            <w:proofErr w:type="spellEnd"/>
          </w:p>
        </w:tc>
      </w:tr>
      <w:tr w:rsidR="00DA6648" w14:paraId="249B8521" w14:textId="77777777" w:rsidTr="00DA6648">
        <w:tc>
          <w:tcPr>
            <w:tcW w:w="1556" w:type="pct"/>
            <w:hideMark/>
          </w:tcPr>
          <w:p w14:paraId="2270E40E" w14:textId="77777777" w:rsidR="00DA6648" w:rsidRDefault="00DA6648" w:rsidP="00D95E0E">
            <w:pPr>
              <w:rPr>
                <w:i/>
              </w:rPr>
            </w:pPr>
            <w:r>
              <w:rPr>
                <w:i/>
              </w:rPr>
              <w:t>P.</w:t>
            </w:r>
          </w:p>
        </w:tc>
        <w:tc>
          <w:tcPr>
            <w:tcW w:w="3444" w:type="pct"/>
            <w:hideMark/>
          </w:tcPr>
          <w:p w14:paraId="5FE9BA43" w14:textId="77777777" w:rsidR="00DA6648" w:rsidRDefault="00DA6648" w:rsidP="00D95E0E">
            <w:pPr>
              <w:rPr>
                <w:i/>
              </w:rPr>
            </w:pPr>
            <w:r>
              <w:rPr>
                <w:i/>
              </w:rPr>
              <w:t>+32 2 546 9229</w:t>
            </w:r>
          </w:p>
        </w:tc>
      </w:tr>
      <w:tr w:rsidR="00DA6648" w14:paraId="1A902FF9" w14:textId="77777777" w:rsidTr="00DA6648">
        <w:tc>
          <w:tcPr>
            <w:tcW w:w="1556" w:type="pct"/>
            <w:hideMark/>
          </w:tcPr>
          <w:p w14:paraId="7D4F0A9E" w14:textId="77777777" w:rsidR="00DA6648" w:rsidRDefault="00DA6648" w:rsidP="00D95E0E">
            <w:pPr>
              <w:rPr>
                <w:i/>
              </w:rPr>
            </w:pPr>
            <w:r>
              <w:rPr>
                <w:i/>
              </w:rPr>
              <w:t>Sähköposti</w:t>
            </w:r>
          </w:p>
        </w:tc>
        <w:tc>
          <w:tcPr>
            <w:tcW w:w="3444" w:type="pct"/>
            <w:hideMark/>
          </w:tcPr>
          <w:p w14:paraId="5C57421D" w14:textId="77777777" w:rsidR="00DA6648" w:rsidRDefault="0061775F" w:rsidP="00D95E0E">
            <w:pPr>
              <w:rPr>
                <w:i/>
              </w:rPr>
            </w:pPr>
            <w:hyperlink r:id="rId40" w:history="1">
              <w:r w:rsidR="00DA6648">
                <w:rPr>
                  <w:rStyle w:val="Hyperlink"/>
                  <w:i/>
                </w:rPr>
                <w:t>Bartek.Bednarowicz@eesc.europa.eu</w:t>
              </w:r>
            </w:hyperlink>
          </w:p>
        </w:tc>
      </w:tr>
    </w:tbl>
    <w:p w14:paraId="60C5B0E0" w14:textId="041ED894" w:rsidR="00DA6648" w:rsidRDefault="00DA6648" w:rsidP="00D95E0E">
      <w:pPr>
        <w:pStyle w:val="ListParagraph"/>
        <w:ind w:left="0"/>
      </w:pPr>
    </w:p>
    <w:p w14:paraId="2E675FB0" w14:textId="77777777" w:rsidR="00DA6648" w:rsidRDefault="00DA6648" w:rsidP="00D95E0E">
      <w:pPr>
        <w:jc w:val="left"/>
      </w:pPr>
      <w:r>
        <w:br w:type="page"/>
      </w:r>
    </w:p>
    <w:p w14:paraId="4E74421C" w14:textId="6F4243EE" w:rsidR="00DA6648" w:rsidRDefault="0061775F" w:rsidP="00D95E0E">
      <w:pPr>
        <w:numPr>
          <w:ilvl w:val="0"/>
          <w:numId w:val="5"/>
        </w:numPr>
        <w:overflowPunct w:val="0"/>
        <w:autoSpaceDE w:val="0"/>
        <w:autoSpaceDN w:val="0"/>
        <w:adjustRightInd w:val="0"/>
        <w:ind w:left="567" w:hanging="567"/>
        <w:rPr>
          <w:rStyle w:val="Hyperlink"/>
          <w:b/>
        </w:rPr>
      </w:pPr>
      <w:hyperlink r:id="rId41" w:history="1">
        <w:r w:rsidR="00DA6648">
          <w:rPr>
            <w:rStyle w:val="Hyperlink"/>
            <w:b/>
            <w:i/>
            <w:sz w:val="28"/>
          </w:rPr>
          <w:t>Miten varmistaa vihreät taidot ja edistää vihreitä ammatillisia oppilaitoksia</w:t>
        </w:r>
      </w:hyperlink>
    </w:p>
    <w:p w14:paraId="5D191718" w14:textId="77777777" w:rsidR="00DA6648" w:rsidRPr="00477D90" w:rsidRDefault="00DA6648" w:rsidP="00D95E0E">
      <w:pPr>
        <w:tabs>
          <w:tab w:val="center" w:pos="284"/>
        </w:tabs>
        <w:spacing w:line="240" w:lineRule="auto"/>
        <w:ind w:left="567" w:hanging="567"/>
      </w:pPr>
    </w:p>
    <w:tbl>
      <w:tblPr>
        <w:tblW w:w="0" w:type="auto"/>
        <w:tblLook w:val="04A0" w:firstRow="1" w:lastRow="0" w:firstColumn="1" w:lastColumn="0" w:noHBand="0" w:noVBand="1"/>
      </w:tblPr>
      <w:tblGrid>
        <w:gridCol w:w="1701"/>
        <w:gridCol w:w="6237"/>
      </w:tblGrid>
      <w:tr w:rsidR="00DA6648" w14:paraId="3CCD1FE4" w14:textId="77777777" w:rsidTr="00DA6648">
        <w:tc>
          <w:tcPr>
            <w:tcW w:w="1701" w:type="dxa"/>
            <w:hideMark/>
          </w:tcPr>
          <w:p w14:paraId="2697D547" w14:textId="77777777" w:rsidR="00DA6648" w:rsidRDefault="00DA6648" w:rsidP="00D95E0E">
            <w:pPr>
              <w:tabs>
                <w:tab w:val="center" w:pos="284"/>
              </w:tabs>
              <w:ind w:left="567" w:hanging="567"/>
              <w:rPr>
                <w:b/>
              </w:rPr>
            </w:pPr>
            <w:r>
              <w:rPr>
                <w:b/>
              </w:rPr>
              <w:t>Esittelijä</w:t>
            </w:r>
          </w:p>
        </w:tc>
        <w:tc>
          <w:tcPr>
            <w:tcW w:w="6237" w:type="dxa"/>
            <w:hideMark/>
          </w:tcPr>
          <w:p w14:paraId="29DDCB4D" w14:textId="77777777" w:rsidR="00DA6648" w:rsidRDefault="00DA6648" w:rsidP="00D95E0E">
            <w:pPr>
              <w:ind w:left="567" w:hanging="567"/>
            </w:pPr>
            <w:r>
              <w:t>Nicoletta MERLO (työntekijät – IT)</w:t>
            </w:r>
          </w:p>
        </w:tc>
      </w:tr>
      <w:tr w:rsidR="00DA6648" w14:paraId="3A3131C1" w14:textId="77777777" w:rsidTr="00DA6648">
        <w:tc>
          <w:tcPr>
            <w:tcW w:w="1701" w:type="dxa"/>
            <w:hideMark/>
          </w:tcPr>
          <w:p w14:paraId="244D3C48" w14:textId="77777777" w:rsidR="00DA6648" w:rsidRDefault="00DA6648" w:rsidP="00D95E0E">
            <w:pPr>
              <w:tabs>
                <w:tab w:val="center" w:pos="284"/>
              </w:tabs>
              <w:ind w:left="567" w:hanging="567"/>
              <w:rPr>
                <w:b/>
              </w:rPr>
            </w:pPr>
            <w:r>
              <w:rPr>
                <w:b/>
              </w:rPr>
              <w:t>Yhteisesittelijä</w:t>
            </w:r>
          </w:p>
        </w:tc>
        <w:tc>
          <w:tcPr>
            <w:tcW w:w="6237" w:type="dxa"/>
            <w:hideMark/>
          </w:tcPr>
          <w:p w14:paraId="420E5073" w14:textId="77777777" w:rsidR="00DA6648" w:rsidRDefault="00DA6648" w:rsidP="00D95E0E">
            <w:pPr>
              <w:ind w:left="567" w:hanging="567"/>
            </w:pPr>
            <w:r>
              <w:t>Jean-Michel POTTIER (työnantajat – FR)</w:t>
            </w:r>
          </w:p>
        </w:tc>
      </w:tr>
      <w:tr w:rsidR="00DA6648" w14:paraId="677F72E8" w14:textId="77777777" w:rsidTr="00DA6648">
        <w:tc>
          <w:tcPr>
            <w:tcW w:w="1701" w:type="dxa"/>
            <w:hideMark/>
          </w:tcPr>
          <w:p w14:paraId="6D1EE077" w14:textId="77777777" w:rsidR="00DA6648" w:rsidRDefault="00DA6648" w:rsidP="00D95E0E">
            <w:pPr>
              <w:tabs>
                <w:tab w:val="center" w:pos="284"/>
              </w:tabs>
              <w:ind w:left="567" w:hanging="567"/>
              <w:rPr>
                <w:b/>
              </w:rPr>
            </w:pPr>
            <w:r>
              <w:rPr>
                <w:b/>
              </w:rPr>
              <w:t>Viiteasiakirja</w:t>
            </w:r>
          </w:p>
        </w:tc>
        <w:tc>
          <w:tcPr>
            <w:tcW w:w="6237" w:type="dxa"/>
            <w:hideMark/>
          </w:tcPr>
          <w:p w14:paraId="5496271F" w14:textId="77777777" w:rsidR="00DA6648" w:rsidRDefault="00DA6648" w:rsidP="00D95E0E">
            <w:pPr>
              <w:tabs>
                <w:tab w:val="center" w:pos="284"/>
              </w:tabs>
              <w:ind w:left="567" w:hanging="567"/>
            </w:pPr>
            <w:r>
              <w:t>Puheenjohtajavaltio Tanskan pyytämä valmisteleva lausunto</w:t>
            </w:r>
          </w:p>
          <w:p w14:paraId="1F67ADB3" w14:textId="77777777" w:rsidR="00DA6648" w:rsidRDefault="00DA6648" w:rsidP="00D95E0E">
            <w:pPr>
              <w:tabs>
                <w:tab w:val="center" w:pos="284"/>
              </w:tabs>
              <w:ind w:left="567" w:hanging="567"/>
            </w:pPr>
            <w:r>
              <w:t>EESC-2025-01268-00-00-AC-TRA</w:t>
            </w:r>
          </w:p>
        </w:tc>
      </w:tr>
    </w:tbl>
    <w:p w14:paraId="2290AC25" w14:textId="77777777" w:rsidR="00DA6648" w:rsidRPr="00477D90" w:rsidRDefault="00DA6648" w:rsidP="00D95E0E">
      <w:pPr>
        <w:keepNext/>
        <w:keepLines/>
        <w:tabs>
          <w:tab w:val="center" w:pos="284"/>
        </w:tabs>
        <w:spacing w:line="240" w:lineRule="auto"/>
        <w:ind w:left="266" w:hanging="266"/>
        <w:rPr>
          <w:b/>
        </w:rPr>
      </w:pPr>
    </w:p>
    <w:p w14:paraId="2328DD9C" w14:textId="0782A21F" w:rsidR="00DA6648" w:rsidRPr="00477D90" w:rsidRDefault="00DA6648" w:rsidP="00D95E0E">
      <w:pPr>
        <w:keepNext/>
        <w:keepLines/>
        <w:tabs>
          <w:tab w:val="center" w:pos="284"/>
        </w:tabs>
        <w:spacing w:line="240" w:lineRule="auto"/>
        <w:ind w:left="266" w:hanging="266"/>
        <w:rPr>
          <w:b/>
        </w:rPr>
      </w:pPr>
      <w:r w:rsidRPr="00477D90">
        <w:rPr>
          <w:b/>
        </w:rPr>
        <w:t>Keskeiset kohdat</w:t>
      </w:r>
    </w:p>
    <w:p w14:paraId="39922613" w14:textId="77777777" w:rsidR="00AE5068" w:rsidRPr="00477D90" w:rsidRDefault="00AE5068" w:rsidP="00D95E0E">
      <w:pPr>
        <w:keepNext/>
        <w:keepLines/>
        <w:tabs>
          <w:tab w:val="center" w:pos="284"/>
        </w:tabs>
        <w:spacing w:line="240" w:lineRule="auto"/>
        <w:ind w:left="266" w:hanging="266"/>
        <w:rPr>
          <w:b/>
        </w:rPr>
      </w:pPr>
    </w:p>
    <w:p w14:paraId="71CA7F2A" w14:textId="77777777" w:rsidR="00DA6648" w:rsidRDefault="00DA6648" w:rsidP="00D95E0E">
      <w:pPr>
        <w:pStyle w:val="NormalWeb"/>
        <w:spacing w:before="0" w:beforeAutospacing="0" w:after="0" w:afterAutospacing="0" w:line="288" w:lineRule="auto"/>
        <w:rPr>
          <w:b/>
          <w:bCs/>
          <w:sz w:val="22"/>
          <w:szCs w:val="22"/>
        </w:rPr>
      </w:pPr>
      <w:r>
        <w:rPr>
          <w:sz w:val="22"/>
        </w:rPr>
        <w:t>ETSK</w:t>
      </w:r>
    </w:p>
    <w:p w14:paraId="007D51C4" w14:textId="77777777" w:rsidR="00DA6648" w:rsidRPr="00D62F18" w:rsidRDefault="00DA6648" w:rsidP="00693C8D">
      <w:pPr>
        <w:pStyle w:val="Heading2"/>
        <w:numPr>
          <w:ilvl w:val="0"/>
          <w:numId w:val="25"/>
        </w:numPr>
        <w:spacing w:line="276" w:lineRule="auto"/>
        <w:ind w:left="426"/>
        <w:rPr>
          <w:spacing w:val="-2"/>
          <w:szCs w:val="20"/>
        </w:rPr>
      </w:pPr>
      <w:bookmarkStart w:id="49" w:name="_Toc210812723"/>
      <w:r w:rsidRPr="00D62F18">
        <w:rPr>
          <w:spacing w:val="-2"/>
        </w:rPr>
        <w:t>suosittelee, että vihreitä taitoja koskevaan koulutukseen sovelletaan järjestelmällistä lähestymistapaa, johon sisällytetään monitasoinen hallinto, kohdennetut investoinnit ja osallistavat koulutusmallit. Taitojen suunnittelun joustavuus on muunnettava konkreettisiksi toimiksi muun muassa lisäämällä paikallis- ja alueviranomaisten vaikutusmahdollisuuksia ja ottamalla tehokkaasti käyttöön olemassa olevat mekanismit, kuten eurooppalainen vihreiden taitojen seurantajärjestelmä ja alueelliset seurantakeskukset.</w:t>
      </w:r>
      <w:bookmarkEnd w:id="49"/>
    </w:p>
    <w:p w14:paraId="62B68812" w14:textId="345D9ED2" w:rsidR="00DA6648" w:rsidRPr="00D62F18" w:rsidRDefault="00DA6648" w:rsidP="00693C8D">
      <w:pPr>
        <w:pStyle w:val="Heading2"/>
        <w:numPr>
          <w:ilvl w:val="0"/>
          <w:numId w:val="25"/>
        </w:numPr>
        <w:spacing w:line="276" w:lineRule="auto"/>
        <w:ind w:left="426"/>
        <w:rPr>
          <w:spacing w:val="-2"/>
        </w:rPr>
      </w:pPr>
      <w:bookmarkStart w:id="50" w:name="_Toc210812724"/>
      <w:r w:rsidRPr="00D62F18">
        <w:rPr>
          <w:spacing w:val="-2"/>
        </w:rPr>
        <w:t>suosittelee EU:n varojen strategista käyttöä ammatillisen koulutuksen nykyaikaistamiseksi, elinikäisen oppimisen tukemiseksi ja kouluttajien pätevyyden parantamiseksi. On tarpeen tukea julkisen ja yksityisen sektorin kumppanuuksia vihreiden taitojen kehittämiseksi ja tukea asian</w:t>
      </w:r>
      <w:r w:rsidR="00693C8D" w:rsidRPr="00D62F18">
        <w:rPr>
          <w:spacing w:val="-2"/>
        </w:rPr>
        <w:softHyphen/>
      </w:r>
      <w:r w:rsidRPr="00D62F18">
        <w:rPr>
          <w:spacing w:val="-2"/>
        </w:rPr>
        <w:t>mukaisesti pk-yrityksiä koulutusohjelmien täytäntöönpanossa Lisäksi on olennaisen tärkeää osoittaa riittävästi resursseja tehokkaan vihreän ja digitaalisen koulutuksen takaamiseen.</w:t>
      </w:r>
      <w:bookmarkEnd w:id="50"/>
    </w:p>
    <w:p w14:paraId="0F8EF967" w14:textId="77777777" w:rsidR="00DA6648" w:rsidRPr="00D62F18" w:rsidRDefault="00DA6648" w:rsidP="00693C8D">
      <w:pPr>
        <w:pStyle w:val="Heading2"/>
        <w:numPr>
          <w:ilvl w:val="0"/>
          <w:numId w:val="25"/>
        </w:numPr>
        <w:spacing w:line="276" w:lineRule="auto"/>
        <w:ind w:left="426"/>
        <w:rPr>
          <w:spacing w:val="-2"/>
        </w:rPr>
      </w:pPr>
      <w:bookmarkStart w:id="51" w:name="_Toc210812725"/>
      <w:r w:rsidRPr="00D62F18">
        <w:rPr>
          <w:spacing w:val="-2"/>
        </w:rPr>
        <w:t>suosittelee, että kehitetään selkeä kehys mikrotutkintojen täytäntöönpanoa varten ja edistetään etenkin monimuoto-oppimiseen perustuvien modulaaristen ja joustavien koulutusväylien laajaa käyttöönottoa.</w:t>
      </w:r>
      <w:bookmarkEnd w:id="51"/>
    </w:p>
    <w:p w14:paraId="7B02A1B5" w14:textId="77777777" w:rsidR="00DA6648" w:rsidRPr="00D62F18" w:rsidRDefault="00DA6648" w:rsidP="00693C8D">
      <w:pPr>
        <w:pStyle w:val="Heading2"/>
        <w:numPr>
          <w:ilvl w:val="0"/>
          <w:numId w:val="25"/>
        </w:numPr>
        <w:spacing w:line="276" w:lineRule="auto"/>
        <w:ind w:left="426"/>
        <w:rPr>
          <w:spacing w:val="-2"/>
        </w:rPr>
      </w:pPr>
      <w:bookmarkStart w:id="52" w:name="_Toc210812726"/>
      <w:r w:rsidRPr="00D62F18">
        <w:rPr>
          <w:spacing w:val="-2"/>
        </w:rPr>
        <w:t xml:space="preserve">suosittelee kestävyyden järjestelmällistä sisällyttämistä koulutukseen </w:t>
      </w:r>
      <w:proofErr w:type="spellStart"/>
      <w:r w:rsidRPr="00D62F18">
        <w:rPr>
          <w:spacing w:val="-2"/>
        </w:rPr>
        <w:t>rajatylittävän</w:t>
      </w:r>
      <w:proofErr w:type="spellEnd"/>
      <w:r w:rsidRPr="00D62F18">
        <w:rPr>
          <w:spacing w:val="-2"/>
        </w:rPr>
        <w:t xml:space="preserve"> yhteistyön, opiskelijoiden ja opettajien liikkuvuuden ja hyvien käytäntöjen vaihdon avulla. Erasmus+-ohjelmalla on erittäin tärkeä rooli ammatillisen koulutuksen vihreän ja digitaalisen siirtymän tukemisessa.</w:t>
      </w:r>
      <w:bookmarkEnd w:id="52"/>
    </w:p>
    <w:p w14:paraId="2F028CEC" w14:textId="77777777" w:rsidR="00DA6648" w:rsidRPr="00D62F18" w:rsidRDefault="00DA6648" w:rsidP="00693C8D">
      <w:pPr>
        <w:pStyle w:val="Heading2"/>
        <w:numPr>
          <w:ilvl w:val="0"/>
          <w:numId w:val="25"/>
        </w:numPr>
        <w:spacing w:line="276" w:lineRule="auto"/>
        <w:ind w:left="426"/>
        <w:rPr>
          <w:spacing w:val="-2"/>
        </w:rPr>
      </w:pPr>
      <w:bookmarkStart w:id="53" w:name="_Toc210812727"/>
      <w:r w:rsidRPr="00D62F18">
        <w:rPr>
          <w:spacing w:val="-2"/>
        </w:rPr>
        <w:t>suosittelee Euroopan sosiaalisten oikeuksien pilarin periaatteen 1 kattavaa täytäntöönpanoa ja sen varmistamista, että ”jokaisella on oikeus laadukkaaseen ja inklusiiviseen opetukseen, koulutukseen ja elinikäiseen oppimiseen sellaisten taitojen ylläpitämiseksi ja hankkimiseksi, jotka mahdollistavat täysipainoisen osallistumisen yhteiskunnan toimintaan ja auttavat työmarkkinoille siirtymisessä”.</w:t>
      </w:r>
      <w:bookmarkEnd w:id="53"/>
    </w:p>
    <w:p w14:paraId="0FE5106E" w14:textId="77777777" w:rsidR="00DA6648" w:rsidRPr="00D62F18" w:rsidRDefault="00DA6648" w:rsidP="00693C8D">
      <w:pPr>
        <w:pStyle w:val="Heading2"/>
        <w:numPr>
          <w:ilvl w:val="0"/>
          <w:numId w:val="25"/>
        </w:numPr>
        <w:spacing w:line="276" w:lineRule="auto"/>
        <w:ind w:left="426"/>
        <w:rPr>
          <w:spacing w:val="-2"/>
        </w:rPr>
      </w:pPr>
      <w:bookmarkStart w:id="54" w:name="_Toc210812728"/>
      <w:r w:rsidRPr="00D62F18">
        <w:rPr>
          <w:spacing w:val="-2"/>
        </w:rPr>
        <w:t>katsoo, että työntekijöiden on saatava laadukasta ammatillista koulutusta koko uransa ajan ja myös ohjausta sekä välineitä taitojen arviointiin. Tarvitaan yhteinen eurooppalainen lähestymistapa koulutuksen vaikutusten arvioimiseksi ja hyvien käytäntöjen levittämiseksi muun muassa työmarkkinaosapuolten vuoropuhelun ja työehtosopimusneuvottelujen avulla kansallisten käytäntöjen mukaisesti.</w:t>
      </w:r>
      <w:bookmarkEnd w:id="54"/>
    </w:p>
    <w:p w14:paraId="61B40581" w14:textId="77777777" w:rsidR="00DA6648" w:rsidRPr="00D62F18" w:rsidRDefault="00DA6648" w:rsidP="00693C8D">
      <w:pPr>
        <w:pStyle w:val="Heading2"/>
        <w:numPr>
          <w:ilvl w:val="0"/>
          <w:numId w:val="25"/>
        </w:numPr>
        <w:spacing w:line="276" w:lineRule="auto"/>
        <w:ind w:left="426"/>
        <w:rPr>
          <w:spacing w:val="-2"/>
        </w:rPr>
      </w:pPr>
      <w:bookmarkStart w:id="55" w:name="_Toc210812729"/>
      <w:r w:rsidRPr="00D62F18">
        <w:rPr>
          <w:spacing w:val="-2"/>
        </w:rPr>
        <w:t>kehottaa hyödyntämään tekoälyä keinona sopeuttaa ammatillinen koulutus paremmin vihreän siirtymän tarpeisiin ennakoimalla uusia koulutustarpeita, päivittämällä nopeasti opetussuunnitelmia ja räätälöimällä oppimisväyliä. On kuitenkin olennaisen tärkeää varmistaa, että sen käyttö on eettistä ja kestävää ja että opettajat ja kouluttajat saavat asianmukaista koulutusta.</w:t>
      </w:r>
      <w:bookmarkEnd w:id="55"/>
    </w:p>
    <w:p w14:paraId="524412E2" w14:textId="77777777" w:rsidR="00DA6648" w:rsidRPr="00477D90" w:rsidRDefault="00DA6648" w:rsidP="00D95E0E">
      <w:pPr>
        <w:spacing w:line="240" w:lineRule="auto"/>
        <w:ind w:left="567"/>
        <w:rPr>
          <w:bCs/>
          <w:iCs/>
        </w:rPr>
      </w:pPr>
    </w:p>
    <w:tbl>
      <w:tblPr>
        <w:tblW w:w="0" w:type="auto"/>
        <w:tblLook w:val="04A0" w:firstRow="1" w:lastRow="0" w:firstColumn="1" w:lastColumn="0" w:noHBand="0" w:noVBand="1"/>
      </w:tblPr>
      <w:tblGrid>
        <w:gridCol w:w="1402"/>
        <w:gridCol w:w="4493"/>
      </w:tblGrid>
      <w:tr w:rsidR="00DA6648" w14:paraId="0EF20E07" w14:textId="77777777" w:rsidTr="00DA6648">
        <w:tc>
          <w:tcPr>
            <w:tcW w:w="1210" w:type="dxa"/>
            <w:hideMark/>
          </w:tcPr>
          <w:p w14:paraId="18954CF5" w14:textId="77777777" w:rsidR="00DA6648" w:rsidRDefault="00DA6648" w:rsidP="00D95E0E">
            <w:pPr>
              <w:rPr>
                <w:i/>
              </w:rPr>
            </w:pPr>
            <w:r>
              <w:rPr>
                <w:b/>
                <w:i/>
              </w:rPr>
              <w:t>Yhteydenotot</w:t>
            </w:r>
          </w:p>
        </w:tc>
        <w:tc>
          <w:tcPr>
            <w:tcW w:w="4493" w:type="dxa"/>
            <w:hideMark/>
          </w:tcPr>
          <w:p w14:paraId="32B61936" w14:textId="04A39CC0" w:rsidR="00DA6648" w:rsidRDefault="00DA6648" w:rsidP="00D95E0E">
            <w:pPr>
              <w:ind w:hanging="12"/>
              <w:rPr>
                <w:i/>
              </w:rPr>
            </w:pPr>
            <w:proofErr w:type="spellStart"/>
            <w:r>
              <w:rPr>
                <w:i/>
              </w:rPr>
              <w:t>Triin</w:t>
            </w:r>
            <w:proofErr w:type="spellEnd"/>
            <w:r>
              <w:rPr>
                <w:i/>
              </w:rPr>
              <w:t xml:space="preserve"> </w:t>
            </w:r>
            <w:proofErr w:type="spellStart"/>
            <w:r w:rsidR="00057DCF">
              <w:rPr>
                <w:i/>
              </w:rPr>
              <w:t>Aasmaa</w:t>
            </w:r>
            <w:proofErr w:type="spellEnd"/>
            <w:r w:rsidR="00057DCF">
              <w:rPr>
                <w:i/>
              </w:rPr>
              <w:t xml:space="preserve"> </w:t>
            </w:r>
            <w:proofErr w:type="spellStart"/>
            <w:r w:rsidR="00057DCF">
              <w:rPr>
                <w:i/>
              </w:rPr>
              <w:t>Gomes</w:t>
            </w:r>
            <w:proofErr w:type="spellEnd"/>
          </w:p>
        </w:tc>
      </w:tr>
      <w:tr w:rsidR="00DA6648" w14:paraId="517D6884" w14:textId="77777777" w:rsidTr="00DA6648">
        <w:tc>
          <w:tcPr>
            <w:tcW w:w="1210" w:type="dxa"/>
            <w:hideMark/>
          </w:tcPr>
          <w:p w14:paraId="7710DB1C" w14:textId="77777777" w:rsidR="00DA6648" w:rsidRDefault="00DA6648" w:rsidP="00D95E0E">
            <w:pPr>
              <w:rPr>
                <w:i/>
              </w:rPr>
            </w:pPr>
            <w:r>
              <w:rPr>
                <w:i/>
              </w:rPr>
              <w:t>P.</w:t>
            </w:r>
          </w:p>
        </w:tc>
        <w:tc>
          <w:tcPr>
            <w:tcW w:w="4493" w:type="dxa"/>
            <w:hideMark/>
          </w:tcPr>
          <w:p w14:paraId="5CB2C6B1" w14:textId="77777777" w:rsidR="00DA6648" w:rsidRPr="00286597" w:rsidRDefault="00DA6648" w:rsidP="00D95E0E">
            <w:pPr>
              <w:rPr>
                <w:i/>
              </w:rPr>
            </w:pPr>
            <w:r w:rsidRPr="00286597">
              <w:rPr>
                <w:i/>
              </w:rPr>
              <w:t>+32 25469524</w:t>
            </w:r>
          </w:p>
        </w:tc>
      </w:tr>
      <w:tr w:rsidR="00DA6648" w14:paraId="734629AD" w14:textId="77777777" w:rsidTr="00DA6648">
        <w:tc>
          <w:tcPr>
            <w:tcW w:w="1210" w:type="dxa"/>
            <w:hideMark/>
          </w:tcPr>
          <w:p w14:paraId="531F5F3A" w14:textId="77777777" w:rsidR="00DA6648" w:rsidRDefault="00DA6648" w:rsidP="00D95E0E">
            <w:pPr>
              <w:rPr>
                <w:i/>
              </w:rPr>
            </w:pPr>
            <w:r>
              <w:rPr>
                <w:i/>
              </w:rPr>
              <w:t>Sähköposti</w:t>
            </w:r>
          </w:p>
        </w:tc>
        <w:tc>
          <w:tcPr>
            <w:tcW w:w="4493" w:type="dxa"/>
            <w:hideMark/>
          </w:tcPr>
          <w:p w14:paraId="759514A6" w14:textId="77777777" w:rsidR="00DA6648" w:rsidRDefault="0061775F" w:rsidP="00D95E0E">
            <w:pPr>
              <w:rPr>
                <w:i/>
              </w:rPr>
            </w:pPr>
            <w:hyperlink r:id="rId42" w:history="1">
              <w:r w:rsidR="00DA6648">
                <w:rPr>
                  <w:rStyle w:val="Hyperlink"/>
                  <w:i/>
                </w:rPr>
                <w:t>Triin.AasmaaGomes@eesc.europa.eu</w:t>
              </w:r>
            </w:hyperlink>
          </w:p>
        </w:tc>
      </w:tr>
    </w:tbl>
    <w:p w14:paraId="5A4C3C5F" w14:textId="77777777" w:rsidR="00E3323A" w:rsidRDefault="00E3323A" w:rsidP="00D95E0E">
      <w:pPr>
        <w:jc w:val="left"/>
      </w:pPr>
      <w:r>
        <w:br w:type="page"/>
      </w:r>
    </w:p>
    <w:p w14:paraId="4DEEDAD1" w14:textId="39CFCCFA" w:rsidR="00E3323A" w:rsidRDefault="0061775F" w:rsidP="00D95E0E">
      <w:pPr>
        <w:numPr>
          <w:ilvl w:val="0"/>
          <w:numId w:val="3"/>
        </w:numPr>
        <w:overflowPunct w:val="0"/>
        <w:autoSpaceDE w:val="0"/>
        <w:autoSpaceDN w:val="0"/>
        <w:adjustRightInd w:val="0"/>
        <w:ind w:hanging="567"/>
        <w:rPr>
          <w:sz w:val="24"/>
          <w:szCs w:val="24"/>
        </w:rPr>
      </w:pPr>
      <w:hyperlink r:id="rId43" w:history="1">
        <w:r w:rsidR="00E3323A">
          <w:rPr>
            <w:rStyle w:val="Hyperlink"/>
            <w:b/>
            <w:i/>
            <w:sz w:val="28"/>
          </w:rPr>
          <w:t>Miten oppisopimuskoulutuksella ja harjoittelu- ja opiskelujaksoja yhdistelevillä koulutusmalleilla voidaan edistää osaamista, jota yritykset tarvitsevat vastatakseen vihreän siirtymän ja digitalisaation haasteisiin</w:t>
        </w:r>
      </w:hyperlink>
    </w:p>
    <w:p w14:paraId="5F4D6422" w14:textId="77777777" w:rsidR="00E3323A" w:rsidRDefault="00E3323A" w:rsidP="00D95E0E">
      <w:pPr>
        <w:tabs>
          <w:tab w:val="center" w:pos="284"/>
        </w:tabs>
        <w:ind w:left="266" w:hanging="266"/>
        <w:rPr>
          <w:b/>
        </w:rPr>
      </w:pPr>
    </w:p>
    <w:tbl>
      <w:tblPr>
        <w:tblW w:w="0" w:type="auto"/>
        <w:tblLook w:val="04A0" w:firstRow="1" w:lastRow="0" w:firstColumn="1" w:lastColumn="0" w:noHBand="0" w:noVBand="1"/>
      </w:tblPr>
      <w:tblGrid>
        <w:gridCol w:w="1701"/>
        <w:gridCol w:w="5387"/>
      </w:tblGrid>
      <w:tr w:rsidR="00E3323A" w14:paraId="34D3D1AA" w14:textId="77777777" w:rsidTr="00E3323A">
        <w:tc>
          <w:tcPr>
            <w:tcW w:w="1701" w:type="dxa"/>
            <w:hideMark/>
          </w:tcPr>
          <w:p w14:paraId="37074EE2" w14:textId="77777777" w:rsidR="00E3323A" w:rsidRDefault="00E3323A" w:rsidP="00D95E0E">
            <w:pPr>
              <w:tabs>
                <w:tab w:val="center" w:pos="284"/>
              </w:tabs>
              <w:ind w:left="266" w:hanging="266"/>
              <w:rPr>
                <w:b/>
              </w:rPr>
            </w:pPr>
            <w:r>
              <w:rPr>
                <w:b/>
              </w:rPr>
              <w:t>Esittelijä</w:t>
            </w:r>
          </w:p>
        </w:tc>
        <w:tc>
          <w:tcPr>
            <w:tcW w:w="5387" w:type="dxa"/>
            <w:hideMark/>
          </w:tcPr>
          <w:p w14:paraId="2E6A0879" w14:textId="4671F40F" w:rsidR="00E3323A" w:rsidRDefault="00E3323A" w:rsidP="00D95E0E">
            <w:pPr>
              <w:tabs>
                <w:tab w:val="center" w:pos="284"/>
              </w:tabs>
              <w:ind w:left="266" w:hanging="266"/>
            </w:pPr>
            <w:r>
              <w:t xml:space="preserve">Jean-Michel </w:t>
            </w:r>
            <w:r w:rsidR="00B959E2">
              <w:t xml:space="preserve">POTTIER </w:t>
            </w:r>
            <w:r>
              <w:t>(työnantajat – FR)</w:t>
            </w:r>
          </w:p>
        </w:tc>
      </w:tr>
      <w:tr w:rsidR="00E3323A" w14:paraId="69853591" w14:textId="77777777" w:rsidTr="00E3323A">
        <w:tc>
          <w:tcPr>
            <w:tcW w:w="1701" w:type="dxa"/>
            <w:vMerge w:val="restart"/>
            <w:hideMark/>
          </w:tcPr>
          <w:p w14:paraId="3D6CC519" w14:textId="77777777" w:rsidR="00E3323A" w:rsidRDefault="00E3323A" w:rsidP="00D95E0E">
            <w:pPr>
              <w:tabs>
                <w:tab w:val="center" w:pos="284"/>
              </w:tabs>
              <w:ind w:left="266" w:hanging="266"/>
              <w:rPr>
                <w:b/>
              </w:rPr>
            </w:pPr>
            <w:r>
              <w:rPr>
                <w:b/>
              </w:rPr>
              <w:t xml:space="preserve">Viiteasiakirja </w:t>
            </w:r>
          </w:p>
        </w:tc>
        <w:tc>
          <w:tcPr>
            <w:tcW w:w="5387" w:type="dxa"/>
            <w:hideMark/>
          </w:tcPr>
          <w:p w14:paraId="10D22940" w14:textId="77777777" w:rsidR="00E3323A" w:rsidRDefault="00E3323A" w:rsidP="00D95E0E">
            <w:pPr>
              <w:tabs>
                <w:tab w:val="center" w:pos="284"/>
              </w:tabs>
              <w:ind w:left="266" w:hanging="266"/>
            </w:pPr>
            <w:r>
              <w:t>oma-aloitteinen lausunto</w:t>
            </w:r>
          </w:p>
        </w:tc>
      </w:tr>
      <w:tr w:rsidR="00E3323A" w14:paraId="029EEA0E" w14:textId="77777777" w:rsidTr="00E3323A">
        <w:tc>
          <w:tcPr>
            <w:tcW w:w="0" w:type="auto"/>
            <w:vMerge/>
            <w:vAlign w:val="center"/>
            <w:hideMark/>
          </w:tcPr>
          <w:p w14:paraId="3664FA28" w14:textId="77777777" w:rsidR="00E3323A" w:rsidRDefault="00E3323A" w:rsidP="00D95E0E">
            <w:pPr>
              <w:jc w:val="left"/>
              <w:rPr>
                <w:b/>
              </w:rPr>
            </w:pPr>
          </w:p>
        </w:tc>
        <w:tc>
          <w:tcPr>
            <w:tcW w:w="5387" w:type="dxa"/>
            <w:hideMark/>
          </w:tcPr>
          <w:p w14:paraId="5ADD9B62" w14:textId="77777777" w:rsidR="00E3323A" w:rsidRDefault="00E3323A" w:rsidP="00D95E0E">
            <w:pPr>
              <w:tabs>
                <w:tab w:val="center" w:pos="284"/>
              </w:tabs>
              <w:ind w:left="266" w:hanging="266"/>
            </w:pPr>
            <w:r>
              <w:t>EESC-2025-00781-00-00-AC-TRA</w:t>
            </w:r>
          </w:p>
        </w:tc>
      </w:tr>
    </w:tbl>
    <w:p w14:paraId="2585BA55" w14:textId="77777777" w:rsidR="00E3323A" w:rsidRDefault="00E3323A" w:rsidP="00D95E0E">
      <w:pPr>
        <w:tabs>
          <w:tab w:val="center" w:pos="284"/>
        </w:tabs>
        <w:ind w:left="266" w:hanging="266"/>
      </w:pPr>
    </w:p>
    <w:p w14:paraId="164A1EE8" w14:textId="77777777" w:rsidR="00E3323A" w:rsidRDefault="00E3323A" w:rsidP="00D95E0E">
      <w:pPr>
        <w:keepNext/>
        <w:keepLines/>
        <w:tabs>
          <w:tab w:val="center" w:pos="284"/>
        </w:tabs>
        <w:ind w:left="266" w:hanging="266"/>
        <w:rPr>
          <w:b/>
        </w:rPr>
      </w:pPr>
      <w:r>
        <w:rPr>
          <w:b/>
        </w:rPr>
        <w:t>Keskeiset kohdat</w:t>
      </w:r>
    </w:p>
    <w:p w14:paraId="34907476" w14:textId="77777777" w:rsidR="00E3323A" w:rsidRDefault="00E3323A" w:rsidP="00D95E0E">
      <w:pPr>
        <w:keepNext/>
        <w:keepLines/>
        <w:tabs>
          <w:tab w:val="center" w:pos="284"/>
        </w:tabs>
        <w:ind w:left="266" w:hanging="266"/>
        <w:rPr>
          <w:b/>
        </w:rPr>
      </w:pPr>
    </w:p>
    <w:p w14:paraId="24D0A5F7" w14:textId="77777777" w:rsidR="00E3323A" w:rsidRDefault="00E3323A" w:rsidP="00D95E0E">
      <w:pPr>
        <w:rPr>
          <w:bCs/>
          <w:iCs/>
        </w:rPr>
      </w:pPr>
      <w:r>
        <w:t>ETSK</w:t>
      </w:r>
    </w:p>
    <w:p w14:paraId="737BB910" w14:textId="77777777" w:rsidR="00E3323A" w:rsidRDefault="00E3323A" w:rsidP="00D95E0E">
      <w:pPr>
        <w:pStyle w:val="ListParagraph"/>
        <w:numPr>
          <w:ilvl w:val="0"/>
          <w:numId w:val="26"/>
        </w:numPr>
        <w:ind w:left="426"/>
      </w:pPr>
      <w:r>
        <w:t xml:space="preserve">korostaa oppisopimuskoulutuksen keskeistä merkitystä Euroopan työmarkkinoilla tarvittavien digitaalisten taitojen ja ympäristöosaamisen kehittämisen kannalta. </w:t>
      </w:r>
    </w:p>
    <w:p w14:paraId="6C778DD3" w14:textId="77777777" w:rsidR="00E3323A" w:rsidRDefault="00E3323A" w:rsidP="00D95E0E">
      <w:pPr>
        <w:pStyle w:val="ListParagraph"/>
        <w:numPr>
          <w:ilvl w:val="0"/>
          <w:numId w:val="26"/>
        </w:numPr>
        <w:ind w:left="426"/>
      </w:pPr>
      <w:r>
        <w:t>huomauttaa, että oppisopimus- ja tutkintomallit toimivat useissa EU-maissa toisistaan erillään, ja kannattaa perusteellisen uudistuksen tavoitetta esimerkiksi koulutuksen mukauttamiseksi työmarkkinoiden tarpeisiin, koulutukseen pääsyn parantamiseksi ja monialaisten taitojen edistämiseksi.</w:t>
      </w:r>
    </w:p>
    <w:p w14:paraId="4188D0F6" w14:textId="77777777" w:rsidR="00E3323A" w:rsidRDefault="00E3323A" w:rsidP="00D95E0E">
      <w:pPr>
        <w:pStyle w:val="ListParagraph"/>
        <w:numPr>
          <w:ilvl w:val="0"/>
          <w:numId w:val="26"/>
        </w:numPr>
        <w:ind w:left="426"/>
      </w:pPr>
      <w:r>
        <w:t>ehdottaa oppisopimusjärjestelmille uutta mallia, johon sisältyy uusia teknologioita tai digitaalisia taitoja ja ympäristöosaamista koskeva täydentävä koulutusmoduuli, ja toteaa, että perustaitojen hallinta on keskeinen edellytys oppisopimuskoulutuksen kaltaiselle ammatilliselle koulutukselle.</w:t>
      </w:r>
    </w:p>
    <w:p w14:paraId="38C54A34" w14:textId="77777777" w:rsidR="00E3323A" w:rsidRDefault="00E3323A" w:rsidP="00D95E0E">
      <w:pPr>
        <w:pStyle w:val="ListParagraph"/>
        <w:numPr>
          <w:ilvl w:val="0"/>
          <w:numId w:val="26"/>
        </w:numPr>
        <w:ind w:left="426"/>
      </w:pPr>
      <w:r>
        <w:t>painottaa työmarkkinaosapuolten roolia koulutusjärjestelmien suunnittelussa ja hallinnoinnissa sekä työmarkkinoiden osaamistarpeiden kartoittamisessa.</w:t>
      </w:r>
    </w:p>
    <w:p w14:paraId="03BC88C2" w14:textId="77777777" w:rsidR="00E3323A" w:rsidRDefault="00E3323A" w:rsidP="00D95E0E">
      <w:pPr>
        <w:pStyle w:val="ListParagraph"/>
        <w:numPr>
          <w:ilvl w:val="0"/>
          <w:numId w:val="26"/>
        </w:numPr>
        <w:ind w:left="426"/>
      </w:pPr>
      <w:r>
        <w:t>kannattaa tietyissä EU-maissa käytössä olevan, yli 30-vuotiaille aikuisille tarkoitetun oppisopimuskoulutusjärjestelmän kehittämistä sekä oppisopimuskoulutusta välineenä, joka mahdollistaa vammaisten henkilöiden pääsyn työelämään.</w:t>
      </w:r>
    </w:p>
    <w:p w14:paraId="72D7221C" w14:textId="77777777" w:rsidR="00E3323A" w:rsidRDefault="00E3323A" w:rsidP="00D95E0E">
      <w:pPr>
        <w:pStyle w:val="ListParagraph"/>
        <w:numPr>
          <w:ilvl w:val="0"/>
          <w:numId w:val="26"/>
        </w:numPr>
        <w:ind w:left="426"/>
      </w:pPr>
      <w:r>
        <w:t xml:space="preserve">suosittaa, että jäsenvaltioita kannustetaan ottamaan käyttöön kattava toimintamalli, johon </w:t>
      </w:r>
      <w:proofErr w:type="spellStart"/>
      <w:r>
        <w:t>osallistetaan</w:t>
      </w:r>
      <w:proofErr w:type="spellEnd"/>
      <w:r>
        <w:t xml:space="preserve"> työmarkkinaosapuolet, koulutusorganisaatiot, tiedeyhteisö ja asiaankuuluvat tahot, jotta digitaalisten taitojen kehittämiseksi voidaan toteuttaa tehokkaita toimintapolitiikkoja.</w:t>
      </w:r>
    </w:p>
    <w:p w14:paraId="42448FBF" w14:textId="77777777" w:rsidR="00E3323A" w:rsidRDefault="00E3323A" w:rsidP="00D95E0E">
      <w:pPr>
        <w:pStyle w:val="ListParagraph"/>
        <w:numPr>
          <w:ilvl w:val="0"/>
          <w:numId w:val="26"/>
        </w:numPr>
        <w:ind w:left="426"/>
      </w:pPr>
      <w:r>
        <w:t>tukee vakaasti Erasmus+ -ohjelmaa, sillä se mahdollistaa harjoittelun suorittamisen eurooppalaisessa yrityksessä, opiskelemisen Euroopassa sijaitsevassa ammattikoulutuslaitoksessa ja osallistumisen koulutusvaihtoon.</w:t>
      </w:r>
    </w:p>
    <w:p w14:paraId="5B4B6ABA" w14:textId="77777777" w:rsidR="00E3323A" w:rsidRDefault="00E3323A" w:rsidP="00D95E0E">
      <w:pPr>
        <w:pStyle w:val="ListParagraph"/>
        <w:numPr>
          <w:ilvl w:val="0"/>
          <w:numId w:val="26"/>
        </w:numPr>
        <w:ind w:left="426"/>
      </w:pPr>
      <w:r>
        <w:t>katsoo, että tarvitaan tukea ja ohjausta, jotta nuorille voidaan antaa tietoa uusista taidoista ja mahdollisuuksista työmarkkinoilla. Tiedottamisella ja ohjauksella olisi autettava lisäämään kaikkien ammatillisen koulutuksen eri muotojen yhtäläistä arvostusta. Näiden joukossa oppisopimuskoulutus on se, jonka avulla voidaan saavuttaa erittäin korkea suoran työmarkkinaintegraation aste.</w:t>
      </w:r>
    </w:p>
    <w:p w14:paraId="774A4153" w14:textId="77777777" w:rsidR="00E3323A" w:rsidRDefault="00E3323A" w:rsidP="00D95E0E">
      <w:pPr>
        <w:ind w:left="709"/>
      </w:pPr>
    </w:p>
    <w:tbl>
      <w:tblPr>
        <w:tblW w:w="0" w:type="auto"/>
        <w:tblLook w:val="04A0" w:firstRow="1" w:lastRow="0" w:firstColumn="1" w:lastColumn="0" w:noHBand="0" w:noVBand="1"/>
      </w:tblPr>
      <w:tblGrid>
        <w:gridCol w:w="1418"/>
        <w:gridCol w:w="5670"/>
      </w:tblGrid>
      <w:tr w:rsidR="00E3323A" w14:paraId="11250C9E" w14:textId="77777777" w:rsidTr="00E3323A">
        <w:tc>
          <w:tcPr>
            <w:tcW w:w="1418" w:type="dxa"/>
            <w:hideMark/>
          </w:tcPr>
          <w:p w14:paraId="76B91299" w14:textId="77777777" w:rsidR="00E3323A" w:rsidRDefault="00E3323A" w:rsidP="00D95E0E">
            <w:pPr>
              <w:rPr>
                <w:i/>
              </w:rPr>
            </w:pPr>
            <w:r>
              <w:rPr>
                <w:b/>
                <w:i/>
              </w:rPr>
              <w:t>Yhteydenotot</w:t>
            </w:r>
          </w:p>
        </w:tc>
        <w:tc>
          <w:tcPr>
            <w:tcW w:w="5670" w:type="dxa"/>
            <w:hideMark/>
          </w:tcPr>
          <w:p w14:paraId="350B64C1" w14:textId="72CA3188" w:rsidR="00E3323A" w:rsidRDefault="00E3323A" w:rsidP="00D95E0E">
            <w:pPr>
              <w:rPr>
                <w:i/>
              </w:rPr>
            </w:pPr>
            <w:proofErr w:type="spellStart"/>
            <w:r>
              <w:rPr>
                <w:i/>
              </w:rPr>
              <w:t>Sabrina</w:t>
            </w:r>
            <w:proofErr w:type="spellEnd"/>
            <w:r>
              <w:rPr>
                <w:i/>
              </w:rPr>
              <w:t xml:space="preserve"> </w:t>
            </w:r>
            <w:r w:rsidR="00B959E2">
              <w:rPr>
                <w:i/>
              </w:rPr>
              <w:t>Borg</w:t>
            </w:r>
          </w:p>
        </w:tc>
      </w:tr>
      <w:tr w:rsidR="00E3323A" w14:paraId="31399946" w14:textId="77777777" w:rsidTr="00E3323A">
        <w:tc>
          <w:tcPr>
            <w:tcW w:w="1418" w:type="dxa"/>
            <w:hideMark/>
          </w:tcPr>
          <w:p w14:paraId="5561CE55" w14:textId="77777777" w:rsidR="00E3323A" w:rsidRDefault="00E3323A" w:rsidP="00D95E0E">
            <w:pPr>
              <w:rPr>
                <w:i/>
              </w:rPr>
            </w:pPr>
            <w:r>
              <w:rPr>
                <w:i/>
              </w:rPr>
              <w:t>P.</w:t>
            </w:r>
          </w:p>
        </w:tc>
        <w:tc>
          <w:tcPr>
            <w:tcW w:w="5670" w:type="dxa"/>
            <w:hideMark/>
          </w:tcPr>
          <w:p w14:paraId="243570EA" w14:textId="77777777" w:rsidR="00E3323A" w:rsidRDefault="00E3323A" w:rsidP="00D95E0E">
            <w:pPr>
              <w:rPr>
                <w:i/>
              </w:rPr>
            </w:pPr>
            <w:r>
              <w:rPr>
                <w:i/>
              </w:rPr>
              <w:t>+32 25469727</w:t>
            </w:r>
          </w:p>
        </w:tc>
      </w:tr>
      <w:tr w:rsidR="00E3323A" w14:paraId="54DF3594" w14:textId="77777777" w:rsidTr="00E3323A">
        <w:tc>
          <w:tcPr>
            <w:tcW w:w="1418" w:type="dxa"/>
            <w:hideMark/>
          </w:tcPr>
          <w:p w14:paraId="09B9EB39" w14:textId="77777777" w:rsidR="00E3323A" w:rsidRDefault="00E3323A" w:rsidP="00D95E0E">
            <w:pPr>
              <w:rPr>
                <w:i/>
              </w:rPr>
            </w:pPr>
            <w:r>
              <w:rPr>
                <w:i/>
              </w:rPr>
              <w:t>Sähköposti</w:t>
            </w:r>
          </w:p>
        </w:tc>
        <w:tc>
          <w:tcPr>
            <w:tcW w:w="5670" w:type="dxa"/>
            <w:hideMark/>
          </w:tcPr>
          <w:p w14:paraId="3C81A68D" w14:textId="2487C37B" w:rsidR="00E3323A" w:rsidRDefault="0061775F" w:rsidP="00D95E0E">
            <w:pPr>
              <w:rPr>
                <w:i/>
                <w:iCs/>
              </w:rPr>
            </w:pPr>
            <w:hyperlink r:id="rId44" w:history="1">
              <w:r w:rsidR="00E3323A">
                <w:rPr>
                  <w:rStyle w:val="Hyperlink"/>
                  <w:i/>
                </w:rPr>
                <w:t>Sabrina.Borg@eesc.europa.eu</w:t>
              </w:r>
            </w:hyperlink>
          </w:p>
        </w:tc>
      </w:tr>
    </w:tbl>
    <w:p w14:paraId="4840B4E8" w14:textId="5AC8E3F1" w:rsidR="00E3323A" w:rsidRDefault="00E3323A" w:rsidP="00D95E0E">
      <w:pPr>
        <w:pStyle w:val="ListParagraph"/>
        <w:ind w:left="0"/>
      </w:pPr>
    </w:p>
    <w:p w14:paraId="67DD8517" w14:textId="77777777" w:rsidR="00E3323A" w:rsidRDefault="00E3323A" w:rsidP="00D95E0E">
      <w:pPr>
        <w:jc w:val="left"/>
      </w:pPr>
      <w:r>
        <w:br w:type="page"/>
      </w:r>
    </w:p>
    <w:p w14:paraId="03316B6E" w14:textId="19D9AB7E" w:rsidR="00E3323A" w:rsidRDefault="0061775F" w:rsidP="00D95E0E">
      <w:pPr>
        <w:numPr>
          <w:ilvl w:val="0"/>
          <w:numId w:val="5"/>
        </w:numPr>
        <w:overflowPunct w:val="0"/>
        <w:autoSpaceDE w:val="0"/>
        <w:autoSpaceDN w:val="0"/>
        <w:adjustRightInd w:val="0"/>
        <w:ind w:left="567" w:hanging="567"/>
        <w:rPr>
          <w:rStyle w:val="Hyperlink"/>
          <w:b/>
        </w:rPr>
      </w:pPr>
      <w:hyperlink r:id="rId45" w:history="1">
        <w:r w:rsidR="00E3323A">
          <w:rPr>
            <w:rStyle w:val="Hyperlink"/>
            <w:b/>
            <w:i/>
            <w:sz w:val="28"/>
          </w:rPr>
          <w:t>Julkisen politiikan vaikutusten arviointi keskipitkällä ja pitkällä aikavälillä ylisukupolvisen budjetoinnin avulla</w:t>
        </w:r>
      </w:hyperlink>
    </w:p>
    <w:p w14:paraId="19F30E97" w14:textId="77777777" w:rsidR="00E3323A" w:rsidRPr="00AE5068" w:rsidRDefault="00E3323A" w:rsidP="00D95E0E">
      <w:pPr>
        <w:tabs>
          <w:tab w:val="center" w:pos="284"/>
        </w:tabs>
        <w:ind w:left="567" w:hanging="567"/>
        <w:rPr>
          <w:lang w:val="en-US"/>
        </w:rPr>
      </w:pPr>
    </w:p>
    <w:tbl>
      <w:tblPr>
        <w:tblW w:w="9322" w:type="dxa"/>
        <w:tblLook w:val="04A0" w:firstRow="1" w:lastRow="0" w:firstColumn="1" w:lastColumn="0" w:noHBand="0" w:noVBand="1"/>
      </w:tblPr>
      <w:tblGrid>
        <w:gridCol w:w="1701"/>
        <w:gridCol w:w="7621"/>
      </w:tblGrid>
      <w:tr w:rsidR="00E3323A" w:rsidRPr="00AE5068" w14:paraId="6B8F1C7D" w14:textId="77777777" w:rsidTr="00E3323A">
        <w:tc>
          <w:tcPr>
            <w:tcW w:w="1701" w:type="dxa"/>
            <w:hideMark/>
          </w:tcPr>
          <w:p w14:paraId="1C83701B" w14:textId="77777777" w:rsidR="00E3323A" w:rsidRPr="00AE5068" w:rsidRDefault="00E3323A" w:rsidP="00D95E0E">
            <w:pPr>
              <w:tabs>
                <w:tab w:val="center" w:pos="284"/>
              </w:tabs>
              <w:ind w:left="567" w:hanging="567"/>
              <w:rPr>
                <w:b/>
              </w:rPr>
            </w:pPr>
            <w:r w:rsidRPr="00AE5068">
              <w:rPr>
                <w:b/>
              </w:rPr>
              <w:t>Esittelijä</w:t>
            </w:r>
          </w:p>
        </w:tc>
        <w:tc>
          <w:tcPr>
            <w:tcW w:w="7621" w:type="dxa"/>
            <w:hideMark/>
          </w:tcPr>
          <w:p w14:paraId="79707D98" w14:textId="77777777" w:rsidR="00E3323A" w:rsidRPr="00AE5068" w:rsidRDefault="00E3323A" w:rsidP="00D95E0E">
            <w:pPr>
              <w:ind w:left="567" w:hanging="567"/>
            </w:pPr>
            <w:r w:rsidRPr="00AE5068">
              <w:t>Nicoletta MERLO (työntekijät – IT)</w:t>
            </w:r>
          </w:p>
        </w:tc>
      </w:tr>
      <w:tr w:rsidR="00E3323A" w:rsidRPr="00AE5068" w14:paraId="47CF819C" w14:textId="77777777" w:rsidTr="00E3323A">
        <w:tc>
          <w:tcPr>
            <w:tcW w:w="1701" w:type="dxa"/>
            <w:hideMark/>
          </w:tcPr>
          <w:p w14:paraId="6C44D361" w14:textId="77777777" w:rsidR="00E3323A" w:rsidRPr="00AE5068" w:rsidRDefault="00E3323A" w:rsidP="00D95E0E">
            <w:pPr>
              <w:tabs>
                <w:tab w:val="center" w:pos="284"/>
              </w:tabs>
              <w:ind w:left="567" w:hanging="567"/>
              <w:rPr>
                <w:b/>
              </w:rPr>
            </w:pPr>
            <w:r w:rsidRPr="00AE5068">
              <w:rPr>
                <w:b/>
              </w:rPr>
              <w:t>Viiteasiakirja</w:t>
            </w:r>
          </w:p>
        </w:tc>
        <w:tc>
          <w:tcPr>
            <w:tcW w:w="7621" w:type="dxa"/>
            <w:hideMark/>
          </w:tcPr>
          <w:p w14:paraId="529B232F" w14:textId="64616262" w:rsidR="00AE5068" w:rsidRDefault="00AE5068" w:rsidP="00D95E0E">
            <w:pPr>
              <w:tabs>
                <w:tab w:val="center" w:pos="284"/>
              </w:tabs>
              <w:ind w:left="567" w:hanging="567"/>
            </w:pPr>
            <w:r>
              <w:t>oma-aloitteinen lausunto</w:t>
            </w:r>
          </w:p>
          <w:p w14:paraId="276E26B4" w14:textId="683BA0F7" w:rsidR="00E3323A" w:rsidRPr="00AE5068" w:rsidRDefault="00E3323A" w:rsidP="00D95E0E">
            <w:pPr>
              <w:tabs>
                <w:tab w:val="center" w:pos="284"/>
              </w:tabs>
              <w:ind w:left="567" w:hanging="567"/>
            </w:pPr>
            <w:r w:rsidRPr="00AE5068">
              <w:t>EESC-2025-00476-00-00-AC-TRA</w:t>
            </w:r>
          </w:p>
        </w:tc>
      </w:tr>
    </w:tbl>
    <w:p w14:paraId="7EAC1CAD" w14:textId="77777777" w:rsidR="00E3323A" w:rsidRPr="00AE5068" w:rsidRDefault="00E3323A" w:rsidP="00D95E0E">
      <w:pPr>
        <w:keepNext/>
        <w:keepLines/>
        <w:tabs>
          <w:tab w:val="center" w:pos="284"/>
        </w:tabs>
        <w:ind w:left="266" w:hanging="266"/>
        <w:rPr>
          <w:b/>
        </w:rPr>
      </w:pPr>
    </w:p>
    <w:p w14:paraId="2BD52557" w14:textId="29CB6300" w:rsidR="00E3323A" w:rsidRDefault="00E3323A" w:rsidP="00D95E0E">
      <w:pPr>
        <w:keepNext/>
        <w:keepLines/>
        <w:tabs>
          <w:tab w:val="center" w:pos="284"/>
        </w:tabs>
        <w:ind w:left="266" w:hanging="266"/>
        <w:rPr>
          <w:b/>
        </w:rPr>
      </w:pPr>
      <w:r w:rsidRPr="00AE5068">
        <w:rPr>
          <w:b/>
        </w:rPr>
        <w:t>Keskeiset kohdat</w:t>
      </w:r>
    </w:p>
    <w:p w14:paraId="7AA1CA78" w14:textId="77777777" w:rsidR="00AE5068" w:rsidRPr="00AE5068" w:rsidRDefault="00AE5068" w:rsidP="00D95E0E">
      <w:pPr>
        <w:keepNext/>
        <w:keepLines/>
        <w:tabs>
          <w:tab w:val="center" w:pos="284"/>
        </w:tabs>
        <w:ind w:left="266" w:hanging="266"/>
        <w:rPr>
          <w:b/>
        </w:rPr>
      </w:pPr>
    </w:p>
    <w:p w14:paraId="2B064443" w14:textId="77777777" w:rsidR="00E3323A" w:rsidRPr="00AE5068" w:rsidRDefault="00E3323A" w:rsidP="00D95E0E">
      <w:pPr>
        <w:pStyle w:val="NormalWeb"/>
        <w:spacing w:before="0" w:beforeAutospacing="0" w:after="0" w:afterAutospacing="0" w:line="288" w:lineRule="auto"/>
        <w:rPr>
          <w:sz w:val="22"/>
          <w:szCs w:val="22"/>
        </w:rPr>
      </w:pPr>
      <w:r w:rsidRPr="00AE5068">
        <w:rPr>
          <w:sz w:val="22"/>
          <w:szCs w:val="22"/>
        </w:rPr>
        <w:t>ETSK</w:t>
      </w:r>
    </w:p>
    <w:p w14:paraId="2A758706" w14:textId="77777777" w:rsidR="00E3323A" w:rsidRDefault="00E3323A" w:rsidP="00D95E0E">
      <w:pPr>
        <w:pStyle w:val="ListParagraph"/>
        <w:numPr>
          <w:ilvl w:val="0"/>
          <w:numId w:val="27"/>
        </w:numPr>
        <w:tabs>
          <w:tab w:val="clear" w:pos="720"/>
        </w:tabs>
        <w:ind w:left="426"/>
      </w:pPr>
      <w:r>
        <w:t>kannattaa sellaisen sukupolvien välisen budjetoinnin käyttöönottoa, joka lisäisi tietoisuutta EU:n, kansallisten ja paikallisten rahoitussuunnitelmien varojen kohdentamisesta eri sukupolville kunnioittaen samalla kaikin osin jäsenvaltioiden toimivaltaa ja itsenäistä budjettivaltaa.</w:t>
      </w:r>
    </w:p>
    <w:p w14:paraId="79C9ABFF" w14:textId="77777777" w:rsidR="00E3323A" w:rsidRDefault="00E3323A" w:rsidP="00D95E0E">
      <w:pPr>
        <w:pStyle w:val="ListParagraph"/>
        <w:numPr>
          <w:ilvl w:val="0"/>
          <w:numId w:val="27"/>
        </w:numPr>
        <w:tabs>
          <w:tab w:val="clear" w:pos="720"/>
        </w:tabs>
        <w:ind w:left="426"/>
      </w:pPr>
      <w:r>
        <w:t>kehottaa jäsenvaltioita käsittelemään sukupolvien välistä ulottuvuutta järjestelmällisesti talousarvioissaan esimerkiksi kaikille asiaankuuluville kansallisille budjettikohdille tehtävän nuorisotestin tai muiden menetelmien avulla sukupolvikohtaisten tai mahdollisesti sukupolvikohtaisten toimien selkeäksi määrittelemiseksi. Tämä väline on apuna sovitettaessa julkisia menoja yhteen sukupolvien välisen oikeudenmukaisuuden periaatteiden kanssa, ja sillä edistetään myös sukupolvien välistä vaihtoa nuorten ja ikääntyneiden välillä.</w:t>
      </w:r>
    </w:p>
    <w:p w14:paraId="48D84607" w14:textId="77777777" w:rsidR="00E3323A" w:rsidRDefault="00E3323A" w:rsidP="00D95E0E">
      <w:pPr>
        <w:pStyle w:val="ListParagraph"/>
        <w:numPr>
          <w:ilvl w:val="0"/>
          <w:numId w:val="27"/>
        </w:numPr>
        <w:tabs>
          <w:tab w:val="clear" w:pos="720"/>
        </w:tabs>
        <w:ind w:left="426"/>
      </w:pPr>
      <w:r>
        <w:t xml:space="preserve">kehottaa ottamaan nuorison jäsennellyn ja mielekkään osallistumisen olennaiseksi osaksi talousarvion suunnittelua ja seurantaa. </w:t>
      </w:r>
    </w:p>
    <w:p w14:paraId="2C036611" w14:textId="77777777" w:rsidR="00E3323A" w:rsidRDefault="00E3323A" w:rsidP="00D95E0E">
      <w:pPr>
        <w:pStyle w:val="ListParagraph"/>
        <w:numPr>
          <w:ilvl w:val="0"/>
          <w:numId w:val="27"/>
        </w:numPr>
        <w:tabs>
          <w:tab w:val="clear" w:pos="720"/>
        </w:tabs>
        <w:ind w:left="426"/>
      </w:pPr>
      <w:r>
        <w:t>katsoo, että sukupolvien tasa-arvoisuuden edistämiseksi jäsenvaltioiden talousarvioissa olisi varmistettava oikeudenmukainen tasapaino perheitä ja lapsia koskevien asukaskohtaisten menojen ja ikääntyneitä koskevien asukaskohtaisten menojen välillä.</w:t>
      </w:r>
    </w:p>
    <w:p w14:paraId="196F66C1" w14:textId="77777777" w:rsidR="00E3323A" w:rsidRDefault="00E3323A" w:rsidP="00D95E0E">
      <w:pPr>
        <w:pStyle w:val="ListParagraph"/>
        <w:numPr>
          <w:ilvl w:val="0"/>
          <w:numId w:val="27"/>
        </w:numPr>
        <w:tabs>
          <w:tab w:val="clear" w:pos="720"/>
        </w:tabs>
        <w:ind w:left="426"/>
      </w:pPr>
      <w:r>
        <w:t>korostaa, että sosiaaliturvajärjestelmien pitkän aikavälin kestävyys on varmistettava tekemällä määrällisiä arvioita sukupolvien välisestä oikeudenmukaisuudesta.</w:t>
      </w:r>
    </w:p>
    <w:p w14:paraId="61C5C604" w14:textId="77777777" w:rsidR="00E3323A" w:rsidRDefault="00E3323A" w:rsidP="00D95E0E">
      <w:pPr>
        <w:pStyle w:val="NormalWeb"/>
        <w:numPr>
          <w:ilvl w:val="0"/>
          <w:numId w:val="27"/>
        </w:numPr>
        <w:tabs>
          <w:tab w:val="clear" w:pos="720"/>
        </w:tabs>
        <w:spacing w:before="0" w:beforeAutospacing="0" w:after="0" w:afterAutospacing="0" w:line="288" w:lineRule="auto"/>
        <w:ind w:left="426"/>
        <w:jc w:val="both"/>
        <w:rPr>
          <w:sz w:val="22"/>
          <w:szCs w:val="22"/>
        </w:rPr>
      </w:pPr>
      <w:r>
        <w:rPr>
          <w:sz w:val="22"/>
        </w:rPr>
        <w:t>ehdottaa, että kansallisen ja alueellisen tason ylisukupolvinen budjetointi otetaan käyttöön yhtenä ehtona koheesiopolitiikan uudella ohjelmakaudella 2028–2034 ja osana uusien ”kansallisten ja alueellisten kumppanuussuunnitelmien” täytäntöönpanoa. Näin varmistettaisiin julkisen talouden kestävyys pitkällä aikavälillä ja vahvistettaisiin julkisiin menoihin liittyvää sukupolvien välistä oikeudenmukaisuutta.</w:t>
      </w:r>
    </w:p>
    <w:p w14:paraId="7B4A615D" w14:textId="77777777" w:rsidR="00E3323A" w:rsidRDefault="00E3323A" w:rsidP="00D95E0E">
      <w:pPr>
        <w:rPr>
          <w:szCs w:val="20"/>
        </w:rPr>
      </w:pPr>
    </w:p>
    <w:tbl>
      <w:tblPr>
        <w:tblW w:w="0" w:type="auto"/>
        <w:tblLook w:val="04A0" w:firstRow="1" w:lastRow="0" w:firstColumn="1" w:lastColumn="0" w:noHBand="0" w:noVBand="1"/>
      </w:tblPr>
      <w:tblGrid>
        <w:gridCol w:w="1402"/>
        <w:gridCol w:w="7671"/>
      </w:tblGrid>
      <w:tr w:rsidR="00E3323A" w14:paraId="12C3EA37" w14:textId="77777777" w:rsidTr="00E3323A">
        <w:tc>
          <w:tcPr>
            <w:tcW w:w="1210" w:type="dxa"/>
            <w:hideMark/>
          </w:tcPr>
          <w:p w14:paraId="6F862BC9" w14:textId="77777777" w:rsidR="00E3323A" w:rsidRDefault="00E3323A" w:rsidP="00D95E0E">
            <w:pPr>
              <w:rPr>
                <w:i/>
              </w:rPr>
            </w:pPr>
            <w:r>
              <w:rPr>
                <w:b/>
                <w:i/>
              </w:rPr>
              <w:t>Yhteydenotot</w:t>
            </w:r>
          </w:p>
        </w:tc>
        <w:tc>
          <w:tcPr>
            <w:tcW w:w="7970" w:type="dxa"/>
            <w:hideMark/>
          </w:tcPr>
          <w:p w14:paraId="094AB9BB" w14:textId="54B3A6D3" w:rsidR="00E3323A" w:rsidRDefault="00E3323A" w:rsidP="00D95E0E">
            <w:pPr>
              <w:ind w:hanging="12"/>
              <w:rPr>
                <w:i/>
              </w:rPr>
            </w:pPr>
            <w:proofErr w:type="spellStart"/>
            <w:r>
              <w:rPr>
                <w:i/>
              </w:rPr>
              <w:t>Sabrina</w:t>
            </w:r>
            <w:proofErr w:type="spellEnd"/>
            <w:r>
              <w:rPr>
                <w:i/>
              </w:rPr>
              <w:t xml:space="preserve"> </w:t>
            </w:r>
            <w:r w:rsidR="00B959E2">
              <w:rPr>
                <w:i/>
              </w:rPr>
              <w:t>Borg</w:t>
            </w:r>
          </w:p>
        </w:tc>
      </w:tr>
      <w:tr w:rsidR="00E3323A" w14:paraId="7A1C604B" w14:textId="77777777" w:rsidTr="00E3323A">
        <w:tc>
          <w:tcPr>
            <w:tcW w:w="1210" w:type="dxa"/>
            <w:hideMark/>
          </w:tcPr>
          <w:p w14:paraId="00FD0B10" w14:textId="77777777" w:rsidR="00E3323A" w:rsidRDefault="00E3323A" w:rsidP="00D95E0E">
            <w:pPr>
              <w:rPr>
                <w:i/>
              </w:rPr>
            </w:pPr>
            <w:r>
              <w:rPr>
                <w:i/>
              </w:rPr>
              <w:t>P.</w:t>
            </w:r>
          </w:p>
        </w:tc>
        <w:tc>
          <w:tcPr>
            <w:tcW w:w="7970" w:type="dxa"/>
            <w:hideMark/>
          </w:tcPr>
          <w:p w14:paraId="069E1871" w14:textId="77777777" w:rsidR="00E3323A" w:rsidRDefault="00E3323A" w:rsidP="00D95E0E">
            <w:pPr>
              <w:rPr>
                <w:i/>
              </w:rPr>
            </w:pPr>
            <w:r>
              <w:rPr>
                <w:i/>
              </w:rPr>
              <w:t>+32 25469727</w:t>
            </w:r>
          </w:p>
        </w:tc>
      </w:tr>
      <w:tr w:rsidR="00E3323A" w14:paraId="67057547" w14:textId="77777777" w:rsidTr="00E3323A">
        <w:tc>
          <w:tcPr>
            <w:tcW w:w="1210" w:type="dxa"/>
            <w:hideMark/>
          </w:tcPr>
          <w:p w14:paraId="2DA72041" w14:textId="77777777" w:rsidR="00E3323A" w:rsidRDefault="00E3323A" w:rsidP="00D95E0E">
            <w:pPr>
              <w:rPr>
                <w:i/>
              </w:rPr>
            </w:pPr>
            <w:r>
              <w:rPr>
                <w:i/>
              </w:rPr>
              <w:t>Sähköposti</w:t>
            </w:r>
          </w:p>
        </w:tc>
        <w:tc>
          <w:tcPr>
            <w:tcW w:w="7970" w:type="dxa"/>
            <w:hideMark/>
          </w:tcPr>
          <w:p w14:paraId="7F8D33B4" w14:textId="77777777" w:rsidR="00E3323A" w:rsidRDefault="0061775F" w:rsidP="00D95E0E">
            <w:pPr>
              <w:rPr>
                <w:i/>
              </w:rPr>
            </w:pPr>
            <w:hyperlink r:id="rId46" w:history="1">
              <w:r w:rsidR="00E3323A">
                <w:rPr>
                  <w:rStyle w:val="Hyperlink"/>
                  <w:i/>
                </w:rPr>
                <w:t>Sabrina.Borg@eesc.europa.eu</w:t>
              </w:r>
            </w:hyperlink>
          </w:p>
        </w:tc>
      </w:tr>
    </w:tbl>
    <w:p w14:paraId="3A07DD7D" w14:textId="499C24C4" w:rsidR="00E3323A" w:rsidRDefault="00E3323A" w:rsidP="00D95E0E">
      <w:pPr>
        <w:pStyle w:val="ListParagraph"/>
        <w:ind w:left="0"/>
      </w:pPr>
    </w:p>
    <w:p w14:paraId="063B3E83" w14:textId="77777777" w:rsidR="00E3323A" w:rsidRDefault="00E3323A" w:rsidP="00D95E0E">
      <w:pPr>
        <w:jc w:val="left"/>
      </w:pPr>
      <w:r>
        <w:br w:type="page"/>
      </w:r>
    </w:p>
    <w:p w14:paraId="3CD25349" w14:textId="25122CAD" w:rsidR="00E3323A" w:rsidRDefault="0061775F" w:rsidP="00D95E0E">
      <w:pPr>
        <w:numPr>
          <w:ilvl w:val="0"/>
          <w:numId w:val="3"/>
        </w:numPr>
        <w:overflowPunct w:val="0"/>
        <w:autoSpaceDE w:val="0"/>
        <w:autoSpaceDN w:val="0"/>
        <w:adjustRightInd w:val="0"/>
        <w:ind w:hanging="567"/>
        <w:rPr>
          <w:b/>
          <w:bCs/>
          <w:i/>
          <w:iCs/>
          <w:sz w:val="28"/>
          <w:szCs w:val="28"/>
        </w:rPr>
      </w:pPr>
      <w:hyperlink r:id="rId47" w:history="1">
        <w:r w:rsidR="00E3323A">
          <w:rPr>
            <w:rStyle w:val="Hyperlink"/>
            <w:b/>
            <w:i/>
            <w:sz w:val="28"/>
          </w:rPr>
          <w:t>Tekoäly, massadata ja harvinaiset sairaudet</w:t>
        </w:r>
      </w:hyperlink>
    </w:p>
    <w:p w14:paraId="6BD1DB67" w14:textId="77777777" w:rsidR="00E3323A" w:rsidRDefault="00E3323A" w:rsidP="00D95E0E">
      <w:pPr>
        <w:ind w:left="567"/>
        <w:rPr>
          <w:b/>
          <w:bCs/>
          <w:i/>
          <w:iCs/>
          <w:lang w:val="en-US"/>
        </w:rPr>
      </w:pPr>
    </w:p>
    <w:tbl>
      <w:tblPr>
        <w:tblW w:w="5000" w:type="pct"/>
        <w:tblLook w:val="04A0" w:firstRow="1" w:lastRow="0" w:firstColumn="1" w:lastColumn="0" w:noHBand="0" w:noVBand="1"/>
      </w:tblPr>
      <w:tblGrid>
        <w:gridCol w:w="1983"/>
        <w:gridCol w:w="7090"/>
      </w:tblGrid>
      <w:tr w:rsidR="00E3323A" w14:paraId="6E55E6EE" w14:textId="77777777" w:rsidTr="00E3323A">
        <w:tc>
          <w:tcPr>
            <w:tcW w:w="1093" w:type="pct"/>
            <w:hideMark/>
          </w:tcPr>
          <w:p w14:paraId="6CDAEDFC" w14:textId="77777777" w:rsidR="00E3323A" w:rsidRDefault="00E3323A" w:rsidP="00D95E0E">
            <w:pPr>
              <w:ind w:left="-113"/>
              <w:rPr>
                <w:b/>
              </w:rPr>
            </w:pPr>
            <w:r>
              <w:rPr>
                <w:b/>
              </w:rPr>
              <w:t>Esittelijä</w:t>
            </w:r>
          </w:p>
        </w:tc>
        <w:tc>
          <w:tcPr>
            <w:tcW w:w="3907" w:type="pct"/>
            <w:hideMark/>
          </w:tcPr>
          <w:p w14:paraId="25E8C839" w14:textId="77777777" w:rsidR="00E3323A" w:rsidRDefault="00E3323A" w:rsidP="00D95E0E">
            <w:pPr>
              <w:tabs>
                <w:tab w:val="left" w:pos="4572"/>
              </w:tabs>
              <w:ind w:left="-113" w:right="-823"/>
              <w:rPr>
                <w:szCs w:val="20"/>
              </w:rPr>
            </w:pPr>
            <w:proofErr w:type="spellStart"/>
            <w:r>
              <w:t>Juliane</w:t>
            </w:r>
            <w:proofErr w:type="spellEnd"/>
            <w:r>
              <w:t xml:space="preserve"> Marie NEIIENDAM (kansalaisyhteiskunnan organisaatiot – DK)</w:t>
            </w:r>
          </w:p>
        </w:tc>
      </w:tr>
      <w:tr w:rsidR="00E3323A" w14:paraId="2767949F" w14:textId="77777777" w:rsidTr="00E3323A">
        <w:tc>
          <w:tcPr>
            <w:tcW w:w="1093" w:type="pct"/>
            <w:hideMark/>
          </w:tcPr>
          <w:p w14:paraId="70892973" w14:textId="77777777" w:rsidR="00E3323A" w:rsidRDefault="00E3323A" w:rsidP="00D95E0E">
            <w:pPr>
              <w:ind w:left="-113"/>
              <w:rPr>
                <w:b/>
              </w:rPr>
            </w:pPr>
            <w:r>
              <w:rPr>
                <w:b/>
              </w:rPr>
              <w:t>Viiteasiakirja(t)</w:t>
            </w:r>
          </w:p>
        </w:tc>
        <w:tc>
          <w:tcPr>
            <w:tcW w:w="3907" w:type="pct"/>
            <w:hideMark/>
          </w:tcPr>
          <w:p w14:paraId="0D7C0A9E" w14:textId="77777777" w:rsidR="00AE5068" w:rsidRDefault="00AE5068" w:rsidP="00D95E0E">
            <w:pPr>
              <w:tabs>
                <w:tab w:val="left" w:pos="4430"/>
              </w:tabs>
              <w:ind w:left="-113" w:right="-823"/>
            </w:pPr>
            <w:r>
              <w:t xml:space="preserve">Puheenjohtajavaltion Tanskan pyytämä valmisteleva lausunto </w:t>
            </w:r>
          </w:p>
          <w:p w14:paraId="59081DAE" w14:textId="64864117" w:rsidR="00E3323A" w:rsidRDefault="00E3323A" w:rsidP="00D95E0E">
            <w:pPr>
              <w:tabs>
                <w:tab w:val="left" w:pos="4430"/>
              </w:tabs>
              <w:ind w:left="-113" w:right="-823"/>
            </w:pPr>
            <w:r>
              <w:t>EESC-2025-01013-00-00-AC</w:t>
            </w:r>
          </w:p>
        </w:tc>
      </w:tr>
    </w:tbl>
    <w:p w14:paraId="4BBD6DA1" w14:textId="77777777" w:rsidR="00E3323A" w:rsidRDefault="00E3323A" w:rsidP="00D95E0E">
      <w:pPr>
        <w:tabs>
          <w:tab w:val="center" w:pos="284"/>
        </w:tabs>
        <w:ind w:left="266" w:hanging="266"/>
        <w:rPr>
          <w:b/>
        </w:rPr>
      </w:pPr>
    </w:p>
    <w:p w14:paraId="3D239979" w14:textId="77777777" w:rsidR="00E3323A" w:rsidRDefault="00E3323A" w:rsidP="00D95E0E">
      <w:pPr>
        <w:tabs>
          <w:tab w:val="center" w:pos="284"/>
        </w:tabs>
        <w:ind w:left="266" w:hanging="266"/>
        <w:rPr>
          <w:b/>
        </w:rPr>
      </w:pPr>
      <w:r>
        <w:rPr>
          <w:b/>
        </w:rPr>
        <w:t>Keskeiset kohdat</w:t>
      </w:r>
    </w:p>
    <w:p w14:paraId="19C38496" w14:textId="77777777" w:rsidR="00E3323A" w:rsidRDefault="00E3323A" w:rsidP="00D95E0E">
      <w:pPr>
        <w:tabs>
          <w:tab w:val="center" w:pos="284"/>
        </w:tabs>
        <w:ind w:left="266" w:hanging="266"/>
      </w:pPr>
    </w:p>
    <w:p w14:paraId="7CC228DC" w14:textId="77777777" w:rsidR="00E3323A" w:rsidRDefault="00E3323A" w:rsidP="00D95E0E">
      <w:pPr>
        <w:tabs>
          <w:tab w:val="center" w:pos="284"/>
        </w:tabs>
        <w:ind w:left="266" w:hanging="266"/>
      </w:pPr>
      <w:r>
        <w:t>ETSK</w:t>
      </w:r>
    </w:p>
    <w:p w14:paraId="6EAB5EAE" w14:textId="77777777" w:rsidR="00E3323A" w:rsidRDefault="00E3323A" w:rsidP="00D95E0E">
      <w:pPr>
        <w:pStyle w:val="ListParagraph"/>
        <w:numPr>
          <w:ilvl w:val="0"/>
          <w:numId w:val="28"/>
        </w:numPr>
        <w:tabs>
          <w:tab w:val="center" w:pos="66"/>
        </w:tabs>
        <w:ind w:left="426"/>
      </w:pPr>
      <w:r>
        <w:t>suhtautuu myönteisesti tekoälyyn tarjoamiin mahdollisuuksiin parantaa harvinaisista sairauksista kärsivien potilaiden hoitopolkuja, yksilöllistää lääkehoitoa ja edistää yleistä elämän laatua. Samalla se tunnustaa tietosuojaan, algoritmien vinoumiin sekä kohtuuhintaisuuteen ja käyttömahdollisuuteen liittyvät huolenaiheet.</w:t>
      </w:r>
    </w:p>
    <w:p w14:paraId="3F5C37D7" w14:textId="77777777" w:rsidR="00E3323A" w:rsidRDefault="00E3323A" w:rsidP="00D95E0E">
      <w:pPr>
        <w:pStyle w:val="ListParagraph"/>
        <w:numPr>
          <w:ilvl w:val="0"/>
          <w:numId w:val="28"/>
        </w:numPr>
        <w:tabs>
          <w:tab w:val="center" w:pos="66"/>
        </w:tabs>
        <w:ind w:left="426"/>
      </w:pPr>
      <w:r>
        <w:t xml:space="preserve">kannustaa jäsenvaltioita digitalisoimaan terveystiedot nopeasti ja ottamaan käyttöön </w:t>
      </w:r>
      <w:proofErr w:type="spellStart"/>
      <w:r>
        <w:t>Orpha</w:t>
      </w:r>
      <w:proofErr w:type="spellEnd"/>
      <w:r>
        <w:t xml:space="preserve">-koodit </w:t>
      </w:r>
      <w:proofErr w:type="spellStart"/>
      <w:r>
        <w:t>rajatylittävän</w:t>
      </w:r>
      <w:proofErr w:type="spellEnd"/>
      <w:r>
        <w:t xml:space="preserve"> tiedonjakamisen helpottamiseksi ja eurooppalaisen terveystietoalueen tukemiseksi.</w:t>
      </w:r>
    </w:p>
    <w:p w14:paraId="4FD70C0B" w14:textId="77777777" w:rsidR="00E3323A" w:rsidRDefault="00E3323A" w:rsidP="00D95E0E">
      <w:pPr>
        <w:pStyle w:val="ListParagraph"/>
        <w:numPr>
          <w:ilvl w:val="0"/>
          <w:numId w:val="28"/>
        </w:numPr>
        <w:tabs>
          <w:tab w:val="center" w:pos="66"/>
        </w:tabs>
        <w:ind w:left="426"/>
      </w:pPr>
      <w:r>
        <w:t xml:space="preserve">suosittaa, että terveydenhuollon tekoälymallien olisi päästävä käyttämään vain </w:t>
      </w:r>
      <w:proofErr w:type="spellStart"/>
      <w:r>
        <w:t>anonymisoituja</w:t>
      </w:r>
      <w:proofErr w:type="spellEnd"/>
      <w:r>
        <w:t xml:space="preserve"> ja salattuja potilastietoja, ja kaikista väärinkäytöksistä olisi määrättävä ankarat seuraamukset. Selkeät puitteet potilaiden suostumukselle terveystietojen tekoälykäyttöön ja riippumattomat valvontaelimet ovat keskeisen tärkeitä avoimuuden ja vastuuvelvollisuuden varmistamisessa.</w:t>
      </w:r>
    </w:p>
    <w:p w14:paraId="07F5F324" w14:textId="77777777" w:rsidR="00E3323A" w:rsidRDefault="00E3323A" w:rsidP="00D95E0E">
      <w:pPr>
        <w:pStyle w:val="ListParagraph"/>
        <w:numPr>
          <w:ilvl w:val="0"/>
          <w:numId w:val="28"/>
        </w:numPr>
        <w:tabs>
          <w:tab w:val="center" w:pos="66"/>
        </w:tabs>
        <w:ind w:left="426"/>
      </w:pPr>
      <w:r>
        <w:t>kehottaa Euroopan lääkevirastoa edellyttämään tekoälyn tuella tehtäviltä terveydenhuoltopäätöksiltä selitettävyyttä ja varmistamaan lääkärin suorittaman valvonnan kaikkien lääketieteellisten suositusten yhteydessä.</w:t>
      </w:r>
    </w:p>
    <w:p w14:paraId="017D6A33" w14:textId="77777777" w:rsidR="00E3323A" w:rsidRDefault="00E3323A" w:rsidP="00D95E0E">
      <w:pPr>
        <w:pStyle w:val="ListParagraph"/>
        <w:numPr>
          <w:ilvl w:val="0"/>
          <w:numId w:val="28"/>
        </w:numPr>
        <w:tabs>
          <w:tab w:val="center" w:pos="66"/>
        </w:tabs>
        <w:ind w:left="426"/>
      </w:pPr>
      <w:r>
        <w:t>korostaa tarvetta kehittää tekoälyavusteisia diagnostiikkavälineitä koskevaa ammatillista koulutusta, jotta voidaan varmistaa ihmisen suorittama valvonta. Potilaiden ja terveydenhuollon ammattilaisten tekoälylukutaitoa olisi parannettava EU:n laajuisten kampanjoiden avulla.</w:t>
      </w:r>
    </w:p>
    <w:p w14:paraId="435FC9E5" w14:textId="77777777" w:rsidR="00E3323A" w:rsidRDefault="00E3323A" w:rsidP="00D95E0E">
      <w:pPr>
        <w:pStyle w:val="ListParagraph"/>
        <w:numPr>
          <w:ilvl w:val="0"/>
          <w:numId w:val="28"/>
        </w:numPr>
        <w:tabs>
          <w:tab w:val="center" w:pos="66"/>
        </w:tabs>
        <w:ind w:left="426"/>
      </w:pPr>
      <w:r>
        <w:t>suosittaa, että tekoälymallit olisi syrjinnän välttämiseksi koulutettava käyttäen monimuotoisia tietoaineistoja, joissa eri sukupuolet ovat tasapuolisesti edustettuina, ja Euroopan tekoälytoimiston olisi edistettävä vinoumien välttämiseksi tehtäviä tarkastuksia ja markkinoille saattamista edeltävää testausta. Naisille olisi tarjottava kohdennettua rahoitusta tekoälyn ja terveysalan datatieteen aloilla.</w:t>
      </w:r>
    </w:p>
    <w:p w14:paraId="4CD125D7" w14:textId="77777777" w:rsidR="00E3323A" w:rsidRDefault="00E3323A" w:rsidP="00D95E0E">
      <w:pPr>
        <w:pStyle w:val="ListParagraph"/>
        <w:numPr>
          <w:ilvl w:val="0"/>
          <w:numId w:val="28"/>
        </w:numPr>
        <w:tabs>
          <w:tab w:val="center" w:pos="66"/>
        </w:tabs>
        <w:ind w:left="426"/>
      </w:pPr>
      <w:r>
        <w:t>kehottaa Euroopan innovaatio- ja teknologiainstituuttia (EIT) laajentamaan mentorointi- ja johtamisohjelmia naisten osallistumisen lisäämiseksi tekoälyavusteisessa terveydenhuollossa. Horisontti Eurooppa ‐puiteohjelman terveysklusterista olisi rahoitettava sukupuoleen painottuvaa tekoälytutkimusta parempien diagnostiikkatyökalujen kehittämiseksi sairauksille, jotka vaikuttavat suhteettomasti naisiin ja aliedustettuihin ryhmiin.</w:t>
      </w:r>
    </w:p>
    <w:p w14:paraId="0EA591A2" w14:textId="77777777" w:rsidR="00E3323A" w:rsidRDefault="00E3323A" w:rsidP="00D95E0E">
      <w:pPr>
        <w:pStyle w:val="ListParagraph"/>
        <w:numPr>
          <w:ilvl w:val="0"/>
          <w:numId w:val="28"/>
        </w:numPr>
        <w:tabs>
          <w:tab w:val="center" w:pos="66"/>
        </w:tabs>
        <w:ind w:left="426"/>
      </w:pPr>
      <w:r>
        <w:t>korostaa, että datahallinnon rakenteiden on mahdollistettava potilaille omien tietojen hallinta, mukaan lukien suostumuksen kumoaminen ja tieto siitä, miten heidän tietojaan käytetään, ja kannustaa dataosuuskuntien ja potilasjohtoisten rekistereiden käyttöön.</w:t>
      </w:r>
    </w:p>
    <w:p w14:paraId="00D0B63E" w14:textId="77777777" w:rsidR="00E3323A" w:rsidRDefault="00E3323A" w:rsidP="00D95E0E">
      <w:pPr>
        <w:pStyle w:val="ListParagraph"/>
        <w:numPr>
          <w:ilvl w:val="0"/>
          <w:numId w:val="28"/>
        </w:numPr>
        <w:tabs>
          <w:tab w:val="center" w:pos="66"/>
        </w:tabs>
        <w:ind w:left="426"/>
      </w:pPr>
      <w:r>
        <w:t>suosittaa, että Horisontti Eurooppa -puiteohjelman rahoitusta olisi kohdennettava startup- ja pk-yrityksille, jotka kehittävät tekoälysovelluksia harvinaisten sairauksien diagnostiikkaa varten, jotta suuryritykset eivät saisi hallitsevaa asemaa alalla. Julkisen ja yksityisen sektorin kumppanuuksien avulla olisi tuettava kohtuuhintaisten ja helposti saatavien tekoälytyökalujen kehittämistä ja varmistettava tasapuoliset mahdollisuudet datan käyttöön.</w:t>
      </w:r>
    </w:p>
    <w:p w14:paraId="61EC1973" w14:textId="77777777" w:rsidR="00E3323A" w:rsidRDefault="00E3323A" w:rsidP="00D95E0E">
      <w:pPr>
        <w:pStyle w:val="ListParagraph"/>
        <w:numPr>
          <w:ilvl w:val="0"/>
          <w:numId w:val="28"/>
        </w:numPr>
        <w:tabs>
          <w:tab w:val="center" w:pos="66"/>
        </w:tabs>
        <w:ind w:left="426"/>
      </w:pPr>
      <w:r>
        <w:t xml:space="preserve">suhtautuu myönteisesti yksilöllistettyjen lääkkeiden ja harvinaisten sairauksien hoidon kehittämiseen tekoälyn avulla mutta korostaa, että tarvitaan kestäviä hinnoittelumekanismeja. </w:t>
      </w:r>
      <w:r>
        <w:lastRenderedPageBreak/>
        <w:t xml:space="preserve">Komitea suosittelee, että perustetaan julkisesti rahoitettu tekoälypohjainen diagnostiikka-alusta ja toteutetaan </w:t>
      </w:r>
      <w:proofErr w:type="spellStart"/>
      <w:r>
        <w:t>rajatylittävää</w:t>
      </w:r>
      <w:proofErr w:type="spellEnd"/>
      <w:r>
        <w:t xml:space="preserve"> tekoälytietojen vaihtoa, jotta pienet sairaalat ja tutkimuslaitokset voivat hyötyä tekoälyn edistysaskeleista.</w:t>
      </w:r>
    </w:p>
    <w:p w14:paraId="39994212" w14:textId="77777777" w:rsidR="00E3323A" w:rsidRDefault="00E3323A" w:rsidP="00D95E0E">
      <w:pPr>
        <w:pStyle w:val="ListParagraph"/>
        <w:numPr>
          <w:ilvl w:val="0"/>
          <w:numId w:val="28"/>
        </w:numPr>
        <w:tabs>
          <w:tab w:val="center" w:pos="66"/>
        </w:tabs>
        <w:ind w:left="426"/>
      </w:pPr>
      <w:r>
        <w:t>kehottaa laatimaan EU:n laajuiset tekoälyn käyttöä terveydenhuollossa koskevat eettiset ohjeet, joilla varmistetaan yhdenvertainen saatavuus, potilasturvallisuus ja innovoinnin vastuullisuus.</w:t>
      </w:r>
    </w:p>
    <w:p w14:paraId="4788840E" w14:textId="77777777" w:rsidR="00E3323A" w:rsidRDefault="00E3323A" w:rsidP="00D95E0E">
      <w:pPr>
        <w:pStyle w:val="ListParagraph"/>
        <w:tabs>
          <w:tab w:val="center" w:pos="284"/>
        </w:tabs>
        <w:ind w:left="284"/>
      </w:pPr>
    </w:p>
    <w:tbl>
      <w:tblPr>
        <w:tblW w:w="3516" w:type="pct"/>
        <w:tblLook w:val="04A0" w:firstRow="1" w:lastRow="0" w:firstColumn="1" w:lastColumn="0" w:noHBand="0" w:noVBand="1"/>
      </w:tblPr>
      <w:tblGrid>
        <w:gridCol w:w="1985"/>
        <w:gridCol w:w="4395"/>
      </w:tblGrid>
      <w:tr w:rsidR="00E3323A" w14:paraId="4C88ED35" w14:textId="77777777" w:rsidTr="00E3323A">
        <w:tc>
          <w:tcPr>
            <w:tcW w:w="1556" w:type="pct"/>
            <w:hideMark/>
          </w:tcPr>
          <w:p w14:paraId="5B3EECEB" w14:textId="77777777" w:rsidR="00E3323A" w:rsidRDefault="00E3323A" w:rsidP="00D95E0E">
            <w:pPr>
              <w:rPr>
                <w:i/>
              </w:rPr>
            </w:pPr>
            <w:r>
              <w:rPr>
                <w:b/>
                <w:i/>
              </w:rPr>
              <w:t>Yhteydenotot</w:t>
            </w:r>
          </w:p>
        </w:tc>
        <w:tc>
          <w:tcPr>
            <w:tcW w:w="3444" w:type="pct"/>
            <w:hideMark/>
          </w:tcPr>
          <w:p w14:paraId="1813D96D" w14:textId="52C401CB" w:rsidR="00E3323A" w:rsidRDefault="00E3323A" w:rsidP="00D95E0E">
            <w:pPr>
              <w:rPr>
                <w:i/>
              </w:rPr>
            </w:pPr>
            <w:proofErr w:type="spellStart"/>
            <w:r>
              <w:rPr>
                <w:i/>
              </w:rPr>
              <w:t>Alessia</w:t>
            </w:r>
            <w:proofErr w:type="spellEnd"/>
            <w:r>
              <w:rPr>
                <w:i/>
              </w:rPr>
              <w:t xml:space="preserve"> </w:t>
            </w:r>
            <w:proofErr w:type="spellStart"/>
            <w:r w:rsidR="00B959E2">
              <w:rPr>
                <w:i/>
              </w:rPr>
              <w:t>Cova</w:t>
            </w:r>
            <w:proofErr w:type="spellEnd"/>
          </w:p>
        </w:tc>
      </w:tr>
      <w:tr w:rsidR="00E3323A" w14:paraId="4A38B2EE" w14:textId="77777777" w:rsidTr="00E3323A">
        <w:tc>
          <w:tcPr>
            <w:tcW w:w="1556" w:type="pct"/>
            <w:hideMark/>
          </w:tcPr>
          <w:p w14:paraId="3C00F673" w14:textId="77777777" w:rsidR="00E3323A" w:rsidRDefault="00E3323A" w:rsidP="00D95E0E">
            <w:pPr>
              <w:rPr>
                <w:i/>
              </w:rPr>
            </w:pPr>
            <w:r>
              <w:rPr>
                <w:i/>
              </w:rPr>
              <w:t>P.</w:t>
            </w:r>
          </w:p>
        </w:tc>
        <w:tc>
          <w:tcPr>
            <w:tcW w:w="3444" w:type="pct"/>
            <w:hideMark/>
          </w:tcPr>
          <w:p w14:paraId="0BFB7EB6" w14:textId="77777777" w:rsidR="00E3323A" w:rsidRPr="00286597" w:rsidRDefault="00E3323A" w:rsidP="00D95E0E">
            <w:pPr>
              <w:rPr>
                <w:i/>
              </w:rPr>
            </w:pPr>
            <w:r w:rsidRPr="00286597">
              <w:rPr>
                <w:i/>
              </w:rPr>
              <w:t>+32 25469426</w:t>
            </w:r>
          </w:p>
        </w:tc>
      </w:tr>
      <w:tr w:rsidR="00E3323A" w14:paraId="7BDEC74C" w14:textId="77777777" w:rsidTr="00E3323A">
        <w:tc>
          <w:tcPr>
            <w:tcW w:w="1556" w:type="pct"/>
            <w:hideMark/>
          </w:tcPr>
          <w:p w14:paraId="7C3531BE" w14:textId="77777777" w:rsidR="00E3323A" w:rsidRDefault="00E3323A" w:rsidP="00D95E0E">
            <w:pPr>
              <w:rPr>
                <w:i/>
              </w:rPr>
            </w:pPr>
            <w:r>
              <w:rPr>
                <w:i/>
              </w:rPr>
              <w:t>Sähköposti</w:t>
            </w:r>
          </w:p>
        </w:tc>
        <w:tc>
          <w:tcPr>
            <w:tcW w:w="3444" w:type="pct"/>
            <w:hideMark/>
          </w:tcPr>
          <w:p w14:paraId="1FC24BB3" w14:textId="77777777" w:rsidR="00E3323A" w:rsidRDefault="0061775F" w:rsidP="00D95E0E">
            <w:pPr>
              <w:rPr>
                <w:rStyle w:val="Hyperlink"/>
                <w:szCs w:val="20"/>
              </w:rPr>
            </w:pPr>
            <w:hyperlink r:id="rId48" w:history="1">
              <w:r w:rsidR="00E3323A">
                <w:rPr>
                  <w:rStyle w:val="Hyperlink"/>
                  <w:i/>
                </w:rPr>
                <w:t>Alessia.Cova@eesc.europa.eu</w:t>
              </w:r>
            </w:hyperlink>
            <w:r w:rsidR="00E3323A">
              <w:rPr>
                <w:rStyle w:val="Hyperlink"/>
              </w:rPr>
              <w:t xml:space="preserve"> </w:t>
            </w:r>
          </w:p>
        </w:tc>
      </w:tr>
    </w:tbl>
    <w:p w14:paraId="47314E78" w14:textId="77777777" w:rsidR="004D7AC0" w:rsidRDefault="004D7AC0" w:rsidP="00D95E0E">
      <w:pPr>
        <w:pStyle w:val="ListParagraph"/>
        <w:ind w:left="0"/>
      </w:pPr>
    </w:p>
    <w:p w14:paraId="4982DDF1" w14:textId="77777777" w:rsidR="004D7AC0" w:rsidRDefault="004D7AC0" w:rsidP="00D95E0E">
      <w:pPr>
        <w:pStyle w:val="ListParagraph"/>
        <w:ind w:left="0"/>
      </w:pPr>
    </w:p>
    <w:p w14:paraId="4982DDF2" w14:textId="77777777" w:rsidR="004D7AC0" w:rsidRDefault="004D7AC0" w:rsidP="00D95E0E">
      <w:pPr>
        <w:jc w:val="left"/>
      </w:pPr>
      <w:r>
        <w:br w:type="page"/>
      </w:r>
    </w:p>
    <w:p w14:paraId="4982DDF3" w14:textId="12979262" w:rsidR="004D7AC0" w:rsidRDefault="00E3323A" w:rsidP="00D95E0E">
      <w:pPr>
        <w:pStyle w:val="Heading1"/>
        <w:rPr>
          <w:b/>
        </w:rPr>
      </w:pPr>
      <w:bookmarkStart w:id="56" w:name="_Toc210812730"/>
      <w:r w:rsidRPr="00E3323A">
        <w:rPr>
          <w:b/>
        </w:rPr>
        <w:lastRenderedPageBreak/>
        <w:t>LIIKENNE, ENERGIA, PERUSRAKENTEET, TIETOYHTEISKUNTA</w:t>
      </w:r>
      <w:bookmarkEnd w:id="56"/>
    </w:p>
    <w:p w14:paraId="4982DDF4" w14:textId="77777777" w:rsidR="004D7AC0" w:rsidRDefault="004D7AC0" w:rsidP="00D95E0E"/>
    <w:p w14:paraId="583E5394" w14:textId="26DAE4D7" w:rsidR="00E3323A" w:rsidRDefault="0061775F" w:rsidP="00D95E0E">
      <w:pPr>
        <w:numPr>
          <w:ilvl w:val="0"/>
          <w:numId w:val="3"/>
        </w:numPr>
        <w:overflowPunct w:val="0"/>
        <w:autoSpaceDE w:val="0"/>
        <w:autoSpaceDN w:val="0"/>
        <w:adjustRightInd w:val="0"/>
        <w:ind w:hanging="567"/>
        <w:rPr>
          <w:b/>
        </w:rPr>
      </w:pPr>
      <w:hyperlink r:id="rId49" w:history="1">
        <w:r w:rsidR="00E3323A">
          <w:rPr>
            <w:rStyle w:val="Hyperlink"/>
            <w:b/>
            <w:i/>
            <w:sz w:val="28"/>
          </w:rPr>
          <w:t>Kohtuuhintaista asumista koskeva eurooppalainen suunnitelma – kansalaisyhteiskunnan panos</w:t>
        </w:r>
      </w:hyperlink>
    </w:p>
    <w:p w14:paraId="6A19357F" w14:textId="77777777" w:rsidR="00E3323A" w:rsidRDefault="00E3323A" w:rsidP="00D95E0E">
      <w:pPr>
        <w:ind w:left="266"/>
        <w:rPr>
          <w:b/>
        </w:rPr>
      </w:pPr>
    </w:p>
    <w:tbl>
      <w:tblPr>
        <w:tblW w:w="0" w:type="auto"/>
        <w:tblLook w:val="04A0" w:firstRow="1" w:lastRow="0" w:firstColumn="1" w:lastColumn="0" w:noHBand="0" w:noVBand="1"/>
      </w:tblPr>
      <w:tblGrid>
        <w:gridCol w:w="1701"/>
        <w:gridCol w:w="5954"/>
      </w:tblGrid>
      <w:tr w:rsidR="00E3323A" w14:paraId="21FFF9F8" w14:textId="77777777" w:rsidTr="001927EC">
        <w:tc>
          <w:tcPr>
            <w:tcW w:w="1701" w:type="dxa"/>
            <w:hideMark/>
          </w:tcPr>
          <w:p w14:paraId="64263615" w14:textId="77777777" w:rsidR="00E3323A" w:rsidRDefault="00E3323A" w:rsidP="00D95E0E">
            <w:pPr>
              <w:tabs>
                <w:tab w:val="center" w:pos="284"/>
              </w:tabs>
              <w:ind w:left="266" w:hanging="266"/>
              <w:rPr>
                <w:b/>
              </w:rPr>
            </w:pPr>
            <w:r>
              <w:rPr>
                <w:b/>
              </w:rPr>
              <w:t>Esittelijä</w:t>
            </w:r>
          </w:p>
          <w:p w14:paraId="28F5A184" w14:textId="77777777" w:rsidR="00E3323A" w:rsidRDefault="00E3323A" w:rsidP="00D95E0E">
            <w:pPr>
              <w:tabs>
                <w:tab w:val="center" w:pos="284"/>
              </w:tabs>
              <w:ind w:left="266" w:hanging="266"/>
              <w:rPr>
                <w:b/>
              </w:rPr>
            </w:pPr>
            <w:r>
              <w:rPr>
                <w:b/>
              </w:rPr>
              <w:t>Yhteisesittelijä</w:t>
            </w:r>
          </w:p>
        </w:tc>
        <w:tc>
          <w:tcPr>
            <w:tcW w:w="5954" w:type="dxa"/>
            <w:hideMark/>
          </w:tcPr>
          <w:p w14:paraId="72420F47" w14:textId="6D5FAC7B" w:rsidR="00E3323A" w:rsidRDefault="00E3323A" w:rsidP="00D95E0E">
            <w:pPr>
              <w:tabs>
                <w:tab w:val="center" w:pos="284"/>
              </w:tabs>
              <w:ind w:left="266" w:hanging="266"/>
              <w:rPr>
                <w:bCs/>
              </w:rPr>
            </w:pPr>
            <w:r>
              <w:t xml:space="preserve">John </w:t>
            </w:r>
            <w:r w:rsidR="00AE5068">
              <w:t xml:space="preserve">COMER </w:t>
            </w:r>
            <w:r>
              <w:t>(kansalaisyhteiskunnan organisaatiot – IE)</w:t>
            </w:r>
          </w:p>
          <w:p w14:paraId="6B511E30" w14:textId="130026F1" w:rsidR="00E3323A" w:rsidRDefault="00E3323A" w:rsidP="00D95E0E">
            <w:pPr>
              <w:tabs>
                <w:tab w:val="center" w:pos="284"/>
              </w:tabs>
              <w:ind w:left="266" w:hanging="266"/>
              <w:rPr>
                <w:bCs/>
              </w:rPr>
            </w:pPr>
            <w:r>
              <w:t xml:space="preserve">Thomas </w:t>
            </w:r>
            <w:r w:rsidR="00AE5068">
              <w:t xml:space="preserve">KATTNIG </w:t>
            </w:r>
            <w:r>
              <w:t>(työntekijät – AT)</w:t>
            </w:r>
          </w:p>
        </w:tc>
      </w:tr>
      <w:tr w:rsidR="00E3323A" w14:paraId="74243D68" w14:textId="77777777" w:rsidTr="001927EC">
        <w:tc>
          <w:tcPr>
            <w:tcW w:w="1701" w:type="dxa"/>
            <w:hideMark/>
          </w:tcPr>
          <w:p w14:paraId="130C2B8D" w14:textId="77777777" w:rsidR="00E3323A" w:rsidRDefault="00E3323A" w:rsidP="00D95E0E">
            <w:pPr>
              <w:tabs>
                <w:tab w:val="center" w:pos="284"/>
              </w:tabs>
              <w:ind w:left="266" w:hanging="266"/>
              <w:rPr>
                <w:b/>
              </w:rPr>
            </w:pPr>
            <w:r>
              <w:rPr>
                <w:b/>
              </w:rPr>
              <w:t>Viiteasiakirja</w:t>
            </w:r>
          </w:p>
        </w:tc>
        <w:tc>
          <w:tcPr>
            <w:tcW w:w="5954" w:type="dxa"/>
            <w:hideMark/>
          </w:tcPr>
          <w:p w14:paraId="54EF8169" w14:textId="086BB851" w:rsidR="00E3323A" w:rsidRDefault="001927EC" w:rsidP="00D95E0E">
            <w:pPr>
              <w:tabs>
                <w:tab w:val="center" w:pos="284"/>
              </w:tabs>
              <w:ind w:left="266" w:hanging="266"/>
            </w:pPr>
            <w:r>
              <w:t>Puheenjohtajavaltion Tanskan pyytämä valmisteleva lausunto</w:t>
            </w:r>
          </w:p>
          <w:p w14:paraId="03447409" w14:textId="77777777" w:rsidR="00E3323A" w:rsidRDefault="00E3323A" w:rsidP="00D95E0E">
            <w:pPr>
              <w:tabs>
                <w:tab w:val="center" w:pos="284"/>
              </w:tabs>
              <w:ind w:left="266" w:hanging="266"/>
            </w:pPr>
            <w:r>
              <w:t>EESC-2025-00436-00-00-AC</w:t>
            </w:r>
          </w:p>
        </w:tc>
      </w:tr>
    </w:tbl>
    <w:p w14:paraId="7F7C1D6C" w14:textId="77777777" w:rsidR="00E3323A" w:rsidRDefault="00E3323A" w:rsidP="00D95E0E">
      <w:pPr>
        <w:tabs>
          <w:tab w:val="center" w:pos="284"/>
        </w:tabs>
        <w:ind w:left="266" w:hanging="266"/>
      </w:pPr>
    </w:p>
    <w:p w14:paraId="5781B344" w14:textId="77777777" w:rsidR="00E3323A" w:rsidRDefault="00E3323A" w:rsidP="00D95E0E">
      <w:pPr>
        <w:keepNext/>
        <w:keepLines/>
        <w:tabs>
          <w:tab w:val="center" w:pos="284"/>
        </w:tabs>
        <w:ind w:left="266" w:hanging="266"/>
        <w:rPr>
          <w:b/>
        </w:rPr>
      </w:pPr>
      <w:r>
        <w:rPr>
          <w:b/>
        </w:rPr>
        <w:t>Keskeiset kohdat</w:t>
      </w:r>
    </w:p>
    <w:p w14:paraId="25C71B6F" w14:textId="77777777" w:rsidR="00E3323A" w:rsidRDefault="00E3323A" w:rsidP="00D95E0E">
      <w:pPr>
        <w:keepNext/>
        <w:keepLines/>
        <w:tabs>
          <w:tab w:val="center" w:pos="284"/>
        </w:tabs>
        <w:ind w:left="266" w:hanging="266"/>
        <w:rPr>
          <w:b/>
        </w:rPr>
      </w:pPr>
    </w:p>
    <w:p w14:paraId="62744218" w14:textId="77777777" w:rsidR="00E3323A" w:rsidRDefault="00E3323A" w:rsidP="00D95E0E">
      <w:pPr>
        <w:keepNext/>
        <w:keepLines/>
        <w:tabs>
          <w:tab w:val="center" w:pos="284"/>
        </w:tabs>
        <w:ind w:left="266" w:hanging="266"/>
        <w:rPr>
          <w:bCs/>
        </w:rPr>
      </w:pPr>
      <w:r>
        <w:t>ETSK</w:t>
      </w:r>
    </w:p>
    <w:p w14:paraId="21188B95" w14:textId="77777777" w:rsidR="00E3323A" w:rsidRDefault="00E3323A" w:rsidP="00D95E0E">
      <w:pPr>
        <w:pStyle w:val="ListParagraph"/>
        <w:numPr>
          <w:ilvl w:val="0"/>
          <w:numId w:val="29"/>
        </w:numPr>
        <w:ind w:left="426"/>
      </w:pPr>
      <w:r>
        <w:t xml:space="preserve">kehottaa komissiota laatimaan toimintasuunnitelman </w:t>
      </w:r>
      <w:r>
        <w:rPr>
          <w:b/>
        </w:rPr>
        <w:t>asuntoa koskevan perusoikeuden täytäntöönpanemiseksi</w:t>
      </w:r>
      <w:r>
        <w:t xml:space="preserve"> ja painottaa, että tämä oikeus on vahvistettava virallisesti EU:n primaarioikeudessa.</w:t>
      </w:r>
    </w:p>
    <w:p w14:paraId="45AF8615" w14:textId="77777777" w:rsidR="00E3323A" w:rsidRDefault="00E3323A" w:rsidP="00D95E0E">
      <w:pPr>
        <w:pStyle w:val="ListParagraph"/>
        <w:numPr>
          <w:ilvl w:val="0"/>
          <w:numId w:val="29"/>
        </w:numPr>
        <w:ind w:left="426"/>
      </w:pPr>
      <w:r>
        <w:rPr>
          <w:b/>
        </w:rPr>
        <w:t>kehottaa uudistamaan valtiontukisääntöjä</w:t>
      </w:r>
      <w:r>
        <w:t>, jotta mahdollistetaan sosiaalisen asuntotarjonnan laajentaminen. Nykyisessä yleisiin taloudellisiin tarkoituksiin liittyvän palvelun määritelmässä suljetaan pois keskeiset ryhmät ja rajoitetaan jäsenvaltioiden mahdollisuuksia vastata kasvavaan kysyntään.</w:t>
      </w:r>
    </w:p>
    <w:p w14:paraId="79B79AE2" w14:textId="77777777" w:rsidR="00E3323A" w:rsidRDefault="00E3323A" w:rsidP="00D95E0E">
      <w:pPr>
        <w:pStyle w:val="ListParagraph"/>
        <w:numPr>
          <w:ilvl w:val="0"/>
          <w:numId w:val="29"/>
        </w:numPr>
        <w:ind w:left="426"/>
      </w:pPr>
      <w:r>
        <w:t xml:space="preserve">korostaa, että </w:t>
      </w:r>
      <w:r>
        <w:rPr>
          <w:b/>
        </w:rPr>
        <w:t>tarvitaan kiireellisesti koordinoitua EU:n lähestymistapaa</w:t>
      </w:r>
      <w:r>
        <w:t>, jotta voidaan puuttua kohtuuhintaisten ja kestävien asuntojen puutteeseen toissijaisuusperiaatetta kunnioittaen, koska asuntopolitiikka kuuluu edelleen ensisijaisesti jäsenvaltioiden toimivaltaan.</w:t>
      </w:r>
    </w:p>
    <w:p w14:paraId="13BDC657" w14:textId="77777777" w:rsidR="00E3323A" w:rsidRDefault="00E3323A" w:rsidP="00D95E0E">
      <w:pPr>
        <w:pStyle w:val="ListParagraph"/>
        <w:numPr>
          <w:ilvl w:val="0"/>
          <w:numId w:val="29"/>
        </w:numPr>
        <w:ind w:left="426"/>
      </w:pPr>
      <w:r>
        <w:t xml:space="preserve">suosittelee asumista koskevaa EU:n toimintasuunnitelmaa asuntokriisin ratkaisemiseen tähtäävän yhtenäisen politiikan luomiseksi sekä sitä, että kaikki jäsenvaltiot ottavat käyttöön </w:t>
      </w:r>
      <w:r>
        <w:rPr>
          <w:b/>
        </w:rPr>
        <w:t>asunto ensin -ohjelmia</w:t>
      </w:r>
      <w:r>
        <w:t xml:space="preserve"> asunnottomuuden torjunnassa sosiaalisen eriarvoisuuden ja puutteen vähentämiseksi.</w:t>
      </w:r>
    </w:p>
    <w:p w14:paraId="1E496C67" w14:textId="77777777" w:rsidR="00E3323A" w:rsidRDefault="00E3323A" w:rsidP="00D95E0E">
      <w:pPr>
        <w:ind w:left="709"/>
      </w:pPr>
    </w:p>
    <w:tbl>
      <w:tblPr>
        <w:tblW w:w="0" w:type="auto"/>
        <w:tblLook w:val="04A0" w:firstRow="1" w:lastRow="0" w:firstColumn="1" w:lastColumn="0" w:noHBand="0" w:noVBand="1"/>
      </w:tblPr>
      <w:tblGrid>
        <w:gridCol w:w="1418"/>
        <w:gridCol w:w="5670"/>
      </w:tblGrid>
      <w:tr w:rsidR="00E3323A" w14:paraId="38C0D52E" w14:textId="77777777" w:rsidTr="00E3323A">
        <w:tc>
          <w:tcPr>
            <w:tcW w:w="1418" w:type="dxa"/>
            <w:hideMark/>
          </w:tcPr>
          <w:p w14:paraId="01D06617" w14:textId="77777777" w:rsidR="00E3323A" w:rsidRDefault="00E3323A" w:rsidP="00D95E0E">
            <w:pPr>
              <w:rPr>
                <w:i/>
              </w:rPr>
            </w:pPr>
            <w:r>
              <w:rPr>
                <w:b/>
                <w:i/>
              </w:rPr>
              <w:t>Yhteydenotot</w:t>
            </w:r>
          </w:p>
        </w:tc>
        <w:tc>
          <w:tcPr>
            <w:tcW w:w="5670" w:type="dxa"/>
            <w:hideMark/>
          </w:tcPr>
          <w:p w14:paraId="32E93C73" w14:textId="1A70B02F" w:rsidR="00E3323A" w:rsidRDefault="00E3323A" w:rsidP="00D95E0E">
            <w:pPr>
              <w:rPr>
                <w:i/>
              </w:rPr>
            </w:pPr>
            <w:r>
              <w:rPr>
                <w:i/>
              </w:rPr>
              <w:t xml:space="preserve">Francesco </w:t>
            </w:r>
            <w:r w:rsidR="00B959E2">
              <w:rPr>
                <w:i/>
              </w:rPr>
              <w:t>Napolitano</w:t>
            </w:r>
          </w:p>
        </w:tc>
      </w:tr>
      <w:tr w:rsidR="00E3323A" w14:paraId="1A640E77" w14:textId="77777777" w:rsidTr="00E3323A">
        <w:tc>
          <w:tcPr>
            <w:tcW w:w="1418" w:type="dxa"/>
            <w:hideMark/>
          </w:tcPr>
          <w:p w14:paraId="58BF288A" w14:textId="77777777" w:rsidR="00E3323A" w:rsidRDefault="00E3323A" w:rsidP="00D95E0E">
            <w:pPr>
              <w:rPr>
                <w:i/>
              </w:rPr>
            </w:pPr>
            <w:r>
              <w:rPr>
                <w:i/>
              </w:rPr>
              <w:t>P.</w:t>
            </w:r>
          </w:p>
        </w:tc>
        <w:tc>
          <w:tcPr>
            <w:tcW w:w="5670" w:type="dxa"/>
            <w:hideMark/>
          </w:tcPr>
          <w:p w14:paraId="38832660" w14:textId="77777777" w:rsidR="00E3323A" w:rsidRDefault="00E3323A" w:rsidP="00D95E0E">
            <w:pPr>
              <w:rPr>
                <w:i/>
              </w:rPr>
            </w:pPr>
            <w:r>
              <w:rPr>
                <w:i/>
              </w:rPr>
              <w:t>+32 25468921</w:t>
            </w:r>
          </w:p>
        </w:tc>
      </w:tr>
      <w:tr w:rsidR="00E3323A" w14:paraId="103D1351" w14:textId="77777777" w:rsidTr="00E3323A">
        <w:tc>
          <w:tcPr>
            <w:tcW w:w="1418" w:type="dxa"/>
            <w:hideMark/>
          </w:tcPr>
          <w:p w14:paraId="0B8B99B1" w14:textId="77777777" w:rsidR="00E3323A" w:rsidRDefault="00E3323A" w:rsidP="00D95E0E">
            <w:pPr>
              <w:rPr>
                <w:i/>
              </w:rPr>
            </w:pPr>
            <w:r>
              <w:rPr>
                <w:i/>
              </w:rPr>
              <w:t>Sähköposti</w:t>
            </w:r>
          </w:p>
        </w:tc>
        <w:tc>
          <w:tcPr>
            <w:tcW w:w="5670" w:type="dxa"/>
            <w:hideMark/>
          </w:tcPr>
          <w:p w14:paraId="0593C018" w14:textId="77777777" w:rsidR="00E3323A" w:rsidRDefault="0061775F" w:rsidP="00D95E0E">
            <w:pPr>
              <w:rPr>
                <w:i/>
                <w:iCs/>
              </w:rPr>
            </w:pPr>
            <w:hyperlink r:id="rId50" w:history="1">
              <w:r w:rsidR="00E3323A">
                <w:rPr>
                  <w:rStyle w:val="Hyperlink"/>
                  <w:i/>
                </w:rPr>
                <w:t>Francesco.Napolitano@eesc.europa.eu</w:t>
              </w:r>
            </w:hyperlink>
            <w:r w:rsidR="00E3323A">
              <w:rPr>
                <w:i/>
              </w:rPr>
              <w:t xml:space="preserve"> </w:t>
            </w:r>
          </w:p>
        </w:tc>
      </w:tr>
    </w:tbl>
    <w:p w14:paraId="121ABF8E" w14:textId="77777777" w:rsidR="00E3323A" w:rsidRDefault="00E3323A" w:rsidP="00D95E0E">
      <w:pPr>
        <w:jc w:val="center"/>
        <w:rPr>
          <w:szCs w:val="20"/>
        </w:rPr>
      </w:pPr>
    </w:p>
    <w:p w14:paraId="4982DE1D" w14:textId="6B90B8DB" w:rsidR="00E3323A" w:rsidRDefault="00E3323A" w:rsidP="00D95E0E">
      <w:pPr>
        <w:jc w:val="left"/>
      </w:pPr>
      <w:r>
        <w:br w:type="page"/>
      </w:r>
    </w:p>
    <w:p w14:paraId="090A1AB1" w14:textId="170EB75C" w:rsidR="00E3323A" w:rsidRDefault="0061775F" w:rsidP="00D95E0E">
      <w:pPr>
        <w:numPr>
          <w:ilvl w:val="0"/>
          <w:numId w:val="3"/>
        </w:numPr>
        <w:overflowPunct w:val="0"/>
        <w:autoSpaceDE w:val="0"/>
        <w:autoSpaceDN w:val="0"/>
        <w:adjustRightInd w:val="0"/>
        <w:ind w:hanging="567"/>
        <w:rPr>
          <w:b/>
        </w:rPr>
      </w:pPr>
      <w:hyperlink r:id="rId51" w:history="1">
        <w:r w:rsidR="00E3323A">
          <w:rPr>
            <w:rStyle w:val="Hyperlink"/>
            <w:b/>
            <w:i/>
            <w:sz w:val="28"/>
          </w:rPr>
          <w:t>Kansalaisten energiapaketti: kansalaisten osallistuminen, energiayhteisöt ja tuottajakuluttajat</w:t>
        </w:r>
      </w:hyperlink>
    </w:p>
    <w:p w14:paraId="63AE9EF6" w14:textId="77777777" w:rsidR="00E3323A" w:rsidRDefault="00E3323A" w:rsidP="00D95E0E">
      <w:pPr>
        <w:ind w:left="266"/>
        <w:rPr>
          <w:b/>
        </w:rPr>
      </w:pPr>
    </w:p>
    <w:tbl>
      <w:tblPr>
        <w:tblW w:w="0" w:type="auto"/>
        <w:tblLook w:val="04A0" w:firstRow="1" w:lastRow="0" w:firstColumn="1" w:lastColumn="0" w:noHBand="0" w:noVBand="1"/>
      </w:tblPr>
      <w:tblGrid>
        <w:gridCol w:w="1701"/>
        <w:gridCol w:w="6521"/>
      </w:tblGrid>
      <w:tr w:rsidR="00E3323A" w14:paraId="73D57BD0" w14:textId="77777777" w:rsidTr="00E3323A">
        <w:tc>
          <w:tcPr>
            <w:tcW w:w="1701" w:type="dxa"/>
            <w:hideMark/>
          </w:tcPr>
          <w:p w14:paraId="3D153914" w14:textId="77777777" w:rsidR="00E3323A" w:rsidRDefault="00E3323A" w:rsidP="00D95E0E">
            <w:pPr>
              <w:tabs>
                <w:tab w:val="center" w:pos="284"/>
              </w:tabs>
              <w:ind w:left="266" w:hanging="266"/>
              <w:rPr>
                <w:b/>
              </w:rPr>
            </w:pPr>
            <w:r>
              <w:rPr>
                <w:b/>
              </w:rPr>
              <w:t>Esittelijä</w:t>
            </w:r>
          </w:p>
        </w:tc>
        <w:tc>
          <w:tcPr>
            <w:tcW w:w="6521" w:type="dxa"/>
            <w:hideMark/>
          </w:tcPr>
          <w:p w14:paraId="723B9BD0" w14:textId="77777777" w:rsidR="00E3323A" w:rsidRDefault="00E3323A" w:rsidP="00D95E0E">
            <w:pPr>
              <w:tabs>
                <w:tab w:val="center" w:pos="284"/>
              </w:tabs>
              <w:ind w:left="266" w:hanging="266"/>
              <w:rPr>
                <w:bCs/>
              </w:rPr>
            </w:pPr>
            <w:proofErr w:type="spellStart"/>
            <w:r>
              <w:t>Corina</w:t>
            </w:r>
            <w:proofErr w:type="spellEnd"/>
            <w:r>
              <w:t xml:space="preserve"> MURAFA BENGA (kansalaisyhteiskunnan organisaatiot – RO)</w:t>
            </w:r>
          </w:p>
        </w:tc>
      </w:tr>
      <w:tr w:rsidR="00E3323A" w14:paraId="7168E1F9" w14:textId="77777777" w:rsidTr="00E3323A">
        <w:tc>
          <w:tcPr>
            <w:tcW w:w="1701" w:type="dxa"/>
            <w:hideMark/>
          </w:tcPr>
          <w:p w14:paraId="5D436E07" w14:textId="77777777" w:rsidR="00E3323A" w:rsidRDefault="00E3323A" w:rsidP="00D95E0E">
            <w:pPr>
              <w:tabs>
                <w:tab w:val="center" w:pos="284"/>
              </w:tabs>
              <w:ind w:left="266" w:hanging="266"/>
              <w:rPr>
                <w:b/>
              </w:rPr>
            </w:pPr>
            <w:r>
              <w:rPr>
                <w:b/>
              </w:rPr>
              <w:t>Viiteasiakirja</w:t>
            </w:r>
          </w:p>
        </w:tc>
        <w:tc>
          <w:tcPr>
            <w:tcW w:w="6521" w:type="dxa"/>
            <w:hideMark/>
          </w:tcPr>
          <w:p w14:paraId="7EE0E5F8" w14:textId="77777777" w:rsidR="00E3323A" w:rsidRDefault="00E3323A" w:rsidP="00D95E0E">
            <w:pPr>
              <w:tabs>
                <w:tab w:val="center" w:pos="284"/>
              </w:tabs>
              <w:ind w:left="266" w:hanging="266"/>
            </w:pPr>
            <w:r>
              <w:t>Euroopan komission pyytämä valmisteleva lausunto</w:t>
            </w:r>
          </w:p>
          <w:p w14:paraId="14E35CB9" w14:textId="77777777" w:rsidR="00E3323A" w:rsidRDefault="00E3323A" w:rsidP="00D95E0E">
            <w:pPr>
              <w:tabs>
                <w:tab w:val="center" w:pos="284"/>
              </w:tabs>
              <w:ind w:left="266" w:hanging="266"/>
            </w:pPr>
            <w:r>
              <w:t>EESC-2025-01467-00-00-AC</w:t>
            </w:r>
          </w:p>
        </w:tc>
      </w:tr>
    </w:tbl>
    <w:p w14:paraId="4DF0C41B" w14:textId="77777777" w:rsidR="00E3323A" w:rsidRDefault="00E3323A" w:rsidP="00D95E0E">
      <w:pPr>
        <w:tabs>
          <w:tab w:val="center" w:pos="284"/>
        </w:tabs>
        <w:ind w:left="266" w:hanging="266"/>
      </w:pPr>
    </w:p>
    <w:p w14:paraId="28A01BD3" w14:textId="77777777" w:rsidR="00E3323A" w:rsidRDefault="00E3323A" w:rsidP="00D95E0E">
      <w:pPr>
        <w:keepNext/>
        <w:keepLines/>
        <w:tabs>
          <w:tab w:val="center" w:pos="284"/>
        </w:tabs>
        <w:ind w:left="266" w:hanging="266"/>
        <w:rPr>
          <w:b/>
        </w:rPr>
      </w:pPr>
      <w:r>
        <w:rPr>
          <w:b/>
        </w:rPr>
        <w:t>Keskeiset kohdat</w:t>
      </w:r>
    </w:p>
    <w:p w14:paraId="2158233A" w14:textId="77777777" w:rsidR="00E3323A" w:rsidRDefault="00E3323A" w:rsidP="00D95E0E">
      <w:pPr>
        <w:keepNext/>
        <w:keepLines/>
        <w:tabs>
          <w:tab w:val="center" w:pos="284"/>
        </w:tabs>
        <w:ind w:left="266" w:hanging="266"/>
        <w:rPr>
          <w:b/>
        </w:rPr>
      </w:pPr>
    </w:p>
    <w:p w14:paraId="4D4C3D0A" w14:textId="77777777" w:rsidR="00E3323A" w:rsidRDefault="00E3323A" w:rsidP="00D95E0E">
      <w:pPr>
        <w:keepNext/>
        <w:keepLines/>
        <w:tabs>
          <w:tab w:val="center" w:pos="284"/>
        </w:tabs>
        <w:ind w:left="266" w:hanging="266"/>
        <w:rPr>
          <w:bCs/>
        </w:rPr>
      </w:pPr>
      <w:r>
        <w:t>ETSK</w:t>
      </w:r>
    </w:p>
    <w:p w14:paraId="00CE81BA" w14:textId="77777777" w:rsidR="00E3323A" w:rsidRDefault="00E3323A" w:rsidP="00D95E0E">
      <w:pPr>
        <w:pStyle w:val="ListParagraph"/>
        <w:numPr>
          <w:ilvl w:val="0"/>
          <w:numId w:val="30"/>
        </w:numPr>
        <w:ind w:left="426"/>
        <w:rPr>
          <w:bCs/>
          <w:iCs/>
        </w:rPr>
      </w:pPr>
      <w:r>
        <w:t xml:space="preserve">toteaa, että komissio ei ole toistaiseksi asettanut kansalaisia energiaunionin keskiöön. Komitea suhtautuukin myönteisesti kansalaisten energiapakettiin keinona ottaa ihmiset ja yhteisöt mukaan toimintaan, mutta korostaa, että paketin yhteydessä on taattava kansalaisten täysipainoinen osallistaminen </w:t>
      </w:r>
      <w:r>
        <w:rPr>
          <w:b/>
        </w:rPr>
        <w:t>oikeudenmukaisen, kestävän ja varman energiajärjestelmän rakentamiseen</w:t>
      </w:r>
      <w:r>
        <w:t>. Lisäksi komitea kehottaa tehostamaan toimia energiaköyhyyden torjumiseksi ottamalla käyttöön selkeä energiaköyhän kotitalouden määritelmä sekä huolehtimalla tällaisten kotitalouksien tietopohjaisesta tunnistamisesta paikallistasolla.</w:t>
      </w:r>
    </w:p>
    <w:p w14:paraId="0D536EED" w14:textId="77777777" w:rsidR="00E3323A" w:rsidRDefault="00E3323A" w:rsidP="00D95E0E">
      <w:pPr>
        <w:pStyle w:val="ListParagraph"/>
        <w:numPr>
          <w:ilvl w:val="0"/>
          <w:numId w:val="30"/>
        </w:numPr>
        <w:ind w:left="426"/>
        <w:rPr>
          <w:bCs/>
          <w:iCs/>
        </w:rPr>
      </w:pPr>
      <w:r>
        <w:t xml:space="preserve">painottaa, että kansalaisten energiapaketissa olisi </w:t>
      </w:r>
      <w:r>
        <w:rPr>
          <w:b/>
        </w:rPr>
        <w:t>asetettava etusijalle</w:t>
      </w:r>
      <w:r>
        <w:t xml:space="preserve"> energiayhteisöjen </w:t>
      </w:r>
      <w:r>
        <w:rPr>
          <w:b/>
        </w:rPr>
        <w:t>rahoitus</w:t>
      </w:r>
      <w:r>
        <w:t xml:space="preserve"> ja annettava selkeät </w:t>
      </w:r>
      <w:r>
        <w:rPr>
          <w:b/>
        </w:rPr>
        <w:t>ohjeet keskeisten yhteisöenergiaan liittyvien käsitteiden tulkinnasta</w:t>
      </w:r>
      <w:r>
        <w:t>, sillä jäsenvaltiot ymmärtävät ne nyt hyvin eri tavoin. Rahoituksen saannin edellytyksenä olisi oltava nuorten osallistumista, energialukutaidon edistämistä ja vihreiden taitojen kehittämistä koskevien vähimmäisvaatimusten täyttyminen.</w:t>
      </w:r>
    </w:p>
    <w:p w14:paraId="54D32FF9" w14:textId="77777777" w:rsidR="00E3323A" w:rsidRDefault="00E3323A" w:rsidP="00D95E0E">
      <w:pPr>
        <w:pStyle w:val="ListParagraph"/>
        <w:numPr>
          <w:ilvl w:val="0"/>
          <w:numId w:val="30"/>
        </w:numPr>
        <w:ind w:left="426"/>
        <w:rPr>
          <w:bCs/>
          <w:iCs/>
        </w:rPr>
      </w:pPr>
      <w:r>
        <w:t xml:space="preserve">suosittaa kansalaisten vaikutusmahdollisuuksien lisäämiseksi ja edellytysten luomiseksi energiaköyhyyden lieventämiselle, että EU 1) asettaa välittömästi </w:t>
      </w:r>
      <w:r>
        <w:rPr>
          <w:b/>
        </w:rPr>
        <w:t>unioninlaajuisen kiellon kotitalouksien energiatoimitusten keskeyttämiselle</w:t>
      </w:r>
      <w:r>
        <w:t xml:space="preserve">, 2) </w:t>
      </w:r>
      <w:r>
        <w:rPr>
          <w:b/>
        </w:rPr>
        <w:t>luopuu ajojärjestysmekanismista</w:t>
      </w:r>
      <w:r>
        <w:t xml:space="preserve">, jossa sähköhinnat kytkeytyvät kaasuhintoihin, 3) </w:t>
      </w:r>
      <w:r>
        <w:rPr>
          <w:b/>
        </w:rPr>
        <w:t>mukauttaa kielenkäyttöä energiapolitiikan alalla</w:t>
      </w:r>
      <w:r>
        <w:t xml:space="preserve"> niin, että energia-asioissa puhutaan kansalaisista eikä kuluttajista, ja 4) perustaa </w:t>
      </w:r>
      <w:r>
        <w:rPr>
          <w:b/>
        </w:rPr>
        <w:t>Euroopan energia-asioiden oikeusasiamiehen</w:t>
      </w:r>
      <w:r>
        <w:t xml:space="preserve"> toimiston.</w:t>
      </w:r>
    </w:p>
    <w:p w14:paraId="44E43970" w14:textId="77777777" w:rsidR="00E3323A" w:rsidRDefault="00E3323A" w:rsidP="00D95E0E">
      <w:pPr>
        <w:pStyle w:val="ListParagraph"/>
        <w:ind w:left="1080"/>
        <w:rPr>
          <w:bCs/>
          <w:iCs/>
        </w:rPr>
      </w:pPr>
    </w:p>
    <w:tbl>
      <w:tblPr>
        <w:tblW w:w="0" w:type="auto"/>
        <w:tblLook w:val="04A0" w:firstRow="1" w:lastRow="0" w:firstColumn="1" w:lastColumn="0" w:noHBand="0" w:noVBand="1"/>
      </w:tblPr>
      <w:tblGrid>
        <w:gridCol w:w="1418"/>
        <w:gridCol w:w="5670"/>
      </w:tblGrid>
      <w:tr w:rsidR="00E3323A" w14:paraId="732C76B2" w14:textId="77777777" w:rsidTr="00E3323A">
        <w:tc>
          <w:tcPr>
            <w:tcW w:w="1418" w:type="dxa"/>
            <w:hideMark/>
          </w:tcPr>
          <w:p w14:paraId="027C54E8" w14:textId="77777777" w:rsidR="00E3323A" w:rsidRDefault="00E3323A" w:rsidP="00D95E0E">
            <w:pPr>
              <w:rPr>
                <w:i/>
              </w:rPr>
            </w:pPr>
            <w:r>
              <w:rPr>
                <w:b/>
                <w:i/>
              </w:rPr>
              <w:t>Yhteydenotot</w:t>
            </w:r>
          </w:p>
        </w:tc>
        <w:tc>
          <w:tcPr>
            <w:tcW w:w="5670" w:type="dxa"/>
            <w:hideMark/>
          </w:tcPr>
          <w:p w14:paraId="76D20C3D" w14:textId="3AAE8BE9" w:rsidR="00E3323A" w:rsidRDefault="00E3323A" w:rsidP="00D95E0E">
            <w:pPr>
              <w:rPr>
                <w:i/>
              </w:rPr>
            </w:pPr>
            <w:r>
              <w:rPr>
                <w:i/>
              </w:rPr>
              <w:t xml:space="preserve">Francesco </w:t>
            </w:r>
            <w:r w:rsidR="00B959E2">
              <w:rPr>
                <w:i/>
              </w:rPr>
              <w:t>Napolitano</w:t>
            </w:r>
          </w:p>
        </w:tc>
      </w:tr>
      <w:tr w:rsidR="00E3323A" w14:paraId="06414175" w14:textId="77777777" w:rsidTr="00E3323A">
        <w:tc>
          <w:tcPr>
            <w:tcW w:w="1418" w:type="dxa"/>
            <w:hideMark/>
          </w:tcPr>
          <w:p w14:paraId="0BD28939" w14:textId="77777777" w:rsidR="00E3323A" w:rsidRDefault="00E3323A" w:rsidP="00D95E0E">
            <w:pPr>
              <w:rPr>
                <w:i/>
              </w:rPr>
            </w:pPr>
            <w:r>
              <w:rPr>
                <w:i/>
              </w:rPr>
              <w:t>P.</w:t>
            </w:r>
          </w:p>
        </w:tc>
        <w:tc>
          <w:tcPr>
            <w:tcW w:w="5670" w:type="dxa"/>
            <w:hideMark/>
          </w:tcPr>
          <w:p w14:paraId="26E6FB3E" w14:textId="77777777" w:rsidR="00E3323A" w:rsidRDefault="00E3323A" w:rsidP="00D95E0E">
            <w:pPr>
              <w:rPr>
                <w:i/>
              </w:rPr>
            </w:pPr>
            <w:r>
              <w:rPr>
                <w:i/>
              </w:rPr>
              <w:t>+32 25468921</w:t>
            </w:r>
          </w:p>
        </w:tc>
      </w:tr>
      <w:tr w:rsidR="00E3323A" w14:paraId="7BFCA3F4" w14:textId="77777777" w:rsidTr="00E3323A">
        <w:tc>
          <w:tcPr>
            <w:tcW w:w="1418" w:type="dxa"/>
            <w:hideMark/>
          </w:tcPr>
          <w:p w14:paraId="1078E75E" w14:textId="77777777" w:rsidR="00E3323A" w:rsidRDefault="00E3323A" w:rsidP="00D95E0E">
            <w:pPr>
              <w:rPr>
                <w:i/>
              </w:rPr>
            </w:pPr>
            <w:r>
              <w:rPr>
                <w:i/>
              </w:rPr>
              <w:t>Sähköposti</w:t>
            </w:r>
          </w:p>
        </w:tc>
        <w:tc>
          <w:tcPr>
            <w:tcW w:w="5670" w:type="dxa"/>
            <w:hideMark/>
          </w:tcPr>
          <w:p w14:paraId="0950CE07" w14:textId="77777777" w:rsidR="00E3323A" w:rsidRDefault="0061775F" w:rsidP="00D95E0E">
            <w:pPr>
              <w:rPr>
                <w:i/>
                <w:iCs/>
              </w:rPr>
            </w:pPr>
            <w:hyperlink r:id="rId52" w:history="1">
              <w:r w:rsidR="00E3323A">
                <w:rPr>
                  <w:rStyle w:val="Hyperlink"/>
                  <w:i/>
                </w:rPr>
                <w:t>Francesco.Napolitano@eesc.europa.eu</w:t>
              </w:r>
            </w:hyperlink>
            <w:r w:rsidR="00E3323A">
              <w:rPr>
                <w:i/>
              </w:rPr>
              <w:t xml:space="preserve"> </w:t>
            </w:r>
          </w:p>
        </w:tc>
      </w:tr>
    </w:tbl>
    <w:p w14:paraId="2A10A617" w14:textId="2B4EF5BA" w:rsidR="00E3323A" w:rsidRDefault="00E3323A" w:rsidP="00D95E0E">
      <w:pPr>
        <w:pStyle w:val="ListParagraph"/>
        <w:ind w:left="0"/>
      </w:pPr>
    </w:p>
    <w:p w14:paraId="0F35A9DA" w14:textId="77777777" w:rsidR="00E3323A" w:rsidRDefault="00E3323A" w:rsidP="00D95E0E">
      <w:pPr>
        <w:jc w:val="left"/>
      </w:pPr>
      <w:r>
        <w:br w:type="page"/>
      </w:r>
    </w:p>
    <w:p w14:paraId="05BA7F2B" w14:textId="3AE9F7C9" w:rsidR="00E3323A" w:rsidRDefault="0061775F" w:rsidP="00D95E0E">
      <w:pPr>
        <w:numPr>
          <w:ilvl w:val="0"/>
          <w:numId w:val="3"/>
        </w:numPr>
        <w:overflowPunct w:val="0"/>
        <w:autoSpaceDE w:val="0"/>
        <w:autoSpaceDN w:val="0"/>
        <w:adjustRightInd w:val="0"/>
        <w:ind w:hanging="567"/>
        <w:rPr>
          <w:sz w:val="20"/>
        </w:rPr>
      </w:pPr>
      <w:hyperlink r:id="rId53" w:history="1">
        <w:r w:rsidR="00E3323A">
          <w:rPr>
            <w:rStyle w:val="Hyperlink"/>
            <w:b/>
            <w:i/>
            <w:sz w:val="28"/>
          </w:rPr>
          <w:t>Liikennekelpoisuuspakettiin kuuluvien direktiivien tarkistaminen</w:t>
        </w:r>
      </w:hyperlink>
    </w:p>
    <w:p w14:paraId="5EAD39A2" w14:textId="77777777" w:rsidR="00E3323A" w:rsidRDefault="00E3323A" w:rsidP="00D95E0E">
      <w:pPr>
        <w:tabs>
          <w:tab w:val="center" w:pos="284"/>
        </w:tabs>
        <w:ind w:left="266" w:hanging="266"/>
        <w:rPr>
          <w:b/>
        </w:rPr>
      </w:pPr>
    </w:p>
    <w:tbl>
      <w:tblPr>
        <w:tblW w:w="9322" w:type="dxa"/>
        <w:tblLook w:val="04A0" w:firstRow="1" w:lastRow="0" w:firstColumn="1" w:lastColumn="0" w:noHBand="0" w:noVBand="1"/>
      </w:tblPr>
      <w:tblGrid>
        <w:gridCol w:w="1701"/>
        <w:gridCol w:w="7621"/>
      </w:tblGrid>
      <w:tr w:rsidR="00E3323A" w14:paraId="2BF5B4F5" w14:textId="77777777" w:rsidTr="00E3323A">
        <w:tc>
          <w:tcPr>
            <w:tcW w:w="1701" w:type="dxa"/>
            <w:hideMark/>
          </w:tcPr>
          <w:p w14:paraId="3688F1B7" w14:textId="77777777" w:rsidR="00E3323A" w:rsidRDefault="00E3323A" w:rsidP="00D95E0E">
            <w:pPr>
              <w:tabs>
                <w:tab w:val="center" w:pos="284"/>
              </w:tabs>
              <w:ind w:left="266" w:hanging="266"/>
              <w:rPr>
                <w:b/>
              </w:rPr>
            </w:pPr>
            <w:r>
              <w:rPr>
                <w:b/>
              </w:rPr>
              <w:t>Esittelijä</w:t>
            </w:r>
          </w:p>
        </w:tc>
        <w:tc>
          <w:tcPr>
            <w:tcW w:w="7621" w:type="dxa"/>
            <w:hideMark/>
          </w:tcPr>
          <w:p w14:paraId="3EADC89B" w14:textId="77777777" w:rsidR="00E3323A" w:rsidRDefault="00E3323A" w:rsidP="00D95E0E">
            <w:pPr>
              <w:tabs>
                <w:tab w:val="center" w:pos="284"/>
              </w:tabs>
              <w:ind w:left="266" w:hanging="266"/>
              <w:rPr>
                <w:bCs/>
              </w:rPr>
            </w:pPr>
            <w:r>
              <w:t>Giulia BARBUCCI (työntekijät – IT)</w:t>
            </w:r>
          </w:p>
        </w:tc>
      </w:tr>
      <w:tr w:rsidR="00E3323A" w14:paraId="0E15704D" w14:textId="77777777" w:rsidTr="00E3323A">
        <w:tc>
          <w:tcPr>
            <w:tcW w:w="1701" w:type="dxa"/>
            <w:hideMark/>
          </w:tcPr>
          <w:p w14:paraId="0C2BDBE5" w14:textId="77777777" w:rsidR="00E3323A" w:rsidRDefault="00E3323A" w:rsidP="00D95E0E">
            <w:pPr>
              <w:tabs>
                <w:tab w:val="center" w:pos="284"/>
              </w:tabs>
              <w:ind w:left="266" w:hanging="266"/>
              <w:rPr>
                <w:b/>
              </w:rPr>
            </w:pPr>
            <w:r>
              <w:rPr>
                <w:b/>
              </w:rPr>
              <w:t>Viiteasiakirjat</w:t>
            </w:r>
          </w:p>
        </w:tc>
        <w:tc>
          <w:tcPr>
            <w:tcW w:w="7621" w:type="dxa"/>
            <w:hideMark/>
          </w:tcPr>
          <w:p w14:paraId="09523430" w14:textId="77777777" w:rsidR="0049636B" w:rsidRDefault="00E3323A" w:rsidP="00D95E0E">
            <w:pPr>
              <w:tabs>
                <w:tab w:val="center" w:pos="284"/>
              </w:tabs>
              <w:ind w:left="266" w:hanging="266"/>
            </w:pPr>
            <w:r>
              <w:t xml:space="preserve">COM(2025) 179 </w:t>
            </w:r>
            <w:proofErr w:type="spellStart"/>
            <w:r>
              <w:t>final</w:t>
            </w:r>
            <w:proofErr w:type="spellEnd"/>
          </w:p>
          <w:p w14:paraId="099F9F36" w14:textId="33A2D856" w:rsidR="00E3323A" w:rsidRDefault="00E3323A" w:rsidP="00D95E0E">
            <w:pPr>
              <w:tabs>
                <w:tab w:val="center" w:pos="284"/>
              </w:tabs>
              <w:ind w:left="266" w:hanging="266"/>
            </w:pPr>
            <w:r>
              <w:t xml:space="preserve">COM(2025) 180 </w:t>
            </w:r>
            <w:proofErr w:type="spellStart"/>
            <w:r>
              <w:t>final</w:t>
            </w:r>
            <w:proofErr w:type="spellEnd"/>
          </w:p>
          <w:p w14:paraId="4BAB84E0" w14:textId="77777777" w:rsidR="00E3323A" w:rsidRDefault="00E3323A" w:rsidP="00D95E0E">
            <w:pPr>
              <w:tabs>
                <w:tab w:val="center" w:pos="284"/>
              </w:tabs>
              <w:ind w:left="266" w:hanging="266"/>
            </w:pPr>
            <w:r>
              <w:t>EESC-2025-01216-00-00-AC</w:t>
            </w:r>
          </w:p>
        </w:tc>
      </w:tr>
    </w:tbl>
    <w:p w14:paraId="6781F52A" w14:textId="77777777" w:rsidR="00E3323A" w:rsidRDefault="00E3323A" w:rsidP="00D95E0E">
      <w:pPr>
        <w:tabs>
          <w:tab w:val="center" w:pos="284"/>
        </w:tabs>
        <w:ind w:left="266" w:hanging="266"/>
        <w:rPr>
          <w:lang w:val="pt-PT"/>
        </w:rPr>
      </w:pPr>
    </w:p>
    <w:p w14:paraId="7FA73920" w14:textId="77777777" w:rsidR="00E3323A" w:rsidRDefault="00E3323A" w:rsidP="00D95E0E">
      <w:pPr>
        <w:keepNext/>
        <w:keepLines/>
        <w:tabs>
          <w:tab w:val="center" w:pos="284"/>
        </w:tabs>
        <w:ind w:left="266" w:hanging="266"/>
        <w:rPr>
          <w:b/>
        </w:rPr>
      </w:pPr>
      <w:r>
        <w:rPr>
          <w:b/>
        </w:rPr>
        <w:t>Keskeiset kohdat</w:t>
      </w:r>
    </w:p>
    <w:p w14:paraId="4D477DE8" w14:textId="77777777" w:rsidR="00E3323A" w:rsidRDefault="00E3323A" w:rsidP="00D95E0E">
      <w:pPr>
        <w:keepNext/>
        <w:keepLines/>
        <w:tabs>
          <w:tab w:val="center" w:pos="284"/>
        </w:tabs>
        <w:ind w:left="266" w:hanging="266"/>
        <w:rPr>
          <w:b/>
        </w:rPr>
      </w:pPr>
    </w:p>
    <w:p w14:paraId="4AB5FBBB" w14:textId="77777777" w:rsidR="00E3323A" w:rsidRDefault="00E3323A" w:rsidP="00D95E0E">
      <w:pPr>
        <w:keepNext/>
        <w:keepLines/>
        <w:tabs>
          <w:tab w:val="center" w:pos="284"/>
        </w:tabs>
        <w:ind w:left="266" w:hanging="266"/>
        <w:rPr>
          <w:bCs/>
        </w:rPr>
      </w:pPr>
      <w:r>
        <w:t>ETSK</w:t>
      </w:r>
    </w:p>
    <w:p w14:paraId="42871597" w14:textId="77777777" w:rsidR="00E3323A" w:rsidRPr="0049636B" w:rsidRDefault="00E3323A" w:rsidP="00D95E0E">
      <w:pPr>
        <w:pStyle w:val="ListParagraph"/>
        <w:numPr>
          <w:ilvl w:val="0"/>
          <w:numId w:val="31"/>
        </w:numPr>
        <w:ind w:left="426"/>
        <w:rPr>
          <w:bCs/>
          <w:iCs/>
        </w:rPr>
      </w:pPr>
      <w:r>
        <w:t>katsoo, että liikenneturvallisuus on ensiarvoisen tärkeää, kun tavoitteena on liikennekuolemien poistaminen kokonaan vuoteen 2050 mennessä. Ihmishenkien suojelu, loukkaantumisten vähentäminen ja henkilövahinkojen sekä omaisuudelle ja infrastruktuurille aiheutuvien vahinkojen ehkäiseminen ovat olennainen osa tätä pyrkimystä. Liikenneturvallisuudessa ei ole kyse ainoastaan teknisistä standardeista vaan myös yhteiskunnallisesta vastuusta ja hyvästä hallintotavasta, ja sille on annettava keskeinen asema kestävän liikkuvuuden strategioissa.</w:t>
      </w:r>
    </w:p>
    <w:p w14:paraId="535427D5" w14:textId="77777777" w:rsidR="00E3323A" w:rsidRPr="0049636B" w:rsidRDefault="00E3323A" w:rsidP="00D95E0E">
      <w:pPr>
        <w:pStyle w:val="ListParagraph"/>
        <w:numPr>
          <w:ilvl w:val="0"/>
          <w:numId w:val="31"/>
        </w:numPr>
        <w:ind w:left="426"/>
        <w:rPr>
          <w:bCs/>
          <w:iCs/>
        </w:rPr>
      </w:pPr>
      <w:r>
        <w:t>korostaa, että tarvitaan järjestelmällistä toimintatapaa, jotta voidaan paitsi parantaa ajoneuvojen teknisiä ominaisuuksia myös kehittää alan toimijoiden koulutusta, parantaa tieinfrastruktuurin laatua ja varmistaa turvallisuusjärjestelmän yhdennetty ja osallistava hallinnointi.</w:t>
      </w:r>
    </w:p>
    <w:p w14:paraId="5E88F862" w14:textId="77777777" w:rsidR="00E3323A" w:rsidRPr="0049636B" w:rsidRDefault="00E3323A" w:rsidP="00D95E0E">
      <w:pPr>
        <w:pStyle w:val="ListParagraph"/>
        <w:numPr>
          <w:ilvl w:val="0"/>
          <w:numId w:val="31"/>
        </w:numPr>
        <w:ind w:left="426"/>
        <w:rPr>
          <w:bCs/>
          <w:iCs/>
        </w:rPr>
      </w:pPr>
      <w:r>
        <w:t>kehottaa komissiota ja jäsenvaltioita toteuttamaan tukitoimenpiteitä sen varmistamiseksi, että uusiin sääntöihin mukautuminen ei lisää sosiaalista eriarvoisuutta, kiinnittäen erityistä huomiota pienituloisiin kotitalouksiin ja mikroyrityksiin.</w:t>
      </w:r>
    </w:p>
    <w:p w14:paraId="47ADB7EB" w14:textId="77777777" w:rsidR="00E3323A" w:rsidRPr="0049636B" w:rsidRDefault="00E3323A" w:rsidP="00D95E0E">
      <w:pPr>
        <w:pStyle w:val="ListParagraph"/>
        <w:numPr>
          <w:ilvl w:val="0"/>
          <w:numId w:val="31"/>
        </w:numPr>
        <w:ind w:left="426"/>
        <w:rPr>
          <w:bCs/>
          <w:iCs/>
        </w:rPr>
      </w:pPr>
      <w:r>
        <w:t>korostaa, että on kiireellisesti standardoitava sähköajoneuvoja ja kuljettajaa avustavia järjestelmiä (ADAS) koskevat testit ja varmistettava, että katsastusasemilla on saatavilla päteviä teknikoita ja nykyaikaisia laitteita, ja suosittaa, että katsastushenkilöstön koulutusta ja sertifiointia varten luodaan eurooppalainen kehys.</w:t>
      </w:r>
    </w:p>
    <w:p w14:paraId="6E7596EC" w14:textId="77777777" w:rsidR="00E3323A" w:rsidRDefault="00E3323A" w:rsidP="00D95E0E">
      <w:pPr>
        <w:ind w:left="426"/>
      </w:pPr>
    </w:p>
    <w:tbl>
      <w:tblPr>
        <w:tblW w:w="9322" w:type="dxa"/>
        <w:tblLook w:val="04A0" w:firstRow="1" w:lastRow="0" w:firstColumn="1" w:lastColumn="0" w:noHBand="0" w:noVBand="1"/>
      </w:tblPr>
      <w:tblGrid>
        <w:gridCol w:w="1418"/>
        <w:gridCol w:w="7904"/>
      </w:tblGrid>
      <w:tr w:rsidR="00E3323A" w14:paraId="4428D585" w14:textId="77777777" w:rsidTr="00E3323A">
        <w:tc>
          <w:tcPr>
            <w:tcW w:w="1418" w:type="dxa"/>
            <w:hideMark/>
          </w:tcPr>
          <w:p w14:paraId="302BD2CC" w14:textId="77777777" w:rsidR="00E3323A" w:rsidRDefault="00E3323A" w:rsidP="00D95E0E">
            <w:pPr>
              <w:rPr>
                <w:i/>
              </w:rPr>
            </w:pPr>
            <w:r>
              <w:rPr>
                <w:b/>
                <w:i/>
              </w:rPr>
              <w:t>Yhteydenotot</w:t>
            </w:r>
          </w:p>
        </w:tc>
        <w:tc>
          <w:tcPr>
            <w:tcW w:w="7904" w:type="dxa"/>
            <w:hideMark/>
          </w:tcPr>
          <w:p w14:paraId="1C42A7B7" w14:textId="540D9B54" w:rsidR="00E3323A" w:rsidRDefault="00E3323A" w:rsidP="00D95E0E">
            <w:pPr>
              <w:rPr>
                <w:i/>
              </w:rPr>
            </w:pPr>
            <w:r>
              <w:rPr>
                <w:i/>
              </w:rPr>
              <w:t xml:space="preserve">Albert </w:t>
            </w:r>
            <w:proofErr w:type="spellStart"/>
            <w:r w:rsidR="00B959E2">
              <w:rPr>
                <w:i/>
              </w:rPr>
              <w:t>Precup</w:t>
            </w:r>
            <w:proofErr w:type="spellEnd"/>
          </w:p>
        </w:tc>
      </w:tr>
      <w:tr w:rsidR="00E3323A" w14:paraId="1E7FC721" w14:textId="77777777" w:rsidTr="00E3323A">
        <w:tc>
          <w:tcPr>
            <w:tcW w:w="1418" w:type="dxa"/>
            <w:hideMark/>
          </w:tcPr>
          <w:p w14:paraId="6D943870" w14:textId="77777777" w:rsidR="00E3323A" w:rsidRDefault="00E3323A" w:rsidP="00D95E0E">
            <w:pPr>
              <w:rPr>
                <w:i/>
              </w:rPr>
            </w:pPr>
            <w:r>
              <w:rPr>
                <w:i/>
              </w:rPr>
              <w:t>P.</w:t>
            </w:r>
          </w:p>
        </w:tc>
        <w:tc>
          <w:tcPr>
            <w:tcW w:w="7904" w:type="dxa"/>
            <w:hideMark/>
          </w:tcPr>
          <w:p w14:paraId="6A461AD2" w14:textId="77777777" w:rsidR="00E3323A" w:rsidRDefault="00E3323A" w:rsidP="00D95E0E">
            <w:pPr>
              <w:rPr>
                <w:i/>
              </w:rPr>
            </w:pPr>
            <w:r>
              <w:rPr>
                <w:i/>
              </w:rPr>
              <w:t>+32 25469326</w:t>
            </w:r>
          </w:p>
        </w:tc>
      </w:tr>
      <w:tr w:rsidR="00E3323A" w14:paraId="7705605A" w14:textId="77777777" w:rsidTr="00E3323A">
        <w:tc>
          <w:tcPr>
            <w:tcW w:w="1418" w:type="dxa"/>
            <w:hideMark/>
          </w:tcPr>
          <w:p w14:paraId="2706F27D" w14:textId="77777777" w:rsidR="00E3323A" w:rsidRDefault="00E3323A" w:rsidP="00D95E0E">
            <w:pPr>
              <w:rPr>
                <w:i/>
              </w:rPr>
            </w:pPr>
            <w:r>
              <w:rPr>
                <w:i/>
              </w:rPr>
              <w:t>Sähköposti</w:t>
            </w:r>
          </w:p>
        </w:tc>
        <w:tc>
          <w:tcPr>
            <w:tcW w:w="7904" w:type="dxa"/>
            <w:hideMark/>
          </w:tcPr>
          <w:p w14:paraId="50917369" w14:textId="77777777" w:rsidR="00E3323A" w:rsidRDefault="0061775F" w:rsidP="00D95E0E">
            <w:pPr>
              <w:rPr>
                <w:i/>
                <w:iCs/>
              </w:rPr>
            </w:pPr>
            <w:hyperlink r:id="rId54" w:history="1">
              <w:r w:rsidR="00E3323A">
                <w:rPr>
                  <w:rStyle w:val="Hyperlink"/>
                  <w:i/>
                </w:rPr>
                <w:t>Albert.Precup@eesc.europa.eu</w:t>
              </w:r>
            </w:hyperlink>
          </w:p>
        </w:tc>
      </w:tr>
    </w:tbl>
    <w:p w14:paraId="5A813EB1" w14:textId="77EF7DF3" w:rsidR="00436824" w:rsidRDefault="00436824" w:rsidP="00D95E0E">
      <w:pPr>
        <w:pStyle w:val="ListParagraph"/>
        <w:ind w:left="0"/>
      </w:pPr>
    </w:p>
    <w:p w14:paraId="39BFD0B5" w14:textId="77777777" w:rsidR="00436824" w:rsidRDefault="00436824" w:rsidP="00D95E0E">
      <w:pPr>
        <w:jc w:val="left"/>
      </w:pPr>
      <w:r>
        <w:br w:type="page"/>
      </w:r>
    </w:p>
    <w:p w14:paraId="32BDAB06" w14:textId="3E0AC43F" w:rsidR="00436824" w:rsidRDefault="0061775F" w:rsidP="00D95E0E">
      <w:pPr>
        <w:numPr>
          <w:ilvl w:val="0"/>
          <w:numId w:val="3"/>
        </w:numPr>
        <w:overflowPunct w:val="0"/>
        <w:autoSpaceDE w:val="0"/>
        <w:autoSpaceDN w:val="0"/>
        <w:adjustRightInd w:val="0"/>
        <w:ind w:left="266" w:hanging="266"/>
        <w:rPr>
          <w:b/>
        </w:rPr>
      </w:pPr>
      <w:hyperlink r:id="rId55" w:history="1">
        <w:r w:rsidR="00436824">
          <w:rPr>
            <w:rStyle w:val="Hyperlink"/>
            <w:b/>
            <w:i/>
            <w:sz w:val="28"/>
          </w:rPr>
          <w:t>Venäjän tuontienergiasta irtautuminen</w:t>
        </w:r>
      </w:hyperlink>
    </w:p>
    <w:p w14:paraId="3156CD69" w14:textId="77777777" w:rsidR="00436824" w:rsidRDefault="00436824" w:rsidP="00D95E0E">
      <w:pPr>
        <w:ind w:left="266"/>
        <w:rPr>
          <w:b/>
          <w:lang w:val="pl-PL"/>
        </w:rPr>
      </w:pPr>
    </w:p>
    <w:tbl>
      <w:tblPr>
        <w:tblW w:w="0" w:type="auto"/>
        <w:tblLook w:val="04A0" w:firstRow="1" w:lastRow="0" w:firstColumn="1" w:lastColumn="0" w:noHBand="0" w:noVBand="1"/>
      </w:tblPr>
      <w:tblGrid>
        <w:gridCol w:w="1719"/>
        <w:gridCol w:w="6521"/>
      </w:tblGrid>
      <w:tr w:rsidR="00436824" w14:paraId="312CDF0D" w14:textId="77777777" w:rsidTr="0049636B">
        <w:tc>
          <w:tcPr>
            <w:tcW w:w="1719" w:type="dxa"/>
            <w:hideMark/>
          </w:tcPr>
          <w:p w14:paraId="6A1312E1" w14:textId="77777777" w:rsidR="00436824" w:rsidRDefault="00436824" w:rsidP="00D95E0E">
            <w:pPr>
              <w:tabs>
                <w:tab w:val="center" w:pos="284"/>
              </w:tabs>
              <w:ind w:left="266" w:hanging="266"/>
              <w:rPr>
                <w:b/>
              </w:rPr>
            </w:pPr>
            <w:r>
              <w:rPr>
                <w:b/>
              </w:rPr>
              <w:t>Esittelijä</w:t>
            </w:r>
          </w:p>
        </w:tc>
        <w:tc>
          <w:tcPr>
            <w:tcW w:w="6521" w:type="dxa"/>
            <w:hideMark/>
          </w:tcPr>
          <w:p w14:paraId="78C8247E" w14:textId="77777777" w:rsidR="00436824" w:rsidRDefault="00436824" w:rsidP="00D95E0E">
            <w:pPr>
              <w:tabs>
                <w:tab w:val="center" w:pos="284"/>
              </w:tabs>
              <w:ind w:left="266" w:hanging="266"/>
              <w:rPr>
                <w:bCs/>
              </w:rPr>
            </w:pPr>
            <w:proofErr w:type="spellStart"/>
            <w:r>
              <w:t>Jacek</w:t>
            </w:r>
            <w:proofErr w:type="spellEnd"/>
            <w:r>
              <w:t xml:space="preserve"> KRAWCZYK (työnantajat – PL)</w:t>
            </w:r>
          </w:p>
        </w:tc>
      </w:tr>
      <w:tr w:rsidR="00436824" w14:paraId="2D8CC14E" w14:textId="77777777" w:rsidTr="0049636B">
        <w:tc>
          <w:tcPr>
            <w:tcW w:w="1719" w:type="dxa"/>
            <w:hideMark/>
          </w:tcPr>
          <w:p w14:paraId="5E55E553" w14:textId="77777777" w:rsidR="00436824" w:rsidRDefault="00436824" w:rsidP="00D95E0E">
            <w:pPr>
              <w:tabs>
                <w:tab w:val="center" w:pos="284"/>
              </w:tabs>
              <w:ind w:left="266" w:hanging="266"/>
              <w:rPr>
                <w:b/>
              </w:rPr>
            </w:pPr>
            <w:r>
              <w:rPr>
                <w:b/>
              </w:rPr>
              <w:t>Viiteasiakirja(t)</w:t>
            </w:r>
          </w:p>
        </w:tc>
        <w:tc>
          <w:tcPr>
            <w:tcW w:w="6521" w:type="dxa"/>
            <w:hideMark/>
          </w:tcPr>
          <w:p w14:paraId="204B9717" w14:textId="77777777" w:rsidR="00436824" w:rsidRDefault="00436824" w:rsidP="00D95E0E">
            <w:pPr>
              <w:tabs>
                <w:tab w:val="center" w:pos="284"/>
              </w:tabs>
              <w:ind w:left="266" w:hanging="266"/>
            </w:pPr>
            <w:r>
              <w:t xml:space="preserve">COM(2025) 828 </w:t>
            </w:r>
            <w:proofErr w:type="spellStart"/>
            <w:r>
              <w:t>final</w:t>
            </w:r>
            <w:proofErr w:type="spellEnd"/>
          </w:p>
          <w:p w14:paraId="0EF02374" w14:textId="77777777" w:rsidR="00436824" w:rsidRDefault="00436824" w:rsidP="00D95E0E">
            <w:pPr>
              <w:tabs>
                <w:tab w:val="center" w:pos="284"/>
              </w:tabs>
              <w:ind w:left="266" w:hanging="266"/>
            </w:pPr>
            <w:r>
              <w:t>EESC-2025-02179-00-00-AC-TRA</w:t>
            </w:r>
          </w:p>
        </w:tc>
      </w:tr>
    </w:tbl>
    <w:p w14:paraId="407BE4F9" w14:textId="77777777" w:rsidR="00436824" w:rsidRDefault="00436824" w:rsidP="00D95E0E">
      <w:pPr>
        <w:tabs>
          <w:tab w:val="center" w:pos="284"/>
        </w:tabs>
        <w:ind w:left="266" w:hanging="266"/>
      </w:pPr>
    </w:p>
    <w:p w14:paraId="6C0BF467" w14:textId="77777777" w:rsidR="00436824" w:rsidRDefault="00436824" w:rsidP="00D95E0E">
      <w:pPr>
        <w:keepNext/>
        <w:keepLines/>
        <w:tabs>
          <w:tab w:val="center" w:pos="284"/>
        </w:tabs>
        <w:ind w:left="266" w:hanging="266"/>
        <w:rPr>
          <w:b/>
        </w:rPr>
      </w:pPr>
      <w:r>
        <w:rPr>
          <w:b/>
        </w:rPr>
        <w:t>Keskeiset kohdat</w:t>
      </w:r>
    </w:p>
    <w:p w14:paraId="21AC0C5B" w14:textId="77777777" w:rsidR="00436824" w:rsidRDefault="00436824" w:rsidP="00D95E0E">
      <w:pPr>
        <w:keepNext/>
        <w:keepLines/>
        <w:tabs>
          <w:tab w:val="center" w:pos="284"/>
        </w:tabs>
        <w:ind w:left="266" w:hanging="266"/>
        <w:rPr>
          <w:b/>
        </w:rPr>
      </w:pPr>
    </w:p>
    <w:p w14:paraId="6062B920" w14:textId="77777777" w:rsidR="00436824" w:rsidRDefault="00436824" w:rsidP="00D95E0E">
      <w:pPr>
        <w:keepNext/>
        <w:keepLines/>
        <w:tabs>
          <w:tab w:val="center" w:pos="284"/>
        </w:tabs>
        <w:ind w:left="266" w:hanging="266"/>
        <w:rPr>
          <w:bCs/>
        </w:rPr>
      </w:pPr>
      <w:r>
        <w:t>ETSK</w:t>
      </w:r>
    </w:p>
    <w:p w14:paraId="4664F810" w14:textId="0AFB5883" w:rsidR="00436824" w:rsidRDefault="00436824" w:rsidP="00D95E0E">
      <w:pPr>
        <w:pStyle w:val="ListParagraph"/>
        <w:numPr>
          <w:ilvl w:val="0"/>
          <w:numId w:val="32"/>
        </w:numPr>
        <w:ind w:left="426"/>
        <w:rPr>
          <w:bCs/>
          <w:iCs/>
        </w:rPr>
      </w:pPr>
      <w:r>
        <w:t xml:space="preserve">pitää ehdotusta tervetulleena, mutta toteaa myös, että EU:n on asetettava venäläisestä kaasusta ja öljystä luopuminen etusijalle vuonna 2026 ja varmistettava, että se saadaan täysimääräisesti ja lopullisesti päätökseen viimeistään vuoden 2027 loppuun mennessä. Komitea katsoo, että Venäjän sotatoimien rahoittaminen on lopetettava kiireellisesti ja että EU:n turvallisuus on asetettava muutaman jäsenvaltion lyhyen aikavälin taloudellisen hyödyn edelle. </w:t>
      </w:r>
      <w:proofErr w:type="spellStart"/>
      <w:r>
        <w:t>ETSK:n</w:t>
      </w:r>
      <w:proofErr w:type="spellEnd"/>
      <w:r>
        <w:t xml:space="preserve"> ehdottama uusi 7</w:t>
      </w:r>
      <w:r w:rsidR="00286597">
        <w:t> </w:t>
      </w:r>
      <w:r>
        <w:t>artikla asettaisi öljyn tuonnin yhdenvertaiseen asemaan kaasun tuonnin kanssa.</w:t>
      </w:r>
    </w:p>
    <w:p w14:paraId="2A8D45D2" w14:textId="77777777" w:rsidR="00436824" w:rsidRDefault="00436824" w:rsidP="00D95E0E">
      <w:pPr>
        <w:pStyle w:val="ListParagraph"/>
        <w:numPr>
          <w:ilvl w:val="0"/>
          <w:numId w:val="32"/>
        </w:numPr>
        <w:ind w:left="426"/>
        <w:rPr>
          <w:bCs/>
          <w:iCs/>
        </w:rPr>
      </w:pPr>
      <w:r>
        <w:t>suhtautuu myönteisesti energiariippuvuuksien seurantaa varten ehdotettuihin vahvempiin välineisiin. Komitea ehdottaa kuitenkin, että näihin mekanismeihin sovellettaisiin vahvempaa parlamentaarista valvontaa. Komitea suosittaa lisäksi, että työmarkkinaosapuolet ja järjestäytynyt kansalaisyhteiskunta otetaan mukaan strategisten riippuvuuksien arviointiin.</w:t>
      </w:r>
    </w:p>
    <w:p w14:paraId="08BC5220" w14:textId="77777777" w:rsidR="00436824" w:rsidRDefault="00436824" w:rsidP="00D95E0E">
      <w:pPr>
        <w:pStyle w:val="ListParagraph"/>
        <w:numPr>
          <w:ilvl w:val="0"/>
          <w:numId w:val="32"/>
        </w:numPr>
        <w:ind w:left="426"/>
        <w:rPr>
          <w:bCs/>
          <w:iCs/>
        </w:rPr>
      </w:pPr>
      <w:r>
        <w:t>ehdottaa ehdotuksen 15 artiklassa säädetyn poikkeusmahdollisuuden poistamista. Poikkeuksen salliminen vesittää ehdotuksen strategisia tavoitteita murentamalla sen keskeistä päämäärää.</w:t>
      </w:r>
    </w:p>
    <w:p w14:paraId="3BA73805" w14:textId="77777777" w:rsidR="00436824" w:rsidRDefault="00436824" w:rsidP="00D95E0E">
      <w:pPr>
        <w:pStyle w:val="ListParagraph"/>
        <w:numPr>
          <w:ilvl w:val="0"/>
          <w:numId w:val="32"/>
        </w:numPr>
        <w:ind w:left="426"/>
        <w:rPr>
          <w:bCs/>
          <w:iCs/>
        </w:rPr>
      </w:pPr>
      <w:r>
        <w:t>kehottaa EU:ta noudattamaan ennakoivaa ja koordinoitua toimintatapaa varjolaivaston toiminnan tunnistamiseksi ja lopettamiseksi. Komitea pitää erittäin tärkeänä ottaa käyttöön uraania, sen johdannaisia ja siihen liittyvää teknologiaa ja asiantuntemusta koskevia asianmukaisia toimenpiteitä niin pian kuin se on turvallisesti mahdollista.</w:t>
      </w:r>
    </w:p>
    <w:p w14:paraId="02D4D539" w14:textId="77777777" w:rsidR="00436824" w:rsidRDefault="00436824" w:rsidP="00D95E0E">
      <w:pPr>
        <w:ind w:left="709"/>
      </w:pPr>
    </w:p>
    <w:tbl>
      <w:tblPr>
        <w:tblW w:w="0" w:type="auto"/>
        <w:tblLook w:val="04A0" w:firstRow="1" w:lastRow="0" w:firstColumn="1" w:lastColumn="0" w:noHBand="0" w:noVBand="1"/>
      </w:tblPr>
      <w:tblGrid>
        <w:gridCol w:w="1418"/>
        <w:gridCol w:w="5670"/>
      </w:tblGrid>
      <w:tr w:rsidR="00436824" w14:paraId="3F823A69" w14:textId="77777777" w:rsidTr="00436824">
        <w:tc>
          <w:tcPr>
            <w:tcW w:w="1418" w:type="dxa"/>
            <w:hideMark/>
          </w:tcPr>
          <w:p w14:paraId="3A048AE1" w14:textId="77777777" w:rsidR="00436824" w:rsidRDefault="00436824" w:rsidP="00D95E0E">
            <w:pPr>
              <w:rPr>
                <w:i/>
              </w:rPr>
            </w:pPr>
            <w:r>
              <w:rPr>
                <w:b/>
                <w:i/>
              </w:rPr>
              <w:t>Yhteydenotot</w:t>
            </w:r>
          </w:p>
        </w:tc>
        <w:tc>
          <w:tcPr>
            <w:tcW w:w="5670" w:type="dxa"/>
            <w:hideMark/>
          </w:tcPr>
          <w:p w14:paraId="5B50A2CB" w14:textId="653848C3" w:rsidR="00436824" w:rsidRDefault="00436824" w:rsidP="00D95E0E">
            <w:pPr>
              <w:rPr>
                <w:i/>
              </w:rPr>
            </w:pPr>
            <w:proofErr w:type="spellStart"/>
            <w:r>
              <w:rPr>
                <w:i/>
              </w:rPr>
              <w:t>Giorgia</w:t>
            </w:r>
            <w:proofErr w:type="spellEnd"/>
            <w:r>
              <w:rPr>
                <w:i/>
              </w:rPr>
              <w:t xml:space="preserve"> </w:t>
            </w:r>
            <w:proofErr w:type="spellStart"/>
            <w:r w:rsidR="00B959E2">
              <w:rPr>
                <w:i/>
              </w:rPr>
              <w:t>Bordignon</w:t>
            </w:r>
            <w:proofErr w:type="spellEnd"/>
          </w:p>
        </w:tc>
      </w:tr>
      <w:tr w:rsidR="00436824" w14:paraId="69BF321F" w14:textId="77777777" w:rsidTr="00436824">
        <w:tc>
          <w:tcPr>
            <w:tcW w:w="1418" w:type="dxa"/>
            <w:hideMark/>
          </w:tcPr>
          <w:p w14:paraId="0207A0DF" w14:textId="77777777" w:rsidR="00436824" w:rsidRDefault="00436824" w:rsidP="00D95E0E">
            <w:pPr>
              <w:rPr>
                <w:i/>
              </w:rPr>
            </w:pPr>
            <w:r>
              <w:rPr>
                <w:i/>
              </w:rPr>
              <w:t>P.</w:t>
            </w:r>
          </w:p>
        </w:tc>
        <w:tc>
          <w:tcPr>
            <w:tcW w:w="5670" w:type="dxa"/>
            <w:hideMark/>
          </w:tcPr>
          <w:p w14:paraId="79B32C80" w14:textId="77777777" w:rsidR="00436824" w:rsidRDefault="00436824" w:rsidP="00D95E0E">
            <w:pPr>
              <w:rPr>
                <w:i/>
              </w:rPr>
            </w:pPr>
            <w:r>
              <w:rPr>
                <w:i/>
              </w:rPr>
              <w:t>+32 25468535</w:t>
            </w:r>
          </w:p>
        </w:tc>
      </w:tr>
      <w:tr w:rsidR="00436824" w14:paraId="55DC1B83" w14:textId="77777777" w:rsidTr="00436824">
        <w:tc>
          <w:tcPr>
            <w:tcW w:w="1418" w:type="dxa"/>
            <w:hideMark/>
          </w:tcPr>
          <w:p w14:paraId="66F2B756" w14:textId="77777777" w:rsidR="00436824" w:rsidRDefault="00436824" w:rsidP="00D95E0E">
            <w:pPr>
              <w:rPr>
                <w:i/>
              </w:rPr>
            </w:pPr>
            <w:r>
              <w:rPr>
                <w:i/>
              </w:rPr>
              <w:t>Sähköposti</w:t>
            </w:r>
          </w:p>
        </w:tc>
        <w:tc>
          <w:tcPr>
            <w:tcW w:w="5670" w:type="dxa"/>
            <w:hideMark/>
          </w:tcPr>
          <w:p w14:paraId="0870438D" w14:textId="77777777" w:rsidR="00436824" w:rsidRDefault="0061775F" w:rsidP="00D95E0E">
            <w:pPr>
              <w:rPr>
                <w:i/>
                <w:iCs/>
              </w:rPr>
            </w:pPr>
            <w:hyperlink r:id="rId56" w:history="1">
              <w:r w:rsidR="00436824">
                <w:rPr>
                  <w:rStyle w:val="Hyperlink"/>
                  <w:i/>
                </w:rPr>
                <w:t>GiorgiaAndrea.Bordignon@eesc.europa.eu</w:t>
              </w:r>
            </w:hyperlink>
            <w:r w:rsidR="00436824">
              <w:rPr>
                <w:i/>
              </w:rPr>
              <w:t xml:space="preserve"> </w:t>
            </w:r>
          </w:p>
        </w:tc>
      </w:tr>
    </w:tbl>
    <w:p w14:paraId="78185FA1" w14:textId="77777777" w:rsidR="00436824" w:rsidRDefault="00436824" w:rsidP="00D95E0E">
      <w:pPr>
        <w:jc w:val="center"/>
        <w:rPr>
          <w:szCs w:val="20"/>
        </w:rPr>
      </w:pPr>
    </w:p>
    <w:p w14:paraId="14DCDBF8" w14:textId="3724D54B" w:rsidR="00436824" w:rsidRDefault="00436824" w:rsidP="00D95E0E">
      <w:pPr>
        <w:jc w:val="left"/>
      </w:pPr>
      <w:r>
        <w:br w:type="page"/>
      </w:r>
    </w:p>
    <w:p w14:paraId="0C3C391B" w14:textId="78027A9B" w:rsidR="00436824" w:rsidRDefault="0061775F" w:rsidP="00D95E0E">
      <w:pPr>
        <w:numPr>
          <w:ilvl w:val="0"/>
          <w:numId w:val="3"/>
        </w:numPr>
        <w:overflowPunct w:val="0"/>
        <w:autoSpaceDE w:val="0"/>
        <w:autoSpaceDN w:val="0"/>
        <w:adjustRightInd w:val="0"/>
        <w:ind w:hanging="567"/>
        <w:rPr>
          <w:sz w:val="20"/>
        </w:rPr>
      </w:pPr>
      <w:hyperlink r:id="rId57" w:history="1">
        <w:r w:rsidR="00436824">
          <w:rPr>
            <w:rStyle w:val="Hyperlink"/>
            <w:b/>
            <w:i/>
            <w:sz w:val="28"/>
          </w:rPr>
          <w:t>Eurovinjettidirektiivin (1999/62/EY) voimassaolon jatkaminen</w:t>
        </w:r>
      </w:hyperlink>
    </w:p>
    <w:p w14:paraId="7D677D6C" w14:textId="77777777" w:rsidR="00436824" w:rsidRDefault="00436824" w:rsidP="00D95E0E">
      <w:pPr>
        <w:tabs>
          <w:tab w:val="center" w:pos="284"/>
        </w:tabs>
        <w:ind w:left="266" w:hanging="266"/>
        <w:rPr>
          <w:b/>
        </w:rPr>
      </w:pPr>
    </w:p>
    <w:tbl>
      <w:tblPr>
        <w:tblW w:w="5000" w:type="pct"/>
        <w:tblLook w:val="04A0" w:firstRow="1" w:lastRow="0" w:firstColumn="1" w:lastColumn="0" w:noHBand="0" w:noVBand="1"/>
      </w:tblPr>
      <w:tblGrid>
        <w:gridCol w:w="1925"/>
        <w:gridCol w:w="7148"/>
      </w:tblGrid>
      <w:tr w:rsidR="00436824" w14:paraId="7294C1C3" w14:textId="77777777" w:rsidTr="00436824">
        <w:tc>
          <w:tcPr>
            <w:tcW w:w="1061" w:type="pct"/>
            <w:hideMark/>
          </w:tcPr>
          <w:p w14:paraId="0643966B" w14:textId="77777777" w:rsidR="00436824" w:rsidRDefault="00436824" w:rsidP="00D95E0E">
            <w:pPr>
              <w:tabs>
                <w:tab w:val="center" w:pos="284"/>
              </w:tabs>
              <w:ind w:left="266" w:hanging="266"/>
              <w:rPr>
                <w:b/>
              </w:rPr>
            </w:pPr>
            <w:r>
              <w:rPr>
                <w:b/>
              </w:rPr>
              <w:t xml:space="preserve">Esittelijä </w:t>
            </w:r>
          </w:p>
        </w:tc>
        <w:tc>
          <w:tcPr>
            <w:tcW w:w="3939" w:type="pct"/>
            <w:hideMark/>
          </w:tcPr>
          <w:p w14:paraId="69EE35D9" w14:textId="77777777" w:rsidR="00436824" w:rsidRDefault="00436824" w:rsidP="00D95E0E">
            <w:pPr>
              <w:tabs>
                <w:tab w:val="center" w:pos="284"/>
              </w:tabs>
              <w:ind w:left="266" w:hanging="266"/>
            </w:pPr>
            <w:proofErr w:type="spellStart"/>
            <w:r>
              <w:t>Dumitru</w:t>
            </w:r>
            <w:proofErr w:type="spellEnd"/>
            <w:r>
              <w:t xml:space="preserve"> FORNEA (työntekijät – RO)</w:t>
            </w:r>
          </w:p>
        </w:tc>
      </w:tr>
      <w:tr w:rsidR="00436824" w14:paraId="198E10E9" w14:textId="77777777" w:rsidTr="00436824">
        <w:trPr>
          <w:trHeight w:val="70"/>
        </w:trPr>
        <w:tc>
          <w:tcPr>
            <w:tcW w:w="1061" w:type="pct"/>
            <w:hideMark/>
          </w:tcPr>
          <w:p w14:paraId="4FDA4050" w14:textId="77777777" w:rsidR="00436824" w:rsidRDefault="00436824" w:rsidP="00D95E0E">
            <w:pPr>
              <w:tabs>
                <w:tab w:val="center" w:pos="284"/>
              </w:tabs>
              <w:ind w:left="266" w:hanging="266"/>
              <w:rPr>
                <w:b/>
              </w:rPr>
            </w:pPr>
            <w:r>
              <w:rPr>
                <w:b/>
              </w:rPr>
              <w:t>Viiteasiakirjat</w:t>
            </w:r>
          </w:p>
        </w:tc>
        <w:tc>
          <w:tcPr>
            <w:tcW w:w="3939" w:type="pct"/>
            <w:hideMark/>
          </w:tcPr>
          <w:p w14:paraId="02E21B40" w14:textId="77777777" w:rsidR="00436824" w:rsidRDefault="00436824" w:rsidP="00D95E0E">
            <w:pPr>
              <w:tabs>
                <w:tab w:val="center" w:pos="284"/>
              </w:tabs>
              <w:ind w:left="266" w:hanging="266"/>
            </w:pPr>
            <w:r>
              <w:t xml:space="preserve">COM(2025) 348 </w:t>
            </w:r>
            <w:proofErr w:type="spellStart"/>
            <w:r>
              <w:t>final</w:t>
            </w:r>
            <w:proofErr w:type="spellEnd"/>
          </w:p>
          <w:p w14:paraId="373C2617" w14:textId="77777777" w:rsidR="00436824" w:rsidRDefault="00436824" w:rsidP="00D95E0E">
            <w:pPr>
              <w:tabs>
                <w:tab w:val="center" w:pos="284"/>
              </w:tabs>
              <w:ind w:left="266" w:hanging="266"/>
            </w:pPr>
            <w:r>
              <w:t>EESC-2025-02488-00-00-AC</w:t>
            </w:r>
          </w:p>
        </w:tc>
      </w:tr>
    </w:tbl>
    <w:p w14:paraId="7A2B68DF" w14:textId="77777777" w:rsidR="00436824" w:rsidRDefault="00436824" w:rsidP="00D95E0E">
      <w:pPr>
        <w:tabs>
          <w:tab w:val="center" w:pos="284"/>
        </w:tabs>
        <w:ind w:left="266" w:hanging="266"/>
        <w:rPr>
          <w:lang w:val="pt-PT"/>
        </w:rPr>
      </w:pPr>
    </w:p>
    <w:p w14:paraId="6E6335FC" w14:textId="77777777" w:rsidR="00436824" w:rsidRDefault="00436824" w:rsidP="00D95E0E">
      <w:pPr>
        <w:keepNext/>
        <w:keepLines/>
        <w:tabs>
          <w:tab w:val="center" w:pos="284"/>
        </w:tabs>
        <w:ind w:left="266" w:hanging="266"/>
        <w:rPr>
          <w:b/>
        </w:rPr>
      </w:pPr>
      <w:r>
        <w:rPr>
          <w:b/>
        </w:rPr>
        <w:t>Keskeiset kohdat</w:t>
      </w:r>
    </w:p>
    <w:p w14:paraId="6F1AF1DD" w14:textId="77777777" w:rsidR="00436824" w:rsidRDefault="00436824" w:rsidP="00D95E0E">
      <w:pPr>
        <w:keepNext/>
        <w:keepLines/>
        <w:tabs>
          <w:tab w:val="center" w:pos="284"/>
        </w:tabs>
        <w:ind w:left="266" w:hanging="266"/>
        <w:rPr>
          <w:b/>
        </w:rPr>
      </w:pPr>
    </w:p>
    <w:p w14:paraId="77BDAC15" w14:textId="77777777" w:rsidR="00436824" w:rsidRDefault="00436824" w:rsidP="00D95E0E">
      <w:pPr>
        <w:rPr>
          <w:bCs/>
          <w:iCs/>
        </w:rPr>
      </w:pPr>
      <w:r>
        <w:t>ETSK</w:t>
      </w:r>
    </w:p>
    <w:p w14:paraId="427FAB1F" w14:textId="77777777" w:rsidR="00436824" w:rsidRDefault="00436824" w:rsidP="00D95E0E">
      <w:pPr>
        <w:numPr>
          <w:ilvl w:val="0"/>
          <w:numId w:val="33"/>
        </w:numPr>
        <w:overflowPunct w:val="0"/>
        <w:autoSpaceDE w:val="0"/>
        <w:autoSpaceDN w:val="0"/>
        <w:adjustRightInd w:val="0"/>
        <w:ind w:left="426"/>
        <w:rPr>
          <w:bCs/>
          <w:iCs/>
        </w:rPr>
      </w:pPr>
      <w:r>
        <w:t>suhtautuu myönteisesti Euroopan komission ehdotukseen direktiiviksi sen ajanjakson pidentämiseksi, jonka aikana päästöttömät raskaat hyötyajoneuvot hyötyvät merkittävästi alennetuista infrastruktuuri- tai käyttäjämaksuista tai ne voidaan vapauttaa niistä kokonaan, ja katsoo, että tämä on oikea-aikainen ja välttämätön toimenpide tieliikenteen hiilestä irtautumisen tukemiseksi. Komitea kannattaa ehdotettua voimassaolon jatkamista 30. kesäkuuta 2031 saakka, koska se tarjoaa oikeus- ja investointivarmuutta, vastaa hiilidioksidipäästönormeja ja tarjoaa toimijoille konkreettisen kysyntäpuolen kannustimen siirtyä kohti puhtaampaa teknologiaa.</w:t>
      </w:r>
    </w:p>
    <w:p w14:paraId="36D4AA17" w14:textId="77777777" w:rsidR="00436824" w:rsidRDefault="00436824" w:rsidP="00D95E0E">
      <w:pPr>
        <w:numPr>
          <w:ilvl w:val="0"/>
          <w:numId w:val="33"/>
        </w:numPr>
        <w:overflowPunct w:val="0"/>
        <w:autoSpaceDE w:val="0"/>
        <w:autoSpaceDN w:val="0"/>
        <w:adjustRightInd w:val="0"/>
        <w:ind w:left="426"/>
        <w:rPr>
          <w:szCs w:val="20"/>
        </w:rPr>
      </w:pPr>
      <w:r>
        <w:t>toistaa aiemmat näkemyksensä, joissa kannatetaan oikeudenmukaista, osallistavaa ja tasapainoista lähestymistapaa kaupallisen maantieliikenteen vihreään siirtymään ja korostetaan tarvetta varmistaa, etteivät pienet ja keskisuuret liikenteenharjoittajat jää jälkeen, sekä kiireellistä tarvetta nopeuttaa lataus- ja tankkausinfrastruktuurin käyttöönottoa TEN-T-ydinverkoissa ja kattavissa verkoissa.</w:t>
      </w:r>
    </w:p>
    <w:p w14:paraId="178E086E" w14:textId="77777777" w:rsidR="00436824" w:rsidRDefault="00436824" w:rsidP="00D95E0E">
      <w:pPr>
        <w:numPr>
          <w:ilvl w:val="0"/>
          <w:numId w:val="33"/>
        </w:numPr>
        <w:overflowPunct w:val="0"/>
        <w:autoSpaceDE w:val="0"/>
        <w:autoSpaceDN w:val="0"/>
        <w:adjustRightInd w:val="0"/>
        <w:ind w:left="426"/>
      </w:pPr>
      <w:r>
        <w:t>suosittelee, että hiilidioksidipäästöihin liittyvistä tietulleista saatavat tulot korvamerkittään infrastruktuurin käyttöönoton tukemiseen ja taloudellisen tuen järjestelmiin, joiden avulla tuetaan päästöttömiin ja vähäpäästöisiin ajoneuvoihin investoivia toimijoita. ETSK kehottaa lainsäätäjiä liittämään tiemaksupolitiikat ja hiilidioksidipäästönormit toisiinsa yhteisvaikutusten luomiseksi EU:n päästökauppajärjestelmän 2 ja muiden ilmastovälineiden kanssa.</w:t>
      </w:r>
    </w:p>
    <w:p w14:paraId="3EE60FCB" w14:textId="77777777" w:rsidR="00436824" w:rsidRDefault="00436824" w:rsidP="00D95E0E">
      <w:pPr>
        <w:ind w:left="426"/>
      </w:pPr>
    </w:p>
    <w:tbl>
      <w:tblPr>
        <w:tblW w:w="5000" w:type="pct"/>
        <w:tblLook w:val="04A0" w:firstRow="1" w:lastRow="0" w:firstColumn="1" w:lastColumn="0" w:noHBand="0" w:noVBand="1"/>
      </w:tblPr>
      <w:tblGrid>
        <w:gridCol w:w="1954"/>
        <w:gridCol w:w="7119"/>
      </w:tblGrid>
      <w:tr w:rsidR="00436824" w14:paraId="13E33C1C" w14:textId="77777777" w:rsidTr="00436824">
        <w:tc>
          <w:tcPr>
            <w:tcW w:w="1077" w:type="pct"/>
            <w:hideMark/>
          </w:tcPr>
          <w:p w14:paraId="1AF8C28E" w14:textId="77777777" w:rsidR="00436824" w:rsidRDefault="00436824" w:rsidP="00D95E0E">
            <w:pPr>
              <w:rPr>
                <w:i/>
              </w:rPr>
            </w:pPr>
            <w:r>
              <w:rPr>
                <w:b/>
                <w:i/>
              </w:rPr>
              <w:t>Yhteydenotot</w:t>
            </w:r>
          </w:p>
        </w:tc>
        <w:tc>
          <w:tcPr>
            <w:tcW w:w="3923" w:type="pct"/>
            <w:hideMark/>
          </w:tcPr>
          <w:p w14:paraId="544C72F6" w14:textId="4A0A29B3" w:rsidR="00436824" w:rsidRDefault="00436824" w:rsidP="00D95E0E">
            <w:pPr>
              <w:rPr>
                <w:i/>
              </w:rPr>
            </w:pPr>
            <w:r>
              <w:rPr>
                <w:i/>
              </w:rPr>
              <w:t xml:space="preserve">Maja </w:t>
            </w:r>
            <w:proofErr w:type="spellStart"/>
            <w:r w:rsidR="00B959E2">
              <w:rPr>
                <w:i/>
              </w:rPr>
              <w:t>Radman</w:t>
            </w:r>
            <w:proofErr w:type="spellEnd"/>
          </w:p>
        </w:tc>
      </w:tr>
      <w:tr w:rsidR="00436824" w14:paraId="2641C26E" w14:textId="77777777" w:rsidTr="00436824">
        <w:tc>
          <w:tcPr>
            <w:tcW w:w="1077" w:type="pct"/>
            <w:hideMark/>
          </w:tcPr>
          <w:p w14:paraId="0F85B180" w14:textId="77777777" w:rsidR="00436824" w:rsidRDefault="00436824" w:rsidP="00D95E0E">
            <w:pPr>
              <w:rPr>
                <w:i/>
              </w:rPr>
            </w:pPr>
            <w:r>
              <w:rPr>
                <w:i/>
              </w:rPr>
              <w:t>P.</w:t>
            </w:r>
          </w:p>
        </w:tc>
        <w:tc>
          <w:tcPr>
            <w:tcW w:w="3923" w:type="pct"/>
            <w:hideMark/>
          </w:tcPr>
          <w:p w14:paraId="16F73F3D" w14:textId="77777777" w:rsidR="00436824" w:rsidRDefault="00436824" w:rsidP="00D95E0E">
            <w:pPr>
              <w:rPr>
                <w:i/>
              </w:rPr>
            </w:pPr>
            <w:r>
              <w:rPr>
                <w:i/>
              </w:rPr>
              <w:t>+32 25469051</w:t>
            </w:r>
          </w:p>
        </w:tc>
      </w:tr>
      <w:tr w:rsidR="00436824" w14:paraId="3E9ECDDF" w14:textId="77777777" w:rsidTr="00436824">
        <w:tc>
          <w:tcPr>
            <w:tcW w:w="1077" w:type="pct"/>
            <w:hideMark/>
          </w:tcPr>
          <w:p w14:paraId="43CCC370" w14:textId="77777777" w:rsidR="00436824" w:rsidRDefault="00436824" w:rsidP="00D95E0E">
            <w:pPr>
              <w:rPr>
                <w:i/>
              </w:rPr>
            </w:pPr>
            <w:r>
              <w:rPr>
                <w:i/>
              </w:rPr>
              <w:t>Sähköposti</w:t>
            </w:r>
          </w:p>
        </w:tc>
        <w:tc>
          <w:tcPr>
            <w:tcW w:w="3923" w:type="pct"/>
            <w:hideMark/>
          </w:tcPr>
          <w:p w14:paraId="2172727C" w14:textId="77777777" w:rsidR="00436824" w:rsidRDefault="0061775F" w:rsidP="00D95E0E">
            <w:pPr>
              <w:rPr>
                <w:i/>
              </w:rPr>
            </w:pPr>
            <w:hyperlink r:id="rId58" w:history="1">
              <w:r w:rsidR="00436824">
                <w:rPr>
                  <w:rStyle w:val="Hyperlink"/>
                  <w:i/>
                </w:rPr>
                <w:t>Maja.Radman@eesc.europa.eu</w:t>
              </w:r>
            </w:hyperlink>
          </w:p>
        </w:tc>
      </w:tr>
    </w:tbl>
    <w:p w14:paraId="1B177D2F" w14:textId="77777777" w:rsidR="004D7AC0" w:rsidRDefault="004D7AC0" w:rsidP="00D95E0E">
      <w:pPr>
        <w:pStyle w:val="ListParagraph"/>
        <w:ind w:left="0"/>
      </w:pPr>
    </w:p>
    <w:p w14:paraId="4982DE1E" w14:textId="77777777" w:rsidR="004D7AC0" w:rsidRDefault="004D7AC0" w:rsidP="00D95E0E">
      <w:pPr>
        <w:jc w:val="left"/>
      </w:pPr>
      <w:r>
        <w:br w:type="page"/>
      </w:r>
    </w:p>
    <w:p w14:paraId="4982DE1F" w14:textId="349350AC" w:rsidR="004D7AC0" w:rsidRDefault="00436824" w:rsidP="00D95E0E">
      <w:pPr>
        <w:pStyle w:val="Heading1"/>
        <w:rPr>
          <w:b/>
        </w:rPr>
      </w:pPr>
      <w:bookmarkStart w:id="57" w:name="_Toc210812731"/>
      <w:r w:rsidRPr="00436824">
        <w:rPr>
          <w:b/>
        </w:rPr>
        <w:lastRenderedPageBreak/>
        <w:t>SISÄMARKKINAT, TUOTANTO JA KULUTUS</w:t>
      </w:r>
      <w:bookmarkEnd w:id="57"/>
    </w:p>
    <w:p w14:paraId="4982DE20" w14:textId="77777777" w:rsidR="004D7AC0" w:rsidRDefault="004D7AC0" w:rsidP="00D95E0E"/>
    <w:p w14:paraId="14CD2AF6" w14:textId="23FAEAE6" w:rsidR="00436824" w:rsidRPr="0049636B" w:rsidRDefault="0061775F" w:rsidP="00D95E0E">
      <w:pPr>
        <w:numPr>
          <w:ilvl w:val="0"/>
          <w:numId w:val="3"/>
        </w:numPr>
        <w:overflowPunct w:val="0"/>
        <w:autoSpaceDE w:val="0"/>
        <w:autoSpaceDN w:val="0"/>
        <w:adjustRightInd w:val="0"/>
        <w:ind w:left="266" w:hanging="266"/>
        <w:rPr>
          <w:b/>
        </w:rPr>
      </w:pPr>
      <w:hyperlink r:id="rId59" w:history="1">
        <w:r w:rsidR="00436824">
          <w:rPr>
            <w:rStyle w:val="Hyperlink"/>
            <w:b/>
            <w:i/>
            <w:sz w:val="28"/>
          </w:rPr>
          <w:t xml:space="preserve">Pieniä </w:t>
        </w:r>
        <w:proofErr w:type="spellStart"/>
        <w:r w:rsidR="00436824">
          <w:rPr>
            <w:rStyle w:val="Hyperlink"/>
            <w:b/>
            <w:i/>
            <w:sz w:val="28"/>
          </w:rPr>
          <w:t>midcap</w:t>
        </w:r>
        <w:proofErr w:type="spellEnd"/>
        <w:r w:rsidR="00436824">
          <w:rPr>
            <w:rStyle w:val="Hyperlink"/>
            <w:b/>
            <w:i/>
            <w:sz w:val="28"/>
          </w:rPr>
          <w:t>-yrityksiä koskeva koontipaketti</w:t>
        </w:r>
      </w:hyperlink>
    </w:p>
    <w:p w14:paraId="13FABD62" w14:textId="77777777" w:rsidR="0049636B" w:rsidRDefault="0049636B" w:rsidP="00D95E0E">
      <w:pPr>
        <w:overflowPunct w:val="0"/>
        <w:autoSpaceDE w:val="0"/>
        <w:autoSpaceDN w:val="0"/>
        <w:adjustRightInd w:val="0"/>
        <w:rPr>
          <w:b/>
        </w:rPr>
      </w:pPr>
    </w:p>
    <w:tbl>
      <w:tblPr>
        <w:tblW w:w="4766" w:type="pct"/>
        <w:tblLook w:val="04A0" w:firstRow="1" w:lastRow="0" w:firstColumn="1" w:lastColumn="0" w:noHBand="0" w:noVBand="1"/>
      </w:tblPr>
      <w:tblGrid>
        <w:gridCol w:w="1986"/>
        <w:gridCol w:w="6662"/>
      </w:tblGrid>
      <w:tr w:rsidR="00436824" w14:paraId="29AB4F26" w14:textId="77777777" w:rsidTr="00436824">
        <w:tc>
          <w:tcPr>
            <w:tcW w:w="1148" w:type="pct"/>
          </w:tcPr>
          <w:p w14:paraId="7A309F71" w14:textId="77777777" w:rsidR="00436824" w:rsidRDefault="00436824" w:rsidP="00D95E0E">
            <w:pPr>
              <w:tabs>
                <w:tab w:val="center" w:pos="284"/>
              </w:tabs>
              <w:ind w:left="266" w:hanging="374"/>
              <w:rPr>
                <w:b/>
              </w:rPr>
            </w:pPr>
            <w:r>
              <w:rPr>
                <w:b/>
              </w:rPr>
              <w:t>Esittelijä</w:t>
            </w:r>
          </w:p>
          <w:p w14:paraId="36619AF4" w14:textId="77777777" w:rsidR="00436824" w:rsidRDefault="00436824" w:rsidP="00D95E0E">
            <w:pPr>
              <w:tabs>
                <w:tab w:val="center" w:pos="284"/>
              </w:tabs>
              <w:ind w:left="266" w:hanging="374"/>
              <w:rPr>
                <w:b/>
              </w:rPr>
            </w:pPr>
            <w:r>
              <w:rPr>
                <w:b/>
              </w:rPr>
              <w:t>Yhteisesittelijä</w:t>
            </w:r>
          </w:p>
        </w:tc>
        <w:tc>
          <w:tcPr>
            <w:tcW w:w="3852" w:type="pct"/>
          </w:tcPr>
          <w:p w14:paraId="7517DAE9" w14:textId="77777777" w:rsidR="00436824" w:rsidRDefault="00436824" w:rsidP="00D95E0E">
            <w:pPr>
              <w:tabs>
                <w:tab w:val="center" w:pos="284"/>
              </w:tabs>
              <w:ind w:left="266" w:hanging="266"/>
            </w:pPr>
            <w:proofErr w:type="spellStart"/>
            <w:r>
              <w:t>Katrīna</w:t>
            </w:r>
            <w:proofErr w:type="spellEnd"/>
            <w:r>
              <w:t xml:space="preserve"> ZARIŅA (työnantajat – LV)</w:t>
            </w:r>
          </w:p>
          <w:p w14:paraId="48095915" w14:textId="33825AA7" w:rsidR="00436824" w:rsidRPr="0049636B" w:rsidRDefault="00436824" w:rsidP="00D95E0E">
            <w:pPr>
              <w:tabs>
                <w:tab w:val="center" w:pos="284"/>
              </w:tabs>
              <w:ind w:left="266" w:hanging="266"/>
            </w:pPr>
            <w:proofErr w:type="spellStart"/>
            <w:r>
              <w:t>Panagiotis</w:t>
            </w:r>
            <w:proofErr w:type="spellEnd"/>
            <w:r>
              <w:t xml:space="preserve"> GKOFAS (kansalaisyhteiskunnan organisaatiot </w:t>
            </w:r>
            <w:r>
              <w:noBreakHyphen/>
              <w:t>ryhmä – EL)</w:t>
            </w:r>
          </w:p>
        </w:tc>
      </w:tr>
      <w:tr w:rsidR="00436824" w14:paraId="5604683F" w14:textId="77777777" w:rsidTr="00436824">
        <w:tc>
          <w:tcPr>
            <w:tcW w:w="1148" w:type="pct"/>
            <w:vMerge w:val="restart"/>
            <w:hideMark/>
          </w:tcPr>
          <w:p w14:paraId="5541638C" w14:textId="77777777" w:rsidR="00436824" w:rsidRDefault="00436824" w:rsidP="00D95E0E">
            <w:pPr>
              <w:tabs>
                <w:tab w:val="center" w:pos="284"/>
              </w:tabs>
              <w:ind w:left="266" w:hanging="374"/>
              <w:rPr>
                <w:b/>
              </w:rPr>
            </w:pPr>
            <w:r>
              <w:rPr>
                <w:b/>
              </w:rPr>
              <w:t>Viiteasiakirja</w:t>
            </w:r>
          </w:p>
        </w:tc>
        <w:tc>
          <w:tcPr>
            <w:tcW w:w="3852" w:type="pct"/>
            <w:hideMark/>
          </w:tcPr>
          <w:p w14:paraId="4894D178" w14:textId="77777777" w:rsidR="00436824" w:rsidRDefault="00436824" w:rsidP="00D95E0E">
            <w:pPr>
              <w:tabs>
                <w:tab w:val="center" w:pos="284"/>
              </w:tabs>
              <w:ind w:left="266" w:hanging="266"/>
            </w:pPr>
            <w:r>
              <w:t xml:space="preserve">COM(2025) 501 </w:t>
            </w:r>
            <w:proofErr w:type="spellStart"/>
            <w:r>
              <w:t>final</w:t>
            </w:r>
            <w:proofErr w:type="spellEnd"/>
            <w:r>
              <w:t xml:space="preserve"> 2025/0130 COD </w:t>
            </w:r>
          </w:p>
          <w:p w14:paraId="1034B9BF" w14:textId="77777777" w:rsidR="00436824" w:rsidRDefault="00436824" w:rsidP="00D95E0E">
            <w:pPr>
              <w:tabs>
                <w:tab w:val="center" w:pos="284"/>
              </w:tabs>
              <w:ind w:left="266" w:hanging="266"/>
            </w:pPr>
            <w:r>
              <w:t xml:space="preserve">COM(2025) 502 </w:t>
            </w:r>
            <w:proofErr w:type="spellStart"/>
            <w:r>
              <w:t>final</w:t>
            </w:r>
            <w:proofErr w:type="spellEnd"/>
            <w:r>
              <w:t xml:space="preserve"> 2025/0131 COD </w:t>
            </w:r>
          </w:p>
          <w:p w14:paraId="51C67CFF" w14:textId="77777777" w:rsidR="00436824" w:rsidRDefault="00436824" w:rsidP="00D95E0E">
            <w:pPr>
              <w:tabs>
                <w:tab w:val="center" w:pos="284"/>
              </w:tabs>
              <w:ind w:left="266" w:hanging="266"/>
            </w:pPr>
            <w:r>
              <w:t xml:space="preserve">COM(2025) 503 </w:t>
            </w:r>
            <w:proofErr w:type="spellStart"/>
            <w:r>
              <w:t>final</w:t>
            </w:r>
            <w:proofErr w:type="spellEnd"/>
            <w:r>
              <w:t xml:space="preserve"> 2025/0133 COD </w:t>
            </w:r>
          </w:p>
          <w:p w14:paraId="46B62DB6" w14:textId="77777777" w:rsidR="00436824" w:rsidRDefault="00436824" w:rsidP="00D95E0E">
            <w:pPr>
              <w:tabs>
                <w:tab w:val="center" w:pos="284"/>
              </w:tabs>
              <w:ind w:left="266" w:hanging="266"/>
            </w:pPr>
            <w:r>
              <w:t xml:space="preserve">COM(2025) 504 </w:t>
            </w:r>
            <w:proofErr w:type="spellStart"/>
            <w:r>
              <w:t>final</w:t>
            </w:r>
            <w:proofErr w:type="spellEnd"/>
            <w:r>
              <w:t xml:space="preserve"> 2025/0134 COD</w:t>
            </w:r>
          </w:p>
        </w:tc>
      </w:tr>
      <w:tr w:rsidR="00436824" w14:paraId="5138232C" w14:textId="77777777" w:rsidTr="00436824">
        <w:tc>
          <w:tcPr>
            <w:tcW w:w="0" w:type="auto"/>
            <w:vMerge/>
            <w:vAlign w:val="center"/>
            <w:hideMark/>
          </w:tcPr>
          <w:p w14:paraId="02201D85" w14:textId="77777777" w:rsidR="00436824" w:rsidRDefault="00436824" w:rsidP="00D95E0E">
            <w:pPr>
              <w:jc w:val="left"/>
              <w:rPr>
                <w:b/>
              </w:rPr>
            </w:pPr>
          </w:p>
        </w:tc>
        <w:tc>
          <w:tcPr>
            <w:tcW w:w="3852" w:type="pct"/>
            <w:hideMark/>
          </w:tcPr>
          <w:p w14:paraId="2519289F" w14:textId="77777777" w:rsidR="00436824" w:rsidRDefault="00436824" w:rsidP="00D95E0E">
            <w:pPr>
              <w:tabs>
                <w:tab w:val="center" w:pos="284"/>
              </w:tabs>
              <w:ind w:left="266" w:hanging="266"/>
            </w:pPr>
            <w:r>
              <w:t>EESC-2025-01910-00-00-AC</w:t>
            </w:r>
          </w:p>
        </w:tc>
      </w:tr>
    </w:tbl>
    <w:p w14:paraId="71AA1D6E" w14:textId="77777777" w:rsidR="00436824" w:rsidRDefault="00436824" w:rsidP="00D95E0E">
      <w:pPr>
        <w:tabs>
          <w:tab w:val="center" w:pos="284"/>
        </w:tabs>
        <w:ind w:left="266" w:hanging="266"/>
      </w:pPr>
    </w:p>
    <w:p w14:paraId="26380BFC" w14:textId="77777777" w:rsidR="00436824" w:rsidRDefault="00436824" w:rsidP="00D95E0E">
      <w:pPr>
        <w:keepNext/>
        <w:keepLines/>
        <w:tabs>
          <w:tab w:val="center" w:pos="284"/>
        </w:tabs>
        <w:ind w:left="266" w:hanging="266"/>
        <w:rPr>
          <w:b/>
        </w:rPr>
      </w:pPr>
      <w:r>
        <w:rPr>
          <w:b/>
        </w:rPr>
        <w:t>Keskeiset kohdat</w:t>
      </w:r>
    </w:p>
    <w:p w14:paraId="4F30824F" w14:textId="77777777" w:rsidR="00436824" w:rsidRDefault="00436824" w:rsidP="00D95E0E">
      <w:pPr>
        <w:keepNext/>
        <w:keepLines/>
        <w:tabs>
          <w:tab w:val="center" w:pos="284"/>
        </w:tabs>
        <w:ind w:left="266" w:hanging="266"/>
        <w:rPr>
          <w:b/>
        </w:rPr>
      </w:pPr>
    </w:p>
    <w:p w14:paraId="130400A5" w14:textId="77777777" w:rsidR="00436824" w:rsidRDefault="00436824" w:rsidP="00D95E0E">
      <w:pPr>
        <w:rPr>
          <w:bCs/>
          <w:iCs/>
        </w:rPr>
      </w:pPr>
      <w:r>
        <w:t>ETSK</w:t>
      </w:r>
    </w:p>
    <w:p w14:paraId="6A299AF8" w14:textId="2B818B48" w:rsidR="00436824" w:rsidRDefault="00436824" w:rsidP="00D95E0E">
      <w:pPr>
        <w:numPr>
          <w:ilvl w:val="0"/>
          <w:numId w:val="34"/>
        </w:numPr>
        <w:overflowPunct w:val="0"/>
        <w:autoSpaceDE w:val="0"/>
        <w:autoSpaceDN w:val="0"/>
        <w:adjustRightInd w:val="0"/>
        <w:ind w:left="426"/>
        <w:rPr>
          <w:szCs w:val="20"/>
        </w:rPr>
      </w:pPr>
      <w:r>
        <w:t>suhtautuu myönteisesti Euroopan komission pyrkimyksiin yksinkertaistaa lainsäädäntöä ja vähentää tiettyjä hallinnollisia rasitteita, mutta ilmaisee samalla huolensa kuulemisprosessista, ehdotetuista muutoksista käytävän keskustelun vähäisyydestä ja vaikutustenarviointien puuttumisesta.</w:t>
      </w:r>
    </w:p>
    <w:p w14:paraId="592B0C1C" w14:textId="77777777" w:rsidR="00436824" w:rsidRDefault="00436824" w:rsidP="00D95E0E">
      <w:pPr>
        <w:numPr>
          <w:ilvl w:val="0"/>
          <w:numId w:val="34"/>
        </w:numPr>
        <w:overflowPunct w:val="0"/>
        <w:autoSpaceDE w:val="0"/>
        <w:autoSpaceDN w:val="0"/>
        <w:adjustRightInd w:val="0"/>
        <w:ind w:left="426"/>
      </w:pPr>
      <w:r>
        <w:t xml:space="preserve">kehottaa komissiota kartoittamaan kattavasti EU:n liiketoimintaympäristön yritysten koon mukaan ja jäsenvaltioiden erityispiirteet huomioiden, jotta pienten </w:t>
      </w:r>
      <w:proofErr w:type="spellStart"/>
      <w:r>
        <w:t>midcap</w:t>
      </w:r>
      <w:proofErr w:type="spellEnd"/>
      <w:r>
        <w:t>-yritysten luokalle voidaan varmistaa tarkoituksenmukaisemmat kynnysarvot ja soveltamisala.</w:t>
      </w:r>
    </w:p>
    <w:p w14:paraId="637C7D37" w14:textId="77777777" w:rsidR="00436824" w:rsidRDefault="00436824" w:rsidP="00D95E0E">
      <w:pPr>
        <w:numPr>
          <w:ilvl w:val="0"/>
          <w:numId w:val="34"/>
        </w:numPr>
        <w:overflowPunct w:val="0"/>
        <w:autoSpaceDE w:val="0"/>
        <w:autoSpaceDN w:val="0"/>
        <w:adjustRightInd w:val="0"/>
        <w:ind w:left="426"/>
      </w:pPr>
      <w:r>
        <w:t>kannustaa komissiota esittämään lisää kohdennettuja toimenpiteitä yleisen tietosuoja-asetuksen yksinkertaistamiseksi, sillä moniin yrityksiin kohdistuu edelleen suhteettomia vaatimusten noudattamista koskevia vaatimuksia, kuten laaja tietojen säilyttäminen.</w:t>
      </w:r>
    </w:p>
    <w:p w14:paraId="39DC882A" w14:textId="77777777" w:rsidR="00436824" w:rsidRDefault="00436824" w:rsidP="00D95E0E">
      <w:pPr>
        <w:numPr>
          <w:ilvl w:val="0"/>
          <w:numId w:val="34"/>
        </w:numPr>
        <w:overflowPunct w:val="0"/>
        <w:autoSpaceDE w:val="0"/>
        <w:autoSpaceDN w:val="0"/>
        <w:adjustRightInd w:val="0"/>
        <w:ind w:left="426"/>
      </w:pPr>
      <w:r>
        <w:t>on huolissaan siitä, että fluorattuja kasvihuonekaasuja (F-kaasuja) koskevaan asetukseen ehdotettu muutos saattaa luoda ilmastolle erittäin haitallisia aineita koskevaan lainsäädäntökehykseen porsaanreiän.</w:t>
      </w:r>
    </w:p>
    <w:p w14:paraId="5C607D49" w14:textId="77777777" w:rsidR="00436824" w:rsidRDefault="00436824" w:rsidP="00D95E0E">
      <w:pPr>
        <w:numPr>
          <w:ilvl w:val="0"/>
          <w:numId w:val="34"/>
        </w:numPr>
        <w:overflowPunct w:val="0"/>
        <w:autoSpaceDE w:val="0"/>
        <w:autoSpaceDN w:val="0"/>
        <w:adjustRightInd w:val="0"/>
        <w:ind w:left="426"/>
      </w:pPr>
      <w:r>
        <w:t>korostaa, että yhteisten eritelmien olisi perustuttava yhdenmukaistettuun lähestymistapaan ja niitä olisi pidettävä varavaihtoehtona, johon sovelletaan tiukkoja kriteerejä, jotta voidaan varmistaa niiden kehittämis- ja hyväksymisprosessin selkeys ja avoimuus ja estää rinnakkaisen järjestelmän syntyminen.</w:t>
      </w:r>
    </w:p>
    <w:p w14:paraId="7CB3450A" w14:textId="77777777" w:rsidR="00436824" w:rsidRDefault="00436824" w:rsidP="00D95E0E">
      <w:pPr>
        <w:ind w:left="709"/>
      </w:pPr>
    </w:p>
    <w:tbl>
      <w:tblPr>
        <w:tblW w:w="3516" w:type="pct"/>
        <w:tblLook w:val="04A0" w:firstRow="1" w:lastRow="0" w:firstColumn="1" w:lastColumn="0" w:noHBand="0" w:noVBand="1"/>
      </w:tblPr>
      <w:tblGrid>
        <w:gridCol w:w="1985"/>
        <w:gridCol w:w="4395"/>
      </w:tblGrid>
      <w:tr w:rsidR="00436824" w14:paraId="7500CBFD" w14:textId="77777777" w:rsidTr="00436824">
        <w:tc>
          <w:tcPr>
            <w:tcW w:w="1556" w:type="pct"/>
            <w:hideMark/>
          </w:tcPr>
          <w:p w14:paraId="046C8394" w14:textId="77777777" w:rsidR="00436824" w:rsidRDefault="00436824" w:rsidP="00D95E0E">
            <w:pPr>
              <w:rPr>
                <w:i/>
              </w:rPr>
            </w:pPr>
            <w:r>
              <w:rPr>
                <w:b/>
                <w:i/>
              </w:rPr>
              <w:t>Yhteydenotot</w:t>
            </w:r>
          </w:p>
        </w:tc>
        <w:tc>
          <w:tcPr>
            <w:tcW w:w="3444" w:type="pct"/>
            <w:hideMark/>
          </w:tcPr>
          <w:p w14:paraId="52006A74" w14:textId="251E771E" w:rsidR="00436824" w:rsidRDefault="00436824" w:rsidP="00D95E0E">
            <w:pPr>
              <w:rPr>
                <w:i/>
              </w:rPr>
            </w:pPr>
            <w:r>
              <w:rPr>
                <w:i/>
              </w:rPr>
              <w:t xml:space="preserve">Marco </w:t>
            </w:r>
            <w:proofErr w:type="spellStart"/>
            <w:r w:rsidR="00B959E2">
              <w:rPr>
                <w:i/>
              </w:rPr>
              <w:t>Manfroni</w:t>
            </w:r>
            <w:proofErr w:type="spellEnd"/>
          </w:p>
        </w:tc>
      </w:tr>
      <w:tr w:rsidR="00436824" w14:paraId="763F7F4A" w14:textId="77777777" w:rsidTr="00436824">
        <w:tc>
          <w:tcPr>
            <w:tcW w:w="1556" w:type="pct"/>
            <w:hideMark/>
          </w:tcPr>
          <w:p w14:paraId="3A9E9FAC" w14:textId="77777777" w:rsidR="00436824" w:rsidRDefault="00436824" w:rsidP="00D95E0E">
            <w:pPr>
              <w:rPr>
                <w:i/>
              </w:rPr>
            </w:pPr>
            <w:r>
              <w:rPr>
                <w:i/>
              </w:rPr>
              <w:t>P.</w:t>
            </w:r>
          </w:p>
        </w:tc>
        <w:tc>
          <w:tcPr>
            <w:tcW w:w="3444" w:type="pct"/>
            <w:hideMark/>
          </w:tcPr>
          <w:p w14:paraId="72605F93" w14:textId="77777777" w:rsidR="00436824" w:rsidRDefault="00436824" w:rsidP="00D95E0E">
            <w:pPr>
              <w:rPr>
                <w:i/>
              </w:rPr>
            </w:pPr>
            <w:r>
              <w:rPr>
                <w:i/>
              </w:rPr>
              <w:t>+32 25469140</w:t>
            </w:r>
          </w:p>
        </w:tc>
      </w:tr>
      <w:tr w:rsidR="00436824" w14:paraId="6943155B" w14:textId="77777777" w:rsidTr="00436824">
        <w:tc>
          <w:tcPr>
            <w:tcW w:w="1556" w:type="pct"/>
            <w:hideMark/>
          </w:tcPr>
          <w:p w14:paraId="7D032181" w14:textId="77777777" w:rsidR="00436824" w:rsidRDefault="00436824" w:rsidP="00D95E0E">
            <w:pPr>
              <w:rPr>
                <w:i/>
              </w:rPr>
            </w:pPr>
            <w:r>
              <w:rPr>
                <w:i/>
              </w:rPr>
              <w:t>Sähköposti</w:t>
            </w:r>
          </w:p>
        </w:tc>
        <w:tc>
          <w:tcPr>
            <w:tcW w:w="3444" w:type="pct"/>
          </w:tcPr>
          <w:p w14:paraId="597499F4" w14:textId="09CB5F0D" w:rsidR="00436824" w:rsidRPr="00AF3202" w:rsidRDefault="0061775F" w:rsidP="00D95E0E">
            <w:pPr>
              <w:rPr>
                <w:i/>
                <w:iCs/>
                <w:szCs w:val="20"/>
              </w:rPr>
            </w:pPr>
            <w:hyperlink r:id="rId60" w:history="1">
              <w:r w:rsidR="00436824">
                <w:rPr>
                  <w:rStyle w:val="Hyperlink"/>
                  <w:i/>
                </w:rPr>
                <w:t>Marco.Manfroni@eesc.europa.eu</w:t>
              </w:r>
            </w:hyperlink>
          </w:p>
        </w:tc>
      </w:tr>
    </w:tbl>
    <w:p w14:paraId="4982DE45" w14:textId="6D474EA6" w:rsidR="00436824" w:rsidRDefault="00436824" w:rsidP="00D95E0E">
      <w:pPr>
        <w:jc w:val="left"/>
      </w:pPr>
    </w:p>
    <w:p w14:paraId="63A117B6" w14:textId="77777777" w:rsidR="00436824" w:rsidRDefault="00436824" w:rsidP="00D95E0E">
      <w:pPr>
        <w:jc w:val="left"/>
      </w:pPr>
      <w:r>
        <w:br w:type="page"/>
      </w:r>
    </w:p>
    <w:p w14:paraId="0B2CB0EC" w14:textId="01322DA3" w:rsidR="00436824" w:rsidRDefault="0061775F" w:rsidP="00D95E0E">
      <w:pPr>
        <w:numPr>
          <w:ilvl w:val="0"/>
          <w:numId w:val="3"/>
        </w:numPr>
        <w:overflowPunct w:val="0"/>
        <w:autoSpaceDE w:val="0"/>
        <w:autoSpaceDN w:val="0"/>
        <w:adjustRightInd w:val="0"/>
        <w:ind w:hanging="567"/>
        <w:rPr>
          <w:b/>
          <w:bCs/>
          <w:i/>
          <w:iCs/>
          <w:sz w:val="28"/>
          <w:szCs w:val="28"/>
        </w:rPr>
      </w:pPr>
      <w:hyperlink r:id="rId61" w:tgtFrame="_blank" w:history="1">
        <w:r w:rsidR="00436824">
          <w:rPr>
            <w:rStyle w:val="Hyperlink"/>
            <w:b/>
            <w:bCs/>
            <w:i/>
            <w:iCs/>
            <w:sz w:val="28"/>
            <w:szCs w:val="28"/>
          </w:rPr>
          <w:t>Euroopan puolustuspolitiikka – sisämarkkinat</w:t>
        </w:r>
      </w:hyperlink>
    </w:p>
    <w:p w14:paraId="4C8C1585" w14:textId="77777777" w:rsidR="00436824" w:rsidRDefault="00436824" w:rsidP="00D95E0E">
      <w:pPr>
        <w:tabs>
          <w:tab w:val="center" w:pos="284"/>
        </w:tabs>
        <w:ind w:left="266" w:hanging="266"/>
        <w:rPr>
          <w:b/>
        </w:rPr>
      </w:pPr>
    </w:p>
    <w:tbl>
      <w:tblPr>
        <w:tblW w:w="9214" w:type="dxa"/>
        <w:tblLook w:val="04A0" w:firstRow="1" w:lastRow="0" w:firstColumn="1" w:lastColumn="0" w:noHBand="0" w:noVBand="1"/>
      </w:tblPr>
      <w:tblGrid>
        <w:gridCol w:w="1701"/>
        <w:gridCol w:w="7513"/>
      </w:tblGrid>
      <w:tr w:rsidR="00436824" w14:paraId="6BCD73D9" w14:textId="77777777" w:rsidTr="00436824">
        <w:tc>
          <w:tcPr>
            <w:tcW w:w="1701" w:type="dxa"/>
            <w:hideMark/>
          </w:tcPr>
          <w:p w14:paraId="35225A3C" w14:textId="77777777" w:rsidR="00436824" w:rsidRDefault="00436824" w:rsidP="00D95E0E">
            <w:pPr>
              <w:tabs>
                <w:tab w:val="center" w:pos="284"/>
              </w:tabs>
              <w:ind w:left="266" w:hanging="266"/>
              <w:rPr>
                <w:b/>
              </w:rPr>
            </w:pPr>
            <w:r>
              <w:rPr>
                <w:b/>
              </w:rPr>
              <w:t>Esittelijä</w:t>
            </w:r>
          </w:p>
        </w:tc>
        <w:tc>
          <w:tcPr>
            <w:tcW w:w="7513" w:type="dxa"/>
            <w:hideMark/>
          </w:tcPr>
          <w:p w14:paraId="01EC92EE" w14:textId="62A2A52A" w:rsidR="00436824" w:rsidRDefault="00436824" w:rsidP="00D95E0E">
            <w:pPr>
              <w:tabs>
                <w:tab w:val="center" w:pos="284"/>
              </w:tabs>
              <w:ind w:left="266" w:hanging="266"/>
            </w:pPr>
            <w:r>
              <w:t xml:space="preserve">Angelo </w:t>
            </w:r>
            <w:r w:rsidR="0049636B">
              <w:t xml:space="preserve">PAGLIARA </w:t>
            </w:r>
            <w:r>
              <w:t>(työntekijät – IT)</w:t>
            </w:r>
          </w:p>
        </w:tc>
      </w:tr>
      <w:tr w:rsidR="00436824" w14:paraId="1A2E79BE" w14:textId="77777777" w:rsidTr="00436824">
        <w:tc>
          <w:tcPr>
            <w:tcW w:w="1701" w:type="dxa"/>
            <w:hideMark/>
          </w:tcPr>
          <w:p w14:paraId="43E23F4D" w14:textId="77777777" w:rsidR="00436824" w:rsidRDefault="00436824" w:rsidP="00D95E0E">
            <w:pPr>
              <w:tabs>
                <w:tab w:val="center" w:pos="284"/>
              </w:tabs>
              <w:ind w:left="266" w:hanging="266"/>
              <w:rPr>
                <w:b/>
              </w:rPr>
            </w:pPr>
            <w:r>
              <w:rPr>
                <w:b/>
              </w:rPr>
              <w:t>Viiteasiakirja</w:t>
            </w:r>
          </w:p>
        </w:tc>
        <w:tc>
          <w:tcPr>
            <w:tcW w:w="7513" w:type="dxa"/>
            <w:hideMark/>
          </w:tcPr>
          <w:p w14:paraId="59A333EE" w14:textId="77777777" w:rsidR="00436824" w:rsidRDefault="00436824" w:rsidP="00D95E0E">
            <w:pPr>
              <w:tabs>
                <w:tab w:val="center" w:pos="284"/>
              </w:tabs>
              <w:ind w:left="266" w:hanging="266"/>
            </w:pPr>
            <w:r>
              <w:t>oma-aloitteinen lausunto</w:t>
            </w:r>
          </w:p>
          <w:p w14:paraId="650C0BD3" w14:textId="77777777" w:rsidR="00436824" w:rsidRDefault="00436824" w:rsidP="00D95E0E">
            <w:pPr>
              <w:tabs>
                <w:tab w:val="center" w:pos="284"/>
              </w:tabs>
              <w:ind w:left="266" w:hanging="266"/>
            </w:pPr>
            <w:r>
              <w:t>EESC-2025-00634-00-00-AC</w:t>
            </w:r>
          </w:p>
        </w:tc>
      </w:tr>
    </w:tbl>
    <w:p w14:paraId="04012A92" w14:textId="4B2AE482" w:rsidR="00436824" w:rsidRDefault="00436824" w:rsidP="00D95E0E">
      <w:pPr>
        <w:keepNext/>
        <w:keepLines/>
        <w:tabs>
          <w:tab w:val="center" w:pos="284"/>
        </w:tabs>
        <w:ind w:left="266" w:hanging="266"/>
        <w:rPr>
          <w:b/>
        </w:rPr>
      </w:pPr>
    </w:p>
    <w:p w14:paraId="029FA0D8" w14:textId="77777777" w:rsidR="00AF3202" w:rsidRDefault="00AF3202" w:rsidP="00D95E0E">
      <w:pPr>
        <w:keepNext/>
        <w:keepLines/>
        <w:tabs>
          <w:tab w:val="center" w:pos="284"/>
        </w:tabs>
        <w:ind w:left="266" w:hanging="266"/>
        <w:rPr>
          <w:b/>
        </w:rPr>
      </w:pPr>
      <w:r>
        <w:rPr>
          <w:b/>
        </w:rPr>
        <w:t>Keskeiset kohdat</w:t>
      </w:r>
    </w:p>
    <w:p w14:paraId="40EA2E0C" w14:textId="77777777" w:rsidR="00AF3202" w:rsidRDefault="00AF3202" w:rsidP="00D95E0E">
      <w:pPr>
        <w:keepNext/>
        <w:keepLines/>
        <w:tabs>
          <w:tab w:val="center" w:pos="284"/>
        </w:tabs>
        <w:ind w:left="266" w:hanging="266"/>
        <w:rPr>
          <w:b/>
        </w:rPr>
      </w:pPr>
    </w:p>
    <w:p w14:paraId="72F5694F" w14:textId="77777777" w:rsidR="00AF3202" w:rsidRDefault="00AF3202" w:rsidP="00D95E0E">
      <w:pPr>
        <w:rPr>
          <w:bCs/>
          <w:iCs/>
        </w:rPr>
      </w:pPr>
      <w:r>
        <w:t>ETSK</w:t>
      </w:r>
    </w:p>
    <w:p w14:paraId="33F05255" w14:textId="77777777" w:rsidR="00AF3202" w:rsidRDefault="00AF3202" w:rsidP="00D95E0E">
      <w:pPr>
        <w:numPr>
          <w:ilvl w:val="0"/>
          <w:numId w:val="35"/>
        </w:numPr>
        <w:overflowPunct w:val="0"/>
        <w:autoSpaceDE w:val="0"/>
        <w:autoSpaceDN w:val="0"/>
        <w:adjustRightInd w:val="0"/>
        <w:ind w:left="426"/>
        <w:rPr>
          <w:bCs/>
          <w:iCs/>
        </w:rPr>
      </w:pPr>
      <w:r>
        <w:t>korostaa, että Euroopan unionin puolustusvoimavaroja vahvistettaessa on kunnioitettava EU:n perusarvoja ja keskityttävä kansalaisten hyvinvointiin.</w:t>
      </w:r>
    </w:p>
    <w:p w14:paraId="25934D3D" w14:textId="77777777" w:rsidR="00AF3202" w:rsidRDefault="00AF3202" w:rsidP="00D95E0E">
      <w:pPr>
        <w:numPr>
          <w:ilvl w:val="0"/>
          <w:numId w:val="35"/>
        </w:numPr>
        <w:overflowPunct w:val="0"/>
        <w:autoSpaceDE w:val="0"/>
        <w:autoSpaceDN w:val="0"/>
        <w:adjustRightInd w:val="0"/>
        <w:ind w:left="426"/>
        <w:rPr>
          <w:bCs/>
          <w:iCs/>
        </w:rPr>
      </w:pPr>
      <w:r>
        <w:t>katsoo, että EU:lla olisi oltava yhteisen ulko- ja turvallisuuspolitiikan puitteissa yhteinen puolustuspolitiikka ja sen olisi luotava vahva eurooppalainen puolustuspilari, joka ylittää kansalliset mallit.</w:t>
      </w:r>
    </w:p>
    <w:p w14:paraId="1F06E625" w14:textId="77777777" w:rsidR="00AF3202" w:rsidRDefault="00AF3202" w:rsidP="00D95E0E">
      <w:pPr>
        <w:numPr>
          <w:ilvl w:val="0"/>
          <w:numId w:val="35"/>
        </w:numPr>
        <w:overflowPunct w:val="0"/>
        <w:autoSpaceDE w:val="0"/>
        <w:autoSpaceDN w:val="0"/>
        <w:adjustRightInd w:val="0"/>
        <w:ind w:left="426"/>
        <w:rPr>
          <w:bCs/>
          <w:iCs/>
        </w:rPr>
      </w:pPr>
      <w:r>
        <w:t>kehottaa soveltamaan Euroopan turvallisuuteen yhdennettyä lähestymistapaa, jossa otetaan huomioon myös sosiaalinen, teollinen ja ympäristöön sekä terveydenhuoltoon liittyvä ulottuvuus ja joka perustuu vahvoihin julkisiin järjestelmiin ja kansalaisten luottamukseen.</w:t>
      </w:r>
    </w:p>
    <w:p w14:paraId="66B7C9C5" w14:textId="77777777" w:rsidR="00AF3202" w:rsidRDefault="00AF3202" w:rsidP="00D95E0E">
      <w:pPr>
        <w:numPr>
          <w:ilvl w:val="0"/>
          <w:numId w:val="35"/>
        </w:numPr>
        <w:overflowPunct w:val="0"/>
        <w:autoSpaceDE w:val="0"/>
        <w:autoSpaceDN w:val="0"/>
        <w:adjustRightInd w:val="0"/>
        <w:ind w:left="426"/>
        <w:rPr>
          <w:bCs/>
          <w:iCs/>
        </w:rPr>
      </w:pPr>
      <w:r>
        <w:t>katsoo, että on tarpeen edistää pikaisesti yhteistä eurooppalaista teollisuuspolitiikkaa, jolla parannetaan teollisuuden kilpailukykyä noudattaen samalla avoimuuden, tehokkuuden ja kestävyyden periaatteita. Komitea kehottaa myös ottamaan käyttöön erityisiä yhteisiä rahoitusvälineitä.</w:t>
      </w:r>
    </w:p>
    <w:p w14:paraId="33C46A7A" w14:textId="77777777" w:rsidR="00AF3202" w:rsidRDefault="00AF3202" w:rsidP="00D95E0E">
      <w:pPr>
        <w:numPr>
          <w:ilvl w:val="0"/>
          <w:numId w:val="35"/>
        </w:numPr>
        <w:overflowPunct w:val="0"/>
        <w:autoSpaceDE w:val="0"/>
        <w:autoSpaceDN w:val="0"/>
        <w:adjustRightInd w:val="0"/>
        <w:ind w:left="426"/>
        <w:rPr>
          <w:bCs/>
          <w:iCs/>
        </w:rPr>
      </w:pPr>
      <w:r>
        <w:t xml:space="preserve">suosittaa, että puolustusalan investoinnit suunnataan Euroopan teollisen ja teknologisen perustan vahvistamiseen niin, että samalla </w:t>
      </w:r>
      <w:proofErr w:type="spellStart"/>
      <w:r>
        <w:t>osallistetaan</w:t>
      </w:r>
      <w:proofErr w:type="spellEnd"/>
      <w:r>
        <w:t xml:space="preserve"> aktiivisesti työmarkkinaosapuolet ja pienet ja keskisuuret yritykset. On tärkeää edistää laadukkaiden työpaikkojen luomista ja ehkäistä polkumyyntiä ja tuotannon haitallista siirtämistä.</w:t>
      </w:r>
    </w:p>
    <w:p w14:paraId="113590FB" w14:textId="77777777" w:rsidR="00AF3202" w:rsidRDefault="00AF3202" w:rsidP="00D95E0E">
      <w:pPr>
        <w:numPr>
          <w:ilvl w:val="0"/>
          <w:numId w:val="35"/>
        </w:numPr>
        <w:overflowPunct w:val="0"/>
        <w:autoSpaceDE w:val="0"/>
        <w:autoSpaceDN w:val="0"/>
        <w:adjustRightInd w:val="0"/>
        <w:ind w:left="426"/>
        <w:rPr>
          <w:bCs/>
          <w:iCs/>
        </w:rPr>
      </w:pPr>
      <w:r>
        <w:t>pitää olennaisen tärkeänä varmistaa EU:n rahoitusvälineiden ja unionin finanssipoliittisen kehyksen välinen asianmukainen koordinointi ja jättää strategiset investoinnit, myös puolustusalan investoinnit, alijäämälaskelmien ulkopuolelle.</w:t>
      </w:r>
    </w:p>
    <w:p w14:paraId="4F07ABAC" w14:textId="77777777" w:rsidR="00AF3202" w:rsidRDefault="00AF3202" w:rsidP="00D95E0E">
      <w:pPr>
        <w:numPr>
          <w:ilvl w:val="0"/>
          <w:numId w:val="35"/>
        </w:numPr>
        <w:overflowPunct w:val="0"/>
        <w:autoSpaceDE w:val="0"/>
        <w:autoSpaceDN w:val="0"/>
        <w:adjustRightInd w:val="0"/>
        <w:ind w:left="426"/>
        <w:rPr>
          <w:bCs/>
          <w:iCs/>
        </w:rPr>
      </w:pPr>
      <w:r>
        <w:t>kehottaa komissiota ja jäsenvaltioita varmistamaan täyden avoimuuden puolustukseen tarkoitettujen varojen alkuperästä, käyttökohteista ja hallinnoinnista.</w:t>
      </w:r>
    </w:p>
    <w:p w14:paraId="7451D20D" w14:textId="77777777" w:rsidR="00AF3202" w:rsidRDefault="00AF3202" w:rsidP="00D95E0E">
      <w:pPr>
        <w:numPr>
          <w:ilvl w:val="0"/>
          <w:numId w:val="35"/>
        </w:numPr>
        <w:overflowPunct w:val="0"/>
        <w:autoSpaceDE w:val="0"/>
        <w:autoSpaceDN w:val="0"/>
        <w:adjustRightInd w:val="0"/>
        <w:ind w:left="426"/>
        <w:rPr>
          <w:bCs/>
          <w:iCs/>
        </w:rPr>
      </w:pPr>
      <w:r>
        <w:t>kannustaa perustamaan toimielinten välisen yhteisen turvallisuuden seurantakeskuksen (jonka toiminnassa olisivat mukana ETSK, AK, Euroopan komissio ja Euroopan parlamentti) seuraamaan eurooppalaisten puolustuspolitiikkojen vaikutusta aluetasolla ja kansalaisten luottamuksen tasoa.</w:t>
      </w:r>
    </w:p>
    <w:p w14:paraId="1ABC953C" w14:textId="77777777" w:rsidR="00436824" w:rsidRDefault="00436824" w:rsidP="00D95E0E">
      <w:pPr>
        <w:ind w:left="567"/>
        <w:rPr>
          <w:bCs/>
          <w:iCs/>
        </w:rPr>
      </w:pPr>
    </w:p>
    <w:tbl>
      <w:tblPr>
        <w:tblW w:w="9214" w:type="dxa"/>
        <w:tblLook w:val="04A0" w:firstRow="1" w:lastRow="0" w:firstColumn="1" w:lastColumn="0" w:noHBand="0" w:noVBand="1"/>
      </w:tblPr>
      <w:tblGrid>
        <w:gridCol w:w="1418"/>
        <w:gridCol w:w="7796"/>
      </w:tblGrid>
      <w:tr w:rsidR="00436824" w14:paraId="20CAA414" w14:textId="77777777" w:rsidTr="00436824">
        <w:tc>
          <w:tcPr>
            <w:tcW w:w="1418" w:type="dxa"/>
            <w:hideMark/>
          </w:tcPr>
          <w:p w14:paraId="4FB5E12F" w14:textId="77777777" w:rsidR="00436824" w:rsidRDefault="00436824" w:rsidP="00D95E0E">
            <w:pPr>
              <w:rPr>
                <w:i/>
              </w:rPr>
            </w:pPr>
            <w:r>
              <w:rPr>
                <w:b/>
                <w:i/>
              </w:rPr>
              <w:t>Yhteydenotot</w:t>
            </w:r>
          </w:p>
        </w:tc>
        <w:tc>
          <w:tcPr>
            <w:tcW w:w="7796" w:type="dxa"/>
            <w:hideMark/>
          </w:tcPr>
          <w:p w14:paraId="0F8C9F5E" w14:textId="262A216C" w:rsidR="00436824" w:rsidRDefault="00436824" w:rsidP="00D95E0E">
            <w:pPr>
              <w:rPr>
                <w:i/>
              </w:rPr>
            </w:pPr>
            <w:proofErr w:type="spellStart"/>
            <w:r>
              <w:rPr>
                <w:i/>
              </w:rPr>
              <w:t>Annalisa</w:t>
            </w:r>
            <w:proofErr w:type="spellEnd"/>
            <w:r>
              <w:rPr>
                <w:i/>
              </w:rPr>
              <w:t xml:space="preserve"> </w:t>
            </w:r>
            <w:proofErr w:type="spellStart"/>
            <w:r w:rsidR="00B959E2">
              <w:rPr>
                <w:i/>
              </w:rPr>
              <w:t>Tessarolo</w:t>
            </w:r>
            <w:proofErr w:type="spellEnd"/>
          </w:p>
        </w:tc>
      </w:tr>
      <w:tr w:rsidR="00436824" w14:paraId="282D0A31" w14:textId="77777777" w:rsidTr="00436824">
        <w:tc>
          <w:tcPr>
            <w:tcW w:w="1418" w:type="dxa"/>
            <w:hideMark/>
          </w:tcPr>
          <w:p w14:paraId="19055F52" w14:textId="77777777" w:rsidR="00436824" w:rsidRDefault="00436824" w:rsidP="00D95E0E">
            <w:pPr>
              <w:rPr>
                <w:i/>
              </w:rPr>
            </w:pPr>
            <w:r>
              <w:rPr>
                <w:i/>
              </w:rPr>
              <w:t>P.</w:t>
            </w:r>
          </w:p>
        </w:tc>
        <w:tc>
          <w:tcPr>
            <w:tcW w:w="7796" w:type="dxa"/>
            <w:hideMark/>
          </w:tcPr>
          <w:p w14:paraId="7E268E46" w14:textId="77777777" w:rsidR="00436824" w:rsidRDefault="00436824" w:rsidP="00D95E0E">
            <w:pPr>
              <w:rPr>
                <w:i/>
              </w:rPr>
            </w:pPr>
            <w:r>
              <w:rPr>
                <w:i/>
              </w:rPr>
              <w:t>+32 25469732</w:t>
            </w:r>
          </w:p>
        </w:tc>
      </w:tr>
      <w:tr w:rsidR="00436824" w14:paraId="6BA21E1B" w14:textId="77777777" w:rsidTr="00436824">
        <w:tc>
          <w:tcPr>
            <w:tcW w:w="1418" w:type="dxa"/>
            <w:hideMark/>
          </w:tcPr>
          <w:p w14:paraId="62ECCFE4" w14:textId="77777777" w:rsidR="00436824" w:rsidRDefault="00436824" w:rsidP="00D95E0E">
            <w:pPr>
              <w:rPr>
                <w:i/>
              </w:rPr>
            </w:pPr>
            <w:r>
              <w:rPr>
                <w:i/>
              </w:rPr>
              <w:t>Sähköposti</w:t>
            </w:r>
          </w:p>
        </w:tc>
        <w:tc>
          <w:tcPr>
            <w:tcW w:w="7796" w:type="dxa"/>
            <w:hideMark/>
          </w:tcPr>
          <w:p w14:paraId="31F052B8" w14:textId="77777777" w:rsidR="00436824" w:rsidRDefault="0061775F" w:rsidP="00D95E0E">
            <w:pPr>
              <w:rPr>
                <w:i/>
              </w:rPr>
            </w:pPr>
            <w:hyperlink r:id="rId62" w:history="1">
              <w:r w:rsidR="00436824">
                <w:rPr>
                  <w:rStyle w:val="Hyperlink"/>
                  <w:i/>
                </w:rPr>
                <w:t>Annalisa.Tessarolo@eesc.europa.eu</w:t>
              </w:r>
            </w:hyperlink>
          </w:p>
        </w:tc>
      </w:tr>
    </w:tbl>
    <w:p w14:paraId="481F2124" w14:textId="7C4469FE" w:rsidR="00436824" w:rsidRDefault="00436824" w:rsidP="00D95E0E">
      <w:pPr>
        <w:jc w:val="left"/>
      </w:pPr>
    </w:p>
    <w:p w14:paraId="67A33B51" w14:textId="77777777" w:rsidR="00436824" w:rsidRDefault="00436824" w:rsidP="00D95E0E">
      <w:pPr>
        <w:jc w:val="left"/>
      </w:pPr>
      <w:r>
        <w:br w:type="page"/>
      </w:r>
    </w:p>
    <w:p w14:paraId="58458046" w14:textId="005E5551" w:rsidR="00436824" w:rsidRDefault="0061775F" w:rsidP="00D95E0E">
      <w:pPr>
        <w:numPr>
          <w:ilvl w:val="0"/>
          <w:numId w:val="3"/>
        </w:numPr>
        <w:overflowPunct w:val="0"/>
        <w:autoSpaceDE w:val="0"/>
        <w:autoSpaceDN w:val="0"/>
        <w:adjustRightInd w:val="0"/>
        <w:ind w:hanging="567"/>
        <w:rPr>
          <w:sz w:val="20"/>
        </w:rPr>
      </w:pPr>
      <w:hyperlink r:id="rId63" w:history="1">
        <w:r w:rsidR="00436824">
          <w:rPr>
            <w:rStyle w:val="Hyperlink"/>
            <w:b/>
            <w:i/>
            <w:sz w:val="28"/>
          </w:rPr>
          <w:t>Reilu kilpailu ja kolmansien maiden alustat</w:t>
        </w:r>
      </w:hyperlink>
    </w:p>
    <w:p w14:paraId="7D56D6BE" w14:textId="77777777" w:rsidR="00436824" w:rsidRDefault="00436824" w:rsidP="00D95E0E">
      <w:pPr>
        <w:tabs>
          <w:tab w:val="center" w:pos="284"/>
        </w:tabs>
        <w:ind w:left="266" w:hanging="266"/>
        <w:rPr>
          <w:b/>
        </w:rPr>
      </w:pPr>
    </w:p>
    <w:tbl>
      <w:tblPr>
        <w:tblW w:w="5000" w:type="pct"/>
        <w:tblLook w:val="04A0" w:firstRow="1" w:lastRow="0" w:firstColumn="1" w:lastColumn="0" w:noHBand="0" w:noVBand="1"/>
      </w:tblPr>
      <w:tblGrid>
        <w:gridCol w:w="1980"/>
        <w:gridCol w:w="7093"/>
      </w:tblGrid>
      <w:tr w:rsidR="00436824" w14:paraId="33D90666" w14:textId="77777777" w:rsidTr="0049636B">
        <w:trPr>
          <w:trHeight w:val="303"/>
        </w:trPr>
        <w:tc>
          <w:tcPr>
            <w:tcW w:w="1091" w:type="pct"/>
            <w:hideMark/>
          </w:tcPr>
          <w:p w14:paraId="077924A6" w14:textId="77777777" w:rsidR="00436824" w:rsidRDefault="00436824" w:rsidP="00D95E0E">
            <w:pPr>
              <w:tabs>
                <w:tab w:val="center" w:pos="284"/>
              </w:tabs>
              <w:ind w:left="266" w:hanging="266"/>
              <w:rPr>
                <w:b/>
              </w:rPr>
            </w:pPr>
            <w:r>
              <w:rPr>
                <w:b/>
              </w:rPr>
              <w:t>Esittelijä</w:t>
            </w:r>
          </w:p>
        </w:tc>
        <w:tc>
          <w:tcPr>
            <w:tcW w:w="3909" w:type="pct"/>
            <w:hideMark/>
          </w:tcPr>
          <w:p w14:paraId="4D7F9DE4" w14:textId="77777777" w:rsidR="00436824" w:rsidRDefault="00436824" w:rsidP="00D95E0E">
            <w:pPr>
              <w:tabs>
                <w:tab w:val="center" w:pos="0"/>
              </w:tabs>
              <w:ind w:left="266" w:hanging="266"/>
              <w:rPr>
                <w:szCs w:val="20"/>
              </w:rPr>
            </w:pPr>
            <w:proofErr w:type="spellStart"/>
            <w:r>
              <w:t>Antje</w:t>
            </w:r>
            <w:proofErr w:type="spellEnd"/>
            <w:r>
              <w:t xml:space="preserve"> GERSTEIN (työnantajat – DE)</w:t>
            </w:r>
          </w:p>
        </w:tc>
      </w:tr>
      <w:tr w:rsidR="00436824" w14:paraId="58F6A982" w14:textId="77777777" w:rsidTr="00436824">
        <w:tc>
          <w:tcPr>
            <w:tcW w:w="1091" w:type="pct"/>
            <w:hideMark/>
          </w:tcPr>
          <w:p w14:paraId="27D75757" w14:textId="77777777" w:rsidR="00436824" w:rsidRDefault="00436824" w:rsidP="00D95E0E">
            <w:pPr>
              <w:tabs>
                <w:tab w:val="center" w:pos="284"/>
              </w:tabs>
              <w:ind w:left="266" w:hanging="266"/>
              <w:rPr>
                <w:b/>
              </w:rPr>
            </w:pPr>
            <w:r>
              <w:rPr>
                <w:b/>
              </w:rPr>
              <w:t>Viiteasiakirja</w:t>
            </w:r>
          </w:p>
        </w:tc>
        <w:tc>
          <w:tcPr>
            <w:tcW w:w="3909" w:type="pct"/>
            <w:hideMark/>
          </w:tcPr>
          <w:p w14:paraId="0B3E67BF" w14:textId="77777777" w:rsidR="00436824" w:rsidRDefault="00436824" w:rsidP="00D95E0E">
            <w:pPr>
              <w:tabs>
                <w:tab w:val="center" w:pos="284"/>
              </w:tabs>
              <w:ind w:left="266" w:hanging="266"/>
              <w:rPr>
                <w:szCs w:val="20"/>
              </w:rPr>
            </w:pPr>
            <w:r>
              <w:t>oma-aloitteinen lausunto</w:t>
            </w:r>
          </w:p>
          <w:p w14:paraId="741EB445" w14:textId="77777777" w:rsidR="00436824" w:rsidRDefault="00436824" w:rsidP="00D95E0E">
            <w:pPr>
              <w:tabs>
                <w:tab w:val="center" w:pos="284"/>
              </w:tabs>
              <w:ind w:left="266" w:hanging="266"/>
            </w:pPr>
            <w:r>
              <w:t>EESC-2025-00882-00-00-AC</w:t>
            </w:r>
          </w:p>
        </w:tc>
      </w:tr>
    </w:tbl>
    <w:p w14:paraId="09D1D68B" w14:textId="77777777" w:rsidR="00436824" w:rsidRDefault="00436824" w:rsidP="00D95E0E">
      <w:pPr>
        <w:keepNext/>
        <w:keepLines/>
        <w:tabs>
          <w:tab w:val="center" w:pos="284"/>
        </w:tabs>
        <w:ind w:left="266" w:hanging="266"/>
        <w:rPr>
          <w:b/>
        </w:rPr>
      </w:pPr>
    </w:p>
    <w:p w14:paraId="52203EB4" w14:textId="77777777" w:rsidR="00436824" w:rsidRDefault="00436824" w:rsidP="00D95E0E">
      <w:pPr>
        <w:keepNext/>
        <w:keepLines/>
        <w:tabs>
          <w:tab w:val="center" w:pos="284"/>
        </w:tabs>
        <w:ind w:left="266" w:hanging="266"/>
        <w:rPr>
          <w:b/>
        </w:rPr>
      </w:pPr>
      <w:r>
        <w:rPr>
          <w:b/>
        </w:rPr>
        <w:t>Keskeiset kohdat</w:t>
      </w:r>
    </w:p>
    <w:p w14:paraId="3A125FAD" w14:textId="77777777" w:rsidR="00436824" w:rsidRDefault="00436824" w:rsidP="00D95E0E">
      <w:pPr>
        <w:keepNext/>
        <w:keepLines/>
        <w:tabs>
          <w:tab w:val="center" w:pos="284"/>
        </w:tabs>
        <w:ind w:left="266" w:hanging="266"/>
        <w:rPr>
          <w:bCs/>
        </w:rPr>
      </w:pPr>
    </w:p>
    <w:p w14:paraId="6DED32FB" w14:textId="77777777" w:rsidR="00436824" w:rsidRDefault="00436824" w:rsidP="00D95E0E">
      <w:pPr>
        <w:rPr>
          <w:bCs/>
          <w:iCs/>
        </w:rPr>
      </w:pPr>
      <w:r>
        <w:t>ETSK</w:t>
      </w:r>
    </w:p>
    <w:p w14:paraId="3FC9BDCC" w14:textId="77777777" w:rsidR="00436824" w:rsidRDefault="00436824" w:rsidP="00D95E0E">
      <w:pPr>
        <w:pStyle w:val="ListParagraph"/>
        <w:numPr>
          <w:ilvl w:val="0"/>
          <w:numId w:val="36"/>
        </w:numPr>
        <w:ind w:left="426"/>
        <w:rPr>
          <w:bCs/>
          <w:iCs/>
        </w:rPr>
      </w:pPr>
      <w:r>
        <w:t xml:space="preserve">panee huolestuneena merkille, että </w:t>
      </w:r>
      <w:proofErr w:type="spellStart"/>
      <w:r>
        <w:t>Temun</w:t>
      </w:r>
      <w:proofErr w:type="spellEnd"/>
      <w:r>
        <w:t xml:space="preserve"> ja </w:t>
      </w:r>
      <w:proofErr w:type="spellStart"/>
      <w:r>
        <w:t>Sheinin</w:t>
      </w:r>
      <w:proofErr w:type="spellEnd"/>
      <w:r>
        <w:t xml:space="preserve"> kaltaisten kolmansien maiden verkkokauppa-alustojen toiminnan laajentuminen aiheuttaa merkittäviä reiluun kilpailuun, kuluttajansuojaan ja säännösten noudattamiseen liittyviä haasteita.</w:t>
      </w:r>
    </w:p>
    <w:p w14:paraId="39830344" w14:textId="77777777" w:rsidR="00436824" w:rsidRDefault="00436824" w:rsidP="00D95E0E">
      <w:pPr>
        <w:pStyle w:val="ListParagraph"/>
        <w:numPr>
          <w:ilvl w:val="0"/>
          <w:numId w:val="36"/>
        </w:numPr>
        <w:ind w:left="426"/>
        <w:rPr>
          <w:bCs/>
          <w:iCs/>
        </w:rPr>
      </w:pPr>
      <w:r>
        <w:t xml:space="preserve">kehottaa unionin sisämarkkinoiden suojelemiseksi panemaan nopeasti täytäntöön komission laatiman </w:t>
      </w:r>
      <w:r>
        <w:rPr>
          <w:i/>
        </w:rPr>
        <w:t>EU:n keinovalikoiman turvallista ja kestävää verkkokauppaa varten</w:t>
      </w:r>
      <w:r>
        <w:t xml:space="preserve"> sekä soveltamaan koordinoitua toimintamallia ja tehostamaan nykyisten sääntöjen täytäntöönpanon valvontaa EU-, jäsenvaltio- ja aluetasolla.</w:t>
      </w:r>
    </w:p>
    <w:p w14:paraId="72211E78" w14:textId="77777777" w:rsidR="00436824" w:rsidRDefault="00436824" w:rsidP="00D95E0E">
      <w:pPr>
        <w:pStyle w:val="ListParagraph"/>
        <w:numPr>
          <w:ilvl w:val="0"/>
          <w:numId w:val="36"/>
        </w:numPr>
        <w:ind w:left="426"/>
        <w:rPr>
          <w:bCs/>
          <w:iCs/>
        </w:rPr>
      </w:pPr>
      <w:r>
        <w:t>kannattaa EU:n tulliuudistuksen ja erityisesti sähköistä kaupankäyntiä koskevan osa-alueen mahdollisimman nopeaa täytäntöönpanoa ja kehottaa EU:n jäsenvaltioita antamaan komissiolle välittömästi valtuudet tullidatakeskuksen kehittämiseksi.</w:t>
      </w:r>
    </w:p>
    <w:p w14:paraId="7B9AC878" w14:textId="77777777" w:rsidR="00436824" w:rsidRDefault="00436824" w:rsidP="00D95E0E">
      <w:pPr>
        <w:pStyle w:val="ListParagraph"/>
        <w:numPr>
          <w:ilvl w:val="0"/>
          <w:numId w:val="36"/>
        </w:numPr>
        <w:ind w:left="426"/>
        <w:rPr>
          <w:bCs/>
          <w:iCs/>
        </w:rPr>
      </w:pPr>
      <w:r>
        <w:t>painottaa, että kaikkien kolmansien maiden alustojen on nimettävä EU:hun sijoittautunut vastuullinen talouden toimija, joka kantaa täyden oikeudellisen vastuun, ja että nämä on tunnustettava keskeisiksi toimijoiksi toimitusketjun palautusmenettelyissä.</w:t>
      </w:r>
    </w:p>
    <w:p w14:paraId="7C098C91" w14:textId="77777777" w:rsidR="00436824" w:rsidRDefault="00436824" w:rsidP="00D95E0E">
      <w:pPr>
        <w:pStyle w:val="ListParagraph"/>
        <w:numPr>
          <w:ilvl w:val="0"/>
          <w:numId w:val="36"/>
        </w:numPr>
        <w:ind w:left="426"/>
        <w:rPr>
          <w:bCs/>
          <w:iCs/>
        </w:rPr>
      </w:pPr>
      <w:r>
        <w:t>kehottaa tehostamaan kuluttajansuojalainsäädännön ja hintojen ilmoittamisesta annetun direktiivin täytäntöönpanon valvontaa vastauksena sellaisten sääntöjä noudattamattomien alustojen toistuviin rikkomuksiin, jotka lisäksi laiminlyövät myös jätettä ja pakkauksia koskevia EU:n sääntöjä ja siirtävät jätteenkäsittelykustannukset muille.</w:t>
      </w:r>
    </w:p>
    <w:p w14:paraId="156282F3" w14:textId="77777777" w:rsidR="00436824" w:rsidRDefault="00436824" w:rsidP="00D95E0E">
      <w:pPr>
        <w:pStyle w:val="ListParagraph"/>
        <w:numPr>
          <w:ilvl w:val="0"/>
          <w:numId w:val="36"/>
        </w:numPr>
        <w:ind w:left="426"/>
        <w:rPr>
          <w:bCs/>
          <w:iCs/>
        </w:rPr>
      </w:pPr>
      <w:r>
        <w:t>ehdottaa konkreettisia lyhyen, keskipitkän ja pitkän aikavälin toimenpiteitä, jotka johtavat reiluun kilpailuun ja täyttävät siten Euroopan unionista tehdyn sopimuksen 3 artiklan 3 kohdassa asetetut sosiaalisen markkinatalouden vaatimukset.</w:t>
      </w:r>
    </w:p>
    <w:p w14:paraId="7F4669E2" w14:textId="77777777" w:rsidR="00436824" w:rsidRDefault="00436824" w:rsidP="00D95E0E">
      <w:pPr>
        <w:pStyle w:val="ListParagraph"/>
        <w:ind w:left="567"/>
        <w:rPr>
          <w:bCs/>
          <w:iCs/>
        </w:rPr>
      </w:pPr>
    </w:p>
    <w:tbl>
      <w:tblPr>
        <w:tblW w:w="5000" w:type="pct"/>
        <w:tblLook w:val="04A0" w:firstRow="1" w:lastRow="0" w:firstColumn="1" w:lastColumn="0" w:noHBand="0" w:noVBand="1"/>
      </w:tblPr>
      <w:tblGrid>
        <w:gridCol w:w="1402"/>
        <w:gridCol w:w="7671"/>
      </w:tblGrid>
      <w:tr w:rsidR="00436824" w14:paraId="45528B70" w14:textId="77777777" w:rsidTr="00436824">
        <w:tc>
          <w:tcPr>
            <w:tcW w:w="742" w:type="pct"/>
            <w:hideMark/>
          </w:tcPr>
          <w:p w14:paraId="4B58F97D" w14:textId="77777777" w:rsidR="00436824" w:rsidRDefault="00436824" w:rsidP="00D95E0E">
            <w:pPr>
              <w:rPr>
                <w:i/>
              </w:rPr>
            </w:pPr>
            <w:r>
              <w:rPr>
                <w:b/>
                <w:i/>
              </w:rPr>
              <w:t>Yhteydenotot</w:t>
            </w:r>
          </w:p>
        </w:tc>
        <w:tc>
          <w:tcPr>
            <w:tcW w:w="4258" w:type="pct"/>
            <w:hideMark/>
          </w:tcPr>
          <w:p w14:paraId="2F6809F3" w14:textId="6610122D" w:rsidR="00436824" w:rsidRDefault="00436824" w:rsidP="00D95E0E">
            <w:pPr>
              <w:rPr>
                <w:i/>
              </w:rPr>
            </w:pPr>
            <w:proofErr w:type="spellStart"/>
            <w:r>
              <w:rPr>
                <w:i/>
              </w:rPr>
              <w:t>Radoslava</w:t>
            </w:r>
            <w:proofErr w:type="spellEnd"/>
            <w:r>
              <w:rPr>
                <w:i/>
              </w:rPr>
              <w:t xml:space="preserve"> </w:t>
            </w:r>
            <w:proofErr w:type="spellStart"/>
            <w:r w:rsidR="00B959E2">
              <w:rPr>
                <w:i/>
              </w:rPr>
              <w:t>Stefankova</w:t>
            </w:r>
            <w:proofErr w:type="spellEnd"/>
          </w:p>
        </w:tc>
      </w:tr>
      <w:tr w:rsidR="00436824" w14:paraId="7DE10F78" w14:textId="77777777" w:rsidTr="00436824">
        <w:tc>
          <w:tcPr>
            <w:tcW w:w="742" w:type="pct"/>
            <w:hideMark/>
          </w:tcPr>
          <w:p w14:paraId="0ABC3191" w14:textId="77777777" w:rsidR="00436824" w:rsidRDefault="00436824" w:rsidP="00D95E0E">
            <w:pPr>
              <w:rPr>
                <w:i/>
              </w:rPr>
            </w:pPr>
            <w:r>
              <w:rPr>
                <w:i/>
              </w:rPr>
              <w:t>P.</w:t>
            </w:r>
          </w:p>
        </w:tc>
        <w:tc>
          <w:tcPr>
            <w:tcW w:w="4258" w:type="pct"/>
            <w:hideMark/>
          </w:tcPr>
          <w:p w14:paraId="70C62E09" w14:textId="77777777" w:rsidR="00436824" w:rsidRDefault="00436824" w:rsidP="00D95E0E">
            <w:pPr>
              <w:rPr>
                <w:i/>
              </w:rPr>
            </w:pPr>
            <w:r>
              <w:rPr>
                <w:i/>
              </w:rPr>
              <w:t>+ 32 25468188</w:t>
            </w:r>
          </w:p>
        </w:tc>
      </w:tr>
      <w:tr w:rsidR="00436824" w14:paraId="7AAD5AB9" w14:textId="77777777" w:rsidTr="00436824">
        <w:tc>
          <w:tcPr>
            <w:tcW w:w="742" w:type="pct"/>
            <w:hideMark/>
          </w:tcPr>
          <w:p w14:paraId="3E1B66B4" w14:textId="77777777" w:rsidR="00436824" w:rsidRDefault="00436824" w:rsidP="00D95E0E">
            <w:pPr>
              <w:rPr>
                <w:i/>
              </w:rPr>
            </w:pPr>
            <w:r>
              <w:rPr>
                <w:i/>
              </w:rPr>
              <w:t>Sähköposti</w:t>
            </w:r>
          </w:p>
        </w:tc>
        <w:tc>
          <w:tcPr>
            <w:tcW w:w="4258" w:type="pct"/>
            <w:hideMark/>
          </w:tcPr>
          <w:p w14:paraId="3C3FE7D3" w14:textId="77777777" w:rsidR="00436824" w:rsidRDefault="0061775F" w:rsidP="00D95E0E">
            <w:pPr>
              <w:rPr>
                <w:i/>
                <w:iCs/>
                <w:sz w:val="20"/>
                <w:szCs w:val="20"/>
              </w:rPr>
            </w:pPr>
            <w:hyperlink r:id="rId64" w:history="1">
              <w:r w:rsidR="00436824">
                <w:rPr>
                  <w:rStyle w:val="Hyperlink"/>
                  <w:i/>
                  <w:sz w:val="20"/>
                </w:rPr>
                <w:t>Radoslava.Stefankova@eesc.europa.eu</w:t>
              </w:r>
            </w:hyperlink>
          </w:p>
        </w:tc>
      </w:tr>
    </w:tbl>
    <w:p w14:paraId="5C6A7CD9" w14:textId="1DD53082" w:rsidR="00436824" w:rsidRDefault="00436824" w:rsidP="00D95E0E">
      <w:pPr>
        <w:jc w:val="left"/>
      </w:pPr>
    </w:p>
    <w:p w14:paraId="16B2AE84" w14:textId="77777777" w:rsidR="00436824" w:rsidRDefault="00436824" w:rsidP="00D95E0E">
      <w:pPr>
        <w:jc w:val="left"/>
      </w:pPr>
      <w:r>
        <w:br w:type="page"/>
      </w:r>
    </w:p>
    <w:p w14:paraId="18B4D88A" w14:textId="1A2FE2EF" w:rsidR="00B2734D" w:rsidRDefault="0061775F" w:rsidP="00D95E0E">
      <w:pPr>
        <w:numPr>
          <w:ilvl w:val="0"/>
          <w:numId w:val="3"/>
        </w:numPr>
        <w:overflowPunct w:val="0"/>
        <w:autoSpaceDE w:val="0"/>
        <w:autoSpaceDN w:val="0"/>
        <w:adjustRightInd w:val="0"/>
        <w:ind w:hanging="567"/>
        <w:rPr>
          <w:b/>
          <w:bCs/>
          <w:i/>
          <w:iCs/>
          <w:sz w:val="28"/>
          <w:szCs w:val="28"/>
        </w:rPr>
      </w:pPr>
      <w:hyperlink r:id="rId65" w:tgtFrame="_blank" w:history="1">
        <w:r w:rsidR="00B2734D">
          <w:rPr>
            <w:rStyle w:val="Hyperlink"/>
            <w:b/>
            <w:i/>
            <w:sz w:val="28"/>
          </w:rPr>
          <w:t>Puolustusalan koontipaketti</w:t>
        </w:r>
      </w:hyperlink>
    </w:p>
    <w:p w14:paraId="6CE3F807" w14:textId="77777777" w:rsidR="00B2734D" w:rsidRDefault="00B2734D" w:rsidP="00D95E0E">
      <w:pPr>
        <w:ind w:left="567"/>
        <w:rPr>
          <w:b/>
        </w:rPr>
      </w:pPr>
    </w:p>
    <w:tbl>
      <w:tblPr>
        <w:tblW w:w="9322" w:type="dxa"/>
        <w:tblLook w:val="04A0" w:firstRow="1" w:lastRow="0" w:firstColumn="1" w:lastColumn="0" w:noHBand="0" w:noVBand="1"/>
      </w:tblPr>
      <w:tblGrid>
        <w:gridCol w:w="1701"/>
        <w:gridCol w:w="7621"/>
      </w:tblGrid>
      <w:tr w:rsidR="00B2734D" w14:paraId="5F3D8DF8" w14:textId="77777777" w:rsidTr="00B2734D">
        <w:tc>
          <w:tcPr>
            <w:tcW w:w="1701" w:type="dxa"/>
            <w:hideMark/>
          </w:tcPr>
          <w:p w14:paraId="00AF12D7" w14:textId="77777777" w:rsidR="00B2734D" w:rsidRDefault="00B2734D" w:rsidP="00D95E0E">
            <w:pPr>
              <w:tabs>
                <w:tab w:val="center" w:pos="284"/>
              </w:tabs>
              <w:ind w:left="266" w:hanging="266"/>
              <w:rPr>
                <w:b/>
              </w:rPr>
            </w:pPr>
            <w:r>
              <w:rPr>
                <w:b/>
              </w:rPr>
              <w:t>Esittelijä</w:t>
            </w:r>
          </w:p>
        </w:tc>
        <w:tc>
          <w:tcPr>
            <w:tcW w:w="7621" w:type="dxa"/>
            <w:hideMark/>
          </w:tcPr>
          <w:p w14:paraId="577283F7" w14:textId="77777777" w:rsidR="00B2734D" w:rsidRDefault="00B2734D" w:rsidP="00D95E0E">
            <w:pPr>
              <w:tabs>
                <w:tab w:val="center" w:pos="284"/>
              </w:tabs>
              <w:ind w:left="266" w:hanging="266"/>
            </w:pPr>
            <w:proofErr w:type="spellStart"/>
            <w:r>
              <w:t>Maurizio</w:t>
            </w:r>
            <w:proofErr w:type="spellEnd"/>
            <w:r>
              <w:t xml:space="preserve"> MENSI (kansalaisyhteiskunnan organisaatiot – IT)</w:t>
            </w:r>
          </w:p>
        </w:tc>
      </w:tr>
      <w:tr w:rsidR="00B2734D" w14:paraId="4DA368E8" w14:textId="77777777" w:rsidTr="00B2734D">
        <w:tc>
          <w:tcPr>
            <w:tcW w:w="1701" w:type="dxa"/>
            <w:vMerge w:val="restart"/>
            <w:hideMark/>
          </w:tcPr>
          <w:p w14:paraId="577C5655" w14:textId="77777777" w:rsidR="00B2734D" w:rsidRDefault="00B2734D" w:rsidP="00D95E0E">
            <w:pPr>
              <w:tabs>
                <w:tab w:val="center" w:pos="284"/>
              </w:tabs>
              <w:ind w:left="266" w:hanging="266"/>
              <w:rPr>
                <w:b/>
              </w:rPr>
            </w:pPr>
            <w:r>
              <w:rPr>
                <w:b/>
              </w:rPr>
              <w:t>Viiteasiakirjat</w:t>
            </w:r>
          </w:p>
        </w:tc>
        <w:tc>
          <w:tcPr>
            <w:tcW w:w="7621" w:type="dxa"/>
            <w:hideMark/>
          </w:tcPr>
          <w:p w14:paraId="5808E2A7" w14:textId="77777777" w:rsidR="00B2734D" w:rsidRDefault="00B2734D" w:rsidP="00D95E0E">
            <w:pPr>
              <w:tabs>
                <w:tab w:val="center" w:pos="284"/>
              </w:tabs>
              <w:ind w:left="266" w:hanging="266"/>
            </w:pPr>
            <w:r>
              <w:t xml:space="preserve">COM(2025) 821 </w:t>
            </w:r>
            <w:proofErr w:type="spellStart"/>
            <w:r>
              <w:t>final</w:t>
            </w:r>
            <w:proofErr w:type="spellEnd"/>
            <w:r>
              <w:t xml:space="preserve"> – 2025/0172 (COD)</w:t>
            </w:r>
          </w:p>
          <w:p w14:paraId="67EC1075" w14:textId="77777777" w:rsidR="00B2734D" w:rsidRDefault="00B2734D" w:rsidP="00D95E0E">
            <w:pPr>
              <w:tabs>
                <w:tab w:val="center" w:pos="284"/>
              </w:tabs>
              <w:ind w:left="266" w:hanging="266"/>
            </w:pPr>
            <w:r>
              <w:t xml:space="preserve">COM(2025) 822 </w:t>
            </w:r>
            <w:proofErr w:type="spellStart"/>
            <w:r>
              <w:t>final</w:t>
            </w:r>
            <w:proofErr w:type="spellEnd"/>
            <w:r>
              <w:t xml:space="preserve"> – 2025/0176 (COD)</w:t>
            </w:r>
          </w:p>
          <w:p w14:paraId="66405901" w14:textId="77777777" w:rsidR="00B2734D" w:rsidRDefault="00B2734D" w:rsidP="00D95E0E">
            <w:pPr>
              <w:tabs>
                <w:tab w:val="center" w:pos="284"/>
              </w:tabs>
              <w:ind w:left="266" w:hanging="266"/>
            </w:pPr>
            <w:r>
              <w:t xml:space="preserve">COM(2025) 823 </w:t>
            </w:r>
            <w:proofErr w:type="spellStart"/>
            <w:r>
              <w:t>final</w:t>
            </w:r>
            <w:proofErr w:type="spellEnd"/>
            <w:r>
              <w:t xml:space="preserve"> – 2025/0177 (COD)</w:t>
            </w:r>
          </w:p>
        </w:tc>
      </w:tr>
      <w:tr w:rsidR="00B2734D" w14:paraId="0230EAF3" w14:textId="77777777" w:rsidTr="00B2734D">
        <w:tc>
          <w:tcPr>
            <w:tcW w:w="0" w:type="auto"/>
            <w:vMerge/>
            <w:vAlign w:val="center"/>
            <w:hideMark/>
          </w:tcPr>
          <w:p w14:paraId="10FC7B8E" w14:textId="77777777" w:rsidR="00B2734D" w:rsidRDefault="00B2734D" w:rsidP="00D95E0E">
            <w:pPr>
              <w:jc w:val="left"/>
              <w:rPr>
                <w:b/>
              </w:rPr>
            </w:pPr>
          </w:p>
        </w:tc>
        <w:tc>
          <w:tcPr>
            <w:tcW w:w="7621" w:type="dxa"/>
            <w:hideMark/>
          </w:tcPr>
          <w:p w14:paraId="411C9FF2" w14:textId="77777777" w:rsidR="00B2734D" w:rsidRDefault="00B2734D" w:rsidP="00D95E0E">
            <w:pPr>
              <w:tabs>
                <w:tab w:val="center" w:pos="284"/>
              </w:tabs>
              <w:ind w:left="266" w:hanging="266"/>
            </w:pPr>
            <w:r>
              <w:t>EESC-2025-02672-00-00-AC</w:t>
            </w:r>
          </w:p>
        </w:tc>
      </w:tr>
    </w:tbl>
    <w:p w14:paraId="29B20C33" w14:textId="77777777" w:rsidR="00B2734D" w:rsidRDefault="00B2734D" w:rsidP="00D95E0E">
      <w:pPr>
        <w:keepNext/>
        <w:keepLines/>
        <w:tabs>
          <w:tab w:val="center" w:pos="284"/>
        </w:tabs>
        <w:ind w:left="266" w:hanging="266"/>
        <w:rPr>
          <w:b/>
        </w:rPr>
      </w:pPr>
    </w:p>
    <w:p w14:paraId="2E8AC28B" w14:textId="77777777" w:rsidR="00B2734D" w:rsidRDefault="00B2734D" w:rsidP="00D95E0E">
      <w:pPr>
        <w:keepNext/>
        <w:keepLines/>
        <w:tabs>
          <w:tab w:val="center" w:pos="284"/>
        </w:tabs>
        <w:ind w:left="266" w:hanging="266"/>
        <w:rPr>
          <w:b/>
        </w:rPr>
      </w:pPr>
      <w:r>
        <w:rPr>
          <w:b/>
        </w:rPr>
        <w:t>Keskeiset kohdat</w:t>
      </w:r>
    </w:p>
    <w:p w14:paraId="1C5619F4" w14:textId="77777777" w:rsidR="00B2734D" w:rsidRDefault="00B2734D" w:rsidP="00D95E0E">
      <w:pPr>
        <w:keepNext/>
        <w:keepLines/>
        <w:tabs>
          <w:tab w:val="center" w:pos="284"/>
        </w:tabs>
        <w:ind w:left="266" w:hanging="266"/>
        <w:rPr>
          <w:b/>
        </w:rPr>
      </w:pPr>
    </w:p>
    <w:p w14:paraId="2E2E55BF" w14:textId="77777777" w:rsidR="00B2734D" w:rsidRDefault="00B2734D" w:rsidP="00D95E0E">
      <w:pPr>
        <w:rPr>
          <w:bCs/>
          <w:iCs/>
        </w:rPr>
      </w:pPr>
      <w:r>
        <w:t>ETSK</w:t>
      </w:r>
    </w:p>
    <w:p w14:paraId="429C4B64" w14:textId="77777777" w:rsidR="00B2734D" w:rsidRDefault="00B2734D" w:rsidP="00D95E0E">
      <w:pPr>
        <w:pStyle w:val="ListParagraph"/>
        <w:numPr>
          <w:ilvl w:val="0"/>
          <w:numId w:val="37"/>
        </w:numPr>
        <w:ind w:left="426"/>
      </w:pPr>
      <w:r>
        <w:t>painottaa tarvetta säätää valvontamekanismeista, jotka koskevat sääntelykehykseen ehdotettujen mukautusten soveltamista kansallisella tasolla.</w:t>
      </w:r>
    </w:p>
    <w:p w14:paraId="01050E5A" w14:textId="77777777" w:rsidR="00B2734D" w:rsidRDefault="00B2734D" w:rsidP="00D95E0E">
      <w:pPr>
        <w:pStyle w:val="ListParagraph"/>
        <w:numPr>
          <w:ilvl w:val="0"/>
          <w:numId w:val="37"/>
        </w:numPr>
        <w:ind w:left="426"/>
      </w:pPr>
      <w:r>
        <w:t>suosittaa, että lupamenettelyn nopeuttamisesta annettua asetusta tiukennetaan.</w:t>
      </w:r>
    </w:p>
    <w:p w14:paraId="3A045010" w14:textId="77777777" w:rsidR="00B2734D" w:rsidRDefault="00B2734D" w:rsidP="00D95E0E">
      <w:pPr>
        <w:pStyle w:val="ListParagraph"/>
        <w:numPr>
          <w:ilvl w:val="0"/>
          <w:numId w:val="37"/>
        </w:numPr>
        <w:ind w:left="426"/>
      </w:pPr>
      <w:r>
        <w:t>suosittaa, että yleisiä siirtolupia käytetään järjestelmällisesti ja ensisijaisesti kaikissa EU:n tasolla rahoitettavissa tai koordinoiduissa hankkeissa ja että niiden soveltamista laajennetaan ja yhdenmukaistetaan kansallisissa järjestelmissä.</w:t>
      </w:r>
    </w:p>
    <w:p w14:paraId="52804696" w14:textId="77777777" w:rsidR="00B2734D" w:rsidRDefault="00B2734D" w:rsidP="00D95E0E">
      <w:pPr>
        <w:pStyle w:val="ListParagraph"/>
        <w:numPr>
          <w:ilvl w:val="0"/>
          <w:numId w:val="37"/>
        </w:numPr>
        <w:ind w:left="426"/>
      </w:pPr>
      <w:r>
        <w:t>suosittaa, että tarkastellaan uudelleen yksinkertaistamistoimien tehokkuutta.</w:t>
      </w:r>
    </w:p>
    <w:p w14:paraId="1E20C674" w14:textId="77777777" w:rsidR="00B2734D" w:rsidRDefault="00B2734D" w:rsidP="00D95E0E">
      <w:pPr>
        <w:pStyle w:val="ListParagraph"/>
        <w:numPr>
          <w:ilvl w:val="0"/>
          <w:numId w:val="37"/>
        </w:numPr>
        <w:ind w:left="426"/>
      </w:pPr>
      <w:r>
        <w:t>suosittaa, että jäsenvaltioiden mahdollisuus sallia kemikaaleja koskevia kansallisia poikkeuksia ”puolustustarkoitusten vuoksi” edellyttää asianmukaisia ympäristönäkökohtien todentamiseen ja ympäristövaatimusten mukaisuuteen liittyviä menettelyjä.</w:t>
      </w:r>
    </w:p>
    <w:p w14:paraId="6A6A2170" w14:textId="77777777" w:rsidR="00B2734D" w:rsidRDefault="00B2734D" w:rsidP="00D95E0E">
      <w:pPr>
        <w:pStyle w:val="ListParagraph"/>
        <w:numPr>
          <w:ilvl w:val="0"/>
          <w:numId w:val="37"/>
        </w:numPr>
        <w:ind w:left="426"/>
      </w:pPr>
      <w:r>
        <w:t>suosittaa, että Euroopan puolustusrahaston hallinnoinnista tehdään joustavampaa ja avoimempaa.</w:t>
      </w:r>
    </w:p>
    <w:p w14:paraId="0491A29A" w14:textId="77777777" w:rsidR="00B2734D" w:rsidRDefault="00B2734D" w:rsidP="00D95E0E">
      <w:pPr>
        <w:pStyle w:val="ListParagraph"/>
        <w:numPr>
          <w:ilvl w:val="0"/>
          <w:numId w:val="37"/>
        </w:numPr>
        <w:ind w:left="426"/>
      </w:pPr>
      <w:r>
        <w:t xml:space="preserve">suosittaa, että laaditaan </w:t>
      </w:r>
      <w:proofErr w:type="spellStart"/>
      <w:r>
        <w:t>InvestEU</w:t>
      </w:r>
      <w:proofErr w:type="spellEnd"/>
      <w:r>
        <w:t>-ohjelman ja kestävän rahoituksen kehyksen kaltaisten välineiden tulkintaa koskevia selvennyksiä ja yksinkertaistetaan menettelyjä sekä suojellaan arkaluonteisten tietojen luottamuksellisuutta.</w:t>
      </w:r>
    </w:p>
    <w:p w14:paraId="6217AA69" w14:textId="77777777" w:rsidR="00B2734D" w:rsidRDefault="00B2734D" w:rsidP="00D95E0E">
      <w:pPr>
        <w:pStyle w:val="ListParagraph"/>
        <w:numPr>
          <w:ilvl w:val="0"/>
          <w:numId w:val="37"/>
        </w:numPr>
        <w:ind w:left="426"/>
      </w:pPr>
      <w:r>
        <w:t>suosittaa, että komissio koordinoi ja valvoo puolustusteollisuuteen keskittyvien koulutusyhteenliittymien, asiantuntija- ja osaamiskeskusten sekä liikkuvuus- ja Erasmus+ ohjelmien perustamista.</w:t>
      </w:r>
    </w:p>
    <w:p w14:paraId="40F16E63" w14:textId="77777777" w:rsidR="00B2734D" w:rsidRDefault="00B2734D" w:rsidP="00D95E0E">
      <w:pPr>
        <w:ind w:left="426"/>
      </w:pPr>
    </w:p>
    <w:tbl>
      <w:tblPr>
        <w:tblW w:w="9322" w:type="dxa"/>
        <w:tblLook w:val="04A0" w:firstRow="1" w:lastRow="0" w:firstColumn="1" w:lastColumn="0" w:noHBand="0" w:noVBand="1"/>
      </w:tblPr>
      <w:tblGrid>
        <w:gridCol w:w="1418"/>
        <w:gridCol w:w="7904"/>
      </w:tblGrid>
      <w:tr w:rsidR="00B2734D" w14:paraId="56768026" w14:textId="77777777" w:rsidTr="00B2734D">
        <w:tc>
          <w:tcPr>
            <w:tcW w:w="1418" w:type="dxa"/>
            <w:hideMark/>
          </w:tcPr>
          <w:p w14:paraId="0924A98E" w14:textId="77777777" w:rsidR="00B2734D" w:rsidRDefault="00B2734D" w:rsidP="00D95E0E">
            <w:pPr>
              <w:rPr>
                <w:i/>
              </w:rPr>
            </w:pPr>
            <w:r>
              <w:rPr>
                <w:b/>
                <w:i/>
              </w:rPr>
              <w:t>Yhteydenotot</w:t>
            </w:r>
          </w:p>
        </w:tc>
        <w:tc>
          <w:tcPr>
            <w:tcW w:w="7904" w:type="dxa"/>
            <w:hideMark/>
          </w:tcPr>
          <w:p w14:paraId="5E895B0A" w14:textId="4FA2E440" w:rsidR="00B2734D" w:rsidRDefault="00B2734D" w:rsidP="00D95E0E">
            <w:pPr>
              <w:rPr>
                <w:i/>
              </w:rPr>
            </w:pPr>
            <w:proofErr w:type="spellStart"/>
            <w:r>
              <w:rPr>
                <w:i/>
              </w:rPr>
              <w:t>Annalisa</w:t>
            </w:r>
            <w:proofErr w:type="spellEnd"/>
            <w:r>
              <w:rPr>
                <w:i/>
              </w:rPr>
              <w:t xml:space="preserve"> </w:t>
            </w:r>
            <w:proofErr w:type="spellStart"/>
            <w:r w:rsidR="00B959E2">
              <w:rPr>
                <w:i/>
              </w:rPr>
              <w:t>Tessarolo</w:t>
            </w:r>
            <w:proofErr w:type="spellEnd"/>
          </w:p>
        </w:tc>
      </w:tr>
      <w:tr w:rsidR="00B2734D" w14:paraId="6209CE09" w14:textId="77777777" w:rsidTr="00B2734D">
        <w:tc>
          <w:tcPr>
            <w:tcW w:w="1418" w:type="dxa"/>
            <w:hideMark/>
          </w:tcPr>
          <w:p w14:paraId="1B1F12C4" w14:textId="77777777" w:rsidR="00B2734D" w:rsidRDefault="00B2734D" w:rsidP="00D95E0E">
            <w:pPr>
              <w:rPr>
                <w:i/>
              </w:rPr>
            </w:pPr>
            <w:r>
              <w:rPr>
                <w:i/>
              </w:rPr>
              <w:t>P.</w:t>
            </w:r>
          </w:p>
        </w:tc>
        <w:tc>
          <w:tcPr>
            <w:tcW w:w="7904" w:type="dxa"/>
            <w:hideMark/>
          </w:tcPr>
          <w:p w14:paraId="121F9E55" w14:textId="77777777" w:rsidR="00B2734D" w:rsidRDefault="00B2734D" w:rsidP="00D95E0E">
            <w:pPr>
              <w:rPr>
                <w:i/>
              </w:rPr>
            </w:pPr>
            <w:r>
              <w:rPr>
                <w:i/>
              </w:rPr>
              <w:t>+ 32 25469732</w:t>
            </w:r>
          </w:p>
        </w:tc>
      </w:tr>
      <w:tr w:rsidR="00B2734D" w14:paraId="72BFBCDE" w14:textId="77777777" w:rsidTr="00B2734D">
        <w:tc>
          <w:tcPr>
            <w:tcW w:w="1418" w:type="dxa"/>
            <w:hideMark/>
          </w:tcPr>
          <w:p w14:paraId="2D322116" w14:textId="77777777" w:rsidR="00B2734D" w:rsidRDefault="00B2734D" w:rsidP="00D95E0E">
            <w:pPr>
              <w:rPr>
                <w:i/>
              </w:rPr>
            </w:pPr>
            <w:r>
              <w:rPr>
                <w:i/>
              </w:rPr>
              <w:t>Sähköposti</w:t>
            </w:r>
          </w:p>
        </w:tc>
        <w:tc>
          <w:tcPr>
            <w:tcW w:w="7904" w:type="dxa"/>
            <w:hideMark/>
          </w:tcPr>
          <w:p w14:paraId="772C1F75" w14:textId="77777777" w:rsidR="00B2734D" w:rsidRDefault="0061775F" w:rsidP="00D95E0E">
            <w:pPr>
              <w:rPr>
                <w:i/>
                <w:iCs/>
              </w:rPr>
            </w:pPr>
            <w:hyperlink r:id="rId66" w:history="1">
              <w:r w:rsidR="00B2734D">
                <w:rPr>
                  <w:rStyle w:val="Hyperlink"/>
                  <w:i/>
                </w:rPr>
                <w:t>Annalisa.Tessarolo@eesc.europa.eu</w:t>
              </w:r>
            </w:hyperlink>
          </w:p>
        </w:tc>
      </w:tr>
    </w:tbl>
    <w:p w14:paraId="5A62DD6B" w14:textId="5B1DFB49" w:rsidR="00B2734D" w:rsidRDefault="00B2734D" w:rsidP="00D95E0E">
      <w:pPr>
        <w:jc w:val="left"/>
      </w:pPr>
    </w:p>
    <w:p w14:paraId="283E12D6" w14:textId="77777777" w:rsidR="00B2734D" w:rsidRDefault="00B2734D" w:rsidP="00D95E0E">
      <w:pPr>
        <w:jc w:val="left"/>
      </w:pPr>
      <w:r>
        <w:br w:type="page"/>
      </w:r>
    </w:p>
    <w:p w14:paraId="27CDA947" w14:textId="6A84F602" w:rsidR="00B2734D" w:rsidRDefault="0061775F" w:rsidP="00D95E0E">
      <w:pPr>
        <w:numPr>
          <w:ilvl w:val="0"/>
          <w:numId w:val="3"/>
        </w:numPr>
        <w:overflowPunct w:val="0"/>
        <w:autoSpaceDE w:val="0"/>
        <w:autoSpaceDN w:val="0"/>
        <w:adjustRightInd w:val="0"/>
        <w:ind w:hanging="567"/>
        <w:rPr>
          <w:sz w:val="20"/>
        </w:rPr>
      </w:pPr>
      <w:hyperlink r:id="rId67" w:tgtFrame="_blank" w:history="1">
        <w:r w:rsidR="00B2734D">
          <w:rPr>
            <w:rStyle w:val="Hyperlink"/>
            <w:b/>
            <w:i/>
            <w:sz w:val="28"/>
          </w:rPr>
          <w:t>Suurteholaskennan yhteisyritys</w:t>
        </w:r>
      </w:hyperlink>
    </w:p>
    <w:p w14:paraId="17E3D9DE" w14:textId="77777777" w:rsidR="00B2734D" w:rsidRDefault="00B2734D" w:rsidP="00D95E0E">
      <w:pPr>
        <w:tabs>
          <w:tab w:val="center" w:pos="284"/>
        </w:tabs>
        <w:ind w:left="266" w:hanging="266"/>
        <w:rPr>
          <w:b/>
        </w:rPr>
      </w:pPr>
    </w:p>
    <w:tbl>
      <w:tblPr>
        <w:tblW w:w="0" w:type="auto"/>
        <w:tblLook w:val="04A0" w:firstRow="1" w:lastRow="0" w:firstColumn="1" w:lastColumn="0" w:noHBand="0" w:noVBand="1"/>
      </w:tblPr>
      <w:tblGrid>
        <w:gridCol w:w="1985"/>
        <w:gridCol w:w="4252"/>
      </w:tblGrid>
      <w:tr w:rsidR="00B2734D" w14:paraId="0171F5F7" w14:textId="77777777" w:rsidTr="00B2734D">
        <w:tc>
          <w:tcPr>
            <w:tcW w:w="1985" w:type="dxa"/>
            <w:vMerge w:val="restart"/>
            <w:hideMark/>
          </w:tcPr>
          <w:p w14:paraId="3EE5F7FF" w14:textId="77777777" w:rsidR="00B2734D" w:rsidRDefault="00B2734D" w:rsidP="00D95E0E">
            <w:pPr>
              <w:tabs>
                <w:tab w:val="center" w:pos="284"/>
              </w:tabs>
              <w:ind w:left="266" w:hanging="266"/>
              <w:rPr>
                <w:b/>
              </w:rPr>
            </w:pPr>
            <w:r>
              <w:rPr>
                <w:b/>
              </w:rPr>
              <w:t>Viiteasiakirjat</w:t>
            </w:r>
          </w:p>
        </w:tc>
        <w:tc>
          <w:tcPr>
            <w:tcW w:w="4252" w:type="dxa"/>
            <w:hideMark/>
          </w:tcPr>
          <w:p w14:paraId="6D961940" w14:textId="3681D86F" w:rsidR="0049636B" w:rsidRPr="0049636B" w:rsidRDefault="0049636B" w:rsidP="00D95E0E">
            <w:pPr>
              <w:tabs>
                <w:tab w:val="center" w:pos="284"/>
              </w:tabs>
              <w:ind w:left="266" w:hanging="266"/>
              <w:rPr>
                <w:bCs/>
              </w:rPr>
            </w:pPr>
            <w:r w:rsidRPr="0049636B">
              <w:rPr>
                <w:bCs/>
              </w:rPr>
              <w:t xml:space="preserve">Ryhmään </w:t>
            </w:r>
            <w:r w:rsidR="001927EC">
              <w:rPr>
                <w:bCs/>
              </w:rPr>
              <w:t>C</w:t>
            </w:r>
            <w:r w:rsidRPr="0049636B">
              <w:rPr>
                <w:bCs/>
              </w:rPr>
              <w:t xml:space="preserve"> kuuluva lausunto </w:t>
            </w:r>
          </w:p>
          <w:p w14:paraId="1767BAB2" w14:textId="3EBCD722" w:rsidR="00B2734D" w:rsidRDefault="00B2734D" w:rsidP="00D95E0E">
            <w:pPr>
              <w:tabs>
                <w:tab w:val="center" w:pos="284"/>
              </w:tabs>
              <w:ind w:left="266" w:hanging="266"/>
            </w:pPr>
            <w:r>
              <w:t xml:space="preserve">COM(2025) 414 </w:t>
            </w:r>
            <w:proofErr w:type="spellStart"/>
            <w:r>
              <w:t>final</w:t>
            </w:r>
            <w:proofErr w:type="spellEnd"/>
          </w:p>
        </w:tc>
      </w:tr>
      <w:tr w:rsidR="00B2734D" w14:paraId="4E731C25" w14:textId="77777777" w:rsidTr="00B2734D">
        <w:tc>
          <w:tcPr>
            <w:tcW w:w="0" w:type="auto"/>
            <w:vMerge/>
            <w:vAlign w:val="center"/>
            <w:hideMark/>
          </w:tcPr>
          <w:p w14:paraId="0BF5BA28" w14:textId="77777777" w:rsidR="00B2734D" w:rsidRDefault="00B2734D" w:rsidP="00D95E0E">
            <w:pPr>
              <w:jc w:val="left"/>
              <w:rPr>
                <w:b/>
              </w:rPr>
            </w:pPr>
          </w:p>
        </w:tc>
        <w:tc>
          <w:tcPr>
            <w:tcW w:w="4252" w:type="dxa"/>
            <w:hideMark/>
          </w:tcPr>
          <w:p w14:paraId="6CF35790" w14:textId="77777777" w:rsidR="00B2734D" w:rsidRDefault="00B2734D" w:rsidP="00D95E0E">
            <w:pPr>
              <w:tabs>
                <w:tab w:val="center" w:pos="284"/>
              </w:tabs>
              <w:ind w:left="266" w:hanging="266"/>
            </w:pPr>
            <w:r>
              <w:t>EESC-2025-02965-00-00-AC</w:t>
            </w:r>
          </w:p>
        </w:tc>
      </w:tr>
    </w:tbl>
    <w:p w14:paraId="25BFB296" w14:textId="77777777" w:rsidR="00B2734D" w:rsidRDefault="00B2734D" w:rsidP="00D95E0E">
      <w:pPr>
        <w:tabs>
          <w:tab w:val="center" w:pos="284"/>
        </w:tabs>
        <w:ind w:left="266" w:hanging="266"/>
      </w:pPr>
    </w:p>
    <w:p w14:paraId="4632EB99" w14:textId="77777777" w:rsidR="00B2734D" w:rsidRDefault="00B2734D" w:rsidP="00D95E0E">
      <w:pPr>
        <w:keepNext/>
        <w:keepLines/>
        <w:tabs>
          <w:tab w:val="center" w:pos="284"/>
        </w:tabs>
        <w:ind w:left="266" w:hanging="266"/>
        <w:rPr>
          <w:b/>
        </w:rPr>
      </w:pPr>
      <w:r>
        <w:rPr>
          <w:b/>
        </w:rPr>
        <w:t>Keskeiset kohdat</w:t>
      </w:r>
    </w:p>
    <w:p w14:paraId="2A8534E2" w14:textId="77777777" w:rsidR="00B2734D" w:rsidRDefault="00B2734D" w:rsidP="00D95E0E">
      <w:pPr>
        <w:keepNext/>
        <w:keepLines/>
        <w:tabs>
          <w:tab w:val="center" w:pos="284"/>
        </w:tabs>
        <w:ind w:left="266" w:hanging="266"/>
        <w:rPr>
          <w:b/>
        </w:rPr>
      </w:pPr>
    </w:p>
    <w:p w14:paraId="534A95F2" w14:textId="77777777" w:rsidR="00B2734D" w:rsidRDefault="00B2734D" w:rsidP="00D95E0E">
      <w:pPr>
        <w:rPr>
          <w:bCs/>
          <w:iCs/>
        </w:rPr>
      </w:pPr>
      <w:r>
        <w:t>ETSK katsoo, että asiakirjan sisältö on hyväksyttävä, eikä komitealla ole siihen kommentoitavaa.</w:t>
      </w:r>
    </w:p>
    <w:p w14:paraId="6857D2D7" w14:textId="77777777" w:rsidR="00B2734D" w:rsidRDefault="00B2734D" w:rsidP="00D95E0E">
      <w:pPr>
        <w:rPr>
          <w:bCs/>
          <w:iCs/>
        </w:rPr>
      </w:pPr>
    </w:p>
    <w:tbl>
      <w:tblPr>
        <w:tblW w:w="0" w:type="auto"/>
        <w:tblLook w:val="04A0" w:firstRow="1" w:lastRow="0" w:firstColumn="1" w:lastColumn="0" w:noHBand="0" w:noVBand="1"/>
      </w:tblPr>
      <w:tblGrid>
        <w:gridCol w:w="1418"/>
        <w:gridCol w:w="5670"/>
      </w:tblGrid>
      <w:tr w:rsidR="00B2734D" w14:paraId="4112D07E" w14:textId="77777777" w:rsidTr="00B2734D">
        <w:tc>
          <w:tcPr>
            <w:tcW w:w="1418" w:type="dxa"/>
            <w:hideMark/>
          </w:tcPr>
          <w:p w14:paraId="0C407F2A" w14:textId="77777777" w:rsidR="00B2734D" w:rsidRDefault="00B2734D" w:rsidP="00D95E0E">
            <w:pPr>
              <w:rPr>
                <w:i/>
              </w:rPr>
            </w:pPr>
            <w:r>
              <w:rPr>
                <w:b/>
                <w:i/>
              </w:rPr>
              <w:t>Yhteydenotot</w:t>
            </w:r>
          </w:p>
        </w:tc>
        <w:tc>
          <w:tcPr>
            <w:tcW w:w="5670" w:type="dxa"/>
            <w:hideMark/>
          </w:tcPr>
          <w:p w14:paraId="215B27CE" w14:textId="05419FB0" w:rsidR="00B2734D" w:rsidRDefault="00B2734D" w:rsidP="00D95E0E">
            <w:pPr>
              <w:rPr>
                <w:i/>
              </w:rPr>
            </w:pPr>
            <w:r>
              <w:rPr>
                <w:i/>
              </w:rPr>
              <w:t xml:space="preserve">Alice </w:t>
            </w:r>
            <w:proofErr w:type="spellStart"/>
            <w:r w:rsidR="00B959E2">
              <w:rPr>
                <w:i/>
              </w:rPr>
              <w:t>Tétu</w:t>
            </w:r>
            <w:proofErr w:type="spellEnd"/>
          </w:p>
        </w:tc>
      </w:tr>
      <w:tr w:rsidR="00B2734D" w14:paraId="54B1A212" w14:textId="77777777" w:rsidTr="00B2734D">
        <w:tc>
          <w:tcPr>
            <w:tcW w:w="1418" w:type="dxa"/>
            <w:hideMark/>
          </w:tcPr>
          <w:p w14:paraId="09D556A1" w14:textId="77777777" w:rsidR="00B2734D" w:rsidRDefault="00B2734D" w:rsidP="00D95E0E">
            <w:pPr>
              <w:rPr>
                <w:i/>
              </w:rPr>
            </w:pPr>
            <w:r>
              <w:rPr>
                <w:i/>
              </w:rPr>
              <w:t>P.</w:t>
            </w:r>
          </w:p>
        </w:tc>
        <w:tc>
          <w:tcPr>
            <w:tcW w:w="5670" w:type="dxa"/>
            <w:hideMark/>
          </w:tcPr>
          <w:p w14:paraId="586924B2" w14:textId="77777777" w:rsidR="00B2734D" w:rsidRDefault="00B2734D" w:rsidP="00D95E0E">
            <w:pPr>
              <w:rPr>
                <w:i/>
              </w:rPr>
            </w:pPr>
            <w:r>
              <w:rPr>
                <w:i/>
              </w:rPr>
              <w:t>+32 25468286</w:t>
            </w:r>
          </w:p>
        </w:tc>
      </w:tr>
      <w:tr w:rsidR="00B2734D" w14:paraId="6FC8AC99" w14:textId="77777777" w:rsidTr="00B2734D">
        <w:tc>
          <w:tcPr>
            <w:tcW w:w="1418" w:type="dxa"/>
            <w:hideMark/>
          </w:tcPr>
          <w:p w14:paraId="3DA36B79" w14:textId="77777777" w:rsidR="00B2734D" w:rsidRDefault="00B2734D" w:rsidP="00D95E0E">
            <w:pPr>
              <w:rPr>
                <w:i/>
              </w:rPr>
            </w:pPr>
            <w:r>
              <w:rPr>
                <w:i/>
              </w:rPr>
              <w:t>Sähköposti</w:t>
            </w:r>
          </w:p>
        </w:tc>
        <w:tc>
          <w:tcPr>
            <w:tcW w:w="5670" w:type="dxa"/>
            <w:hideMark/>
          </w:tcPr>
          <w:p w14:paraId="415EE01E" w14:textId="77777777" w:rsidR="00B2734D" w:rsidRDefault="0061775F" w:rsidP="00D95E0E">
            <w:pPr>
              <w:rPr>
                <w:i/>
              </w:rPr>
            </w:pPr>
            <w:hyperlink r:id="rId68" w:history="1">
              <w:r w:rsidR="00B2734D">
                <w:rPr>
                  <w:rStyle w:val="Hyperlink"/>
                  <w:i/>
                </w:rPr>
                <w:t>Alice.Tetu@eesc.europa.eu</w:t>
              </w:r>
            </w:hyperlink>
          </w:p>
        </w:tc>
      </w:tr>
    </w:tbl>
    <w:p w14:paraId="00925149" w14:textId="77777777" w:rsidR="00B2734D" w:rsidRDefault="00B2734D" w:rsidP="00D95E0E">
      <w:pPr>
        <w:rPr>
          <w:bCs/>
          <w:iCs/>
        </w:rPr>
      </w:pPr>
    </w:p>
    <w:p w14:paraId="2205FF40" w14:textId="4D05F643" w:rsidR="00B2734D" w:rsidRDefault="00B2734D" w:rsidP="00D95E0E">
      <w:pPr>
        <w:jc w:val="left"/>
      </w:pPr>
      <w:r>
        <w:br w:type="page"/>
      </w:r>
    </w:p>
    <w:p w14:paraId="33CBBFCB" w14:textId="43FFD9BA" w:rsidR="00B2734D" w:rsidRPr="0049636B" w:rsidRDefault="0061775F" w:rsidP="00D95E0E">
      <w:pPr>
        <w:numPr>
          <w:ilvl w:val="0"/>
          <w:numId w:val="3"/>
        </w:numPr>
        <w:overflowPunct w:val="0"/>
        <w:autoSpaceDE w:val="0"/>
        <w:autoSpaceDN w:val="0"/>
        <w:adjustRightInd w:val="0"/>
        <w:ind w:left="266" w:hanging="266"/>
        <w:rPr>
          <w:b/>
        </w:rPr>
      </w:pPr>
      <w:hyperlink r:id="rId69" w:history="1">
        <w:proofErr w:type="spellStart"/>
        <w:r w:rsidR="00B2734D">
          <w:rPr>
            <w:rStyle w:val="Hyperlink"/>
            <w:b/>
            <w:i/>
            <w:sz w:val="28"/>
          </w:rPr>
          <w:t>Start-up</w:t>
        </w:r>
        <w:proofErr w:type="spellEnd"/>
        <w:r w:rsidR="00B2734D">
          <w:rPr>
            <w:rStyle w:val="Hyperlink"/>
            <w:b/>
            <w:i/>
            <w:sz w:val="28"/>
          </w:rPr>
          <w:t xml:space="preserve">- ja </w:t>
        </w:r>
        <w:proofErr w:type="spellStart"/>
        <w:r w:rsidR="00B2734D">
          <w:rPr>
            <w:rStyle w:val="Hyperlink"/>
            <w:b/>
            <w:i/>
            <w:sz w:val="28"/>
          </w:rPr>
          <w:t>scale</w:t>
        </w:r>
        <w:proofErr w:type="spellEnd"/>
        <w:r w:rsidR="00B2734D">
          <w:rPr>
            <w:rStyle w:val="Hyperlink"/>
            <w:b/>
            <w:i/>
            <w:sz w:val="28"/>
          </w:rPr>
          <w:t>-</w:t>
        </w:r>
        <w:proofErr w:type="spellStart"/>
        <w:r w:rsidR="00B2734D">
          <w:rPr>
            <w:rStyle w:val="Hyperlink"/>
            <w:b/>
            <w:i/>
            <w:sz w:val="28"/>
          </w:rPr>
          <w:t>up</w:t>
        </w:r>
        <w:proofErr w:type="spellEnd"/>
        <w:r w:rsidR="00B2734D">
          <w:rPr>
            <w:rStyle w:val="Hyperlink"/>
            <w:b/>
            <w:i/>
            <w:sz w:val="28"/>
          </w:rPr>
          <w:t>-yritykset</w:t>
        </w:r>
      </w:hyperlink>
    </w:p>
    <w:p w14:paraId="2F8BD9C8" w14:textId="77777777" w:rsidR="0049636B" w:rsidRDefault="0049636B" w:rsidP="00D95E0E">
      <w:pPr>
        <w:overflowPunct w:val="0"/>
        <w:autoSpaceDE w:val="0"/>
        <w:autoSpaceDN w:val="0"/>
        <w:adjustRightInd w:val="0"/>
        <w:rPr>
          <w:b/>
        </w:rPr>
      </w:pPr>
    </w:p>
    <w:tbl>
      <w:tblPr>
        <w:tblW w:w="4766" w:type="pct"/>
        <w:tblLook w:val="04A0" w:firstRow="1" w:lastRow="0" w:firstColumn="1" w:lastColumn="0" w:noHBand="0" w:noVBand="1"/>
      </w:tblPr>
      <w:tblGrid>
        <w:gridCol w:w="1986"/>
        <w:gridCol w:w="6662"/>
      </w:tblGrid>
      <w:tr w:rsidR="00B2734D" w14:paraId="77A918C1" w14:textId="77777777" w:rsidTr="00B2734D">
        <w:tc>
          <w:tcPr>
            <w:tcW w:w="1148" w:type="pct"/>
          </w:tcPr>
          <w:p w14:paraId="7AF3583E" w14:textId="77777777" w:rsidR="00B2734D" w:rsidRDefault="00B2734D" w:rsidP="00D95E0E">
            <w:pPr>
              <w:tabs>
                <w:tab w:val="center" w:pos="284"/>
              </w:tabs>
              <w:ind w:left="266" w:hanging="374"/>
              <w:rPr>
                <w:b/>
              </w:rPr>
            </w:pPr>
            <w:r>
              <w:rPr>
                <w:b/>
              </w:rPr>
              <w:t>Esittelijä</w:t>
            </w:r>
          </w:p>
        </w:tc>
        <w:tc>
          <w:tcPr>
            <w:tcW w:w="3852" w:type="pct"/>
          </w:tcPr>
          <w:p w14:paraId="720652F3" w14:textId="04FF1D85" w:rsidR="00B2734D" w:rsidRDefault="00B2734D" w:rsidP="00D95E0E">
            <w:pPr>
              <w:tabs>
                <w:tab w:val="center" w:pos="284"/>
              </w:tabs>
              <w:ind w:left="266" w:hanging="266"/>
              <w:rPr>
                <w:lang w:val="en-US"/>
              </w:rPr>
            </w:pPr>
            <w:r>
              <w:t>Mira-Maria DANISMAN (työnantajat – FI)</w:t>
            </w:r>
          </w:p>
        </w:tc>
      </w:tr>
      <w:tr w:rsidR="00B2734D" w14:paraId="34465311" w14:textId="77777777" w:rsidTr="00B2734D">
        <w:tc>
          <w:tcPr>
            <w:tcW w:w="1148" w:type="pct"/>
            <w:vMerge w:val="restart"/>
            <w:hideMark/>
          </w:tcPr>
          <w:p w14:paraId="0CD9B8BE" w14:textId="77777777" w:rsidR="00B2734D" w:rsidRDefault="00B2734D" w:rsidP="00D95E0E">
            <w:pPr>
              <w:tabs>
                <w:tab w:val="center" w:pos="284"/>
              </w:tabs>
              <w:ind w:left="266" w:hanging="374"/>
              <w:rPr>
                <w:b/>
              </w:rPr>
            </w:pPr>
            <w:r>
              <w:rPr>
                <w:b/>
              </w:rPr>
              <w:t>Viiteasiakirjat</w:t>
            </w:r>
          </w:p>
        </w:tc>
        <w:tc>
          <w:tcPr>
            <w:tcW w:w="3852" w:type="pct"/>
            <w:hideMark/>
          </w:tcPr>
          <w:p w14:paraId="179117AF" w14:textId="1000A0E5" w:rsidR="00B2734D" w:rsidRDefault="0049636B" w:rsidP="00D95E0E">
            <w:pPr>
              <w:tabs>
                <w:tab w:val="center" w:pos="284"/>
              </w:tabs>
              <w:ind w:left="266" w:hanging="266"/>
            </w:pPr>
            <w:r>
              <w:t xml:space="preserve">Puheenjohtajavaltion Tanskan pyytämä valmisteleva lausunto </w:t>
            </w:r>
          </w:p>
        </w:tc>
      </w:tr>
      <w:tr w:rsidR="00B2734D" w14:paraId="275FD9AA" w14:textId="77777777" w:rsidTr="00B2734D">
        <w:tc>
          <w:tcPr>
            <w:tcW w:w="0" w:type="auto"/>
            <w:vMerge/>
            <w:vAlign w:val="center"/>
            <w:hideMark/>
          </w:tcPr>
          <w:p w14:paraId="08ED7963" w14:textId="77777777" w:rsidR="00B2734D" w:rsidRDefault="00B2734D" w:rsidP="00D95E0E">
            <w:pPr>
              <w:jc w:val="left"/>
              <w:rPr>
                <w:b/>
              </w:rPr>
            </w:pPr>
          </w:p>
        </w:tc>
        <w:tc>
          <w:tcPr>
            <w:tcW w:w="3852" w:type="pct"/>
            <w:hideMark/>
          </w:tcPr>
          <w:p w14:paraId="19568603" w14:textId="77777777" w:rsidR="00B2734D" w:rsidRDefault="00B2734D" w:rsidP="00D95E0E">
            <w:pPr>
              <w:tabs>
                <w:tab w:val="center" w:pos="284"/>
              </w:tabs>
              <w:ind w:left="266" w:hanging="266"/>
            </w:pPr>
            <w:r>
              <w:t>EESC-2025-01043-00-00-AC</w:t>
            </w:r>
          </w:p>
        </w:tc>
      </w:tr>
    </w:tbl>
    <w:p w14:paraId="232E078E" w14:textId="77777777" w:rsidR="00B2734D" w:rsidRDefault="00B2734D" w:rsidP="00D95E0E">
      <w:pPr>
        <w:tabs>
          <w:tab w:val="center" w:pos="284"/>
        </w:tabs>
        <w:ind w:left="266" w:hanging="266"/>
      </w:pPr>
    </w:p>
    <w:p w14:paraId="37E4A04A" w14:textId="77777777" w:rsidR="00B2734D" w:rsidRDefault="00B2734D" w:rsidP="00D95E0E">
      <w:pPr>
        <w:keepNext/>
        <w:keepLines/>
        <w:tabs>
          <w:tab w:val="center" w:pos="284"/>
        </w:tabs>
        <w:ind w:left="266" w:hanging="266"/>
        <w:rPr>
          <w:b/>
        </w:rPr>
      </w:pPr>
      <w:r>
        <w:rPr>
          <w:b/>
        </w:rPr>
        <w:t>Keskeiset kohdat</w:t>
      </w:r>
    </w:p>
    <w:p w14:paraId="58E5F838" w14:textId="77777777" w:rsidR="00B2734D" w:rsidRDefault="00B2734D" w:rsidP="00D95E0E">
      <w:pPr>
        <w:keepNext/>
        <w:keepLines/>
        <w:tabs>
          <w:tab w:val="center" w:pos="284"/>
        </w:tabs>
        <w:ind w:left="266" w:hanging="266"/>
        <w:rPr>
          <w:b/>
        </w:rPr>
      </w:pPr>
    </w:p>
    <w:p w14:paraId="0970652C" w14:textId="77777777" w:rsidR="00B2734D" w:rsidRDefault="00B2734D" w:rsidP="00D95E0E">
      <w:pPr>
        <w:rPr>
          <w:bCs/>
          <w:iCs/>
        </w:rPr>
      </w:pPr>
      <w:r>
        <w:t>ETSK</w:t>
      </w:r>
    </w:p>
    <w:p w14:paraId="0DBCA4EA" w14:textId="77777777" w:rsidR="00B2734D" w:rsidRDefault="00B2734D" w:rsidP="00D95E0E">
      <w:pPr>
        <w:numPr>
          <w:ilvl w:val="0"/>
          <w:numId w:val="38"/>
        </w:numPr>
        <w:overflowPunct w:val="0"/>
        <w:autoSpaceDE w:val="0"/>
        <w:autoSpaceDN w:val="0"/>
        <w:adjustRightInd w:val="0"/>
        <w:ind w:left="426"/>
        <w:rPr>
          <w:szCs w:val="20"/>
        </w:rPr>
      </w:pPr>
      <w:r>
        <w:t xml:space="preserve">painottaa, että </w:t>
      </w:r>
      <w:proofErr w:type="spellStart"/>
      <w:r>
        <w:t>start-up</w:t>
      </w:r>
      <w:proofErr w:type="spellEnd"/>
      <w:r>
        <w:t xml:space="preserve">- ja </w:t>
      </w:r>
      <w:proofErr w:type="spellStart"/>
      <w:r>
        <w:t>scale</w:t>
      </w:r>
      <w:proofErr w:type="spellEnd"/>
      <w:r>
        <w:t>-</w:t>
      </w:r>
      <w:proofErr w:type="spellStart"/>
      <w:r>
        <w:t>up</w:t>
      </w:r>
      <w:proofErr w:type="spellEnd"/>
      <w:r>
        <w:t>-yritysten menestys edellyttää kilpailukykyistä pääsyä resurssi- ja tuotemarkkinoille sekä innovointia, investointeja ja kauppaa tukevaa sääntely- ja finanssipoliittista ympäristöä.</w:t>
      </w:r>
    </w:p>
    <w:p w14:paraId="190F4B13" w14:textId="77777777" w:rsidR="00B2734D" w:rsidRDefault="00B2734D" w:rsidP="00D95E0E">
      <w:pPr>
        <w:numPr>
          <w:ilvl w:val="0"/>
          <w:numId w:val="38"/>
        </w:numPr>
        <w:overflowPunct w:val="0"/>
        <w:autoSpaceDE w:val="0"/>
        <w:autoSpaceDN w:val="0"/>
        <w:adjustRightInd w:val="0"/>
        <w:ind w:left="426"/>
      </w:pPr>
      <w:r>
        <w:t>korostaa, että yrittäjyyden ja liiketoiminnan laajempaa kehittämistä varten tarvitaan lisätoimia ja että kaikissa yritystoimintaa koskevissa politiikka- ja sääntelyaloitteissa on huomioitava toiminnan laajentamisen näkökulma.</w:t>
      </w:r>
    </w:p>
    <w:p w14:paraId="7ABFD5DD" w14:textId="77777777" w:rsidR="00B2734D" w:rsidRDefault="00B2734D" w:rsidP="00D95E0E">
      <w:pPr>
        <w:numPr>
          <w:ilvl w:val="0"/>
          <w:numId w:val="38"/>
        </w:numPr>
        <w:overflowPunct w:val="0"/>
        <w:autoSpaceDE w:val="0"/>
        <w:autoSpaceDN w:val="0"/>
        <w:adjustRightInd w:val="0"/>
        <w:ind w:left="426"/>
      </w:pPr>
      <w:r>
        <w:t>tähdentää paremman sääntelyn periaatteen merkitystä. Sitä sovellettaessa tulee tukeutua perusteellisiin vaikutustenarviointeihin, jotka kattavat arvoketjut kokonaisuudessaan sekä lainsäädäntöprosessin kaikki vaiheet. ETSK peräänkuuluttaa kunnollisen innovointia koskevan stressitestin ja kilpailukykytarkastuksen tekemistä sekä asianmukaisten jatkotoimien toteuttamista.</w:t>
      </w:r>
    </w:p>
    <w:p w14:paraId="2C7C87CE" w14:textId="77777777" w:rsidR="00B2734D" w:rsidRDefault="00B2734D" w:rsidP="00D95E0E">
      <w:pPr>
        <w:numPr>
          <w:ilvl w:val="0"/>
          <w:numId w:val="38"/>
        </w:numPr>
        <w:overflowPunct w:val="0"/>
        <w:autoSpaceDE w:val="0"/>
        <w:autoSpaceDN w:val="0"/>
        <w:adjustRightInd w:val="0"/>
        <w:ind w:left="426"/>
      </w:pPr>
      <w:r>
        <w:t xml:space="preserve">korostaa, että </w:t>
      </w:r>
      <w:proofErr w:type="spellStart"/>
      <w:r>
        <w:t>scale</w:t>
      </w:r>
      <w:proofErr w:type="spellEnd"/>
      <w:r>
        <w:t>-</w:t>
      </w:r>
      <w:proofErr w:type="spellStart"/>
      <w:r>
        <w:t>up</w:t>
      </w:r>
      <w:proofErr w:type="spellEnd"/>
      <w:r>
        <w:t>-yritysten rahoitustarpeet edellyttävät koko investointiketjua koskevia ratkaisuja, jotka tulisi toteuttaa välittömästi jo ennen seuraavaa monivuotista rahoituskehystä.</w:t>
      </w:r>
    </w:p>
    <w:p w14:paraId="4072C1E1" w14:textId="77777777" w:rsidR="00B2734D" w:rsidRDefault="00B2734D" w:rsidP="00D95E0E">
      <w:pPr>
        <w:numPr>
          <w:ilvl w:val="0"/>
          <w:numId w:val="38"/>
        </w:numPr>
        <w:overflowPunct w:val="0"/>
        <w:autoSpaceDE w:val="0"/>
        <w:autoSpaceDN w:val="0"/>
        <w:adjustRightInd w:val="0"/>
        <w:ind w:left="426"/>
      </w:pPr>
      <w:r>
        <w:t xml:space="preserve">kehottaa arvioimaan, miten </w:t>
      </w:r>
      <w:proofErr w:type="spellStart"/>
      <w:r>
        <w:t>start-up</w:t>
      </w:r>
      <w:proofErr w:type="spellEnd"/>
      <w:r>
        <w:t xml:space="preserve">- ja </w:t>
      </w:r>
      <w:proofErr w:type="spellStart"/>
      <w:r>
        <w:t>scale</w:t>
      </w:r>
      <w:proofErr w:type="spellEnd"/>
      <w:r>
        <w:t>-</w:t>
      </w:r>
      <w:proofErr w:type="spellStart"/>
      <w:r>
        <w:t>up</w:t>
      </w:r>
      <w:proofErr w:type="spellEnd"/>
      <w:r>
        <w:t xml:space="preserve">-yritysten verotusta voidaan parantaa. Olisi esimerkiksi laadittava selvitys jäsenvaltioiden parhaista käytännöistä ja vertaileva analyysi </w:t>
      </w:r>
      <w:proofErr w:type="spellStart"/>
      <w:r>
        <w:t>start</w:t>
      </w:r>
      <w:proofErr w:type="spellEnd"/>
      <w:r>
        <w:t>-</w:t>
      </w:r>
      <w:proofErr w:type="spellStart"/>
      <w:r>
        <w:t>up</w:t>
      </w:r>
      <w:proofErr w:type="spellEnd"/>
      <w:r>
        <w:t>-yritysten oman pääoman kohtelusta Yhdysvalloissa ja muissa kilpailevissa talouksissa.</w:t>
      </w:r>
    </w:p>
    <w:p w14:paraId="0D8498A0" w14:textId="77777777" w:rsidR="00B2734D" w:rsidRDefault="00B2734D" w:rsidP="00D95E0E">
      <w:pPr>
        <w:numPr>
          <w:ilvl w:val="0"/>
          <w:numId w:val="38"/>
        </w:numPr>
        <w:overflowPunct w:val="0"/>
        <w:autoSpaceDE w:val="0"/>
        <w:autoSpaceDN w:val="0"/>
        <w:adjustRightInd w:val="0"/>
        <w:ind w:left="426"/>
      </w:pPr>
      <w:r>
        <w:t xml:space="preserve">pitää erittäin tärkeänä, että </w:t>
      </w:r>
      <w:proofErr w:type="spellStart"/>
      <w:r>
        <w:t>start</w:t>
      </w:r>
      <w:proofErr w:type="spellEnd"/>
      <w:r>
        <w:t>-</w:t>
      </w:r>
      <w:proofErr w:type="spellStart"/>
      <w:r>
        <w:t>up</w:t>
      </w:r>
      <w:proofErr w:type="spellEnd"/>
      <w:r>
        <w:t>-yritykset voivat hyödyntää huipputason tutkimus- ja teknologiainfrastruktuuria, kuten supertietokoneita ja tekoälytehtaita, ja että niille tarjotaan räätälöityä tukea tuotteiden ja palvelujen kaupallistamiseen.</w:t>
      </w:r>
    </w:p>
    <w:p w14:paraId="32DFFB55" w14:textId="77777777" w:rsidR="00B2734D" w:rsidRDefault="00B2734D" w:rsidP="00D95E0E">
      <w:pPr>
        <w:numPr>
          <w:ilvl w:val="0"/>
          <w:numId w:val="38"/>
        </w:numPr>
        <w:overflowPunct w:val="0"/>
        <w:autoSpaceDE w:val="0"/>
        <w:autoSpaceDN w:val="0"/>
        <w:adjustRightInd w:val="0"/>
        <w:ind w:left="426"/>
      </w:pPr>
      <w:r>
        <w:t xml:space="preserve">kehottaa kehittämään keskeisiä tulosindikaattoreita asteittain, jotta </w:t>
      </w:r>
      <w:proofErr w:type="spellStart"/>
      <w:r>
        <w:t>start-up</w:t>
      </w:r>
      <w:proofErr w:type="spellEnd"/>
      <w:r>
        <w:t xml:space="preserve">- ja </w:t>
      </w:r>
      <w:proofErr w:type="spellStart"/>
      <w:r>
        <w:t>scale</w:t>
      </w:r>
      <w:proofErr w:type="spellEnd"/>
      <w:r>
        <w:t>-</w:t>
      </w:r>
      <w:proofErr w:type="spellStart"/>
      <w:r>
        <w:t>up</w:t>
      </w:r>
      <w:proofErr w:type="spellEnd"/>
      <w:r>
        <w:t>-yritysten toimintaa voidaan seurata kattavasti ja tulossuuntautuneesti ja jotta voidaan asettaa täsmällisiä tavoitteita.</w:t>
      </w:r>
    </w:p>
    <w:p w14:paraId="55B9B11D" w14:textId="77777777" w:rsidR="00B2734D" w:rsidRDefault="00B2734D" w:rsidP="00D95E0E">
      <w:pPr>
        <w:ind w:left="709"/>
      </w:pPr>
    </w:p>
    <w:tbl>
      <w:tblPr>
        <w:tblW w:w="3516" w:type="pct"/>
        <w:tblLook w:val="04A0" w:firstRow="1" w:lastRow="0" w:firstColumn="1" w:lastColumn="0" w:noHBand="0" w:noVBand="1"/>
      </w:tblPr>
      <w:tblGrid>
        <w:gridCol w:w="1985"/>
        <w:gridCol w:w="4395"/>
      </w:tblGrid>
      <w:tr w:rsidR="00B2734D" w14:paraId="0FC46785" w14:textId="77777777" w:rsidTr="00B2734D">
        <w:tc>
          <w:tcPr>
            <w:tcW w:w="1556" w:type="pct"/>
            <w:hideMark/>
          </w:tcPr>
          <w:p w14:paraId="724DE268" w14:textId="77777777" w:rsidR="00B2734D" w:rsidRDefault="00B2734D" w:rsidP="00D95E0E">
            <w:pPr>
              <w:rPr>
                <w:i/>
              </w:rPr>
            </w:pPr>
            <w:r>
              <w:rPr>
                <w:b/>
                <w:i/>
              </w:rPr>
              <w:t>Yhteydenotot</w:t>
            </w:r>
          </w:p>
        </w:tc>
        <w:tc>
          <w:tcPr>
            <w:tcW w:w="3444" w:type="pct"/>
            <w:hideMark/>
          </w:tcPr>
          <w:p w14:paraId="30F3B06F" w14:textId="446F99FF" w:rsidR="00B2734D" w:rsidRDefault="00B2734D" w:rsidP="00D95E0E">
            <w:pPr>
              <w:rPr>
                <w:i/>
              </w:rPr>
            </w:pPr>
            <w:r>
              <w:rPr>
                <w:i/>
              </w:rPr>
              <w:t xml:space="preserve">Marco </w:t>
            </w:r>
            <w:proofErr w:type="spellStart"/>
            <w:r w:rsidR="00B959E2">
              <w:rPr>
                <w:i/>
              </w:rPr>
              <w:t>Manfroni</w:t>
            </w:r>
            <w:proofErr w:type="spellEnd"/>
          </w:p>
        </w:tc>
      </w:tr>
      <w:tr w:rsidR="00B2734D" w14:paraId="6BA6BBEC" w14:textId="77777777" w:rsidTr="00B2734D">
        <w:tc>
          <w:tcPr>
            <w:tcW w:w="1556" w:type="pct"/>
            <w:hideMark/>
          </w:tcPr>
          <w:p w14:paraId="7CC420F2" w14:textId="77777777" w:rsidR="00B2734D" w:rsidRDefault="00B2734D" w:rsidP="00D95E0E">
            <w:pPr>
              <w:rPr>
                <w:i/>
              </w:rPr>
            </w:pPr>
            <w:r>
              <w:rPr>
                <w:i/>
              </w:rPr>
              <w:t>P.</w:t>
            </w:r>
          </w:p>
        </w:tc>
        <w:tc>
          <w:tcPr>
            <w:tcW w:w="3444" w:type="pct"/>
            <w:hideMark/>
          </w:tcPr>
          <w:p w14:paraId="0B30D6A2" w14:textId="77777777" w:rsidR="00B2734D" w:rsidRDefault="00B2734D" w:rsidP="00D95E0E">
            <w:pPr>
              <w:rPr>
                <w:i/>
              </w:rPr>
            </w:pPr>
            <w:r>
              <w:rPr>
                <w:i/>
              </w:rPr>
              <w:t>+32 25469140</w:t>
            </w:r>
          </w:p>
        </w:tc>
      </w:tr>
      <w:tr w:rsidR="00B2734D" w14:paraId="2C013ECB" w14:textId="77777777" w:rsidTr="00B2734D">
        <w:tc>
          <w:tcPr>
            <w:tcW w:w="1556" w:type="pct"/>
            <w:hideMark/>
          </w:tcPr>
          <w:p w14:paraId="768439FA" w14:textId="77777777" w:rsidR="00B2734D" w:rsidRDefault="00B2734D" w:rsidP="00D95E0E">
            <w:pPr>
              <w:rPr>
                <w:i/>
              </w:rPr>
            </w:pPr>
            <w:r>
              <w:rPr>
                <w:i/>
              </w:rPr>
              <w:t>Sähköposti</w:t>
            </w:r>
          </w:p>
        </w:tc>
        <w:tc>
          <w:tcPr>
            <w:tcW w:w="3444" w:type="pct"/>
            <w:hideMark/>
          </w:tcPr>
          <w:p w14:paraId="49B125BA" w14:textId="77777777" w:rsidR="00B2734D" w:rsidRDefault="0061775F" w:rsidP="00D95E0E">
            <w:pPr>
              <w:rPr>
                <w:i/>
              </w:rPr>
            </w:pPr>
            <w:hyperlink r:id="rId70" w:history="1">
              <w:r w:rsidR="00B2734D">
                <w:rPr>
                  <w:rStyle w:val="Hyperlink"/>
                  <w:i/>
                </w:rPr>
                <w:t>Marco.Manfroni@eesc.europa.eu</w:t>
              </w:r>
            </w:hyperlink>
          </w:p>
        </w:tc>
      </w:tr>
    </w:tbl>
    <w:p w14:paraId="78C55030" w14:textId="236C56D8" w:rsidR="00B2734D" w:rsidRDefault="00B2734D" w:rsidP="00D95E0E">
      <w:pPr>
        <w:jc w:val="left"/>
      </w:pPr>
    </w:p>
    <w:p w14:paraId="0E4C5C03" w14:textId="77777777" w:rsidR="00B2734D" w:rsidRDefault="00B2734D" w:rsidP="00D95E0E">
      <w:pPr>
        <w:jc w:val="left"/>
      </w:pPr>
      <w:r>
        <w:br w:type="page"/>
      </w:r>
    </w:p>
    <w:p w14:paraId="01A17D30" w14:textId="7A639536" w:rsidR="00D95E0E" w:rsidRPr="00D95E0E" w:rsidRDefault="0061775F" w:rsidP="00D95E0E">
      <w:pPr>
        <w:numPr>
          <w:ilvl w:val="0"/>
          <w:numId w:val="56"/>
        </w:numPr>
        <w:overflowPunct w:val="0"/>
        <w:autoSpaceDE w:val="0"/>
        <w:autoSpaceDN w:val="0"/>
        <w:adjustRightInd w:val="0"/>
        <w:ind w:hanging="567"/>
        <w:textAlignment w:val="baseline"/>
        <w:rPr>
          <w:b/>
        </w:rPr>
      </w:pPr>
      <w:hyperlink r:id="rId71" w:history="1">
        <w:r w:rsidR="00D95E0E" w:rsidRPr="00D95E0E">
          <w:rPr>
            <w:b/>
            <w:i/>
            <w:color w:val="0000FF"/>
            <w:sz w:val="28"/>
            <w:szCs w:val="20"/>
            <w:u w:val="single"/>
          </w:rPr>
          <w:t>Tekoälysovellukset ja vapaat ammatinharjoittajat</w:t>
        </w:r>
      </w:hyperlink>
    </w:p>
    <w:p w14:paraId="3D6BC28D" w14:textId="77777777" w:rsidR="00D95E0E" w:rsidRPr="00D95E0E" w:rsidRDefault="00D95E0E" w:rsidP="00693C8D">
      <w:pPr>
        <w:overflowPunct w:val="0"/>
        <w:autoSpaceDE w:val="0"/>
        <w:autoSpaceDN w:val="0"/>
        <w:adjustRightInd w:val="0"/>
        <w:textAlignment w:val="baseline"/>
        <w:rPr>
          <w:b/>
        </w:rPr>
      </w:pPr>
    </w:p>
    <w:tbl>
      <w:tblPr>
        <w:tblStyle w:val="TableGrid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D95E0E" w:rsidRPr="00D95E0E" w14:paraId="1E7527F8" w14:textId="77777777" w:rsidTr="008C6F7D">
        <w:tc>
          <w:tcPr>
            <w:tcW w:w="1148" w:type="pct"/>
          </w:tcPr>
          <w:p w14:paraId="26703D0C" w14:textId="77777777" w:rsidR="00D95E0E" w:rsidRPr="00D95E0E" w:rsidRDefault="00D95E0E" w:rsidP="00693C8D">
            <w:pPr>
              <w:tabs>
                <w:tab w:val="center" w:pos="284"/>
              </w:tabs>
              <w:overflowPunct w:val="0"/>
              <w:autoSpaceDE w:val="0"/>
              <w:autoSpaceDN w:val="0"/>
              <w:adjustRightInd w:val="0"/>
              <w:ind w:left="266" w:hanging="376"/>
              <w:textAlignment w:val="baseline"/>
              <w:rPr>
                <w:b/>
                <w:sz w:val="22"/>
                <w:szCs w:val="22"/>
              </w:rPr>
            </w:pPr>
            <w:r w:rsidRPr="00D95E0E">
              <w:rPr>
                <w:b/>
                <w:sz w:val="22"/>
                <w:szCs w:val="22"/>
              </w:rPr>
              <w:t>Esittelijä</w:t>
            </w:r>
          </w:p>
        </w:tc>
        <w:tc>
          <w:tcPr>
            <w:tcW w:w="3852" w:type="pct"/>
          </w:tcPr>
          <w:p w14:paraId="405881B7" w14:textId="66485171" w:rsidR="00D95E0E" w:rsidRPr="00D95E0E" w:rsidRDefault="00D95E0E" w:rsidP="00693C8D">
            <w:pPr>
              <w:tabs>
                <w:tab w:val="center" w:pos="284"/>
              </w:tabs>
              <w:overflowPunct w:val="0"/>
              <w:autoSpaceDE w:val="0"/>
              <w:autoSpaceDN w:val="0"/>
              <w:adjustRightInd w:val="0"/>
              <w:ind w:left="266" w:hanging="266"/>
              <w:textAlignment w:val="baseline"/>
              <w:rPr>
                <w:sz w:val="22"/>
                <w:szCs w:val="22"/>
              </w:rPr>
            </w:pPr>
            <w:r w:rsidRPr="00D95E0E">
              <w:rPr>
                <w:sz w:val="22"/>
                <w:szCs w:val="22"/>
              </w:rPr>
              <w:t>Rudolf KOLBE (kansalaisyhteiskunnan organisaatiot – AT)</w:t>
            </w:r>
          </w:p>
        </w:tc>
      </w:tr>
      <w:tr w:rsidR="00D95E0E" w:rsidRPr="00D95E0E" w14:paraId="332068C6" w14:textId="77777777" w:rsidTr="008C6F7D">
        <w:tc>
          <w:tcPr>
            <w:tcW w:w="1148" w:type="pct"/>
            <w:vMerge w:val="restart"/>
          </w:tcPr>
          <w:p w14:paraId="0F8B0A72" w14:textId="420B6C93" w:rsidR="00D95E0E" w:rsidRPr="00D95E0E" w:rsidRDefault="00D95E0E" w:rsidP="00693C8D">
            <w:pPr>
              <w:tabs>
                <w:tab w:val="center" w:pos="284"/>
              </w:tabs>
              <w:overflowPunct w:val="0"/>
              <w:autoSpaceDE w:val="0"/>
              <w:autoSpaceDN w:val="0"/>
              <w:adjustRightInd w:val="0"/>
              <w:ind w:left="266" w:hanging="376"/>
              <w:textAlignment w:val="baseline"/>
              <w:rPr>
                <w:b/>
                <w:sz w:val="22"/>
                <w:szCs w:val="22"/>
              </w:rPr>
            </w:pPr>
            <w:r w:rsidRPr="00D95E0E">
              <w:rPr>
                <w:b/>
                <w:sz w:val="22"/>
                <w:szCs w:val="22"/>
              </w:rPr>
              <w:t>Viiteasiakirjat</w:t>
            </w:r>
          </w:p>
        </w:tc>
        <w:tc>
          <w:tcPr>
            <w:tcW w:w="3852" w:type="pct"/>
          </w:tcPr>
          <w:p w14:paraId="641C777A" w14:textId="77777777" w:rsidR="00D95E0E" w:rsidRPr="00D95E0E" w:rsidRDefault="00D95E0E" w:rsidP="00693C8D">
            <w:pPr>
              <w:tabs>
                <w:tab w:val="center" w:pos="284"/>
              </w:tabs>
              <w:overflowPunct w:val="0"/>
              <w:autoSpaceDE w:val="0"/>
              <w:autoSpaceDN w:val="0"/>
              <w:adjustRightInd w:val="0"/>
              <w:ind w:left="266" w:hanging="266"/>
              <w:textAlignment w:val="baseline"/>
              <w:rPr>
                <w:sz w:val="22"/>
                <w:szCs w:val="22"/>
              </w:rPr>
            </w:pPr>
            <w:r w:rsidRPr="00D95E0E">
              <w:rPr>
                <w:sz w:val="22"/>
                <w:szCs w:val="22"/>
              </w:rPr>
              <w:t>oma-aloitteinen lausunto</w:t>
            </w:r>
          </w:p>
        </w:tc>
      </w:tr>
      <w:tr w:rsidR="00D95E0E" w:rsidRPr="00D95E0E" w14:paraId="5296A4D4" w14:textId="77777777" w:rsidTr="008C6F7D">
        <w:tc>
          <w:tcPr>
            <w:tcW w:w="1148" w:type="pct"/>
            <w:vMerge/>
          </w:tcPr>
          <w:p w14:paraId="7D604B84" w14:textId="77777777" w:rsidR="00D95E0E" w:rsidRPr="00D95E0E" w:rsidRDefault="00D95E0E" w:rsidP="00693C8D">
            <w:pPr>
              <w:tabs>
                <w:tab w:val="center" w:pos="284"/>
              </w:tabs>
              <w:overflowPunct w:val="0"/>
              <w:autoSpaceDE w:val="0"/>
              <w:autoSpaceDN w:val="0"/>
              <w:adjustRightInd w:val="0"/>
              <w:ind w:left="266" w:hanging="266"/>
              <w:textAlignment w:val="baseline"/>
              <w:rPr>
                <w:b/>
                <w:sz w:val="22"/>
                <w:szCs w:val="22"/>
                <w:lang w:val="en-US"/>
              </w:rPr>
            </w:pPr>
          </w:p>
        </w:tc>
        <w:tc>
          <w:tcPr>
            <w:tcW w:w="3852" w:type="pct"/>
          </w:tcPr>
          <w:p w14:paraId="723E141E" w14:textId="45E71DC7" w:rsidR="00D95E0E" w:rsidRPr="00D95E0E" w:rsidRDefault="00D95E0E" w:rsidP="00693C8D">
            <w:pPr>
              <w:tabs>
                <w:tab w:val="center" w:pos="284"/>
              </w:tabs>
              <w:overflowPunct w:val="0"/>
              <w:autoSpaceDE w:val="0"/>
              <w:autoSpaceDN w:val="0"/>
              <w:adjustRightInd w:val="0"/>
              <w:ind w:left="266" w:hanging="266"/>
              <w:textAlignment w:val="baseline"/>
              <w:rPr>
                <w:sz w:val="22"/>
                <w:szCs w:val="22"/>
              </w:rPr>
            </w:pPr>
            <w:r w:rsidRPr="00D95E0E">
              <w:rPr>
                <w:sz w:val="22"/>
                <w:szCs w:val="22"/>
              </w:rPr>
              <w:t>EESC-2025-0</w:t>
            </w:r>
            <w:r w:rsidR="00477D90">
              <w:rPr>
                <w:sz w:val="22"/>
                <w:szCs w:val="22"/>
              </w:rPr>
              <w:t>0849</w:t>
            </w:r>
            <w:r w:rsidRPr="00D95E0E">
              <w:rPr>
                <w:sz w:val="22"/>
                <w:szCs w:val="22"/>
              </w:rPr>
              <w:t>-00-00-AC</w:t>
            </w:r>
          </w:p>
        </w:tc>
      </w:tr>
    </w:tbl>
    <w:p w14:paraId="783E4270" w14:textId="77777777" w:rsidR="00D95E0E" w:rsidRPr="00D95E0E" w:rsidRDefault="00D95E0E" w:rsidP="00693C8D">
      <w:pPr>
        <w:tabs>
          <w:tab w:val="center" w:pos="284"/>
        </w:tabs>
        <w:overflowPunct w:val="0"/>
        <w:autoSpaceDE w:val="0"/>
        <w:autoSpaceDN w:val="0"/>
        <w:adjustRightInd w:val="0"/>
        <w:ind w:left="266" w:hanging="266"/>
        <w:textAlignment w:val="baseline"/>
      </w:pPr>
    </w:p>
    <w:p w14:paraId="0787B256" w14:textId="77777777" w:rsidR="00D95E0E" w:rsidRPr="00D95E0E" w:rsidRDefault="00D95E0E" w:rsidP="00693C8D">
      <w:pPr>
        <w:keepNext/>
        <w:keepLines/>
        <w:tabs>
          <w:tab w:val="center" w:pos="284"/>
        </w:tabs>
        <w:overflowPunct w:val="0"/>
        <w:autoSpaceDE w:val="0"/>
        <w:autoSpaceDN w:val="0"/>
        <w:adjustRightInd w:val="0"/>
        <w:ind w:left="266" w:hanging="266"/>
        <w:textAlignment w:val="baseline"/>
        <w:rPr>
          <w:b/>
        </w:rPr>
      </w:pPr>
      <w:r w:rsidRPr="00D95E0E">
        <w:rPr>
          <w:b/>
        </w:rPr>
        <w:t>Keskeiset kohdat</w:t>
      </w:r>
    </w:p>
    <w:p w14:paraId="7BD1333A" w14:textId="77777777" w:rsidR="00D95E0E" w:rsidRPr="00D95E0E" w:rsidRDefault="00D95E0E" w:rsidP="00693C8D">
      <w:pPr>
        <w:keepNext/>
        <w:keepLines/>
        <w:tabs>
          <w:tab w:val="center" w:pos="284"/>
        </w:tabs>
        <w:overflowPunct w:val="0"/>
        <w:autoSpaceDE w:val="0"/>
        <w:autoSpaceDN w:val="0"/>
        <w:adjustRightInd w:val="0"/>
        <w:ind w:left="266" w:hanging="266"/>
        <w:textAlignment w:val="baseline"/>
        <w:rPr>
          <w:b/>
        </w:rPr>
      </w:pPr>
    </w:p>
    <w:p w14:paraId="23A73BCC" w14:textId="77777777" w:rsidR="00D95E0E" w:rsidRPr="00D95E0E" w:rsidRDefault="00D95E0E" w:rsidP="00693C8D">
      <w:pPr>
        <w:overflowPunct w:val="0"/>
        <w:autoSpaceDE w:val="0"/>
        <w:autoSpaceDN w:val="0"/>
        <w:adjustRightInd w:val="0"/>
        <w:textAlignment w:val="baseline"/>
        <w:rPr>
          <w:bCs/>
          <w:iCs/>
        </w:rPr>
      </w:pPr>
      <w:r w:rsidRPr="00D95E0E">
        <w:t>ETSK</w:t>
      </w:r>
    </w:p>
    <w:p w14:paraId="61ADC12C" w14:textId="77777777" w:rsidR="00D95E0E" w:rsidRPr="00D95E0E" w:rsidRDefault="00D95E0E" w:rsidP="00693C8D">
      <w:pPr>
        <w:overflowPunct w:val="0"/>
        <w:autoSpaceDE w:val="0"/>
        <w:autoSpaceDN w:val="0"/>
        <w:adjustRightInd w:val="0"/>
        <w:textAlignment w:val="baseline"/>
        <w:rPr>
          <w:bCs/>
          <w:iCs/>
        </w:rPr>
      </w:pPr>
    </w:p>
    <w:p w14:paraId="61D89A6F" w14:textId="77777777" w:rsidR="00D95E0E" w:rsidRPr="00D95E0E" w:rsidRDefault="00D95E0E" w:rsidP="00D95E0E">
      <w:pPr>
        <w:numPr>
          <w:ilvl w:val="0"/>
          <w:numId w:val="57"/>
        </w:numPr>
        <w:overflowPunct w:val="0"/>
        <w:autoSpaceDE w:val="0"/>
        <w:autoSpaceDN w:val="0"/>
        <w:adjustRightInd w:val="0"/>
        <w:ind w:left="426"/>
        <w:textAlignment w:val="baseline"/>
        <w:rPr>
          <w:szCs w:val="20"/>
        </w:rPr>
      </w:pPr>
      <w:r w:rsidRPr="00D95E0E">
        <w:rPr>
          <w:szCs w:val="20"/>
        </w:rPr>
        <w:t xml:space="preserve">korostaa, että tekoälyn olisi oltava pikemminkin </w:t>
      </w:r>
      <w:r w:rsidRPr="00D95E0E">
        <w:rPr>
          <w:b/>
          <w:szCs w:val="20"/>
        </w:rPr>
        <w:t>täydentävä</w:t>
      </w:r>
      <w:r w:rsidRPr="00D95E0E">
        <w:rPr>
          <w:szCs w:val="20"/>
        </w:rPr>
        <w:t xml:space="preserve"> kuin korvaava väline ja että lopullinen päätöksenteko arkaluonteisilla aloilla, kuten terveydenhuollossa, lainsäädännössä tai verotuksessa, olisi säilytettävä </w:t>
      </w:r>
      <w:r w:rsidRPr="00D95E0E">
        <w:rPr>
          <w:b/>
          <w:szCs w:val="20"/>
        </w:rPr>
        <w:t>ihmisen valvonnassa</w:t>
      </w:r>
      <w:r w:rsidRPr="00D95E0E">
        <w:rPr>
          <w:szCs w:val="20"/>
        </w:rPr>
        <w:t xml:space="preserve"> ammatillisen riippumattomuuden ja vastuuvelvollisuuden turvaamiseksi. </w:t>
      </w:r>
    </w:p>
    <w:p w14:paraId="7D5D9497" w14:textId="77777777" w:rsidR="00D95E0E" w:rsidRPr="00D95E0E" w:rsidRDefault="00D95E0E" w:rsidP="00D95E0E">
      <w:pPr>
        <w:numPr>
          <w:ilvl w:val="0"/>
          <w:numId w:val="57"/>
        </w:numPr>
        <w:overflowPunct w:val="0"/>
        <w:autoSpaceDE w:val="0"/>
        <w:autoSpaceDN w:val="0"/>
        <w:adjustRightInd w:val="0"/>
        <w:ind w:left="426"/>
        <w:textAlignment w:val="baseline"/>
        <w:rPr>
          <w:szCs w:val="20"/>
        </w:rPr>
      </w:pPr>
      <w:r w:rsidRPr="00D95E0E">
        <w:rPr>
          <w:szCs w:val="20"/>
        </w:rPr>
        <w:t xml:space="preserve">korostaa, että teknologia voi keventää </w:t>
      </w:r>
      <w:r w:rsidRPr="00D95E0E">
        <w:rPr>
          <w:b/>
          <w:szCs w:val="20"/>
        </w:rPr>
        <w:t>hallinnollisia rasitteita</w:t>
      </w:r>
      <w:r w:rsidRPr="00D95E0E">
        <w:rPr>
          <w:szCs w:val="20"/>
        </w:rPr>
        <w:t xml:space="preserve"> ja rutiinitehtäviä ja antaa ammattilaisille mahdollisuuden keskittyä korkeamman lisäarvon ihmiskeskeisiin palveluihin, mikä parantaa kansalaisille ja yrityksille tarjottavien palvelujen tehokkuutta ja laatua.</w:t>
      </w:r>
    </w:p>
    <w:p w14:paraId="32DA343B" w14:textId="77777777" w:rsidR="00D95E0E" w:rsidRPr="00D95E0E" w:rsidRDefault="00D95E0E" w:rsidP="00D95E0E">
      <w:pPr>
        <w:numPr>
          <w:ilvl w:val="0"/>
          <w:numId w:val="57"/>
        </w:numPr>
        <w:overflowPunct w:val="0"/>
        <w:autoSpaceDE w:val="0"/>
        <w:autoSpaceDN w:val="0"/>
        <w:adjustRightInd w:val="0"/>
        <w:ind w:left="426"/>
        <w:textAlignment w:val="baseline"/>
        <w:rPr>
          <w:szCs w:val="20"/>
        </w:rPr>
      </w:pPr>
      <w:r w:rsidRPr="00D95E0E">
        <w:rPr>
          <w:szCs w:val="20"/>
        </w:rPr>
        <w:t>vaatii, että tekoälyn käyttöön on sovellettava</w:t>
      </w:r>
      <w:r w:rsidRPr="00D95E0E">
        <w:rPr>
          <w:b/>
          <w:szCs w:val="20"/>
        </w:rPr>
        <w:t xml:space="preserve"> eettisiä ja ammatillisia normeja</w:t>
      </w:r>
      <w:r w:rsidRPr="00D95E0E">
        <w:rPr>
          <w:szCs w:val="20"/>
        </w:rPr>
        <w:t>, joilla varmistetaan tekoälypohjaisten päätösten avoimuus, vältetään ennakkoluuloja ja syrjintää ja kunnioitetaan yksityisyyttä, tietosuojaa ja teollis- ja tekijänoikeuksia.</w:t>
      </w:r>
    </w:p>
    <w:p w14:paraId="797A2CAE" w14:textId="77777777" w:rsidR="00D95E0E" w:rsidRPr="00D95E0E" w:rsidRDefault="00D95E0E" w:rsidP="00D95E0E">
      <w:pPr>
        <w:numPr>
          <w:ilvl w:val="0"/>
          <w:numId w:val="57"/>
        </w:numPr>
        <w:overflowPunct w:val="0"/>
        <w:autoSpaceDE w:val="0"/>
        <w:autoSpaceDN w:val="0"/>
        <w:adjustRightInd w:val="0"/>
        <w:ind w:left="426"/>
        <w:textAlignment w:val="baseline"/>
        <w:rPr>
          <w:szCs w:val="20"/>
        </w:rPr>
      </w:pPr>
      <w:r w:rsidRPr="00D95E0E">
        <w:rPr>
          <w:szCs w:val="20"/>
        </w:rPr>
        <w:t xml:space="preserve">korostaa, että tarvitaan jatkuvaa </w:t>
      </w:r>
      <w:r w:rsidRPr="00D95E0E">
        <w:rPr>
          <w:b/>
          <w:szCs w:val="20"/>
        </w:rPr>
        <w:t>koulutusta ja ammatillisia standardeja</w:t>
      </w:r>
      <w:r w:rsidRPr="00D95E0E">
        <w:rPr>
          <w:szCs w:val="20"/>
        </w:rPr>
        <w:t xml:space="preserve">, jotta voidaan varmistaa, että vapaat ammatit voivat hyötyä tekoälystä. Eettiset komiteat ja osallistavat hallintorakenteet olisi kytkettävä tiiviisti käytäntöön, kun taas </w:t>
      </w:r>
      <w:r w:rsidRPr="00D95E0E">
        <w:rPr>
          <w:b/>
          <w:szCs w:val="20"/>
        </w:rPr>
        <w:t xml:space="preserve">työmarkkinaosapuolten vuoropuhelu </w:t>
      </w:r>
      <w:r w:rsidRPr="00D95E0E">
        <w:rPr>
          <w:szCs w:val="20"/>
        </w:rPr>
        <w:t xml:space="preserve">ja </w:t>
      </w:r>
      <w:r w:rsidRPr="00D95E0E">
        <w:rPr>
          <w:b/>
          <w:szCs w:val="20"/>
        </w:rPr>
        <w:t>työntekijöiden osallistuminen</w:t>
      </w:r>
      <w:r w:rsidRPr="00D95E0E">
        <w:rPr>
          <w:szCs w:val="20"/>
        </w:rPr>
        <w:t xml:space="preserve"> ovat avainasemassa määritettäessä, mitkä tehtävät kuuluvat koneille ja mitkä pysyvät ihmisten käsissä.</w:t>
      </w:r>
    </w:p>
    <w:p w14:paraId="2AFC791A" w14:textId="77777777" w:rsidR="00D95E0E" w:rsidRPr="00D95E0E" w:rsidRDefault="00D95E0E" w:rsidP="00D95E0E">
      <w:pPr>
        <w:numPr>
          <w:ilvl w:val="0"/>
          <w:numId w:val="57"/>
        </w:numPr>
        <w:overflowPunct w:val="0"/>
        <w:autoSpaceDE w:val="0"/>
        <w:autoSpaceDN w:val="0"/>
        <w:adjustRightInd w:val="0"/>
        <w:ind w:left="426"/>
        <w:textAlignment w:val="baseline"/>
        <w:rPr>
          <w:szCs w:val="20"/>
        </w:rPr>
      </w:pPr>
      <w:r w:rsidRPr="00D95E0E">
        <w:rPr>
          <w:szCs w:val="20"/>
        </w:rPr>
        <w:t xml:space="preserve">katsoo, että </w:t>
      </w:r>
      <w:r w:rsidRPr="00D95E0E">
        <w:rPr>
          <w:b/>
          <w:szCs w:val="20"/>
        </w:rPr>
        <w:t>kansalaisten luottamus</w:t>
      </w:r>
      <w:r w:rsidRPr="00D95E0E">
        <w:rPr>
          <w:szCs w:val="20"/>
        </w:rPr>
        <w:t xml:space="preserve"> edellyttää tekoälyn vastuullisen kehittämisen kierrosta, jolla varmistetaan oikeudenmukaisuus, vastuuvelvollisuus ja luotettavuus, ja että sääntelyllä on selvennettävä vastuita ja kannustettava samalla innovointiin yleinen etu turvaten.</w:t>
      </w:r>
    </w:p>
    <w:p w14:paraId="590E8694" w14:textId="77777777" w:rsidR="00D95E0E" w:rsidRPr="00D95E0E" w:rsidRDefault="00D95E0E" w:rsidP="00693C8D">
      <w:pPr>
        <w:overflowPunct w:val="0"/>
        <w:autoSpaceDE w:val="0"/>
        <w:autoSpaceDN w:val="0"/>
        <w:adjustRightInd w:val="0"/>
        <w:ind w:left="567"/>
        <w:textAlignment w:val="baseline"/>
      </w:pPr>
    </w:p>
    <w:tbl>
      <w:tblPr>
        <w:tblStyle w:val="TableGrid1"/>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D95E0E" w:rsidRPr="00D95E0E" w14:paraId="3A4C5730" w14:textId="77777777" w:rsidTr="008C6F7D">
        <w:tc>
          <w:tcPr>
            <w:tcW w:w="1556" w:type="pct"/>
          </w:tcPr>
          <w:p w14:paraId="1D4DC185" w14:textId="77777777" w:rsidR="00D95E0E" w:rsidRPr="00D95E0E" w:rsidRDefault="00D95E0E" w:rsidP="00693C8D">
            <w:pPr>
              <w:overflowPunct w:val="0"/>
              <w:autoSpaceDE w:val="0"/>
              <w:autoSpaceDN w:val="0"/>
              <w:adjustRightInd w:val="0"/>
              <w:textAlignment w:val="baseline"/>
              <w:rPr>
                <w:i/>
                <w:sz w:val="22"/>
                <w:szCs w:val="22"/>
              </w:rPr>
            </w:pPr>
            <w:r w:rsidRPr="00D95E0E">
              <w:rPr>
                <w:b/>
                <w:i/>
                <w:sz w:val="22"/>
                <w:szCs w:val="22"/>
              </w:rPr>
              <w:t>Yhteydenotot</w:t>
            </w:r>
          </w:p>
        </w:tc>
        <w:tc>
          <w:tcPr>
            <w:tcW w:w="3444" w:type="pct"/>
          </w:tcPr>
          <w:p w14:paraId="4B05D86B" w14:textId="11E9F015" w:rsidR="00D95E0E" w:rsidRPr="00D95E0E" w:rsidRDefault="00D95E0E" w:rsidP="00693C8D">
            <w:pPr>
              <w:overflowPunct w:val="0"/>
              <w:autoSpaceDE w:val="0"/>
              <w:autoSpaceDN w:val="0"/>
              <w:adjustRightInd w:val="0"/>
              <w:textAlignment w:val="baseline"/>
              <w:rPr>
                <w:i/>
                <w:sz w:val="22"/>
                <w:szCs w:val="22"/>
              </w:rPr>
            </w:pPr>
            <w:proofErr w:type="spellStart"/>
            <w:r w:rsidRPr="00D95E0E">
              <w:rPr>
                <w:i/>
                <w:sz w:val="22"/>
                <w:szCs w:val="22"/>
              </w:rPr>
              <w:t>Yousra</w:t>
            </w:r>
            <w:proofErr w:type="spellEnd"/>
            <w:r w:rsidRPr="00D95E0E">
              <w:rPr>
                <w:i/>
                <w:sz w:val="22"/>
                <w:szCs w:val="22"/>
              </w:rPr>
              <w:t xml:space="preserve"> </w:t>
            </w:r>
            <w:proofErr w:type="spellStart"/>
            <w:r w:rsidR="00B959E2" w:rsidRPr="00D95E0E">
              <w:rPr>
                <w:i/>
                <w:sz w:val="22"/>
                <w:szCs w:val="22"/>
              </w:rPr>
              <w:t>Asbouni</w:t>
            </w:r>
            <w:proofErr w:type="spellEnd"/>
            <w:r w:rsidR="00B959E2" w:rsidRPr="00D95E0E">
              <w:rPr>
                <w:i/>
                <w:sz w:val="22"/>
                <w:szCs w:val="22"/>
              </w:rPr>
              <w:t xml:space="preserve"> </w:t>
            </w:r>
            <w:proofErr w:type="spellStart"/>
            <w:r w:rsidR="00B959E2" w:rsidRPr="00D95E0E">
              <w:rPr>
                <w:i/>
                <w:sz w:val="22"/>
                <w:szCs w:val="22"/>
              </w:rPr>
              <w:t>El</w:t>
            </w:r>
            <w:proofErr w:type="spellEnd"/>
            <w:r w:rsidR="00B959E2" w:rsidRPr="00D95E0E">
              <w:rPr>
                <w:i/>
                <w:sz w:val="22"/>
                <w:szCs w:val="22"/>
              </w:rPr>
              <w:t xml:space="preserve"> </w:t>
            </w:r>
            <w:proofErr w:type="spellStart"/>
            <w:r w:rsidR="00B959E2" w:rsidRPr="00D95E0E">
              <w:rPr>
                <w:i/>
                <w:sz w:val="22"/>
                <w:szCs w:val="22"/>
              </w:rPr>
              <w:t>Ouahabi</w:t>
            </w:r>
            <w:proofErr w:type="spellEnd"/>
          </w:p>
        </w:tc>
      </w:tr>
      <w:tr w:rsidR="00D95E0E" w:rsidRPr="00D95E0E" w14:paraId="518877A0" w14:textId="77777777" w:rsidTr="008C6F7D">
        <w:tc>
          <w:tcPr>
            <w:tcW w:w="1556" w:type="pct"/>
          </w:tcPr>
          <w:p w14:paraId="1DB9AFDF" w14:textId="0FE4E5FF" w:rsidR="00D95E0E" w:rsidRPr="00D95E0E" w:rsidRDefault="00D95E0E" w:rsidP="00693C8D">
            <w:pPr>
              <w:overflowPunct w:val="0"/>
              <w:autoSpaceDE w:val="0"/>
              <w:autoSpaceDN w:val="0"/>
              <w:adjustRightInd w:val="0"/>
              <w:textAlignment w:val="baseline"/>
              <w:rPr>
                <w:i/>
                <w:sz w:val="22"/>
                <w:szCs w:val="22"/>
              </w:rPr>
            </w:pPr>
            <w:r w:rsidRPr="00D95E0E">
              <w:rPr>
                <w:i/>
                <w:sz w:val="22"/>
                <w:szCs w:val="22"/>
              </w:rPr>
              <w:t>P.</w:t>
            </w:r>
          </w:p>
        </w:tc>
        <w:tc>
          <w:tcPr>
            <w:tcW w:w="3444" w:type="pct"/>
          </w:tcPr>
          <w:p w14:paraId="779CB2E8" w14:textId="77777777" w:rsidR="00D95E0E" w:rsidRPr="00D95E0E" w:rsidRDefault="00D95E0E" w:rsidP="00693C8D">
            <w:pPr>
              <w:overflowPunct w:val="0"/>
              <w:autoSpaceDE w:val="0"/>
              <w:autoSpaceDN w:val="0"/>
              <w:adjustRightInd w:val="0"/>
              <w:textAlignment w:val="baseline"/>
              <w:rPr>
                <w:i/>
                <w:sz w:val="22"/>
                <w:szCs w:val="22"/>
              </w:rPr>
            </w:pPr>
            <w:r w:rsidRPr="00D95E0E">
              <w:rPr>
                <w:i/>
                <w:sz w:val="22"/>
                <w:szCs w:val="22"/>
              </w:rPr>
              <w:t>+32 25468485</w:t>
            </w:r>
          </w:p>
        </w:tc>
      </w:tr>
      <w:tr w:rsidR="00D95E0E" w:rsidRPr="00D95E0E" w14:paraId="6500E6A6" w14:textId="77777777" w:rsidTr="008C6F7D">
        <w:tc>
          <w:tcPr>
            <w:tcW w:w="1556" w:type="pct"/>
          </w:tcPr>
          <w:p w14:paraId="7B620D03" w14:textId="77777777" w:rsidR="00D95E0E" w:rsidRPr="00D95E0E" w:rsidRDefault="00D95E0E" w:rsidP="00693C8D">
            <w:pPr>
              <w:overflowPunct w:val="0"/>
              <w:autoSpaceDE w:val="0"/>
              <w:autoSpaceDN w:val="0"/>
              <w:adjustRightInd w:val="0"/>
              <w:textAlignment w:val="baseline"/>
              <w:rPr>
                <w:i/>
                <w:sz w:val="22"/>
                <w:szCs w:val="22"/>
              </w:rPr>
            </w:pPr>
            <w:r w:rsidRPr="00D95E0E">
              <w:rPr>
                <w:i/>
                <w:sz w:val="22"/>
                <w:szCs w:val="22"/>
              </w:rPr>
              <w:t>Sähköposti</w:t>
            </w:r>
          </w:p>
        </w:tc>
        <w:tc>
          <w:tcPr>
            <w:tcW w:w="3444" w:type="pct"/>
          </w:tcPr>
          <w:p w14:paraId="7B9A2EC3" w14:textId="77777777" w:rsidR="00D95E0E" w:rsidRPr="00D95E0E" w:rsidRDefault="0061775F" w:rsidP="00693C8D">
            <w:pPr>
              <w:overflowPunct w:val="0"/>
              <w:autoSpaceDE w:val="0"/>
              <w:autoSpaceDN w:val="0"/>
              <w:adjustRightInd w:val="0"/>
              <w:textAlignment w:val="baseline"/>
              <w:rPr>
                <w:i/>
                <w:iCs/>
                <w:sz w:val="22"/>
                <w:szCs w:val="22"/>
              </w:rPr>
            </w:pPr>
            <w:hyperlink r:id="rId72" w:history="1">
              <w:r w:rsidR="00D95E0E" w:rsidRPr="00D95E0E">
                <w:rPr>
                  <w:i/>
                  <w:color w:val="0000FF"/>
                  <w:sz w:val="22"/>
                  <w:szCs w:val="22"/>
                  <w:u w:val="single"/>
                </w:rPr>
                <w:t>Yousra.AsbouniElOuahabi@eesc.europa.eu</w:t>
              </w:r>
            </w:hyperlink>
          </w:p>
        </w:tc>
      </w:tr>
    </w:tbl>
    <w:p w14:paraId="1F7B8DB9" w14:textId="77777777" w:rsidR="0049636B" w:rsidRDefault="0049636B" w:rsidP="00D95E0E">
      <w:pPr>
        <w:jc w:val="left"/>
        <w:rPr>
          <w:lang w:val="en-US"/>
        </w:rPr>
      </w:pPr>
    </w:p>
    <w:p w14:paraId="6587BD0C" w14:textId="09DD0BD1" w:rsidR="00B2734D" w:rsidRDefault="00B2734D" w:rsidP="00D95E0E">
      <w:pPr>
        <w:jc w:val="left"/>
      </w:pPr>
    </w:p>
    <w:p w14:paraId="001B103F" w14:textId="77777777" w:rsidR="00B2734D" w:rsidRDefault="00B2734D" w:rsidP="00D95E0E">
      <w:pPr>
        <w:jc w:val="left"/>
      </w:pPr>
      <w:r>
        <w:br w:type="page"/>
      </w:r>
    </w:p>
    <w:p w14:paraId="3AD84A2E" w14:textId="0EC422C3" w:rsidR="00B2734D" w:rsidRPr="0049636B" w:rsidRDefault="0061775F" w:rsidP="00D95E0E">
      <w:pPr>
        <w:pStyle w:val="ListParagraph"/>
        <w:numPr>
          <w:ilvl w:val="0"/>
          <w:numId w:val="6"/>
        </w:numPr>
        <w:ind w:left="426" w:hanging="426"/>
        <w:jc w:val="left"/>
        <w:rPr>
          <w:b/>
          <w:sz w:val="28"/>
          <w:szCs w:val="28"/>
        </w:rPr>
      </w:pPr>
      <w:hyperlink r:id="rId73" w:tgtFrame="_blank" w:history="1">
        <w:r w:rsidR="00B2734D">
          <w:rPr>
            <w:rStyle w:val="Hyperlink"/>
            <w:b/>
            <w:i/>
            <w:sz w:val="28"/>
          </w:rPr>
          <w:t>Sisämarkkinasääntöjen täytäntöönpanon valvonta</w:t>
        </w:r>
      </w:hyperlink>
    </w:p>
    <w:p w14:paraId="15765C1F" w14:textId="77777777" w:rsidR="0049636B" w:rsidRPr="0049636B" w:rsidRDefault="0049636B" w:rsidP="00D95E0E">
      <w:pPr>
        <w:jc w:val="left"/>
        <w:rPr>
          <w:b/>
        </w:rPr>
      </w:pPr>
    </w:p>
    <w:tbl>
      <w:tblPr>
        <w:tblW w:w="4766" w:type="pct"/>
        <w:tblLook w:val="04A0" w:firstRow="1" w:lastRow="0" w:firstColumn="1" w:lastColumn="0" w:noHBand="0" w:noVBand="1"/>
      </w:tblPr>
      <w:tblGrid>
        <w:gridCol w:w="1986"/>
        <w:gridCol w:w="6662"/>
      </w:tblGrid>
      <w:tr w:rsidR="00B2734D" w14:paraId="4FD31529" w14:textId="77777777" w:rsidTr="00B2734D">
        <w:tc>
          <w:tcPr>
            <w:tcW w:w="1148" w:type="pct"/>
            <w:hideMark/>
          </w:tcPr>
          <w:p w14:paraId="16A2A187" w14:textId="77777777" w:rsidR="00B2734D" w:rsidRDefault="00B2734D" w:rsidP="00D95E0E">
            <w:pPr>
              <w:tabs>
                <w:tab w:val="center" w:pos="284"/>
              </w:tabs>
              <w:ind w:left="266" w:hanging="376"/>
              <w:rPr>
                <w:b/>
              </w:rPr>
            </w:pPr>
            <w:r>
              <w:rPr>
                <w:b/>
              </w:rPr>
              <w:t>Esittelijä</w:t>
            </w:r>
          </w:p>
        </w:tc>
        <w:tc>
          <w:tcPr>
            <w:tcW w:w="3852" w:type="pct"/>
            <w:hideMark/>
          </w:tcPr>
          <w:p w14:paraId="781B7136" w14:textId="66AD1E5F" w:rsidR="00B2734D" w:rsidRDefault="00B2734D" w:rsidP="00D95E0E">
            <w:pPr>
              <w:tabs>
                <w:tab w:val="center" w:pos="284"/>
              </w:tabs>
              <w:ind w:left="266" w:hanging="266"/>
            </w:pPr>
            <w:proofErr w:type="spellStart"/>
            <w:r>
              <w:t>Isabel</w:t>
            </w:r>
            <w:proofErr w:type="spellEnd"/>
            <w:r>
              <w:t xml:space="preserve"> </w:t>
            </w:r>
            <w:r w:rsidR="00257C62">
              <w:t xml:space="preserve">YGLESIAS </w:t>
            </w:r>
            <w:r>
              <w:t>(työnantajat – ES)</w:t>
            </w:r>
          </w:p>
        </w:tc>
      </w:tr>
      <w:tr w:rsidR="00B2734D" w14:paraId="36665D41" w14:textId="77777777" w:rsidTr="00B2734D">
        <w:tc>
          <w:tcPr>
            <w:tcW w:w="1148" w:type="pct"/>
            <w:vMerge w:val="restart"/>
            <w:hideMark/>
          </w:tcPr>
          <w:p w14:paraId="6FDF9923" w14:textId="77777777" w:rsidR="00B2734D" w:rsidRDefault="00B2734D" w:rsidP="00D95E0E">
            <w:pPr>
              <w:tabs>
                <w:tab w:val="center" w:pos="284"/>
              </w:tabs>
              <w:ind w:left="266" w:hanging="376"/>
              <w:rPr>
                <w:b/>
              </w:rPr>
            </w:pPr>
            <w:r>
              <w:rPr>
                <w:b/>
              </w:rPr>
              <w:t>Viiteasiakirja</w:t>
            </w:r>
          </w:p>
        </w:tc>
        <w:tc>
          <w:tcPr>
            <w:tcW w:w="3852" w:type="pct"/>
            <w:hideMark/>
          </w:tcPr>
          <w:p w14:paraId="7002CC59" w14:textId="77777777" w:rsidR="00B2734D" w:rsidRDefault="00B2734D" w:rsidP="00D95E0E">
            <w:pPr>
              <w:tabs>
                <w:tab w:val="center" w:pos="284"/>
              </w:tabs>
              <w:ind w:left="266" w:hanging="266"/>
            </w:pPr>
            <w:r>
              <w:t>oma-aloitteinen lausunto</w:t>
            </w:r>
          </w:p>
        </w:tc>
      </w:tr>
      <w:tr w:rsidR="00B2734D" w14:paraId="0830F096" w14:textId="77777777" w:rsidTr="00B2734D">
        <w:tc>
          <w:tcPr>
            <w:tcW w:w="0" w:type="auto"/>
            <w:vMerge/>
            <w:vAlign w:val="center"/>
            <w:hideMark/>
          </w:tcPr>
          <w:p w14:paraId="10146840" w14:textId="77777777" w:rsidR="00B2734D" w:rsidRDefault="00B2734D" w:rsidP="00D95E0E">
            <w:pPr>
              <w:jc w:val="left"/>
              <w:rPr>
                <w:b/>
              </w:rPr>
            </w:pPr>
          </w:p>
        </w:tc>
        <w:tc>
          <w:tcPr>
            <w:tcW w:w="3852" w:type="pct"/>
            <w:hideMark/>
          </w:tcPr>
          <w:p w14:paraId="79F0065C" w14:textId="77777777" w:rsidR="00B2734D" w:rsidRDefault="00B2734D" w:rsidP="00D95E0E">
            <w:pPr>
              <w:tabs>
                <w:tab w:val="center" w:pos="284"/>
              </w:tabs>
              <w:ind w:left="266" w:hanging="266"/>
            </w:pPr>
            <w:r>
              <w:t>EESC-2025-01127-00-00-AC</w:t>
            </w:r>
          </w:p>
        </w:tc>
      </w:tr>
    </w:tbl>
    <w:p w14:paraId="588A5307" w14:textId="77777777" w:rsidR="00B2734D" w:rsidRDefault="00B2734D" w:rsidP="00D95E0E">
      <w:pPr>
        <w:keepNext/>
        <w:keepLines/>
        <w:tabs>
          <w:tab w:val="center" w:pos="284"/>
        </w:tabs>
        <w:ind w:left="266" w:hanging="266"/>
        <w:rPr>
          <w:b/>
        </w:rPr>
      </w:pPr>
    </w:p>
    <w:p w14:paraId="4DA017A6" w14:textId="77777777" w:rsidR="00B2734D" w:rsidRDefault="00B2734D" w:rsidP="00D95E0E">
      <w:pPr>
        <w:keepNext/>
        <w:keepLines/>
        <w:tabs>
          <w:tab w:val="center" w:pos="284"/>
        </w:tabs>
        <w:ind w:left="266" w:hanging="266"/>
        <w:rPr>
          <w:b/>
        </w:rPr>
      </w:pPr>
      <w:r>
        <w:rPr>
          <w:b/>
        </w:rPr>
        <w:t>Keskeiset kohdat</w:t>
      </w:r>
    </w:p>
    <w:p w14:paraId="11B8088F" w14:textId="77777777" w:rsidR="00B2734D" w:rsidRDefault="00B2734D" w:rsidP="00D95E0E">
      <w:pPr>
        <w:keepNext/>
        <w:keepLines/>
        <w:tabs>
          <w:tab w:val="center" w:pos="284"/>
        </w:tabs>
        <w:ind w:left="266" w:hanging="266"/>
        <w:rPr>
          <w:b/>
        </w:rPr>
      </w:pPr>
    </w:p>
    <w:p w14:paraId="5C2D13D7" w14:textId="77777777" w:rsidR="00B2734D" w:rsidRDefault="00B2734D" w:rsidP="00D95E0E">
      <w:pPr>
        <w:rPr>
          <w:bCs/>
          <w:iCs/>
        </w:rPr>
      </w:pPr>
      <w:r>
        <w:t>ETSK</w:t>
      </w:r>
    </w:p>
    <w:p w14:paraId="7EB4EB41" w14:textId="77777777" w:rsidR="00B2734D" w:rsidRDefault="00B2734D" w:rsidP="00D95E0E">
      <w:pPr>
        <w:numPr>
          <w:ilvl w:val="0"/>
          <w:numId w:val="41"/>
        </w:numPr>
        <w:overflowPunct w:val="0"/>
        <w:autoSpaceDE w:val="0"/>
        <w:autoSpaceDN w:val="0"/>
        <w:adjustRightInd w:val="0"/>
        <w:ind w:left="426"/>
        <w:rPr>
          <w:szCs w:val="20"/>
        </w:rPr>
      </w:pPr>
      <w:r>
        <w:t>korostaa täytäntöönpanopolitiikan keskeistä roolia sisämarkkinoiden hajanaisuuden vähentämisessä ja kehottaa komissiota soveltamaan selkeää ja koordinoitua lähestymistapaa ennaltaehkäisevien, yhteistyöhön perustuvien ja korjaavien välineiden välillä. Komitea painottaa myös jäsenvaltioiden ensisijaista velvollisuutta panna EU:n lainsäädäntö täytäntöön ajallaan ja asianmukaisesti.</w:t>
      </w:r>
    </w:p>
    <w:p w14:paraId="7DB21EE9" w14:textId="77777777" w:rsidR="00B2734D" w:rsidRDefault="00B2734D" w:rsidP="00D95E0E">
      <w:pPr>
        <w:numPr>
          <w:ilvl w:val="0"/>
          <w:numId w:val="41"/>
        </w:numPr>
        <w:overflowPunct w:val="0"/>
        <w:autoSpaceDE w:val="0"/>
        <w:autoSpaceDN w:val="0"/>
        <w:adjustRightInd w:val="0"/>
        <w:ind w:left="426"/>
      </w:pPr>
      <w:r>
        <w:t>katsoo, että EU:n lainsäädännön asianmukainen täytäntöönpano olisi otettava huomioon lainsäädäntöprosessin kaikissa vaiheissa, ja lainsäädäntöön olisi sisällytettävä täytäntöönpanon valvontaa koskevia lausekkeita. Ylisääntelyä tulisi välttää rajoittamalla mahdollisuuksia lisätä EU:n lainsäädäntöön erikseen kansallisia vaatimuksia. Komitea peräänkuuluttaa aktiivista osallistumista sekä lainsäätäjiltä että jäsenvaltioilta.</w:t>
      </w:r>
    </w:p>
    <w:p w14:paraId="3558CC0D" w14:textId="77777777" w:rsidR="00B2734D" w:rsidRDefault="00B2734D" w:rsidP="00D95E0E">
      <w:pPr>
        <w:numPr>
          <w:ilvl w:val="0"/>
          <w:numId w:val="41"/>
        </w:numPr>
        <w:overflowPunct w:val="0"/>
        <w:autoSpaceDE w:val="0"/>
        <w:autoSpaceDN w:val="0"/>
        <w:adjustRightInd w:val="0"/>
        <w:ind w:left="426"/>
      </w:pPr>
      <w:r>
        <w:t>kehottaa komissiota saattamaan ajan tasalle tiedonannon EU:n lainsäädännön täytäntöönpanosta, jotta voidaan vahvistaa ja yksinkertaistaa täytäntöönpanon valvontaa tukevia välineitä ja nopeuttaa rikkomusmenettelyjen käsittelyä sekä lisätä samalla niiden avoimuutta.</w:t>
      </w:r>
    </w:p>
    <w:p w14:paraId="2A98EEDB" w14:textId="77777777" w:rsidR="00B2734D" w:rsidRDefault="00B2734D" w:rsidP="00D95E0E">
      <w:pPr>
        <w:numPr>
          <w:ilvl w:val="0"/>
          <w:numId w:val="41"/>
        </w:numPr>
        <w:overflowPunct w:val="0"/>
        <w:autoSpaceDE w:val="0"/>
        <w:autoSpaceDN w:val="0"/>
        <w:adjustRightInd w:val="0"/>
        <w:ind w:left="426"/>
      </w:pPr>
      <w:r>
        <w:t>tähdentää, että rikkomusmenettelyjä on tärkeää käyttää tehokkaasti, sillä ne ovat vahvin väline sen varmistamiseksi, että jäsenvaltiot soveltavat EU:n lainsäädäntöä oikein, ja suosittaa, että menettelyjen kestoa lyhennetään oikeudellisen epävarmuuden välttämiseksi ja että lisätään avoimuutta.</w:t>
      </w:r>
    </w:p>
    <w:p w14:paraId="4810231F" w14:textId="77777777" w:rsidR="00B2734D" w:rsidRDefault="00B2734D" w:rsidP="00D95E0E">
      <w:pPr>
        <w:numPr>
          <w:ilvl w:val="0"/>
          <w:numId w:val="41"/>
        </w:numPr>
        <w:overflowPunct w:val="0"/>
        <w:autoSpaceDE w:val="0"/>
        <w:autoSpaceDN w:val="0"/>
        <w:adjustRightInd w:val="0"/>
        <w:ind w:left="426"/>
      </w:pPr>
      <w:r>
        <w:t xml:space="preserve">katsoo, että SOLVIT-verkostoa olisi parannettava, ja se olisi yhdistettävä muihin täytäntöönpanon valvontavälineisiin. On myös vahvistettava sisämarkkinasääntöjen täytäntöönpanon valvontaa käsittelevää työryhmää. Lisäksi olisi hyödyllistä tutkia uusia mahdollisuuksia varmistaa EU:n lainsäädännön asianmukainen soveltaminen. ETSK kehottaa tässä yhteydessä jäsenvaltioita antamaan tulevien sisämarkkinoiden </w:t>
      </w:r>
      <w:proofErr w:type="spellStart"/>
      <w:r>
        <w:t>sherpojen</w:t>
      </w:r>
      <w:proofErr w:type="spellEnd"/>
      <w:r>
        <w:t xml:space="preserve"> käyttöön riittävät resurssit.</w:t>
      </w:r>
    </w:p>
    <w:p w14:paraId="2E2034C1" w14:textId="77777777" w:rsidR="00B2734D" w:rsidRDefault="00B2734D" w:rsidP="00D95E0E">
      <w:pPr>
        <w:numPr>
          <w:ilvl w:val="0"/>
          <w:numId w:val="41"/>
        </w:numPr>
        <w:overflowPunct w:val="0"/>
        <w:autoSpaceDE w:val="0"/>
        <w:autoSpaceDN w:val="0"/>
        <w:adjustRightInd w:val="0"/>
        <w:ind w:left="426"/>
      </w:pPr>
      <w:r>
        <w:t>kehottaa komissiota perussopimusten vartijana toteuttamaan nopeasti konkreettisia toimenpiteitä täytäntöönpanopolitiikan parantamiseksi ja jäsenvaltioita vähentämään nykyisiä esteitä ja pidättäytymään uusien luomisesta.</w:t>
      </w:r>
    </w:p>
    <w:p w14:paraId="24949772" w14:textId="77777777" w:rsidR="00B2734D" w:rsidRDefault="00B2734D" w:rsidP="00D95E0E">
      <w:pPr>
        <w:ind w:left="567"/>
      </w:pPr>
    </w:p>
    <w:tbl>
      <w:tblPr>
        <w:tblW w:w="3516" w:type="pct"/>
        <w:tblLook w:val="04A0" w:firstRow="1" w:lastRow="0" w:firstColumn="1" w:lastColumn="0" w:noHBand="0" w:noVBand="1"/>
      </w:tblPr>
      <w:tblGrid>
        <w:gridCol w:w="1985"/>
        <w:gridCol w:w="4395"/>
      </w:tblGrid>
      <w:tr w:rsidR="00B2734D" w14:paraId="0755CB70" w14:textId="77777777" w:rsidTr="00B2734D">
        <w:tc>
          <w:tcPr>
            <w:tcW w:w="1556" w:type="pct"/>
            <w:hideMark/>
          </w:tcPr>
          <w:p w14:paraId="7382C741" w14:textId="77777777" w:rsidR="00B2734D" w:rsidRDefault="00B2734D" w:rsidP="00D95E0E">
            <w:pPr>
              <w:rPr>
                <w:i/>
              </w:rPr>
            </w:pPr>
            <w:r>
              <w:rPr>
                <w:b/>
                <w:i/>
              </w:rPr>
              <w:t>Yhteydenotot</w:t>
            </w:r>
          </w:p>
        </w:tc>
        <w:tc>
          <w:tcPr>
            <w:tcW w:w="3444" w:type="pct"/>
            <w:hideMark/>
          </w:tcPr>
          <w:p w14:paraId="7B22F674" w14:textId="179285F5" w:rsidR="00B2734D" w:rsidRDefault="00B2734D" w:rsidP="00D95E0E">
            <w:pPr>
              <w:rPr>
                <w:i/>
              </w:rPr>
            </w:pPr>
            <w:proofErr w:type="spellStart"/>
            <w:r>
              <w:rPr>
                <w:i/>
              </w:rPr>
              <w:t>Annalisa</w:t>
            </w:r>
            <w:proofErr w:type="spellEnd"/>
            <w:r>
              <w:rPr>
                <w:i/>
              </w:rPr>
              <w:t xml:space="preserve"> </w:t>
            </w:r>
            <w:proofErr w:type="spellStart"/>
            <w:r w:rsidR="00B959E2">
              <w:rPr>
                <w:i/>
              </w:rPr>
              <w:t>Tessarolo</w:t>
            </w:r>
            <w:proofErr w:type="spellEnd"/>
          </w:p>
        </w:tc>
      </w:tr>
      <w:tr w:rsidR="00B2734D" w14:paraId="780B8538" w14:textId="77777777" w:rsidTr="00B2734D">
        <w:tc>
          <w:tcPr>
            <w:tcW w:w="1556" w:type="pct"/>
            <w:hideMark/>
          </w:tcPr>
          <w:p w14:paraId="016A2E94" w14:textId="77777777" w:rsidR="00B2734D" w:rsidRDefault="00B2734D" w:rsidP="00D95E0E">
            <w:pPr>
              <w:rPr>
                <w:i/>
              </w:rPr>
            </w:pPr>
            <w:r>
              <w:rPr>
                <w:i/>
              </w:rPr>
              <w:t>P.</w:t>
            </w:r>
          </w:p>
        </w:tc>
        <w:tc>
          <w:tcPr>
            <w:tcW w:w="3444" w:type="pct"/>
            <w:hideMark/>
          </w:tcPr>
          <w:p w14:paraId="6189A1A8" w14:textId="77777777" w:rsidR="00B2734D" w:rsidRDefault="00B2734D" w:rsidP="00D95E0E">
            <w:pPr>
              <w:rPr>
                <w:i/>
              </w:rPr>
            </w:pPr>
            <w:r>
              <w:rPr>
                <w:i/>
              </w:rPr>
              <w:t>+32 25469732</w:t>
            </w:r>
          </w:p>
        </w:tc>
      </w:tr>
      <w:tr w:rsidR="00B2734D" w14:paraId="75AFD3D2" w14:textId="77777777" w:rsidTr="00B2734D">
        <w:tc>
          <w:tcPr>
            <w:tcW w:w="1556" w:type="pct"/>
            <w:hideMark/>
          </w:tcPr>
          <w:p w14:paraId="6D029CD1" w14:textId="77777777" w:rsidR="00B2734D" w:rsidRDefault="00B2734D" w:rsidP="00D95E0E">
            <w:pPr>
              <w:rPr>
                <w:i/>
              </w:rPr>
            </w:pPr>
            <w:r>
              <w:rPr>
                <w:i/>
              </w:rPr>
              <w:t>Sähköposti</w:t>
            </w:r>
          </w:p>
        </w:tc>
        <w:tc>
          <w:tcPr>
            <w:tcW w:w="3444" w:type="pct"/>
            <w:hideMark/>
          </w:tcPr>
          <w:p w14:paraId="1846F849" w14:textId="77777777" w:rsidR="00B2734D" w:rsidRDefault="0061775F" w:rsidP="00D95E0E">
            <w:pPr>
              <w:rPr>
                <w:i/>
                <w:iCs/>
                <w:szCs w:val="20"/>
              </w:rPr>
            </w:pPr>
            <w:hyperlink r:id="rId74" w:history="1">
              <w:r w:rsidR="00B2734D">
                <w:rPr>
                  <w:rStyle w:val="Hyperlink"/>
                  <w:i/>
                </w:rPr>
                <w:t>Annalisa.Tessarolo@eesc.europa.eu</w:t>
              </w:r>
            </w:hyperlink>
          </w:p>
        </w:tc>
      </w:tr>
    </w:tbl>
    <w:p w14:paraId="78D1209C" w14:textId="32C47BAC" w:rsidR="00B2734D" w:rsidRDefault="00B2734D" w:rsidP="00D95E0E">
      <w:pPr>
        <w:jc w:val="left"/>
      </w:pPr>
    </w:p>
    <w:p w14:paraId="36C93FE4" w14:textId="77777777" w:rsidR="00B2734D" w:rsidRDefault="00B2734D" w:rsidP="00D95E0E">
      <w:pPr>
        <w:jc w:val="left"/>
      </w:pPr>
      <w:r>
        <w:br w:type="page"/>
      </w:r>
    </w:p>
    <w:p w14:paraId="30243BA7" w14:textId="446F26BE" w:rsidR="00B2734D" w:rsidRDefault="0061775F" w:rsidP="00D95E0E">
      <w:pPr>
        <w:numPr>
          <w:ilvl w:val="0"/>
          <w:numId w:val="3"/>
        </w:numPr>
        <w:overflowPunct w:val="0"/>
        <w:autoSpaceDE w:val="0"/>
        <w:autoSpaceDN w:val="0"/>
        <w:adjustRightInd w:val="0"/>
        <w:ind w:hanging="567"/>
        <w:rPr>
          <w:sz w:val="20"/>
        </w:rPr>
      </w:pPr>
      <w:hyperlink r:id="rId75" w:history="1">
        <w:r w:rsidR="00B2734D">
          <w:rPr>
            <w:rStyle w:val="Hyperlink"/>
            <w:b/>
            <w:i/>
            <w:sz w:val="28"/>
          </w:rPr>
          <w:t>Terveyteen vaikuttavat kaupalliset taustatekijät</w:t>
        </w:r>
      </w:hyperlink>
      <w:r w:rsidR="00B2734D">
        <w:rPr>
          <w:rFonts w:ascii="Candara" w:hAnsi="Candara"/>
          <w:b/>
          <w:sz w:val="28"/>
        </w:rPr>
        <w:t xml:space="preserve"> </w:t>
      </w:r>
    </w:p>
    <w:p w14:paraId="79114B02" w14:textId="77777777" w:rsidR="00B2734D" w:rsidRDefault="00B2734D" w:rsidP="00D95E0E">
      <w:pPr>
        <w:tabs>
          <w:tab w:val="center" w:pos="284"/>
        </w:tabs>
        <w:ind w:left="266" w:hanging="266"/>
        <w:rPr>
          <w:b/>
          <w:lang w:val="fr-BE"/>
        </w:rPr>
      </w:pPr>
    </w:p>
    <w:tbl>
      <w:tblPr>
        <w:tblW w:w="5000" w:type="pct"/>
        <w:tblLook w:val="04A0" w:firstRow="1" w:lastRow="0" w:firstColumn="1" w:lastColumn="0" w:noHBand="0" w:noVBand="1"/>
      </w:tblPr>
      <w:tblGrid>
        <w:gridCol w:w="2196"/>
        <w:gridCol w:w="6877"/>
      </w:tblGrid>
      <w:tr w:rsidR="00B2734D" w14:paraId="331E7B20" w14:textId="77777777" w:rsidTr="00AF3202">
        <w:trPr>
          <w:trHeight w:val="303"/>
        </w:trPr>
        <w:tc>
          <w:tcPr>
            <w:tcW w:w="1210" w:type="pct"/>
            <w:hideMark/>
          </w:tcPr>
          <w:p w14:paraId="27779329" w14:textId="77777777" w:rsidR="00B2734D" w:rsidRDefault="00B2734D" w:rsidP="00D95E0E">
            <w:pPr>
              <w:tabs>
                <w:tab w:val="center" w:pos="284"/>
              </w:tabs>
              <w:ind w:left="266" w:hanging="266"/>
              <w:rPr>
                <w:b/>
              </w:rPr>
            </w:pPr>
            <w:r>
              <w:rPr>
                <w:b/>
              </w:rPr>
              <w:t>Esittelijä</w:t>
            </w:r>
          </w:p>
        </w:tc>
        <w:tc>
          <w:tcPr>
            <w:tcW w:w="3790" w:type="pct"/>
            <w:hideMark/>
          </w:tcPr>
          <w:p w14:paraId="31555EB1" w14:textId="4D369371" w:rsidR="00B2734D" w:rsidRDefault="00B2734D" w:rsidP="00D95E0E">
            <w:pPr>
              <w:tabs>
                <w:tab w:val="center" w:pos="0"/>
              </w:tabs>
              <w:ind w:left="35" w:hanging="35"/>
              <w:rPr>
                <w:szCs w:val="20"/>
              </w:rPr>
            </w:pPr>
            <w:r>
              <w:t xml:space="preserve">Alain </w:t>
            </w:r>
            <w:r w:rsidR="00257C62">
              <w:t xml:space="preserve">COHEUR </w:t>
            </w:r>
            <w:r>
              <w:t>(kansalaisyhteiskunnan organisaatiot – BE)</w:t>
            </w:r>
          </w:p>
        </w:tc>
      </w:tr>
      <w:tr w:rsidR="00B2734D" w14:paraId="096BEC80" w14:textId="77777777" w:rsidTr="00AF3202">
        <w:trPr>
          <w:trHeight w:val="279"/>
        </w:trPr>
        <w:tc>
          <w:tcPr>
            <w:tcW w:w="1210" w:type="pct"/>
            <w:hideMark/>
          </w:tcPr>
          <w:p w14:paraId="336657C3" w14:textId="77777777" w:rsidR="00B2734D" w:rsidRDefault="00B2734D" w:rsidP="00D95E0E">
            <w:pPr>
              <w:tabs>
                <w:tab w:val="center" w:pos="284"/>
              </w:tabs>
              <w:ind w:left="266" w:hanging="266"/>
              <w:rPr>
                <w:b/>
              </w:rPr>
            </w:pPr>
            <w:r>
              <w:rPr>
                <w:b/>
              </w:rPr>
              <w:t>Yhteisesittelijä</w:t>
            </w:r>
          </w:p>
        </w:tc>
        <w:tc>
          <w:tcPr>
            <w:tcW w:w="3790" w:type="pct"/>
            <w:hideMark/>
          </w:tcPr>
          <w:p w14:paraId="7841A535" w14:textId="7FA46176" w:rsidR="00B2734D" w:rsidRDefault="00B2734D" w:rsidP="00D95E0E">
            <w:pPr>
              <w:tabs>
                <w:tab w:val="center" w:pos="0"/>
              </w:tabs>
              <w:ind w:left="35" w:hanging="35"/>
              <w:rPr>
                <w:bCs/>
                <w:szCs w:val="20"/>
              </w:rPr>
            </w:pPr>
            <w:proofErr w:type="spellStart"/>
            <w:r>
              <w:t>Christophe</w:t>
            </w:r>
            <w:proofErr w:type="spellEnd"/>
            <w:r>
              <w:t xml:space="preserve"> </w:t>
            </w:r>
            <w:r w:rsidR="00257C62">
              <w:t xml:space="preserve">LEFÈVRE </w:t>
            </w:r>
            <w:r>
              <w:t>(työntekijät – FR)</w:t>
            </w:r>
          </w:p>
        </w:tc>
      </w:tr>
      <w:tr w:rsidR="00B2734D" w14:paraId="36224EDE" w14:textId="77777777" w:rsidTr="00B2734D">
        <w:trPr>
          <w:trHeight w:val="525"/>
        </w:trPr>
        <w:tc>
          <w:tcPr>
            <w:tcW w:w="1210" w:type="pct"/>
            <w:hideMark/>
          </w:tcPr>
          <w:p w14:paraId="0C5CA2ED" w14:textId="77777777" w:rsidR="00B2734D" w:rsidRDefault="00B2734D" w:rsidP="00D95E0E">
            <w:pPr>
              <w:tabs>
                <w:tab w:val="center" w:pos="284"/>
              </w:tabs>
              <w:ind w:left="266" w:hanging="266"/>
              <w:rPr>
                <w:b/>
              </w:rPr>
            </w:pPr>
            <w:r>
              <w:rPr>
                <w:b/>
              </w:rPr>
              <w:t>Viiteasiakirja</w:t>
            </w:r>
          </w:p>
        </w:tc>
        <w:tc>
          <w:tcPr>
            <w:tcW w:w="3790" w:type="pct"/>
            <w:hideMark/>
          </w:tcPr>
          <w:p w14:paraId="58E308F5" w14:textId="77777777" w:rsidR="00B2734D" w:rsidRDefault="00B2734D" w:rsidP="00D95E0E">
            <w:pPr>
              <w:tabs>
                <w:tab w:val="center" w:pos="284"/>
              </w:tabs>
              <w:ind w:left="266" w:hanging="266"/>
              <w:rPr>
                <w:szCs w:val="20"/>
              </w:rPr>
            </w:pPr>
            <w:r>
              <w:t>oma-aloitteinen lausunto</w:t>
            </w:r>
          </w:p>
          <w:p w14:paraId="18DB74F3" w14:textId="77777777" w:rsidR="00B2734D" w:rsidRDefault="00B2734D" w:rsidP="00D95E0E">
            <w:pPr>
              <w:tabs>
                <w:tab w:val="center" w:pos="284"/>
              </w:tabs>
              <w:ind w:left="266" w:hanging="266"/>
            </w:pPr>
            <w:r>
              <w:t>EESC-2025-00420-00-00-AC</w:t>
            </w:r>
          </w:p>
        </w:tc>
      </w:tr>
    </w:tbl>
    <w:p w14:paraId="5D386427" w14:textId="77777777" w:rsidR="00B2734D" w:rsidRDefault="00B2734D" w:rsidP="00D95E0E">
      <w:pPr>
        <w:keepNext/>
        <w:keepLines/>
        <w:tabs>
          <w:tab w:val="center" w:pos="284"/>
        </w:tabs>
        <w:ind w:left="266" w:hanging="266"/>
        <w:rPr>
          <w:b/>
        </w:rPr>
      </w:pPr>
    </w:p>
    <w:p w14:paraId="57670D46" w14:textId="77777777" w:rsidR="00B2734D" w:rsidRDefault="00B2734D" w:rsidP="00D95E0E">
      <w:pPr>
        <w:keepNext/>
        <w:keepLines/>
        <w:tabs>
          <w:tab w:val="center" w:pos="284"/>
        </w:tabs>
        <w:ind w:left="266" w:hanging="266"/>
        <w:rPr>
          <w:b/>
        </w:rPr>
      </w:pPr>
      <w:r>
        <w:rPr>
          <w:b/>
        </w:rPr>
        <w:t>Keskeiset kohdat</w:t>
      </w:r>
    </w:p>
    <w:p w14:paraId="27751FDB" w14:textId="77777777" w:rsidR="00B2734D" w:rsidRDefault="00B2734D" w:rsidP="00D95E0E">
      <w:pPr>
        <w:keepNext/>
        <w:keepLines/>
        <w:tabs>
          <w:tab w:val="center" w:pos="284"/>
        </w:tabs>
        <w:ind w:left="266" w:hanging="266"/>
        <w:rPr>
          <w:bCs/>
        </w:rPr>
      </w:pPr>
    </w:p>
    <w:p w14:paraId="5353DDD6" w14:textId="77777777" w:rsidR="00B2734D" w:rsidRDefault="00B2734D" w:rsidP="00D95E0E">
      <w:pPr>
        <w:rPr>
          <w:bCs/>
          <w:iCs/>
        </w:rPr>
      </w:pPr>
      <w:r>
        <w:t>ETSK</w:t>
      </w:r>
    </w:p>
    <w:p w14:paraId="53724D4F" w14:textId="77777777" w:rsidR="00B2734D" w:rsidRDefault="00B2734D" w:rsidP="00D95E0E">
      <w:pPr>
        <w:pStyle w:val="ListParagraph"/>
        <w:numPr>
          <w:ilvl w:val="0"/>
          <w:numId w:val="42"/>
        </w:numPr>
        <w:ind w:left="426"/>
        <w:rPr>
          <w:bCs/>
          <w:iCs/>
        </w:rPr>
      </w:pPr>
      <w:r>
        <w:t xml:space="preserve">korostaa, että </w:t>
      </w:r>
      <w:r>
        <w:rPr>
          <w:b/>
        </w:rPr>
        <w:t>terveyteen vaikuttavien kaupallisten taustatekijöiden suhteen on omaksuttava pikaisesti kokonaisvaltainen ja ennalta ehkäisevä toimintamalli</w:t>
      </w:r>
      <w:r>
        <w:t>. Kyseisillä tekijöillä tarkoitetaan yksityisten toimijoiden strategioita, jotka vaikuttavat kielteisesti terveyteen ja demokraattiseen valvontaan.</w:t>
      </w:r>
    </w:p>
    <w:p w14:paraId="630C9F1F" w14:textId="77777777" w:rsidR="00B2734D" w:rsidRDefault="00B2734D" w:rsidP="00D95E0E">
      <w:pPr>
        <w:pStyle w:val="ListParagraph"/>
        <w:numPr>
          <w:ilvl w:val="0"/>
          <w:numId w:val="42"/>
        </w:numPr>
        <w:ind w:left="426"/>
        <w:rPr>
          <w:bCs/>
          <w:iCs/>
        </w:rPr>
      </w:pPr>
      <w:r>
        <w:t xml:space="preserve">katsoo, että EU:n ja sen jäsenvaltioiden on otettava käyttöön kunnianhimoisia toimintapolitiikkoja ja strategista rahoitusta myös seuraavan monivuotisen rahoituskehyksen 2028–2034 kautta, jotta </w:t>
      </w:r>
      <w:r>
        <w:rPr>
          <w:b/>
        </w:rPr>
        <w:t>terveydestä voidaan tehdä Euroopan selviytymiskyvyn tukipilari erityisesti ennaltaehkäisyn näkökulmasta</w:t>
      </w:r>
      <w:r>
        <w:t>.</w:t>
      </w:r>
    </w:p>
    <w:p w14:paraId="764156C7" w14:textId="77777777" w:rsidR="00B2734D" w:rsidRDefault="00B2734D" w:rsidP="00D95E0E">
      <w:pPr>
        <w:pStyle w:val="ListParagraph"/>
        <w:numPr>
          <w:ilvl w:val="0"/>
          <w:numId w:val="42"/>
        </w:numPr>
        <w:ind w:left="426"/>
        <w:rPr>
          <w:bCs/>
          <w:iCs/>
        </w:rPr>
      </w:pPr>
      <w:r>
        <w:t xml:space="preserve">kannustaa laatimaan </w:t>
      </w:r>
      <w:r>
        <w:rPr>
          <w:b/>
        </w:rPr>
        <w:t>tasapainoisen toimintakehyksen, joka antaa eurooppalaisille yrityksille mahdollisuuden siirtyä kohti kansanterveyttä edistäviä malleja</w:t>
      </w:r>
      <w:r>
        <w:t xml:space="preserve"> siten, että julkisiin politiikkoihin sisällytetään ennalta varautumisen periaate, avoimuus sekä huolellisuutta koskevia lausekkeita.</w:t>
      </w:r>
    </w:p>
    <w:p w14:paraId="43AB0D6C" w14:textId="77777777" w:rsidR="00B2734D" w:rsidRDefault="00B2734D" w:rsidP="00D95E0E">
      <w:pPr>
        <w:pStyle w:val="ListParagraph"/>
        <w:numPr>
          <w:ilvl w:val="0"/>
          <w:numId w:val="42"/>
        </w:numPr>
        <w:ind w:left="426"/>
        <w:rPr>
          <w:bCs/>
          <w:iCs/>
        </w:rPr>
      </w:pPr>
      <w:r>
        <w:t xml:space="preserve">kannattaa sitä, että perustetaan </w:t>
      </w:r>
      <w:r>
        <w:rPr>
          <w:b/>
        </w:rPr>
        <w:t>terveyteen vaikuttavien kaupallisten taustatekijöiden seurantakeskus</w:t>
      </w:r>
      <w:r>
        <w:t xml:space="preserve"> Euroopan tautienehkäisy- ja -valvontakeskukseen (ECDC) ja että luodaan </w:t>
      </w:r>
      <w:r>
        <w:rPr>
          <w:b/>
        </w:rPr>
        <w:t>yrityksille eurooppalainen terveysvastuumerkki</w:t>
      </w:r>
      <w:r>
        <w:t>, joka myönnetään tiukkojen kriteerien perusteella ja yhteisö- ja solidaarisuustalouden mallin pohjalta.</w:t>
      </w:r>
    </w:p>
    <w:p w14:paraId="142ECF44" w14:textId="77777777" w:rsidR="00B2734D" w:rsidRDefault="00B2734D" w:rsidP="00D95E0E">
      <w:pPr>
        <w:pStyle w:val="ListParagraph"/>
        <w:numPr>
          <w:ilvl w:val="0"/>
          <w:numId w:val="42"/>
        </w:numPr>
        <w:ind w:left="426"/>
        <w:rPr>
          <w:bCs/>
          <w:iCs/>
        </w:rPr>
      </w:pPr>
      <w:r>
        <w:t xml:space="preserve">kehottaa </w:t>
      </w:r>
      <w:r>
        <w:rPr>
          <w:b/>
        </w:rPr>
        <w:t>ottamaan kansalaisyhteiskunnan ja potilasjärjestöt aktiivisesti mukaan</w:t>
      </w:r>
      <w:r>
        <w:t xml:space="preserve"> terveysalan toimintapolitiikkojen laatimisen ja arvioinnin kaikkiin vaiheisiin ja varmistamaan samalla rahoituksen avoimuuden ja riippumattomuuden suhteessa vaikutusvaltaisiin teollisuudenaloihin.</w:t>
      </w:r>
    </w:p>
    <w:p w14:paraId="62D20DD0" w14:textId="77777777" w:rsidR="00B2734D" w:rsidRDefault="00B2734D" w:rsidP="00D95E0E">
      <w:pPr>
        <w:pStyle w:val="ListParagraph"/>
        <w:ind w:left="567"/>
        <w:rPr>
          <w:bCs/>
          <w:iCs/>
          <w:lang w:val="fr-BE"/>
        </w:rPr>
      </w:pPr>
    </w:p>
    <w:tbl>
      <w:tblPr>
        <w:tblW w:w="5000" w:type="pct"/>
        <w:tblLook w:val="04A0" w:firstRow="1" w:lastRow="0" w:firstColumn="1" w:lastColumn="0" w:noHBand="0" w:noVBand="1"/>
      </w:tblPr>
      <w:tblGrid>
        <w:gridCol w:w="1417"/>
        <w:gridCol w:w="7656"/>
      </w:tblGrid>
      <w:tr w:rsidR="00B2734D" w14:paraId="0D0A7628" w14:textId="77777777" w:rsidTr="00B2734D">
        <w:tc>
          <w:tcPr>
            <w:tcW w:w="781" w:type="pct"/>
            <w:hideMark/>
          </w:tcPr>
          <w:p w14:paraId="2F68C18D" w14:textId="77777777" w:rsidR="00B2734D" w:rsidRDefault="00B2734D" w:rsidP="00D95E0E">
            <w:pPr>
              <w:rPr>
                <w:i/>
              </w:rPr>
            </w:pPr>
            <w:r>
              <w:rPr>
                <w:b/>
                <w:i/>
              </w:rPr>
              <w:t>Yhteydenotot</w:t>
            </w:r>
          </w:p>
        </w:tc>
        <w:tc>
          <w:tcPr>
            <w:tcW w:w="4219" w:type="pct"/>
            <w:hideMark/>
          </w:tcPr>
          <w:p w14:paraId="60D601A8" w14:textId="738E44D4" w:rsidR="00B2734D" w:rsidRDefault="00B2734D" w:rsidP="00D95E0E">
            <w:pPr>
              <w:rPr>
                <w:i/>
              </w:rPr>
            </w:pPr>
            <w:r>
              <w:rPr>
                <w:i/>
              </w:rPr>
              <w:t xml:space="preserve">Silvia </w:t>
            </w:r>
            <w:proofErr w:type="spellStart"/>
            <w:r w:rsidR="00B959E2">
              <w:rPr>
                <w:i/>
              </w:rPr>
              <w:t>Staffa</w:t>
            </w:r>
            <w:proofErr w:type="spellEnd"/>
          </w:p>
        </w:tc>
      </w:tr>
      <w:tr w:rsidR="00B2734D" w14:paraId="1EF0D86F" w14:textId="77777777" w:rsidTr="00B2734D">
        <w:tc>
          <w:tcPr>
            <w:tcW w:w="781" w:type="pct"/>
            <w:hideMark/>
          </w:tcPr>
          <w:p w14:paraId="65639420" w14:textId="77777777" w:rsidR="00B2734D" w:rsidRDefault="00B2734D" w:rsidP="00D95E0E">
            <w:pPr>
              <w:rPr>
                <w:i/>
              </w:rPr>
            </w:pPr>
            <w:r>
              <w:rPr>
                <w:i/>
              </w:rPr>
              <w:t>P.</w:t>
            </w:r>
          </w:p>
        </w:tc>
        <w:tc>
          <w:tcPr>
            <w:tcW w:w="4219" w:type="pct"/>
            <w:hideMark/>
          </w:tcPr>
          <w:p w14:paraId="38368749" w14:textId="77777777" w:rsidR="00B2734D" w:rsidRDefault="00B2734D" w:rsidP="00D95E0E">
            <w:pPr>
              <w:rPr>
                <w:i/>
              </w:rPr>
            </w:pPr>
            <w:r>
              <w:rPr>
                <w:i/>
              </w:rPr>
              <w:t>+ 32 25468378</w:t>
            </w:r>
          </w:p>
        </w:tc>
      </w:tr>
      <w:tr w:rsidR="00B2734D" w14:paraId="499E1EB6" w14:textId="77777777" w:rsidTr="00B2734D">
        <w:tc>
          <w:tcPr>
            <w:tcW w:w="781" w:type="pct"/>
            <w:hideMark/>
          </w:tcPr>
          <w:p w14:paraId="18ABD6CB" w14:textId="77777777" w:rsidR="00B2734D" w:rsidRDefault="00B2734D" w:rsidP="00D95E0E">
            <w:pPr>
              <w:rPr>
                <w:i/>
              </w:rPr>
            </w:pPr>
            <w:r>
              <w:rPr>
                <w:i/>
              </w:rPr>
              <w:t>Sähköposti</w:t>
            </w:r>
          </w:p>
        </w:tc>
        <w:tc>
          <w:tcPr>
            <w:tcW w:w="4219" w:type="pct"/>
            <w:hideMark/>
          </w:tcPr>
          <w:p w14:paraId="135BF3A1" w14:textId="77777777" w:rsidR="00B2734D" w:rsidRDefault="0061775F" w:rsidP="00D95E0E">
            <w:pPr>
              <w:rPr>
                <w:i/>
                <w:iCs/>
                <w:sz w:val="20"/>
                <w:szCs w:val="20"/>
              </w:rPr>
            </w:pPr>
            <w:hyperlink r:id="rId76" w:history="1">
              <w:r w:rsidR="00B2734D">
                <w:rPr>
                  <w:rStyle w:val="Hyperlink"/>
                  <w:i/>
                  <w:sz w:val="20"/>
                </w:rPr>
                <w:t>S</w:t>
              </w:r>
              <w:r w:rsidR="00B2734D">
                <w:rPr>
                  <w:rStyle w:val="Hyperlink"/>
                  <w:i/>
                </w:rPr>
                <w:t>ilvi</w:t>
              </w:r>
              <w:r w:rsidR="00B2734D">
                <w:rPr>
                  <w:rStyle w:val="Hyperlink"/>
                  <w:i/>
                  <w:sz w:val="20"/>
                </w:rPr>
                <w:t>a.Staffa@eesc.europa.eu</w:t>
              </w:r>
            </w:hyperlink>
          </w:p>
        </w:tc>
      </w:tr>
    </w:tbl>
    <w:p w14:paraId="31C3774C" w14:textId="77777777" w:rsidR="007F5784" w:rsidRDefault="007F5784" w:rsidP="00D95E0E">
      <w:pPr>
        <w:jc w:val="left"/>
      </w:pPr>
    </w:p>
    <w:p w14:paraId="715DB2BD" w14:textId="77777777" w:rsidR="007F5784" w:rsidRDefault="007F5784" w:rsidP="00D95E0E">
      <w:pPr>
        <w:jc w:val="left"/>
      </w:pPr>
      <w:r>
        <w:br w:type="page"/>
      </w:r>
    </w:p>
    <w:p w14:paraId="14026A78" w14:textId="6515E8CE" w:rsidR="007F5784" w:rsidRDefault="00B2734D" w:rsidP="00D95E0E">
      <w:pPr>
        <w:pStyle w:val="Heading1"/>
        <w:rPr>
          <w:b/>
        </w:rPr>
      </w:pPr>
      <w:bookmarkStart w:id="58" w:name="_Toc210812732"/>
      <w:r w:rsidRPr="00B2734D">
        <w:rPr>
          <w:b/>
        </w:rPr>
        <w:lastRenderedPageBreak/>
        <w:t>MAATALOUS, MAASEUDUN KEHITTÄMINEN JA YMPÄRISTÖ</w:t>
      </w:r>
      <w:bookmarkEnd w:id="58"/>
    </w:p>
    <w:p w14:paraId="3BBB3E68" w14:textId="77777777" w:rsidR="007F5784" w:rsidRDefault="007F5784" w:rsidP="00D95E0E"/>
    <w:p w14:paraId="4064AB14" w14:textId="133F6F76" w:rsidR="00B2734D" w:rsidRDefault="0061775F" w:rsidP="00D95E0E">
      <w:pPr>
        <w:pStyle w:val="ListParagraph"/>
        <w:numPr>
          <w:ilvl w:val="0"/>
          <w:numId w:val="7"/>
        </w:numPr>
        <w:ind w:left="567" w:hanging="567"/>
        <w:rPr>
          <w:i/>
          <w:iCs/>
        </w:rPr>
      </w:pPr>
      <w:hyperlink r:id="rId77" w:history="1">
        <w:r w:rsidR="00B2734D">
          <w:rPr>
            <w:rStyle w:val="Hyperlink"/>
            <w:b/>
            <w:i/>
            <w:sz w:val="28"/>
          </w:rPr>
          <w:t>Eurooppalaisen ilmastolain muuttaminen</w:t>
        </w:r>
      </w:hyperlink>
    </w:p>
    <w:p w14:paraId="7103E48C" w14:textId="77777777" w:rsidR="00B2734D" w:rsidRDefault="00B2734D" w:rsidP="00D95E0E">
      <w:pPr>
        <w:ind w:left="567"/>
        <w:rPr>
          <w:bCs/>
        </w:rPr>
      </w:pPr>
    </w:p>
    <w:tbl>
      <w:tblPr>
        <w:tblW w:w="9322" w:type="dxa"/>
        <w:tblLook w:val="04A0" w:firstRow="1" w:lastRow="0" w:firstColumn="1" w:lastColumn="0" w:noHBand="0" w:noVBand="1"/>
      </w:tblPr>
      <w:tblGrid>
        <w:gridCol w:w="1701"/>
        <w:gridCol w:w="7621"/>
      </w:tblGrid>
      <w:tr w:rsidR="00B2734D" w14:paraId="0A8C4714" w14:textId="77777777" w:rsidTr="00B2734D">
        <w:tc>
          <w:tcPr>
            <w:tcW w:w="1701" w:type="dxa"/>
            <w:hideMark/>
          </w:tcPr>
          <w:p w14:paraId="3D63B73C" w14:textId="77777777" w:rsidR="00B2734D" w:rsidRDefault="00B2734D" w:rsidP="00D95E0E">
            <w:pPr>
              <w:tabs>
                <w:tab w:val="center" w:pos="284"/>
              </w:tabs>
              <w:ind w:left="266" w:hanging="266"/>
              <w:rPr>
                <w:b/>
              </w:rPr>
            </w:pPr>
            <w:r>
              <w:rPr>
                <w:b/>
              </w:rPr>
              <w:t>Esittelijä</w:t>
            </w:r>
          </w:p>
        </w:tc>
        <w:tc>
          <w:tcPr>
            <w:tcW w:w="7621" w:type="dxa"/>
            <w:hideMark/>
          </w:tcPr>
          <w:p w14:paraId="357953B0" w14:textId="77777777" w:rsidR="00B2734D" w:rsidRDefault="00B2734D" w:rsidP="00D95E0E">
            <w:pPr>
              <w:tabs>
                <w:tab w:val="center" w:pos="284"/>
              </w:tabs>
              <w:ind w:left="266" w:hanging="266"/>
              <w:rPr>
                <w:b/>
                <w:bCs/>
                <w:szCs w:val="20"/>
              </w:rPr>
            </w:pPr>
            <w:r>
              <w:t>Teppo SÄKKINEN (työnantajat – FI)</w:t>
            </w:r>
          </w:p>
        </w:tc>
      </w:tr>
      <w:tr w:rsidR="00B2734D" w14:paraId="634C21F0" w14:textId="77777777" w:rsidTr="00B2734D">
        <w:tc>
          <w:tcPr>
            <w:tcW w:w="1701" w:type="dxa"/>
            <w:hideMark/>
          </w:tcPr>
          <w:p w14:paraId="428F9053" w14:textId="77777777" w:rsidR="00B2734D" w:rsidRDefault="00B2734D" w:rsidP="00D95E0E">
            <w:pPr>
              <w:tabs>
                <w:tab w:val="center" w:pos="284"/>
              </w:tabs>
              <w:ind w:left="266" w:hanging="266"/>
              <w:rPr>
                <w:b/>
              </w:rPr>
            </w:pPr>
            <w:r>
              <w:rPr>
                <w:b/>
              </w:rPr>
              <w:t>Viiteasiakirja</w:t>
            </w:r>
          </w:p>
        </w:tc>
        <w:tc>
          <w:tcPr>
            <w:tcW w:w="7621" w:type="dxa"/>
            <w:hideMark/>
          </w:tcPr>
          <w:p w14:paraId="23E6AAAB" w14:textId="77777777" w:rsidR="00257C62" w:rsidRDefault="00257C62" w:rsidP="00D95E0E">
            <w:pPr>
              <w:tabs>
                <w:tab w:val="center" w:pos="284"/>
              </w:tabs>
              <w:ind w:left="266" w:hanging="266"/>
            </w:pPr>
            <w:r>
              <w:rPr>
                <w:lang w:val="en-GB"/>
              </w:rPr>
              <w:t>COM(2025) 524 final</w:t>
            </w:r>
            <w:r>
              <w:t xml:space="preserve"> </w:t>
            </w:r>
          </w:p>
          <w:p w14:paraId="18A093A0" w14:textId="604A77E6" w:rsidR="00B2734D" w:rsidRDefault="00B2734D" w:rsidP="00D95E0E">
            <w:pPr>
              <w:tabs>
                <w:tab w:val="center" w:pos="284"/>
              </w:tabs>
              <w:ind w:left="266" w:hanging="266"/>
            </w:pPr>
            <w:r>
              <w:t>EESC-2025-02119-00-00-AC</w:t>
            </w:r>
          </w:p>
        </w:tc>
      </w:tr>
    </w:tbl>
    <w:p w14:paraId="7ABED298" w14:textId="77777777" w:rsidR="00B2734D" w:rsidRDefault="00B2734D" w:rsidP="00D95E0E">
      <w:pPr>
        <w:keepNext/>
        <w:keepLines/>
        <w:tabs>
          <w:tab w:val="center" w:pos="284"/>
        </w:tabs>
        <w:ind w:left="266" w:hanging="266"/>
        <w:rPr>
          <w:bCs/>
        </w:rPr>
      </w:pPr>
    </w:p>
    <w:p w14:paraId="05A20C54" w14:textId="77777777" w:rsidR="00B2734D" w:rsidRDefault="00B2734D" w:rsidP="00D95E0E">
      <w:pPr>
        <w:keepNext/>
        <w:keepLines/>
        <w:tabs>
          <w:tab w:val="center" w:pos="284"/>
        </w:tabs>
        <w:ind w:left="266" w:hanging="266"/>
        <w:rPr>
          <w:b/>
        </w:rPr>
      </w:pPr>
      <w:r>
        <w:rPr>
          <w:b/>
        </w:rPr>
        <w:t>Keskeiset kohdat</w:t>
      </w:r>
    </w:p>
    <w:p w14:paraId="34BFB6C7" w14:textId="77777777" w:rsidR="00B2734D" w:rsidRDefault="00B2734D" w:rsidP="00D95E0E">
      <w:pPr>
        <w:keepNext/>
        <w:keepLines/>
        <w:tabs>
          <w:tab w:val="center" w:pos="284"/>
        </w:tabs>
        <w:ind w:left="266" w:hanging="266"/>
        <w:rPr>
          <w:bCs/>
          <w:lang w:val="fr-BE"/>
        </w:rPr>
      </w:pPr>
    </w:p>
    <w:p w14:paraId="39D3B5FA" w14:textId="77777777" w:rsidR="00B2734D" w:rsidRDefault="00B2734D" w:rsidP="00D95E0E">
      <w:r>
        <w:t>ETSK</w:t>
      </w:r>
    </w:p>
    <w:p w14:paraId="09F90ED1" w14:textId="77777777" w:rsidR="00B2734D" w:rsidRDefault="00B2734D" w:rsidP="00D95E0E">
      <w:pPr>
        <w:pStyle w:val="Heading2"/>
        <w:numPr>
          <w:ilvl w:val="0"/>
          <w:numId w:val="43"/>
        </w:numPr>
        <w:overflowPunct w:val="0"/>
        <w:autoSpaceDE w:val="0"/>
        <w:autoSpaceDN w:val="0"/>
        <w:adjustRightInd w:val="0"/>
        <w:ind w:left="426"/>
      </w:pPr>
      <w:bookmarkStart w:id="59" w:name="_Toc210812733"/>
      <w:r>
        <w:t xml:space="preserve">suhtautuu myönteisesti odotettuun ilmastolain muuttamiseen ja siihen, että siinä ehdotetaan vuoteen 2040 ulottuvaksi sitovaksi ilmastotavoitteeksi kasvihuonekaasujen nettopäästöjen vähentämistä 90 prosentilla vuoden 1990 tasosta, ja </w:t>
      </w:r>
      <w:r>
        <w:rPr>
          <w:b/>
        </w:rPr>
        <w:t>toistaa kannattavansa vuodelle 2040 asetettua 90 prosentin nettovähennystavoitetta</w:t>
      </w:r>
      <w:r>
        <w:t>.</w:t>
      </w:r>
      <w:bookmarkEnd w:id="59"/>
    </w:p>
    <w:p w14:paraId="32BA16FB" w14:textId="77777777" w:rsidR="00B2734D" w:rsidRDefault="00B2734D" w:rsidP="00D95E0E">
      <w:pPr>
        <w:pStyle w:val="Heading2"/>
        <w:numPr>
          <w:ilvl w:val="0"/>
          <w:numId w:val="43"/>
        </w:numPr>
        <w:overflowPunct w:val="0"/>
        <w:autoSpaceDE w:val="0"/>
        <w:autoSpaceDN w:val="0"/>
        <w:adjustRightInd w:val="0"/>
        <w:ind w:left="426"/>
        <w:rPr>
          <w:spacing w:val="-4"/>
        </w:rPr>
      </w:pPr>
      <w:bookmarkStart w:id="60" w:name="_Toc210812734"/>
      <w:r>
        <w:t xml:space="preserve">kannattaa komission valitsemaa lähestymistapaa, jossa ilmastolain muuttamista koskevan ehdotuksen 1 artiklaan </w:t>
      </w:r>
      <w:r>
        <w:rPr>
          <w:b/>
        </w:rPr>
        <w:t>sisällytetään suuntaviivoja mahdollistavista politiikoista</w:t>
      </w:r>
      <w:r>
        <w:t xml:space="preserve">. Tämä noudattaa </w:t>
      </w:r>
      <w:proofErr w:type="spellStart"/>
      <w:r>
        <w:t>ETSK:n</w:t>
      </w:r>
      <w:proofErr w:type="spellEnd"/>
      <w:r>
        <w:t xml:space="preserve"> aiempaa kehotusta laatia mahdollistavia politiikkoja Euroopan teollisuuden </w:t>
      </w:r>
      <w:r>
        <w:rPr>
          <w:b/>
        </w:rPr>
        <w:t>kilpailukyvyn ja oikeudenmukaisen siirtymän varmistamiseksi</w:t>
      </w:r>
      <w:r>
        <w:t xml:space="preserve"> ja käyttää kaikkia päästöttömiä ja vähähiilisiä teknologioita kustannustehokkaasti, koska ne ovat ainoa keino saavuttaa vaativa 90 prosentin tavoite.</w:t>
      </w:r>
      <w:bookmarkEnd w:id="60"/>
    </w:p>
    <w:p w14:paraId="281077B9" w14:textId="77777777" w:rsidR="00B2734D" w:rsidRDefault="00B2734D" w:rsidP="00D95E0E">
      <w:pPr>
        <w:pStyle w:val="Heading2"/>
        <w:numPr>
          <w:ilvl w:val="0"/>
          <w:numId w:val="43"/>
        </w:numPr>
        <w:overflowPunct w:val="0"/>
        <w:autoSpaceDE w:val="0"/>
        <w:autoSpaceDN w:val="0"/>
        <w:adjustRightInd w:val="0"/>
        <w:ind w:left="426"/>
      </w:pPr>
      <w:bookmarkStart w:id="61" w:name="_Toc210812735"/>
      <w:r>
        <w:t>kehottaa neuvostoa ja parlamenttia sopimaan vuoden 2040 ilmastotavoitteesta viimeistään syyskuussa 2025 ja siihen liittyvästä kansallisesti määritellystä panoksesta lokakuun alkuun mennessä.</w:t>
      </w:r>
      <w:bookmarkEnd w:id="61"/>
    </w:p>
    <w:p w14:paraId="1ACDB433" w14:textId="77777777" w:rsidR="00B2734D" w:rsidRDefault="00B2734D" w:rsidP="00D95E0E">
      <w:pPr>
        <w:pStyle w:val="Heading2"/>
        <w:numPr>
          <w:ilvl w:val="0"/>
          <w:numId w:val="43"/>
        </w:numPr>
        <w:overflowPunct w:val="0"/>
        <w:autoSpaceDE w:val="0"/>
        <w:autoSpaceDN w:val="0"/>
        <w:adjustRightInd w:val="0"/>
        <w:ind w:left="426"/>
        <w:rPr>
          <w:spacing w:val="-4"/>
        </w:rPr>
      </w:pPr>
      <w:bookmarkStart w:id="62" w:name="_Toc210812736"/>
      <w:r>
        <w:t xml:space="preserve">katsoo, että </w:t>
      </w:r>
      <w:r>
        <w:rPr>
          <w:b/>
        </w:rPr>
        <w:t>ilmastotoimien tärkeimpänä painopisteenä olisi oltava päästöjen vähentäminen EU:ssa</w:t>
      </w:r>
      <w:r>
        <w:t>, ja tavoitetason olisi oltava mahdollisimman korkealla.</w:t>
      </w:r>
      <w:bookmarkEnd w:id="62"/>
    </w:p>
    <w:p w14:paraId="6086C0A6" w14:textId="77777777" w:rsidR="00B2734D" w:rsidRDefault="00B2734D" w:rsidP="00D95E0E">
      <w:pPr>
        <w:pStyle w:val="Heading2"/>
        <w:numPr>
          <w:ilvl w:val="0"/>
          <w:numId w:val="43"/>
        </w:numPr>
        <w:overflowPunct w:val="0"/>
        <w:autoSpaceDE w:val="0"/>
        <w:autoSpaceDN w:val="0"/>
        <w:adjustRightInd w:val="0"/>
        <w:ind w:left="426"/>
      </w:pPr>
      <w:bookmarkStart w:id="63" w:name="_Toc210812737"/>
      <w:r>
        <w:t xml:space="preserve">myöntää, että kansainväliset hyvitykset voisivat tarjota tarvittavaa joustavuutta vuoden 2040 tavoitteen saavuttamisessa ja samalla tulisi välttää unionin sisäisten ilmastotoimien korvaaminen hyvityksillä sekä sosiaalisten tai ympäristöhaittojen aiheuttaminen. Hyvitysten olisi myös oltava johdonmukaisia muiden EU:n ulkoisten ja sisäisten toimintapolitiikkojen kanssa. ETSK suosittaa, että perustetaan EU:n laajuinen elin hankkimaan ja seuraamaan hyvityksiä sekä varmistamaan niiden laadun. </w:t>
      </w:r>
      <w:r>
        <w:rPr>
          <w:b/>
        </w:rPr>
        <w:t>Kansainvälisiä hyvityksiä ei pitäisi käyttää EU:n päästökauppajärjestelmän mukaisten vaatimusten noudattamiseksi.</w:t>
      </w:r>
      <w:bookmarkEnd w:id="63"/>
    </w:p>
    <w:p w14:paraId="2C997C05" w14:textId="77777777" w:rsidR="00B2734D" w:rsidRDefault="00B2734D" w:rsidP="00D95E0E">
      <w:pPr>
        <w:pStyle w:val="Heading2"/>
        <w:numPr>
          <w:ilvl w:val="0"/>
          <w:numId w:val="43"/>
        </w:numPr>
        <w:overflowPunct w:val="0"/>
        <w:autoSpaceDE w:val="0"/>
        <w:autoSpaceDN w:val="0"/>
        <w:adjustRightInd w:val="0"/>
        <w:ind w:left="426"/>
      </w:pPr>
      <w:bookmarkStart w:id="64" w:name="_Toc210812738"/>
      <w:r>
        <w:t xml:space="preserve">toteaa, että EU tulee todennäköisesti laajentumaan ennen tavoitteelle asetettua vuoden 2040 takarajaa. ETSK kehottaa komissiota </w:t>
      </w:r>
      <w:r>
        <w:rPr>
          <w:b/>
        </w:rPr>
        <w:t>selvittämään sitä, miten laajentuminen vaikuttaa</w:t>
      </w:r>
      <w:r>
        <w:t xml:space="preserve"> vuoden 2040 ilmastotavoitteeseen, sekä sitä, miten vuoden 1990 viitearvo ja 90 prosentin tavoite lasketaan, jos EU laajentuu.</w:t>
      </w:r>
      <w:bookmarkEnd w:id="64"/>
    </w:p>
    <w:p w14:paraId="17378BE2" w14:textId="77777777" w:rsidR="00B2734D" w:rsidRDefault="00B2734D" w:rsidP="00D95E0E">
      <w:pPr>
        <w:pStyle w:val="Heading2"/>
        <w:numPr>
          <w:ilvl w:val="0"/>
          <w:numId w:val="43"/>
        </w:numPr>
        <w:overflowPunct w:val="0"/>
        <w:autoSpaceDE w:val="0"/>
        <w:autoSpaceDN w:val="0"/>
        <w:adjustRightInd w:val="0"/>
        <w:ind w:left="426"/>
      </w:pPr>
      <w:bookmarkStart w:id="65" w:name="_Toc210812739"/>
      <w:r>
        <w:t xml:space="preserve">ehdottaa, että etusijalle asetetaan EU:n ehdokasmaissa tuotetut kansainväliset hyvitykset, ja että </w:t>
      </w:r>
      <w:r>
        <w:rPr>
          <w:b/>
        </w:rPr>
        <w:t>ehdokasmaiden kansainväliset hyvitykset otettaisiin huomioon vuoden 2040 tavoitteen saavuttamisessa vuodesta 2031 alkaen</w:t>
      </w:r>
      <w:r>
        <w:t>, ja pyytää komissiota toimittamaan tiivistetyn arvioinnin, jossa keskitytään 90 prosentin tavoitteeseen sekä kansainvälisten hyvitysten käytön vaikutukseen.</w:t>
      </w:r>
      <w:bookmarkEnd w:id="65"/>
    </w:p>
    <w:p w14:paraId="48FE1C31" w14:textId="77777777" w:rsidR="00B2734D" w:rsidRDefault="00B2734D" w:rsidP="00D95E0E">
      <w:pPr>
        <w:pStyle w:val="Heading2"/>
        <w:numPr>
          <w:ilvl w:val="0"/>
          <w:numId w:val="43"/>
        </w:numPr>
        <w:overflowPunct w:val="0"/>
        <w:autoSpaceDE w:val="0"/>
        <w:autoSpaceDN w:val="0"/>
        <w:adjustRightInd w:val="0"/>
        <w:ind w:left="426"/>
      </w:pPr>
      <w:bookmarkStart w:id="66" w:name="_Toc210812740"/>
      <w:r>
        <w:t xml:space="preserve">suosittelee </w:t>
      </w:r>
      <w:r>
        <w:rPr>
          <w:b/>
        </w:rPr>
        <w:t>puhtaan teknologian viennin</w:t>
      </w:r>
      <w:r>
        <w:t xml:space="preserve"> sisällyttämistä ilmastolain muuttamiseen ja luomaan </w:t>
      </w:r>
      <w:r>
        <w:rPr>
          <w:b/>
        </w:rPr>
        <w:t>puhtaan teollisuuden tulostaulun</w:t>
      </w:r>
      <w:r>
        <w:t>, jonka avulla seurataan työllisyyden, innovoinnin ja viennin kasvua nettonollatoimialoilla.</w:t>
      </w:r>
      <w:bookmarkEnd w:id="66"/>
    </w:p>
    <w:p w14:paraId="578C5B64" w14:textId="77777777" w:rsidR="00B2734D" w:rsidRDefault="00B2734D" w:rsidP="00D95E0E">
      <w:pPr>
        <w:pStyle w:val="Heading2"/>
        <w:numPr>
          <w:ilvl w:val="0"/>
          <w:numId w:val="43"/>
        </w:numPr>
        <w:overflowPunct w:val="0"/>
        <w:autoSpaceDE w:val="0"/>
        <w:autoSpaceDN w:val="0"/>
        <w:adjustRightInd w:val="0"/>
        <w:ind w:left="426"/>
        <w:rPr>
          <w:spacing w:val="-4"/>
        </w:rPr>
      </w:pPr>
      <w:bookmarkStart w:id="67" w:name="_Toc210812741"/>
      <w:r>
        <w:lastRenderedPageBreak/>
        <w:t xml:space="preserve">ehdottaa, että </w:t>
      </w:r>
      <w:r>
        <w:rPr>
          <w:b/>
        </w:rPr>
        <w:t>ilmastolakia muutettaessa elintarviketurva sisällytetään</w:t>
      </w:r>
      <w:r>
        <w:t xml:space="preserve"> niiden seikkojen joukkoon, jotka on otettava huomioon myöhemmissä lainsäädäntöehdotuksissa, ja muistuttaa maa- ja metsätalouden ainutlaatuisesta roolista ilmastotoimien, luonnonvarojen säilyttämisen, luonnon monimuotoisuuden, terveiden ekosysteemien ja maaseutuyhteisöjen kukoistamisen kannalta.</w:t>
      </w:r>
      <w:bookmarkEnd w:id="67"/>
    </w:p>
    <w:p w14:paraId="3E9AF221" w14:textId="77777777" w:rsidR="00B2734D" w:rsidRDefault="00B2734D" w:rsidP="00D95E0E">
      <w:pPr>
        <w:pStyle w:val="Heading1"/>
        <w:numPr>
          <w:ilvl w:val="0"/>
          <w:numId w:val="43"/>
        </w:numPr>
        <w:overflowPunct w:val="0"/>
        <w:autoSpaceDE w:val="0"/>
        <w:autoSpaceDN w:val="0"/>
        <w:adjustRightInd w:val="0"/>
        <w:ind w:left="426"/>
        <w:rPr>
          <w:spacing w:val="-2"/>
        </w:rPr>
      </w:pPr>
      <w:bookmarkStart w:id="68" w:name="_Toc210812742"/>
      <w:r>
        <w:t xml:space="preserve">suosittaa, että ilmastolain muutoksen yhteydessä olisi tunnustettava </w:t>
      </w:r>
      <w:r>
        <w:rPr>
          <w:b/>
        </w:rPr>
        <w:t>energiaköyhyyden torjumisen</w:t>
      </w:r>
      <w:r>
        <w:t xml:space="preserve"> tarve.</w:t>
      </w:r>
      <w:bookmarkEnd w:id="68"/>
    </w:p>
    <w:p w14:paraId="5947BDEB" w14:textId="77777777" w:rsidR="00B2734D" w:rsidRDefault="00B2734D" w:rsidP="00D95E0E">
      <w:pPr>
        <w:pStyle w:val="Heading2"/>
        <w:keepNext/>
        <w:keepLines/>
        <w:numPr>
          <w:ilvl w:val="0"/>
          <w:numId w:val="43"/>
        </w:numPr>
        <w:overflowPunct w:val="0"/>
        <w:autoSpaceDE w:val="0"/>
        <w:autoSpaceDN w:val="0"/>
        <w:adjustRightInd w:val="0"/>
        <w:ind w:left="426"/>
      </w:pPr>
      <w:bookmarkStart w:id="69" w:name="_Toc210812743"/>
      <w:r>
        <w:t>kannustaa komissiota määrittämään ja edistämään teknologisia kaksikäyttöratkaisuja, jotka palvelevat sekä puolustus- että ilmastotavoitteita.</w:t>
      </w:r>
      <w:bookmarkEnd w:id="69"/>
    </w:p>
    <w:p w14:paraId="304DC9B9" w14:textId="77777777" w:rsidR="00B2734D" w:rsidRDefault="00B2734D" w:rsidP="00D95E0E">
      <w:pPr>
        <w:keepNext/>
        <w:keepLines/>
      </w:pPr>
    </w:p>
    <w:tbl>
      <w:tblPr>
        <w:tblW w:w="0" w:type="auto"/>
        <w:tblLook w:val="04A0" w:firstRow="1" w:lastRow="0" w:firstColumn="1" w:lastColumn="0" w:noHBand="0" w:noVBand="1"/>
      </w:tblPr>
      <w:tblGrid>
        <w:gridCol w:w="1632"/>
        <w:gridCol w:w="7441"/>
      </w:tblGrid>
      <w:tr w:rsidR="00B2734D" w14:paraId="2E62E8A1" w14:textId="77777777" w:rsidTr="00B2734D">
        <w:tc>
          <w:tcPr>
            <w:tcW w:w="1634" w:type="dxa"/>
            <w:hideMark/>
          </w:tcPr>
          <w:p w14:paraId="33408085" w14:textId="77777777" w:rsidR="00B2734D" w:rsidRDefault="00B2734D" w:rsidP="00D95E0E">
            <w:pPr>
              <w:keepNext/>
              <w:keepLines/>
              <w:ind w:left="142"/>
              <w:jc w:val="left"/>
              <w:rPr>
                <w:i/>
                <w:iCs/>
              </w:rPr>
            </w:pPr>
            <w:r>
              <w:rPr>
                <w:b/>
                <w:i/>
              </w:rPr>
              <w:t>Yhteydenotot</w:t>
            </w:r>
          </w:p>
        </w:tc>
        <w:tc>
          <w:tcPr>
            <w:tcW w:w="7546" w:type="dxa"/>
            <w:hideMark/>
          </w:tcPr>
          <w:p w14:paraId="4C8F3EA4" w14:textId="1647115A" w:rsidR="00B2734D" w:rsidRPr="00B959E2" w:rsidRDefault="00B2734D" w:rsidP="00D95E0E">
            <w:pPr>
              <w:keepNext/>
              <w:keepLines/>
              <w:ind w:left="73"/>
              <w:rPr>
                <w:i/>
                <w:iCs/>
              </w:rPr>
            </w:pPr>
            <w:r w:rsidRPr="00B959E2">
              <w:rPr>
                <w:i/>
                <w:iCs/>
              </w:rPr>
              <w:t xml:space="preserve">Caroline </w:t>
            </w:r>
            <w:proofErr w:type="spellStart"/>
            <w:r w:rsidR="00B959E2" w:rsidRPr="00B959E2">
              <w:rPr>
                <w:i/>
                <w:iCs/>
              </w:rPr>
              <w:t>Verhelst</w:t>
            </w:r>
            <w:proofErr w:type="spellEnd"/>
            <w:r w:rsidRPr="00B959E2">
              <w:rPr>
                <w:i/>
                <w:iCs/>
              </w:rPr>
              <w:t xml:space="preserve">, </w:t>
            </w:r>
            <w:proofErr w:type="spellStart"/>
            <w:r w:rsidRPr="00B959E2">
              <w:rPr>
                <w:i/>
                <w:iCs/>
              </w:rPr>
              <w:t>Gaizka</w:t>
            </w:r>
            <w:proofErr w:type="spellEnd"/>
            <w:r w:rsidRPr="00B959E2">
              <w:rPr>
                <w:i/>
                <w:iCs/>
              </w:rPr>
              <w:t xml:space="preserve"> </w:t>
            </w:r>
            <w:proofErr w:type="spellStart"/>
            <w:r w:rsidR="00B959E2" w:rsidRPr="00B959E2">
              <w:rPr>
                <w:i/>
                <w:iCs/>
              </w:rPr>
              <w:t>Malo</w:t>
            </w:r>
            <w:proofErr w:type="spellEnd"/>
          </w:p>
        </w:tc>
      </w:tr>
      <w:tr w:rsidR="00B2734D" w14:paraId="568B777E" w14:textId="77777777" w:rsidTr="00B2734D">
        <w:tc>
          <w:tcPr>
            <w:tcW w:w="1634" w:type="dxa"/>
            <w:hideMark/>
          </w:tcPr>
          <w:p w14:paraId="2383342B" w14:textId="7F3AD286" w:rsidR="00B2734D" w:rsidRDefault="00B2734D" w:rsidP="00D95E0E">
            <w:pPr>
              <w:ind w:left="142"/>
              <w:jc w:val="left"/>
              <w:rPr>
                <w:i/>
              </w:rPr>
            </w:pPr>
            <w:r>
              <w:rPr>
                <w:i/>
              </w:rPr>
              <w:t>P.</w:t>
            </w:r>
          </w:p>
        </w:tc>
        <w:tc>
          <w:tcPr>
            <w:tcW w:w="7546" w:type="dxa"/>
            <w:hideMark/>
          </w:tcPr>
          <w:p w14:paraId="7B751AA0" w14:textId="77777777" w:rsidR="00B2734D" w:rsidRDefault="00B2734D" w:rsidP="00D95E0E">
            <w:pPr>
              <w:ind w:left="73"/>
              <w:rPr>
                <w:i/>
                <w:iCs/>
              </w:rPr>
            </w:pPr>
            <w:r>
              <w:rPr>
                <w:i/>
              </w:rPr>
              <w:t>+32 25469497, +32 25468526</w:t>
            </w:r>
          </w:p>
        </w:tc>
      </w:tr>
      <w:tr w:rsidR="00B2734D" w14:paraId="182EA775" w14:textId="77777777" w:rsidTr="00B2734D">
        <w:tc>
          <w:tcPr>
            <w:tcW w:w="1634" w:type="dxa"/>
            <w:hideMark/>
          </w:tcPr>
          <w:p w14:paraId="3F73F0EB" w14:textId="77777777" w:rsidR="00B2734D" w:rsidRDefault="00B2734D" w:rsidP="00D95E0E">
            <w:pPr>
              <w:ind w:left="142"/>
              <w:jc w:val="left"/>
              <w:rPr>
                <w:i/>
              </w:rPr>
            </w:pPr>
            <w:r>
              <w:rPr>
                <w:i/>
              </w:rPr>
              <w:t>Sähköposti</w:t>
            </w:r>
          </w:p>
        </w:tc>
        <w:tc>
          <w:tcPr>
            <w:tcW w:w="7546" w:type="dxa"/>
            <w:hideMark/>
          </w:tcPr>
          <w:p w14:paraId="5DEE4089" w14:textId="77777777" w:rsidR="00B2734D" w:rsidRDefault="0061775F" w:rsidP="00D95E0E">
            <w:pPr>
              <w:ind w:left="73"/>
              <w:rPr>
                <w:i/>
                <w:iCs/>
                <w:color w:val="0000FF"/>
                <w:u w:val="single"/>
              </w:rPr>
            </w:pPr>
            <w:hyperlink r:id="rId78" w:history="1">
              <w:r w:rsidR="00B2734D">
                <w:rPr>
                  <w:rStyle w:val="Hyperlink"/>
                  <w:i/>
                </w:rPr>
                <w:t>Caroline.Verhelst@eesc.europa.eu</w:t>
              </w:r>
            </w:hyperlink>
            <w:r w:rsidR="00B2734D">
              <w:t xml:space="preserve">, </w:t>
            </w:r>
            <w:hyperlink r:id="rId79" w:history="1">
              <w:r w:rsidR="00B2734D">
                <w:rPr>
                  <w:rStyle w:val="Hyperlink"/>
                  <w:i/>
                </w:rPr>
                <w:t>Gaizka.MaloElcoro-Iribe@eesc.europa.eu</w:t>
              </w:r>
            </w:hyperlink>
          </w:p>
        </w:tc>
      </w:tr>
    </w:tbl>
    <w:p w14:paraId="0126A9F7" w14:textId="77777777" w:rsidR="00B2734D" w:rsidRDefault="00B2734D" w:rsidP="00D95E0E">
      <w:pPr>
        <w:jc w:val="left"/>
      </w:pPr>
      <w:r>
        <w:t xml:space="preserve"> </w:t>
      </w:r>
    </w:p>
    <w:p w14:paraId="6714A76D" w14:textId="77777777" w:rsidR="00B2734D" w:rsidRDefault="00B2734D" w:rsidP="00D95E0E">
      <w:pPr>
        <w:jc w:val="left"/>
      </w:pPr>
      <w:r>
        <w:br w:type="page"/>
      </w:r>
    </w:p>
    <w:p w14:paraId="67827853" w14:textId="1174A614" w:rsidR="00B2734D" w:rsidRDefault="0061775F" w:rsidP="00D95E0E">
      <w:pPr>
        <w:numPr>
          <w:ilvl w:val="0"/>
          <w:numId w:val="3"/>
        </w:numPr>
        <w:overflowPunct w:val="0"/>
        <w:autoSpaceDE w:val="0"/>
        <w:autoSpaceDN w:val="0"/>
        <w:adjustRightInd w:val="0"/>
        <w:ind w:hanging="567"/>
        <w:rPr>
          <w:sz w:val="20"/>
        </w:rPr>
      </w:pPr>
      <w:hyperlink r:id="rId80" w:history="1">
        <w:r w:rsidR="00B2734D">
          <w:rPr>
            <w:rStyle w:val="Hyperlink"/>
            <w:b/>
            <w:i/>
            <w:sz w:val="28"/>
          </w:rPr>
          <w:t>Luonnonmukaisten ja laadukkaiden elintarvikkeiden tulevaisuus</w:t>
        </w:r>
      </w:hyperlink>
      <w:r w:rsidR="00B2734D">
        <w:rPr>
          <w:b/>
          <w:i/>
          <w:sz w:val="28"/>
        </w:rPr>
        <w:t xml:space="preserve"> </w:t>
      </w:r>
    </w:p>
    <w:p w14:paraId="134EF16E" w14:textId="77777777" w:rsidR="00B2734D" w:rsidRDefault="00B2734D" w:rsidP="00D95E0E">
      <w:pPr>
        <w:tabs>
          <w:tab w:val="center" w:pos="284"/>
        </w:tabs>
        <w:ind w:left="266" w:hanging="266"/>
        <w:rPr>
          <w:b/>
        </w:rPr>
      </w:pPr>
    </w:p>
    <w:tbl>
      <w:tblPr>
        <w:tblW w:w="5000" w:type="pct"/>
        <w:tblLook w:val="04A0" w:firstRow="1" w:lastRow="0" w:firstColumn="1" w:lastColumn="0" w:noHBand="0" w:noVBand="1"/>
      </w:tblPr>
      <w:tblGrid>
        <w:gridCol w:w="1954"/>
        <w:gridCol w:w="7119"/>
      </w:tblGrid>
      <w:tr w:rsidR="00B2734D" w14:paraId="2B089F55" w14:textId="77777777" w:rsidTr="00B2734D">
        <w:tc>
          <w:tcPr>
            <w:tcW w:w="1077" w:type="pct"/>
            <w:hideMark/>
          </w:tcPr>
          <w:p w14:paraId="5690C44E" w14:textId="77777777" w:rsidR="00B2734D" w:rsidRDefault="00B2734D" w:rsidP="00D95E0E">
            <w:pPr>
              <w:tabs>
                <w:tab w:val="center" w:pos="284"/>
              </w:tabs>
              <w:ind w:left="266" w:hanging="266"/>
              <w:rPr>
                <w:b/>
              </w:rPr>
            </w:pPr>
            <w:r>
              <w:rPr>
                <w:b/>
              </w:rPr>
              <w:t>Esittelijä</w:t>
            </w:r>
          </w:p>
        </w:tc>
        <w:tc>
          <w:tcPr>
            <w:tcW w:w="3923" w:type="pct"/>
            <w:hideMark/>
          </w:tcPr>
          <w:p w14:paraId="0AC7B8C9" w14:textId="6DC3761D" w:rsidR="00B2734D" w:rsidRDefault="00B2734D" w:rsidP="00D95E0E">
            <w:pPr>
              <w:tabs>
                <w:tab w:val="center" w:pos="284"/>
              </w:tabs>
              <w:ind w:left="266" w:right="-3091" w:hanging="266"/>
            </w:pPr>
            <w:proofErr w:type="spellStart"/>
            <w:r>
              <w:t>Decebal-Ștefăniță</w:t>
            </w:r>
            <w:proofErr w:type="spellEnd"/>
            <w:r>
              <w:t xml:space="preserve"> </w:t>
            </w:r>
            <w:r w:rsidR="00257C62">
              <w:t xml:space="preserve">PADURE </w:t>
            </w:r>
            <w:r>
              <w:t>(työnantajat – RO)</w:t>
            </w:r>
          </w:p>
        </w:tc>
      </w:tr>
      <w:tr w:rsidR="00B2734D" w14:paraId="01CE19DF" w14:textId="77777777" w:rsidTr="00B2734D">
        <w:tc>
          <w:tcPr>
            <w:tcW w:w="1077" w:type="pct"/>
            <w:hideMark/>
          </w:tcPr>
          <w:p w14:paraId="04D54F15" w14:textId="77777777" w:rsidR="00B2734D" w:rsidRDefault="00B2734D" w:rsidP="00D95E0E">
            <w:pPr>
              <w:tabs>
                <w:tab w:val="center" w:pos="284"/>
              </w:tabs>
              <w:ind w:left="266" w:hanging="266"/>
              <w:rPr>
                <w:b/>
              </w:rPr>
            </w:pPr>
            <w:r>
              <w:rPr>
                <w:b/>
              </w:rPr>
              <w:t>Yhteisesittelijä</w:t>
            </w:r>
          </w:p>
        </w:tc>
        <w:tc>
          <w:tcPr>
            <w:tcW w:w="3923" w:type="pct"/>
            <w:hideMark/>
          </w:tcPr>
          <w:p w14:paraId="06478BE2" w14:textId="0A743D3C" w:rsidR="00B2734D" w:rsidRDefault="00B2734D" w:rsidP="00D95E0E">
            <w:pPr>
              <w:tabs>
                <w:tab w:val="center" w:pos="284"/>
              </w:tabs>
              <w:ind w:left="266" w:right="-3091" w:hanging="266"/>
            </w:pPr>
            <w:proofErr w:type="spellStart"/>
            <w:r>
              <w:t>Kerli</w:t>
            </w:r>
            <w:proofErr w:type="spellEnd"/>
            <w:r>
              <w:t xml:space="preserve"> </w:t>
            </w:r>
            <w:r w:rsidR="00257C62">
              <w:t xml:space="preserve">ATS </w:t>
            </w:r>
            <w:r>
              <w:t>(kansalaisyhteiskunnan organisaatiot – EE)</w:t>
            </w:r>
          </w:p>
        </w:tc>
      </w:tr>
      <w:tr w:rsidR="00B2734D" w14:paraId="0F1A1EA4" w14:textId="77777777" w:rsidTr="00B2734D">
        <w:tc>
          <w:tcPr>
            <w:tcW w:w="1077" w:type="pct"/>
            <w:hideMark/>
          </w:tcPr>
          <w:p w14:paraId="5AC33F66" w14:textId="77777777" w:rsidR="00B2734D" w:rsidRDefault="00B2734D" w:rsidP="00D95E0E">
            <w:pPr>
              <w:tabs>
                <w:tab w:val="center" w:pos="284"/>
              </w:tabs>
              <w:ind w:left="266" w:hanging="266"/>
              <w:rPr>
                <w:b/>
              </w:rPr>
            </w:pPr>
            <w:r>
              <w:rPr>
                <w:b/>
              </w:rPr>
              <w:t>Viiteasiakirja</w:t>
            </w:r>
          </w:p>
        </w:tc>
        <w:tc>
          <w:tcPr>
            <w:tcW w:w="3923" w:type="pct"/>
            <w:hideMark/>
          </w:tcPr>
          <w:p w14:paraId="42CF4150" w14:textId="1084FF52" w:rsidR="00466543" w:rsidRDefault="0062331E" w:rsidP="00D95E0E">
            <w:pPr>
              <w:tabs>
                <w:tab w:val="center" w:pos="284"/>
              </w:tabs>
              <w:ind w:left="266" w:right="-3091" w:hanging="266"/>
            </w:pPr>
            <w:r>
              <w:t>o</w:t>
            </w:r>
            <w:r w:rsidR="00466543">
              <w:t>ma-aloitteinen lausunto</w:t>
            </w:r>
          </w:p>
          <w:p w14:paraId="0F641F86" w14:textId="04516D00" w:rsidR="00B2734D" w:rsidRDefault="00B2734D" w:rsidP="00D95E0E">
            <w:pPr>
              <w:tabs>
                <w:tab w:val="center" w:pos="284"/>
              </w:tabs>
              <w:ind w:left="266" w:right="-3091" w:hanging="266"/>
            </w:pPr>
            <w:r>
              <w:t>EESC-2025-00673-00-00-AC</w:t>
            </w:r>
          </w:p>
        </w:tc>
      </w:tr>
    </w:tbl>
    <w:p w14:paraId="78162D93" w14:textId="77777777" w:rsidR="00B2734D" w:rsidRDefault="00B2734D" w:rsidP="00D95E0E">
      <w:pPr>
        <w:tabs>
          <w:tab w:val="center" w:pos="284"/>
        </w:tabs>
        <w:ind w:left="266" w:hanging="266"/>
        <w:rPr>
          <w:b/>
        </w:rPr>
      </w:pPr>
    </w:p>
    <w:p w14:paraId="05DF62DB" w14:textId="77777777" w:rsidR="00B2734D" w:rsidRDefault="00B2734D" w:rsidP="00D95E0E">
      <w:pPr>
        <w:keepNext/>
        <w:keepLines/>
        <w:tabs>
          <w:tab w:val="center" w:pos="284"/>
        </w:tabs>
        <w:ind w:left="266" w:hanging="266"/>
        <w:rPr>
          <w:b/>
        </w:rPr>
      </w:pPr>
      <w:r>
        <w:rPr>
          <w:b/>
        </w:rPr>
        <w:t>Keskeiset kohdat</w:t>
      </w:r>
    </w:p>
    <w:p w14:paraId="65E0282C" w14:textId="77777777" w:rsidR="00B2734D" w:rsidRDefault="00B2734D" w:rsidP="00D95E0E">
      <w:pPr>
        <w:keepNext/>
        <w:keepLines/>
        <w:tabs>
          <w:tab w:val="center" w:pos="284"/>
        </w:tabs>
        <w:ind w:left="266" w:hanging="266"/>
        <w:rPr>
          <w:b/>
        </w:rPr>
      </w:pPr>
    </w:p>
    <w:p w14:paraId="63721E29" w14:textId="77777777" w:rsidR="00B2734D" w:rsidRDefault="00B2734D" w:rsidP="00D95E0E">
      <w:pPr>
        <w:rPr>
          <w:bCs/>
          <w:iCs/>
        </w:rPr>
      </w:pPr>
      <w:r>
        <w:t>ETSK</w:t>
      </w:r>
    </w:p>
    <w:p w14:paraId="2BFC069A" w14:textId="77777777" w:rsidR="00B2734D" w:rsidRDefault="00B2734D" w:rsidP="00D95E0E">
      <w:pPr>
        <w:pStyle w:val="Heading2"/>
        <w:numPr>
          <w:ilvl w:val="0"/>
          <w:numId w:val="44"/>
        </w:numPr>
        <w:overflowPunct w:val="0"/>
        <w:autoSpaceDE w:val="0"/>
        <w:autoSpaceDN w:val="0"/>
        <w:adjustRightInd w:val="0"/>
        <w:ind w:left="426"/>
        <w:rPr>
          <w:szCs w:val="20"/>
        </w:rPr>
      </w:pPr>
      <w:bookmarkStart w:id="70" w:name="_Toc210812744"/>
      <w:r>
        <w:t>painottaa, että EU:ssa tarvitaan monialaista elintarvikepolitiikkaa, jossa luonnonmukainen maatalous ja laatujärjestelmät sisällytetään ympäristö-, terveys- ja ilmastoalan ja maaseudun kehittämisen strategioihin.</w:t>
      </w:r>
      <w:bookmarkEnd w:id="70"/>
    </w:p>
    <w:p w14:paraId="7E961783" w14:textId="77777777" w:rsidR="00B2734D" w:rsidRDefault="00B2734D" w:rsidP="00D95E0E">
      <w:pPr>
        <w:pStyle w:val="Heading2"/>
        <w:numPr>
          <w:ilvl w:val="0"/>
          <w:numId w:val="44"/>
        </w:numPr>
        <w:overflowPunct w:val="0"/>
        <w:autoSpaceDE w:val="0"/>
        <w:autoSpaceDN w:val="0"/>
        <w:adjustRightInd w:val="0"/>
        <w:ind w:left="426"/>
      </w:pPr>
      <w:bookmarkStart w:id="71" w:name="_Toc210812745"/>
      <w:r>
        <w:t>katsoo, että alan kestävän kehityksen tukemiseksi tarvitaan yhdennettyjä toimenpiteitä, joihin kuuluvat muun muassa alennettu alv, laadukkaiden tuotteiden julkiset hankinnat, neuvontapalvelut ja innovointi.</w:t>
      </w:r>
      <w:bookmarkEnd w:id="71"/>
    </w:p>
    <w:p w14:paraId="5F10E710" w14:textId="77777777" w:rsidR="00B2734D" w:rsidRDefault="00B2734D" w:rsidP="00D95E0E">
      <w:pPr>
        <w:pStyle w:val="Heading2"/>
        <w:numPr>
          <w:ilvl w:val="0"/>
          <w:numId w:val="44"/>
        </w:numPr>
        <w:overflowPunct w:val="0"/>
        <w:autoSpaceDE w:val="0"/>
        <w:autoSpaceDN w:val="0"/>
        <w:adjustRightInd w:val="0"/>
        <w:ind w:left="426"/>
      </w:pPr>
      <w:bookmarkStart w:id="72" w:name="_Toc210812746"/>
      <w:r>
        <w:t>toteaa, että on erittäin tärkeää vahvistaa valvontajärjestelmiä, yhdenmukaistaa vastaavuusstandardeja ja huolehtia digitaalisesta jäljitettävyydestä erityisesti tuonnissa.</w:t>
      </w:r>
      <w:bookmarkEnd w:id="72"/>
    </w:p>
    <w:p w14:paraId="267D2F00" w14:textId="77777777" w:rsidR="00B2734D" w:rsidRDefault="00B2734D" w:rsidP="00D95E0E">
      <w:pPr>
        <w:pStyle w:val="Heading2"/>
        <w:numPr>
          <w:ilvl w:val="0"/>
          <w:numId w:val="44"/>
        </w:numPr>
        <w:overflowPunct w:val="0"/>
        <w:autoSpaceDE w:val="0"/>
        <w:autoSpaceDN w:val="0"/>
        <w:adjustRightInd w:val="0"/>
        <w:ind w:left="426"/>
      </w:pPr>
      <w:bookmarkStart w:id="73" w:name="_Toc210812747"/>
      <w:r>
        <w:t>korostaa, että yhdennettyihin menekinedistämiskampanjoihin olisi sisällytettävä kansallisten erityisvirastojen tuella elintarvikekasvatus, kestävä matkailu ja alueellinen brändäys.</w:t>
      </w:r>
      <w:bookmarkEnd w:id="73"/>
    </w:p>
    <w:p w14:paraId="2B80D2D7" w14:textId="77777777" w:rsidR="00B2734D" w:rsidRDefault="00B2734D" w:rsidP="00D95E0E">
      <w:pPr>
        <w:pStyle w:val="Heading2"/>
        <w:numPr>
          <w:ilvl w:val="0"/>
          <w:numId w:val="44"/>
        </w:numPr>
        <w:overflowPunct w:val="0"/>
        <w:autoSpaceDE w:val="0"/>
        <w:autoSpaceDN w:val="0"/>
        <w:adjustRightInd w:val="0"/>
        <w:ind w:left="426"/>
      </w:pPr>
      <w:bookmarkStart w:id="74" w:name="_Toc210812748"/>
      <w:r>
        <w:t>pitää suositeltavana laatia EU:n strategia, jossa asetetaan vähimmäistavoitteet (esim. laadukkaiden tuotteiden osuus 25 prosenttia kouluissa, sairaaloissa, julkisissa laitoksissa jne.) ja johon sisältyy kaupallisia kumppanuuksia ja temaattisia kampanjoita.</w:t>
      </w:r>
      <w:bookmarkEnd w:id="74"/>
    </w:p>
    <w:p w14:paraId="082552A8" w14:textId="77777777" w:rsidR="00B2734D" w:rsidRDefault="00B2734D" w:rsidP="00D95E0E">
      <w:pPr>
        <w:pStyle w:val="Heading2"/>
        <w:numPr>
          <w:ilvl w:val="0"/>
          <w:numId w:val="44"/>
        </w:numPr>
        <w:overflowPunct w:val="0"/>
        <w:autoSpaceDE w:val="0"/>
        <w:autoSpaceDN w:val="0"/>
        <w:adjustRightInd w:val="0"/>
        <w:ind w:left="426"/>
      </w:pPr>
      <w:bookmarkStart w:id="75" w:name="_Toc210812749"/>
      <w:r>
        <w:t>kehottaa Euroopan komissiota kehittämään yhdenmukaistetun verotusratkaisun, jota voidaan soveltaa kaikissa jäsenvaltioissa ja joka mahdollistaa alennetut alv-kannat laadukkaille tuotteille, jotta voitaisiin parantaa kuluttajatuotteiden saatavuutta, edistää kysyntää ja tukea siirtymistä kestävään elintarvikejärjestelmään.</w:t>
      </w:r>
      <w:bookmarkEnd w:id="75"/>
    </w:p>
    <w:p w14:paraId="1AE0B4A0" w14:textId="77777777" w:rsidR="00B2734D" w:rsidRDefault="00B2734D" w:rsidP="00D95E0E">
      <w:pPr>
        <w:pStyle w:val="Heading2"/>
        <w:numPr>
          <w:ilvl w:val="0"/>
          <w:numId w:val="44"/>
        </w:numPr>
        <w:overflowPunct w:val="0"/>
        <w:autoSpaceDE w:val="0"/>
        <w:autoSpaceDN w:val="0"/>
        <w:adjustRightInd w:val="0"/>
        <w:ind w:left="426"/>
      </w:pPr>
      <w:bookmarkStart w:id="76" w:name="_Toc210812750"/>
      <w:r>
        <w:t>kannattaa nuorille viljelijöille, naisille, pienille perhetiloille ja ekologista siirtymää toteuttaville tiloille tarkoitettujen yhteisen maatalouspolitiikan toimenpiteiden täytäntöönpanoa ja suosittaa, että ehdokasmaissa tällaista tukea annetaan liittymistä valmistelevan tuen välineistä.</w:t>
      </w:r>
      <w:bookmarkEnd w:id="76"/>
    </w:p>
    <w:p w14:paraId="397E1D71" w14:textId="77777777" w:rsidR="00B2734D" w:rsidRDefault="00B2734D" w:rsidP="00D95E0E">
      <w:pPr>
        <w:pStyle w:val="Heading2"/>
        <w:numPr>
          <w:ilvl w:val="0"/>
          <w:numId w:val="44"/>
        </w:numPr>
        <w:overflowPunct w:val="0"/>
        <w:autoSpaceDE w:val="0"/>
        <w:autoSpaceDN w:val="0"/>
        <w:adjustRightInd w:val="0"/>
        <w:ind w:left="426"/>
      </w:pPr>
      <w:bookmarkStart w:id="77" w:name="_Toc210812751"/>
      <w:r>
        <w:t>katsoo, että sertifiointimenettelyt, mukaan lukien ryhmäsertifiointi tai digitaaliset mallit, olisi yhdenmukaistettava ja mukautettava pientuottajille sopiviksi.</w:t>
      </w:r>
      <w:bookmarkEnd w:id="77"/>
    </w:p>
    <w:p w14:paraId="363C3E2F" w14:textId="77777777" w:rsidR="00B2734D" w:rsidRDefault="00B2734D" w:rsidP="00D95E0E">
      <w:pPr>
        <w:pStyle w:val="Heading2"/>
        <w:numPr>
          <w:ilvl w:val="0"/>
          <w:numId w:val="44"/>
        </w:numPr>
        <w:overflowPunct w:val="0"/>
        <w:autoSpaceDE w:val="0"/>
        <w:autoSpaceDN w:val="0"/>
        <w:adjustRightInd w:val="0"/>
        <w:ind w:left="426"/>
      </w:pPr>
      <w:bookmarkStart w:id="78" w:name="_Toc210812752"/>
      <w:r>
        <w:t>suosittaa, että säännellään esimerkiksi sellaisia ilmaisuja kuin ”luonnollinen” ja ”perinteinen” ja määrätään seuraamuksia maantieteellisten tunnusten harhaanjohtavasta käytöstä erityisesti jalostetuissa tuotteissa.</w:t>
      </w:r>
      <w:bookmarkEnd w:id="78"/>
    </w:p>
    <w:p w14:paraId="402A6B83" w14:textId="77777777" w:rsidR="00B2734D" w:rsidRDefault="00B2734D" w:rsidP="00D95E0E">
      <w:pPr>
        <w:pStyle w:val="Heading2"/>
        <w:numPr>
          <w:ilvl w:val="0"/>
          <w:numId w:val="44"/>
        </w:numPr>
        <w:overflowPunct w:val="0"/>
        <w:autoSpaceDE w:val="0"/>
        <w:autoSpaceDN w:val="0"/>
        <w:adjustRightInd w:val="0"/>
        <w:ind w:left="426"/>
      </w:pPr>
      <w:bookmarkStart w:id="79" w:name="_Toc210812753"/>
      <w:r>
        <w:t xml:space="preserve">katsoo, että maailmankaupassa on tunnustettava ja suojattava EU:n laatuvaatimukset ja </w:t>
      </w:r>
      <w:r>
        <w:noBreakHyphen/>
        <w:t>merkinnät, jolloin voidaan edistää oikeudenmukaista ja kestävää elintarvikemallia.</w:t>
      </w:r>
      <w:bookmarkEnd w:id="79"/>
    </w:p>
    <w:p w14:paraId="366B63A5" w14:textId="77777777" w:rsidR="00B2734D" w:rsidRDefault="00B2734D" w:rsidP="00D95E0E">
      <w:pPr>
        <w:ind w:left="426"/>
      </w:pPr>
    </w:p>
    <w:tbl>
      <w:tblPr>
        <w:tblW w:w="5000" w:type="pct"/>
        <w:tblLook w:val="04A0" w:firstRow="1" w:lastRow="0" w:firstColumn="1" w:lastColumn="0" w:noHBand="0" w:noVBand="1"/>
      </w:tblPr>
      <w:tblGrid>
        <w:gridCol w:w="1954"/>
        <w:gridCol w:w="7119"/>
      </w:tblGrid>
      <w:tr w:rsidR="00B2734D" w14:paraId="0B4078B1" w14:textId="77777777" w:rsidTr="00B2734D">
        <w:tc>
          <w:tcPr>
            <w:tcW w:w="1077" w:type="pct"/>
            <w:hideMark/>
          </w:tcPr>
          <w:p w14:paraId="50DA8FBA" w14:textId="77777777" w:rsidR="00B2734D" w:rsidRDefault="00B2734D" w:rsidP="00D95E0E">
            <w:pPr>
              <w:rPr>
                <w:i/>
              </w:rPr>
            </w:pPr>
            <w:r>
              <w:rPr>
                <w:b/>
                <w:i/>
              </w:rPr>
              <w:t>Yhteydenotot</w:t>
            </w:r>
          </w:p>
        </w:tc>
        <w:tc>
          <w:tcPr>
            <w:tcW w:w="3923" w:type="pct"/>
            <w:hideMark/>
          </w:tcPr>
          <w:p w14:paraId="6BC8A3CA" w14:textId="58D3BBE5" w:rsidR="00B2734D" w:rsidRDefault="00B2734D" w:rsidP="00D95E0E">
            <w:pPr>
              <w:rPr>
                <w:i/>
              </w:rPr>
            </w:pPr>
            <w:proofErr w:type="spellStart"/>
            <w:r>
              <w:rPr>
                <w:i/>
              </w:rPr>
              <w:t>Myrto</w:t>
            </w:r>
            <w:proofErr w:type="spellEnd"/>
            <w:r>
              <w:rPr>
                <w:i/>
              </w:rPr>
              <w:t xml:space="preserve"> </w:t>
            </w:r>
            <w:proofErr w:type="spellStart"/>
            <w:r w:rsidR="00B959E2" w:rsidRPr="00B959E2">
              <w:rPr>
                <w:i/>
              </w:rPr>
              <w:t>Kolyva</w:t>
            </w:r>
            <w:proofErr w:type="spellEnd"/>
          </w:p>
        </w:tc>
      </w:tr>
      <w:tr w:rsidR="00B2734D" w14:paraId="6A2CF9E0" w14:textId="77777777" w:rsidTr="00B2734D">
        <w:tc>
          <w:tcPr>
            <w:tcW w:w="1077" w:type="pct"/>
            <w:hideMark/>
          </w:tcPr>
          <w:p w14:paraId="4362DEF7" w14:textId="77777777" w:rsidR="00B2734D" w:rsidRDefault="00B2734D" w:rsidP="00D95E0E">
            <w:pPr>
              <w:rPr>
                <w:i/>
              </w:rPr>
            </w:pPr>
            <w:r>
              <w:rPr>
                <w:i/>
              </w:rPr>
              <w:t>P.</w:t>
            </w:r>
          </w:p>
        </w:tc>
        <w:tc>
          <w:tcPr>
            <w:tcW w:w="3923" w:type="pct"/>
            <w:hideMark/>
          </w:tcPr>
          <w:p w14:paraId="43107A34" w14:textId="77777777" w:rsidR="00B2734D" w:rsidRDefault="00B2734D" w:rsidP="00D95E0E">
            <w:pPr>
              <w:rPr>
                <w:i/>
              </w:rPr>
            </w:pPr>
            <w:r>
              <w:rPr>
                <w:i/>
              </w:rPr>
              <w:t>+32 25468718</w:t>
            </w:r>
          </w:p>
        </w:tc>
      </w:tr>
      <w:tr w:rsidR="00B2734D" w14:paraId="34764DC5" w14:textId="77777777" w:rsidTr="00B2734D">
        <w:tc>
          <w:tcPr>
            <w:tcW w:w="1077" w:type="pct"/>
            <w:hideMark/>
          </w:tcPr>
          <w:p w14:paraId="5A7AF02C" w14:textId="77777777" w:rsidR="00B2734D" w:rsidRDefault="00B2734D" w:rsidP="00D95E0E">
            <w:pPr>
              <w:rPr>
                <w:i/>
              </w:rPr>
            </w:pPr>
            <w:r>
              <w:rPr>
                <w:i/>
              </w:rPr>
              <w:t>Sähköposti</w:t>
            </w:r>
          </w:p>
        </w:tc>
        <w:tc>
          <w:tcPr>
            <w:tcW w:w="3923" w:type="pct"/>
            <w:hideMark/>
          </w:tcPr>
          <w:p w14:paraId="395CB41B" w14:textId="77777777" w:rsidR="00B2734D" w:rsidRDefault="0061775F" w:rsidP="00D95E0E">
            <w:pPr>
              <w:rPr>
                <w:i/>
              </w:rPr>
            </w:pPr>
            <w:hyperlink r:id="rId81" w:history="1">
              <w:r w:rsidR="00B2734D">
                <w:rPr>
                  <w:rStyle w:val="Hyperlink"/>
                  <w:i/>
                </w:rPr>
                <w:t>Myrto.Kolyva@eesc.europa.eu</w:t>
              </w:r>
            </w:hyperlink>
          </w:p>
        </w:tc>
      </w:tr>
    </w:tbl>
    <w:p w14:paraId="6B75A8E4" w14:textId="3E722A8F" w:rsidR="00906DDB" w:rsidRDefault="00906DDB" w:rsidP="00D95E0E">
      <w:pPr>
        <w:jc w:val="left"/>
      </w:pPr>
    </w:p>
    <w:p w14:paraId="3CD78A50" w14:textId="77777777" w:rsidR="00906DDB" w:rsidRDefault="00906DDB" w:rsidP="00D95E0E">
      <w:pPr>
        <w:jc w:val="left"/>
      </w:pPr>
      <w:r>
        <w:br w:type="page"/>
      </w:r>
    </w:p>
    <w:p w14:paraId="4383E783" w14:textId="1878792D" w:rsidR="00906DDB" w:rsidRDefault="0061775F" w:rsidP="00D95E0E">
      <w:pPr>
        <w:numPr>
          <w:ilvl w:val="0"/>
          <w:numId w:val="8"/>
        </w:numPr>
        <w:overflowPunct w:val="0"/>
        <w:autoSpaceDE w:val="0"/>
        <w:autoSpaceDN w:val="0"/>
        <w:adjustRightInd w:val="0"/>
        <w:ind w:left="567" w:hanging="567"/>
        <w:rPr>
          <w:sz w:val="20"/>
        </w:rPr>
      </w:pPr>
      <w:hyperlink r:id="rId82" w:history="1">
        <w:r w:rsidR="00906DDB">
          <w:rPr>
            <w:rStyle w:val="Hyperlink"/>
            <w:b/>
            <w:i/>
            <w:sz w:val="28"/>
          </w:rPr>
          <w:t>YMP:n yksinkertaistamispaketti</w:t>
        </w:r>
      </w:hyperlink>
    </w:p>
    <w:p w14:paraId="3655636F" w14:textId="77777777" w:rsidR="00906DDB" w:rsidRDefault="00906DDB" w:rsidP="00D95E0E">
      <w:pPr>
        <w:tabs>
          <w:tab w:val="center" w:pos="284"/>
        </w:tabs>
        <w:ind w:left="266" w:hanging="266"/>
        <w:rPr>
          <w:b/>
        </w:rPr>
      </w:pPr>
    </w:p>
    <w:tbl>
      <w:tblPr>
        <w:tblW w:w="5000" w:type="pct"/>
        <w:tblLook w:val="04A0" w:firstRow="1" w:lastRow="0" w:firstColumn="1" w:lastColumn="0" w:noHBand="0" w:noVBand="1"/>
      </w:tblPr>
      <w:tblGrid>
        <w:gridCol w:w="1954"/>
        <w:gridCol w:w="7119"/>
      </w:tblGrid>
      <w:tr w:rsidR="00906DDB" w14:paraId="2E9BA3A4" w14:textId="77777777" w:rsidTr="00906DDB">
        <w:tc>
          <w:tcPr>
            <w:tcW w:w="1077" w:type="pct"/>
            <w:hideMark/>
          </w:tcPr>
          <w:p w14:paraId="04D460CF" w14:textId="77777777" w:rsidR="00906DDB" w:rsidRDefault="00906DDB" w:rsidP="00D95E0E">
            <w:pPr>
              <w:tabs>
                <w:tab w:val="center" w:pos="284"/>
              </w:tabs>
              <w:ind w:left="266" w:hanging="266"/>
              <w:rPr>
                <w:b/>
              </w:rPr>
            </w:pPr>
            <w:r>
              <w:rPr>
                <w:b/>
              </w:rPr>
              <w:t>Esittelijä</w:t>
            </w:r>
          </w:p>
        </w:tc>
        <w:tc>
          <w:tcPr>
            <w:tcW w:w="3923" w:type="pct"/>
            <w:hideMark/>
          </w:tcPr>
          <w:p w14:paraId="6292A39D" w14:textId="0245CAA7" w:rsidR="00906DDB" w:rsidRDefault="00906DDB" w:rsidP="00D95E0E">
            <w:pPr>
              <w:tabs>
                <w:tab w:val="center" w:pos="284"/>
              </w:tabs>
              <w:ind w:left="266" w:right="-3091" w:hanging="266"/>
            </w:pPr>
            <w:r>
              <w:t xml:space="preserve">John </w:t>
            </w:r>
            <w:r w:rsidR="00257C62">
              <w:t xml:space="preserve">COMER </w:t>
            </w:r>
            <w:r>
              <w:t>(kansalaisyhteiskunnan organisaatiot – IE)</w:t>
            </w:r>
          </w:p>
        </w:tc>
      </w:tr>
      <w:tr w:rsidR="00906DDB" w14:paraId="014B62D0" w14:textId="77777777" w:rsidTr="00906DDB">
        <w:tc>
          <w:tcPr>
            <w:tcW w:w="1077" w:type="pct"/>
            <w:hideMark/>
          </w:tcPr>
          <w:p w14:paraId="23E189BF" w14:textId="77777777" w:rsidR="00906DDB" w:rsidRDefault="00906DDB" w:rsidP="00D95E0E">
            <w:pPr>
              <w:tabs>
                <w:tab w:val="center" w:pos="284"/>
              </w:tabs>
              <w:ind w:left="266" w:hanging="266"/>
              <w:rPr>
                <w:b/>
              </w:rPr>
            </w:pPr>
            <w:r>
              <w:rPr>
                <w:b/>
              </w:rPr>
              <w:t>Yhteisesittelijä</w:t>
            </w:r>
          </w:p>
        </w:tc>
        <w:tc>
          <w:tcPr>
            <w:tcW w:w="3923" w:type="pct"/>
            <w:hideMark/>
          </w:tcPr>
          <w:p w14:paraId="1E6E1C96" w14:textId="589CF912" w:rsidR="00906DDB" w:rsidRDefault="00906DDB" w:rsidP="00D95E0E">
            <w:pPr>
              <w:tabs>
                <w:tab w:val="center" w:pos="284"/>
              </w:tabs>
              <w:ind w:left="266" w:right="-3091" w:hanging="266"/>
            </w:pPr>
            <w:r>
              <w:t xml:space="preserve">Arnold </w:t>
            </w:r>
            <w:r w:rsidR="00257C62">
              <w:t xml:space="preserve">PUECH D’ALISSAC </w:t>
            </w:r>
            <w:r>
              <w:t>(työnantajat – FR)</w:t>
            </w:r>
          </w:p>
        </w:tc>
      </w:tr>
      <w:tr w:rsidR="00906DDB" w14:paraId="0784C0D7" w14:textId="77777777" w:rsidTr="00906DDB">
        <w:tc>
          <w:tcPr>
            <w:tcW w:w="1077" w:type="pct"/>
            <w:hideMark/>
          </w:tcPr>
          <w:p w14:paraId="441A8181" w14:textId="77777777" w:rsidR="00906DDB" w:rsidRDefault="00906DDB" w:rsidP="00D95E0E">
            <w:pPr>
              <w:tabs>
                <w:tab w:val="center" w:pos="284"/>
              </w:tabs>
              <w:ind w:left="266" w:hanging="266"/>
              <w:rPr>
                <w:b/>
              </w:rPr>
            </w:pPr>
            <w:r>
              <w:rPr>
                <w:b/>
              </w:rPr>
              <w:t>Viiteasiakirja</w:t>
            </w:r>
          </w:p>
        </w:tc>
        <w:tc>
          <w:tcPr>
            <w:tcW w:w="3923" w:type="pct"/>
            <w:hideMark/>
          </w:tcPr>
          <w:p w14:paraId="31EA2294" w14:textId="77777777" w:rsidR="00257C62" w:rsidRDefault="00257C62" w:rsidP="00D95E0E">
            <w:pPr>
              <w:tabs>
                <w:tab w:val="center" w:pos="284"/>
              </w:tabs>
              <w:ind w:left="266" w:right="-3091" w:hanging="266"/>
            </w:pPr>
            <w:r>
              <w:rPr>
                <w:lang w:val="en-GB"/>
              </w:rPr>
              <w:t>COM(2025) 236 final</w:t>
            </w:r>
            <w:r>
              <w:t xml:space="preserve"> </w:t>
            </w:r>
          </w:p>
          <w:p w14:paraId="47E717B1" w14:textId="69886DD3" w:rsidR="00906DDB" w:rsidRDefault="00906DDB" w:rsidP="00D95E0E">
            <w:pPr>
              <w:tabs>
                <w:tab w:val="center" w:pos="284"/>
              </w:tabs>
              <w:ind w:left="266" w:right="-3091" w:hanging="266"/>
            </w:pPr>
            <w:r>
              <w:t>EESC-2025-01558-00-00-AC</w:t>
            </w:r>
          </w:p>
        </w:tc>
      </w:tr>
    </w:tbl>
    <w:p w14:paraId="0AE69BED" w14:textId="77777777" w:rsidR="00906DDB" w:rsidRDefault="00906DDB" w:rsidP="00D95E0E">
      <w:pPr>
        <w:tabs>
          <w:tab w:val="center" w:pos="284"/>
        </w:tabs>
        <w:ind w:left="266" w:hanging="266"/>
        <w:rPr>
          <w:b/>
        </w:rPr>
      </w:pPr>
    </w:p>
    <w:p w14:paraId="4BF87FD4" w14:textId="77777777" w:rsidR="00906DDB" w:rsidRDefault="00906DDB" w:rsidP="00D95E0E">
      <w:pPr>
        <w:keepNext/>
        <w:keepLines/>
        <w:tabs>
          <w:tab w:val="center" w:pos="284"/>
        </w:tabs>
        <w:ind w:left="266" w:hanging="266"/>
        <w:rPr>
          <w:b/>
        </w:rPr>
      </w:pPr>
      <w:r>
        <w:rPr>
          <w:b/>
        </w:rPr>
        <w:t>Keskeiset kohdat</w:t>
      </w:r>
    </w:p>
    <w:p w14:paraId="174CD2B7" w14:textId="77777777" w:rsidR="00906DDB" w:rsidRDefault="00906DDB" w:rsidP="00D95E0E">
      <w:pPr>
        <w:keepNext/>
        <w:keepLines/>
        <w:tabs>
          <w:tab w:val="center" w:pos="284"/>
        </w:tabs>
        <w:ind w:left="266" w:hanging="266"/>
        <w:rPr>
          <w:b/>
        </w:rPr>
      </w:pPr>
    </w:p>
    <w:p w14:paraId="793C8321" w14:textId="77777777" w:rsidR="00906DDB" w:rsidRDefault="00906DDB" w:rsidP="00D95E0E">
      <w:pPr>
        <w:rPr>
          <w:szCs w:val="20"/>
        </w:rPr>
      </w:pPr>
      <w:r>
        <w:t>ETSK</w:t>
      </w:r>
    </w:p>
    <w:p w14:paraId="217F8239" w14:textId="77777777" w:rsidR="00906DDB" w:rsidRDefault="00906DDB" w:rsidP="00D95E0E">
      <w:pPr>
        <w:numPr>
          <w:ilvl w:val="0"/>
          <w:numId w:val="45"/>
        </w:numPr>
        <w:overflowPunct w:val="0"/>
        <w:autoSpaceDE w:val="0"/>
        <w:autoSpaceDN w:val="0"/>
        <w:adjustRightInd w:val="0"/>
        <w:ind w:left="426"/>
      </w:pPr>
      <w:r>
        <w:t>katsoo, että digitalisaation edistämisen ja parantamisen olisi oltava keskeisenä strategiana pyrittäessä toteuttamaan YMP:n yksinkertaistamista siten, että mahdollistetaan digitaalisten välineiden käyttö tiedonkeruussa, seurannassa ja maksujen käsittelyssä. Jäsenvaltioiden on edistettävä ja tuettava aktiivisesti viljelijöille tarkoitettua digitaalisten taitojen koulutusta, ja taloudellista tukea taitojen parantamiseen ja koulutukseen olisi annettava tarpeen mukaan.</w:t>
      </w:r>
    </w:p>
    <w:p w14:paraId="33B39AA7" w14:textId="77777777" w:rsidR="00906DDB" w:rsidRDefault="00906DDB" w:rsidP="00D95E0E">
      <w:pPr>
        <w:numPr>
          <w:ilvl w:val="0"/>
          <w:numId w:val="45"/>
        </w:numPr>
        <w:overflowPunct w:val="0"/>
        <w:autoSpaceDE w:val="0"/>
        <w:autoSpaceDN w:val="0"/>
        <w:adjustRightInd w:val="0"/>
        <w:ind w:left="426"/>
      </w:pPr>
      <w:r>
        <w:t>suosittaa, että kuhunkin YMP:n strategiasuunnitelmaan sisällytetään erillinen suunnitelma tukien hakemisesta aiheutuvan hallinnollisen taakan keventämiseksi siten, että tiivistetään hakemuslomakkeita, käytetään yleisesti esitäytettyjä lomakkeita ja hyödynnetään uusinta digitaaliteknologiaa asiaankuuluvien tietojen saamiseksi.</w:t>
      </w:r>
    </w:p>
    <w:p w14:paraId="0C40B942" w14:textId="77777777" w:rsidR="00906DDB" w:rsidRDefault="00906DDB" w:rsidP="00D95E0E">
      <w:pPr>
        <w:numPr>
          <w:ilvl w:val="0"/>
          <w:numId w:val="45"/>
        </w:numPr>
        <w:overflowPunct w:val="0"/>
        <w:autoSpaceDE w:val="0"/>
        <w:autoSpaceDN w:val="0"/>
        <w:adjustRightInd w:val="0"/>
        <w:ind w:left="426"/>
      </w:pPr>
      <w:r>
        <w:t>ehdottaa, että uusille viljelijöille, jotka aloittavat tilanpidon ensimmäistä kertaa tilan pääasiallisena yrittäjänä, myönnettäisiin samat ehdot ja edellytykset kuin nuorille viljelijöille EU:n lainsäädännön vaatimusten täyttämiseksi tehtävissä investoinneissa edellyttäen, että he ovat aktiiviviljelijöitä.</w:t>
      </w:r>
    </w:p>
    <w:p w14:paraId="2A0FE27C" w14:textId="77777777" w:rsidR="00906DDB" w:rsidRDefault="00906DDB" w:rsidP="00D95E0E">
      <w:pPr>
        <w:numPr>
          <w:ilvl w:val="0"/>
          <w:numId w:val="45"/>
        </w:numPr>
        <w:overflowPunct w:val="0"/>
        <w:autoSpaceDE w:val="0"/>
        <w:autoSpaceDN w:val="0"/>
        <w:adjustRightInd w:val="0"/>
        <w:ind w:left="426"/>
      </w:pPr>
      <w:r>
        <w:t xml:space="preserve">ehdottaa, että jos maatalousyrityksessä, tilalla tai samalla tilalla toimivassa viljelijöiden ryhmässä on eri vuosina vähintään kaksi nuorta viljelijää, sen tulisi voida saada nuorten viljelijöiden täydentävää tulotukea yli viiden vuoden ajan. </w:t>
      </w:r>
    </w:p>
    <w:p w14:paraId="3E7069CB" w14:textId="77777777" w:rsidR="00906DDB" w:rsidRDefault="00906DDB" w:rsidP="00D95E0E">
      <w:pPr>
        <w:numPr>
          <w:ilvl w:val="0"/>
          <w:numId w:val="45"/>
        </w:numPr>
        <w:overflowPunct w:val="0"/>
        <w:autoSpaceDE w:val="0"/>
        <w:autoSpaceDN w:val="0"/>
        <w:adjustRightInd w:val="0"/>
        <w:ind w:left="426"/>
      </w:pPr>
      <w:r>
        <w:t>ehdottaa, että pienviljelijöiden vuotuinen tuki on enintään 5 000 euroa (indeksiin sidottuna), jos jäsenvaltiot myöntävät pienviljelijöille tukea kertakorvauksena tai suorat tuet korvaavina hehtaarikohtaisina määrinä, ja että paikalla tehtävien viljelytarkastusten määrää vähennetään merkittävästi lisäämällä nykyaikaisen teknologian käyttöä.</w:t>
      </w:r>
    </w:p>
    <w:p w14:paraId="799753CE" w14:textId="77777777" w:rsidR="00906DDB" w:rsidRDefault="00906DDB" w:rsidP="00D95E0E">
      <w:pPr>
        <w:numPr>
          <w:ilvl w:val="0"/>
          <w:numId w:val="45"/>
        </w:numPr>
        <w:overflowPunct w:val="0"/>
        <w:autoSpaceDE w:val="0"/>
        <w:autoSpaceDN w:val="0"/>
        <w:adjustRightInd w:val="0"/>
        <w:ind w:left="426"/>
      </w:pPr>
      <w:r>
        <w:t>suosittaa, että jäsenvaltiot voisivat antaa mahdollisuuden tukihakemusten ja maksupyyntöjen oikaisemiseen niiden toimittamisen jälkeen ilman, että tämä vaikuttaa oikeuteen saada tukea, edellyttäen että oikaistavat virheet on tehty vilpittömässä mielessä ja että oikaisu tehdään joko ennen kuin hakijalle ilmoitetaan, että hänet on valittu paikalla tehtävään tarkastukseen, tai ennen kuin toimivaltainen viranomainen on tehnyt päätöksensä.</w:t>
      </w:r>
    </w:p>
    <w:p w14:paraId="3D76F57B" w14:textId="77777777" w:rsidR="00906DDB" w:rsidRDefault="00906DDB" w:rsidP="00D95E0E">
      <w:pPr>
        <w:numPr>
          <w:ilvl w:val="0"/>
          <w:numId w:val="45"/>
        </w:numPr>
        <w:overflowPunct w:val="0"/>
        <w:autoSpaceDE w:val="0"/>
        <w:autoSpaceDN w:val="0"/>
        <w:adjustRightInd w:val="0"/>
        <w:ind w:left="426"/>
      </w:pPr>
      <w:r>
        <w:t>katsoo, että viljelijöitä, jotka eivät ole odottamattomien olosuhteiden vuoksi voineet osallistua riskinhallintavälinejärjestelmään, ei pitäisi syrjiä maksamalla alhaisempaa tukea.</w:t>
      </w:r>
    </w:p>
    <w:p w14:paraId="17B43C0A" w14:textId="77777777" w:rsidR="00906DDB" w:rsidRDefault="00906DDB" w:rsidP="00D95E0E">
      <w:pPr>
        <w:numPr>
          <w:ilvl w:val="0"/>
          <w:numId w:val="45"/>
        </w:numPr>
        <w:overflowPunct w:val="0"/>
        <w:autoSpaceDE w:val="0"/>
        <w:autoSpaceDN w:val="0"/>
        <w:adjustRightInd w:val="0"/>
        <w:ind w:left="426"/>
      </w:pPr>
      <w:r>
        <w:t>ehdottaa, että poikkeuksellisissa olosuhteissa komissio myöntää yhdessä jäsenvaltion kanssa ylimääräistä hätärahoitusta. Kriisituet eivät saa pienentää perustulotukien määrärahoja.</w:t>
      </w:r>
    </w:p>
    <w:p w14:paraId="787002A1" w14:textId="77777777" w:rsidR="00906DDB" w:rsidRDefault="00906DDB" w:rsidP="00D95E0E">
      <w:pPr>
        <w:numPr>
          <w:ilvl w:val="0"/>
          <w:numId w:val="45"/>
        </w:numPr>
        <w:overflowPunct w:val="0"/>
        <w:autoSpaceDE w:val="0"/>
        <w:autoSpaceDN w:val="0"/>
        <w:adjustRightInd w:val="0"/>
        <w:ind w:left="426"/>
        <w:rPr>
          <w:szCs w:val="20"/>
        </w:rPr>
      </w:pPr>
      <w:r>
        <w:t>katsoo, että jäsenvaltioilla olisi oltava harkintavalta soveltaa pakollisten vaatimusten aiheuttamiin aluekohtaisiin rajoitteisiin hehtaarikohtaisten tukien sijasta vaihtoehtoista tukijärjestelmää, jos se katsotaan paikallisiin olosuhteisiin soveltuvaksi.</w:t>
      </w:r>
    </w:p>
    <w:p w14:paraId="7C21C0C3" w14:textId="77777777" w:rsidR="00906DDB" w:rsidRDefault="00906DDB" w:rsidP="00D95E0E">
      <w:pPr>
        <w:numPr>
          <w:ilvl w:val="0"/>
          <w:numId w:val="45"/>
        </w:numPr>
        <w:overflowPunct w:val="0"/>
        <w:autoSpaceDE w:val="0"/>
        <w:autoSpaceDN w:val="0"/>
        <w:adjustRightInd w:val="0"/>
        <w:ind w:left="426"/>
      </w:pPr>
      <w:r>
        <w:t>ehdottaa, että GAEC-vaatimukset arvioidaan ja tarkistetaan kattavasti, jotta ne ovat viljelijöiden edun mukaisia ja tukevat elintarviketurvaa EU:ssa helpottamalla laadukkaiden elintarvikkeiden tuotantoa hyvien ympäristökäytäntöjen mukaisesti.</w:t>
      </w:r>
    </w:p>
    <w:p w14:paraId="35ECF6CC" w14:textId="77777777" w:rsidR="00906DDB" w:rsidRDefault="00906DDB" w:rsidP="00D95E0E">
      <w:pPr>
        <w:numPr>
          <w:ilvl w:val="0"/>
          <w:numId w:val="45"/>
        </w:numPr>
        <w:overflowPunct w:val="0"/>
        <w:autoSpaceDE w:val="0"/>
        <w:autoSpaceDN w:val="0"/>
        <w:adjustRightInd w:val="0"/>
        <w:ind w:left="426"/>
      </w:pPr>
      <w:r>
        <w:lastRenderedPageBreak/>
        <w:t>katsoo, että kasteluun tehtäviin investointeihin myönnettävän tuen ei pitäisi riippua siitä, tulkitseeko kukin jäsenvaltio tai alue vesistön tilan olevan heikompi kuin ”hyvä”. Muiden ekosysteemien tarpeet on otettava huomioon.</w:t>
      </w:r>
    </w:p>
    <w:p w14:paraId="5EC4B09F" w14:textId="77777777" w:rsidR="00906DDB" w:rsidRDefault="00906DDB" w:rsidP="00D95E0E">
      <w:pPr>
        <w:ind w:left="709"/>
      </w:pPr>
    </w:p>
    <w:tbl>
      <w:tblPr>
        <w:tblW w:w="5000" w:type="pct"/>
        <w:tblLook w:val="04A0" w:firstRow="1" w:lastRow="0" w:firstColumn="1" w:lastColumn="0" w:noHBand="0" w:noVBand="1"/>
      </w:tblPr>
      <w:tblGrid>
        <w:gridCol w:w="1954"/>
        <w:gridCol w:w="7119"/>
      </w:tblGrid>
      <w:tr w:rsidR="00906DDB" w14:paraId="6A5220CF" w14:textId="77777777" w:rsidTr="00906DDB">
        <w:tc>
          <w:tcPr>
            <w:tcW w:w="1077" w:type="pct"/>
            <w:hideMark/>
          </w:tcPr>
          <w:p w14:paraId="3AB8ACA9" w14:textId="77777777" w:rsidR="00906DDB" w:rsidRDefault="00906DDB" w:rsidP="00D95E0E">
            <w:pPr>
              <w:rPr>
                <w:i/>
              </w:rPr>
            </w:pPr>
            <w:r>
              <w:rPr>
                <w:b/>
                <w:i/>
              </w:rPr>
              <w:t>Yhteydenotot</w:t>
            </w:r>
          </w:p>
        </w:tc>
        <w:tc>
          <w:tcPr>
            <w:tcW w:w="3923" w:type="pct"/>
            <w:hideMark/>
          </w:tcPr>
          <w:p w14:paraId="59C4B49F" w14:textId="6C38C73D" w:rsidR="00906DDB" w:rsidRDefault="00906DDB" w:rsidP="00D95E0E">
            <w:pPr>
              <w:rPr>
                <w:i/>
                <w:iCs/>
              </w:rPr>
            </w:pPr>
            <w:proofErr w:type="spellStart"/>
            <w:r>
              <w:rPr>
                <w:i/>
              </w:rPr>
              <w:t>Myrto</w:t>
            </w:r>
            <w:proofErr w:type="spellEnd"/>
            <w:r>
              <w:rPr>
                <w:i/>
              </w:rPr>
              <w:t xml:space="preserve"> </w:t>
            </w:r>
            <w:proofErr w:type="spellStart"/>
            <w:r w:rsidR="00B959E2">
              <w:rPr>
                <w:i/>
              </w:rPr>
              <w:t>Kolyva</w:t>
            </w:r>
            <w:proofErr w:type="spellEnd"/>
            <w:r>
              <w:rPr>
                <w:i/>
              </w:rPr>
              <w:t xml:space="preserve">, </w:t>
            </w:r>
            <w:proofErr w:type="spellStart"/>
            <w:r>
              <w:rPr>
                <w:i/>
              </w:rPr>
              <w:t>Arturo</w:t>
            </w:r>
            <w:proofErr w:type="spellEnd"/>
            <w:r>
              <w:rPr>
                <w:i/>
              </w:rPr>
              <w:t xml:space="preserve"> </w:t>
            </w:r>
            <w:proofErr w:type="spellStart"/>
            <w:r w:rsidR="00B959E2">
              <w:rPr>
                <w:i/>
              </w:rPr>
              <w:t>Iniguez</w:t>
            </w:r>
            <w:proofErr w:type="spellEnd"/>
          </w:p>
        </w:tc>
      </w:tr>
      <w:tr w:rsidR="00906DDB" w14:paraId="5EF97CC5" w14:textId="77777777" w:rsidTr="00906DDB">
        <w:tc>
          <w:tcPr>
            <w:tcW w:w="1077" w:type="pct"/>
            <w:hideMark/>
          </w:tcPr>
          <w:p w14:paraId="6BC1985D" w14:textId="77777777" w:rsidR="00906DDB" w:rsidRDefault="00906DDB" w:rsidP="00D95E0E">
            <w:pPr>
              <w:rPr>
                <w:i/>
              </w:rPr>
            </w:pPr>
            <w:r>
              <w:rPr>
                <w:i/>
              </w:rPr>
              <w:t>P.</w:t>
            </w:r>
          </w:p>
        </w:tc>
        <w:tc>
          <w:tcPr>
            <w:tcW w:w="3923" w:type="pct"/>
            <w:hideMark/>
          </w:tcPr>
          <w:p w14:paraId="7CFF0897" w14:textId="77777777" w:rsidR="00906DDB" w:rsidRDefault="00906DDB" w:rsidP="00D95E0E">
            <w:pPr>
              <w:rPr>
                <w:i/>
              </w:rPr>
            </w:pPr>
            <w:r>
              <w:rPr>
                <w:i/>
              </w:rPr>
              <w:t>+32 25468718, +32 25468768</w:t>
            </w:r>
          </w:p>
        </w:tc>
      </w:tr>
      <w:tr w:rsidR="00906DDB" w14:paraId="20E0A988" w14:textId="77777777" w:rsidTr="00906DDB">
        <w:tc>
          <w:tcPr>
            <w:tcW w:w="1077" w:type="pct"/>
            <w:hideMark/>
          </w:tcPr>
          <w:p w14:paraId="24346B68" w14:textId="77777777" w:rsidR="00906DDB" w:rsidRDefault="00906DDB" w:rsidP="00D95E0E">
            <w:pPr>
              <w:rPr>
                <w:i/>
              </w:rPr>
            </w:pPr>
            <w:r>
              <w:rPr>
                <w:i/>
              </w:rPr>
              <w:t>Sähköposti</w:t>
            </w:r>
          </w:p>
        </w:tc>
        <w:tc>
          <w:tcPr>
            <w:tcW w:w="3923" w:type="pct"/>
            <w:hideMark/>
          </w:tcPr>
          <w:p w14:paraId="0A094675" w14:textId="77777777" w:rsidR="00906DDB" w:rsidRDefault="0061775F" w:rsidP="00D95E0E">
            <w:pPr>
              <w:rPr>
                <w:i/>
              </w:rPr>
            </w:pPr>
            <w:hyperlink r:id="rId83" w:history="1">
              <w:r w:rsidR="00906DDB">
                <w:rPr>
                  <w:rStyle w:val="Hyperlink"/>
                  <w:i/>
                </w:rPr>
                <w:t>Myrto.Kolyva@eesc.europa.eu</w:t>
              </w:r>
            </w:hyperlink>
            <w:r w:rsidR="00906DDB">
              <w:t xml:space="preserve">, </w:t>
            </w:r>
            <w:hyperlink r:id="rId84" w:history="1">
              <w:r w:rsidR="00906DDB">
                <w:rPr>
                  <w:rStyle w:val="Hyperlink"/>
                  <w:i/>
                </w:rPr>
                <w:t>Arturo.Iniguez@eesc.europa.eu</w:t>
              </w:r>
            </w:hyperlink>
          </w:p>
        </w:tc>
      </w:tr>
    </w:tbl>
    <w:p w14:paraId="5F5E4461" w14:textId="3FE37747" w:rsidR="00906DDB" w:rsidRDefault="00906DDB" w:rsidP="00D95E0E">
      <w:pPr>
        <w:jc w:val="left"/>
      </w:pPr>
    </w:p>
    <w:p w14:paraId="1463C380" w14:textId="77777777" w:rsidR="00906DDB" w:rsidRDefault="00906DDB" w:rsidP="00D95E0E">
      <w:pPr>
        <w:jc w:val="left"/>
      </w:pPr>
      <w:r>
        <w:br w:type="page"/>
      </w:r>
    </w:p>
    <w:p w14:paraId="0443B41F" w14:textId="075C7F6A" w:rsidR="00906DDB" w:rsidRPr="00257C62" w:rsidRDefault="0061775F" w:rsidP="00D95E0E">
      <w:pPr>
        <w:pStyle w:val="ListParagraph"/>
        <w:numPr>
          <w:ilvl w:val="0"/>
          <w:numId w:val="3"/>
        </w:numPr>
        <w:spacing w:line="240" w:lineRule="auto"/>
        <w:rPr>
          <w:b/>
          <w:bCs/>
          <w:i/>
          <w:iCs/>
          <w:sz w:val="28"/>
          <w:szCs w:val="28"/>
        </w:rPr>
      </w:pPr>
      <w:hyperlink r:id="rId85" w:history="1">
        <w:r w:rsidR="00906DDB" w:rsidRPr="00257C62">
          <w:rPr>
            <w:rStyle w:val="Hyperlink"/>
            <w:b/>
            <w:i/>
            <w:sz w:val="28"/>
          </w:rPr>
          <w:t xml:space="preserve">Terve maapallo terveille ihmisille: kohti kattavaa yhteinen terveys </w:t>
        </w:r>
        <w:r w:rsidR="00906DDB" w:rsidRPr="00257C62">
          <w:rPr>
            <w:rStyle w:val="Hyperlink"/>
            <w:b/>
            <w:i/>
            <w:sz w:val="28"/>
          </w:rPr>
          <w:noBreakHyphen/>
          <w:t>mallia</w:t>
        </w:r>
      </w:hyperlink>
    </w:p>
    <w:p w14:paraId="3461C1D5" w14:textId="77777777" w:rsidR="00906DDB" w:rsidRPr="00AF3202" w:rsidRDefault="00906DDB" w:rsidP="00D95E0E">
      <w:pPr>
        <w:tabs>
          <w:tab w:val="center" w:pos="284"/>
        </w:tabs>
        <w:spacing w:line="240" w:lineRule="auto"/>
        <w:ind w:left="266" w:hanging="266"/>
        <w:rPr>
          <w:b/>
          <w:sz w:val="16"/>
          <w:szCs w:val="16"/>
        </w:rPr>
      </w:pPr>
    </w:p>
    <w:tbl>
      <w:tblPr>
        <w:tblW w:w="0" w:type="auto"/>
        <w:tblLook w:val="04A0" w:firstRow="1" w:lastRow="0" w:firstColumn="1" w:lastColumn="0" w:noHBand="0" w:noVBand="1"/>
      </w:tblPr>
      <w:tblGrid>
        <w:gridCol w:w="2127"/>
        <w:gridCol w:w="6946"/>
      </w:tblGrid>
      <w:tr w:rsidR="00906DDB" w14:paraId="0395E115" w14:textId="77777777" w:rsidTr="00AF3202">
        <w:tc>
          <w:tcPr>
            <w:tcW w:w="2127" w:type="dxa"/>
            <w:hideMark/>
          </w:tcPr>
          <w:p w14:paraId="2555E78A" w14:textId="77777777" w:rsidR="00906DDB" w:rsidRDefault="00906DDB" w:rsidP="00D95E0E">
            <w:pPr>
              <w:tabs>
                <w:tab w:val="center" w:pos="284"/>
              </w:tabs>
              <w:rPr>
                <w:b/>
              </w:rPr>
            </w:pPr>
            <w:r>
              <w:rPr>
                <w:b/>
              </w:rPr>
              <w:t>Esittelijä</w:t>
            </w:r>
          </w:p>
        </w:tc>
        <w:tc>
          <w:tcPr>
            <w:tcW w:w="6946" w:type="dxa"/>
            <w:hideMark/>
          </w:tcPr>
          <w:p w14:paraId="6BA066D5" w14:textId="1208C0EE" w:rsidR="00906DDB" w:rsidRDefault="00906DDB" w:rsidP="00D95E0E">
            <w:pPr>
              <w:tabs>
                <w:tab w:val="center" w:pos="284"/>
              </w:tabs>
              <w:rPr>
                <w:b/>
              </w:rPr>
            </w:pPr>
            <w:r>
              <w:t xml:space="preserve">Nicoletta </w:t>
            </w:r>
            <w:r w:rsidR="00257C62">
              <w:t xml:space="preserve">MERLO </w:t>
            </w:r>
            <w:r>
              <w:t>(työntekijät – IT)</w:t>
            </w:r>
          </w:p>
        </w:tc>
      </w:tr>
      <w:tr w:rsidR="00906DDB" w14:paraId="0E6C1136" w14:textId="77777777" w:rsidTr="00AF3202">
        <w:tc>
          <w:tcPr>
            <w:tcW w:w="2127" w:type="dxa"/>
            <w:hideMark/>
          </w:tcPr>
          <w:p w14:paraId="27E8A518" w14:textId="77777777" w:rsidR="00906DDB" w:rsidRDefault="00906DDB" w:rsidP="00D95E0E">
            <w:pPr>
              <w:tabs>
                <w:tab w:val="center" w:pos="284"/>
              </w:tabs>
              <w:rPr>
                <w:b/>
              </w:rPr>
            </w:pPr>
            <w:r>
              <w:rPr>
                <w:b/>
              </w:rPr>
              <w:t>Yhteisesittelijä</w:t>
            </w:r>
          </w:p>
        </w:tc>
        <w:tc>
          <w:tcPr>
            <w:tcW w:w="6946" w:type="dxa"/>
            <w:hideMark/>
          </w:tcPr>
          <w:p w14:paraId="2312419E" w14:textId="04BF9BC5" w:rsidR="00906DDB" w:rsidRDefault="00906DDB" w:rsidP="00D95E0E">
            <w:pPr>
              <w:tabs>
                <w:tab w:val="center" w:pos="284"/>
              </w:tabs>
              <w:rPr>
                <w:b/>
              </w:rPr>
            </w:pPr>
            <w:proofErr w:type="spellStart"/>
            <w:r>
              <w:t>Arnaud</w:t>
            </w:r>
            <w:proofErr w:type="spellEnd"/>
            <w:r>
              <w:t xml:space="preserve"> </w:t>
            </w:r>
            <w:r w:rsidR="00257C62">
              <w:t xml:space="preserve">SCHWARTZ </w:t>
            </w:r>
            <w:r>
              <w:t>(kansalaisyhteiskunnan organisaatiot – FR)</w:t>
            </w:r>
          </w:p>
        </w:tc>
      </w:tr>
      <w:tr w:rsidR="00906DDB" w14:paraId="0F29054B" w14:textId="77777777" w:rsidTr="00AF3202">
        <w:tc>
          <w:tcPr>
            <w:tcW w:w="2127" w:type="dxa"/>
            <w:hideMark/>
          </w:tcPr>
          <w:p w14:paraId="62DCEAAE" w14:textId="77777777" w:rsidR="00906DDB" w:rsidRDefault="00906DDB" w:rsidP="00D95E0E">
            <w:pPr>
              <w:tabs>
                <w:tab w:val="center" w:pos="284"/>
              </w:tabs>
              <w:rPr>
                <w:b/>
              </w:rPr>
            </w:pPr>
            <w:r>
              <w:rPr>
                <w:b/>
              </w:rPr>
              <w:t>Viiteasiakirja</w:t>
            </w:r>
          </w:p>
        </w:tc>
        <w:tc>
          <w:tcPr>
            <w:tcW w:w="6946" w:type="dxa"/>
            <w:hideMark/>
          </w:tcPr>
          <w:p w14:paraId="7B2EBA26" w14:textId="267BDA2E" w:rsidR="00257C62" w:rsidRDefault="0062331E" w:rsidP="00D95E0E">
            <w:pPr>
              <w:tabs>
                <w:tab w:val="center" w:pos="284"/>
              </w:tabs>
            </w:pPr>
            <w:r>
              <w:t>o</w:t>
            </w:r>
            <w:r w:rsidR="00257C62">
              <w:t>ma-aloitteinen lausunto</w:t>
            </w:r>
          </w:p>
          <w:p w14:paraId="5023F98A" w14:textId="07FFCB81" w:rsidR="00906DDB" w:rsidRDefault="00906DDB" w:rsidP="00D95E0E">
            <w:pPr>
              <w:tabs>
                <w:tab w:val="center" w:pos="284"/>
              </w:tabs>
              <w:rPr>
                <w:b/>
              </w:rPr>
            </w:pPr>
            <w:r>
              <w:t>EESC-2025-00757-00-00-AC</w:t>
            </w:r>
          </w:p>
        </w:tc>
      </w:tr>
    </w:tbl>
    <w:p w14:paraId="33BCBFC6" w14:textId="77777777" w:rsidR="00906DDB" w:rsidRPr="00AF3202" w:rsidRDefault="00906DDB" w:rsidP="00D95E0E">
      <w:pPr>
        <w:tabs>
          <w:tab w:val="center" w:pos="284"/>
        </w:tabs>
        <w:spacing w:line="240" w:lineRule="auto"/>
        <w:ind w:left="266" w:hanging="266"/>
        <w:rPr>
          <w:b/>
          <w:sz w:val="16"/>
          <w:szCs w:val="16"/>
        </w:rPr>
      </w:pPr>
    </w:p>
    <w:p w14:paraId="6B15EB3D" w14:textId="77777777" w:rsidR="00906DDB" w:rsidRDefault="00906DDB" w:rsidP="00D95E0E">
      <w:pPr>
        <w:keepNext/>
        <w:keepLines/>
        <w:tabs>
          <w:tab w:val="center" w:pos="284"/>
        </w:tabs>
        <w:spacing w:line="240" w:lineRule="auto"/>
        <w:ind w:left="266" w:hanging="266"/>
        <w:rPr>
          <w:b/>
        </w:rPr>
      </w:pPr>
      <w:r>
        <w:rPr>
          <w:b/>
        </w:rPr>
        <w:t>Keskeiset kohdat</w:t>
      </w:r>
    </w:p>
    <w:p w14:paraId="42EE7AF8" w14:textId="77777777" w:rsidR="00906DDB" w:rsidRPr="00AF3202" w:rsidRDefault="00906DDB" w:rsidP="00D95E0E">
      <w:pPr>
        <w:keepNext/>
        <w:keepLines/>
        <w:tabs>
          <w:tab w:val="center" w:pos="284"/>
        </w:tabs>
        <w:spacing w:line="240" w:lineRule="auto"/>
        <w:ind w:left="266" w:hanging="266"/>
        <w:rPr>
          <w:b/>
          <w:sz w:val="16"/>
          <w:szCs w:val="16"/>
        </w:rPr>
      </w:pPr>
    </w:p>
    <w:p w14:paraId="51F06704" w14:textId="77777777" w:rsidR="00906DDB" w:rsidRDefault="00906DDB" w:rsidP="00D95E0E">
      <w:pPr>
        <w:rPr>
          <w:bCs/>
          <w:iCs/>
        </w:rPr>
      </w:pPr>
      <w:r>
        <w:t>ETSK</w:t>
      </w:r>
    </w:p>
    <w:p w14:paraId="0EACE603" w14:textId="77777777" w:rsidR="00906DDB" w:rsidRDefault="00906DDB" w:rsidP="00D95E0E">
      <w:pPr>
        <w:pStyle w:val="Heading2"/>
        <w:numPr>
          <w:ilvl w:val="0"/>
          <w:numId w:val="46"/>
        </w:numPr>
        <w:ind w:left="426"/>
        <w:rPr>
          <w:szCs w:val="20"/>
        </w:rPr>
      </w:pPr>
      <w:bookmarkStart w:id="80" w:name="_Toc210812754"/>
      <w:r>
        <w:t>kannustaa EU:n toimielimiä kehittämään EU:lle kattavan yhteinen terveys -strategian ja sille toimintasuunnitelman asianmukaisine rahoitusvaroineen. Strategiassa olisi sovellettava monitasoista hallintoa ja monisidosryhmäistä toimintatapaa jäsenvaltioiden tukemiseksi sen täytäntöönpanossa.</w:t>
      </w:r>
      <w:bookmarkEnd w:id="80"/>
    </w:p>
    <w:p w14:paraId="1A00C79A" w14:textId="77777777" w:rsidR="00906DDB" w:rsidRDefault="00906DDB" w:rsidP="00D95E0E">
      <w:pPr>
        <w:pStyle w:val="Heading2"/>
        <w:numPr>
          <w:ilvl w:val="0"/>
          <w:numId w:val="46"/>
        </w:numPr>
        <w:ind w:left="426"/>
      </w:pPr>
      <w:bookmarkStart w:id="81" w:name="_Toc210812755"/>
      <w:r>
        <w:t xml:space="preserve">suosittaa vahvistamaan terveyden ja elintarviketurvallisuuden pääosaston yhteinen terveys </w:t>
      </w:r>
      <w:r>
        <w:noBreakHyphen/>
        <w:t>osastoa ja edistämään näin tehokasta yhteistyötä kaikkien asiaankuuluvien pääosastojen välillä.</w:t>
      </w:r>
      <w:bookmarkEnd w:id="81"/>
    </w:p>
    <w:p w14:paraId="2AF60F80" w14:textId="77777777" w:rsidR="00906DDB" w:rsidRDefault="00906DDB" w:rsidP="00D95E0E">
      <w:pPr>
        <w:pStyle w:val="Heading2"/>
        <w:numPr>
          <w:ilvl w:val="0"/>
          <w:numId w:val="46"/>
        </w:numPr>
        <w:ind w:left="426"/>
      </w:pPr>
      <w:bookmarkStart w:id="82" w:name="_Toc210812756"/>
      <w:r>
        <w:t>pitää tärkeänä, että yhteinen terveys -malli sisällytetään EU:n kaikkiin tärkeimpiin politiikkakehyksiin ja että vahvistetaan EU:n virastojen välistä yhteistyötä, lisätään synergioita kansainvälisten kumppaneiden kanssa ja edistetään osallistavaa hallintoa tehostetun työmarkkina- ja kansalaisvuoropuhelun avulla, jotta voidaan varmistaa laaja tuki ja yhdenmukaisuus maailmanlaajuisten yhteinen terveys -toimien kanssa.</w:t>
      </w:r>
      <w:bookmarkEnd w:id="82"/>
    </w:p>
    <w:p w14:paraId="3CBD6FF3" w14:textId="77777777" w:rsidR="00906DDB" w:rsidRDefault="00906DDB" w:rsidP="00D95E0E">
      <w:pPr>
        <w:pStyle w:val="Heading2"/>
        <w:numPr>
          <w:ilvl w:val="0"/>
          <w:numId w:val="46"/>
        </w:numPr>
        <w:ind w:left="426"/>
      </w:pPr>
      <w:bookmarkStart w:id="83" w:name="_Toc210812757"/>
      <w:r>
        <w:t>kehottaa komissiota varaamaan seuraavassa monivuotisessa rahoituskehyksessä erikseen rahoitusvaroja yhteinen terveys -mallin täytäntöönpanon tukemiseen ja kiinnittämään erityistä huomiota luontopohjaisiin ratkaisuihin, ennaltaehkäisyyn ja tutkimukseen</w:t>
      </w:r>
      <w:bookmarkEnd w:id="83"/>
    </w:p>
    <w:p w14:paraId="4A7C9DEF" w14:textId="77777777" w:rsidR="00906DDB" w:rsidRDefault="00906DDB" w:rsidP="00D95E0E">
      <w:pPr>
        <w:pStyle w:val="Heading2"/>
        <w:numPr>
          <w:ilvl w:val="0"/>
          <w:numId w:val="46"/>
        </w:numPr>
        <w:ind w:left="426"/>
      </w:pPr>
      <w:bookmarkStart w:id="84" w:name="_Toc210812758"/>
      <w:r>
        <w:t>katsoo, että on olennaisen tärkeää tukea ympäristöriskien sekä eläinten ja ihmisten terveyteen liittyvien riskien yhdennettyä seurantaa ja rahoittaa monialaista tutkimusta ennakkovaroitusjärjestelmien, politiikan kehittämisen ja selviytymiskyvyn kehittämisstrategioiden tukemiseksi. Kansainvälistä yhteistyötä on vahvistettava, jotta voidaan puuttua näihin monimutkaisiin riskeihin ja varmistaa tehokas ja koordinoitu maailmanlaajuinen reagointi.</w:t>
      </w:r>
      <w:bookmarkEnd w:id="84"/>
    </w:p>
    <w:p w14:paraId="29C3BFCE" w14:textId="77777777" w:rsidR="00906DDB" w:rsidRDefault="00906DDB" w:rsidP="00D95E0E">
      <w:pPr>
        <w:pStyle w:val="Heading2"/>
        <w:numPr>
          <w:ilvl w:val="0"/>
          <w:numId w:val="46"/>
        </w:numPr>
        <w:ind w:left="426"/>
      </w:pPr>
      <w:bookmarkStart w:id="85" w:name="_Toc210812759"/>
      <w:r>
        <w:t>kehottaa luomaan osallistavia mekanismeja, jotka mahdollistavat paikallisten toimijoiden, poliittisten päättäjien, talouden toimijoiden, järjestäytyneen kansalaisyhteiskunnan, teollisuuden, kansanterveys- ja eläinlääkintäalan, ympäristöviranomaisten, asianomaisten yhteisöjen ja nuorten osallistumisen politiikan suunnittelun, täytäntöönpanon ja arvioinnin kaikkiin vaiheisiin.</w:t>
      </w:r>
      <w:bookmarkEnd w:id="85"/>
    </w:p>
    <w:p w14:paraId="55A1FD7A" w14:textId="77777777" w:rsidR="00906DDB" w:rsidRDefault="00906DDB" w:rsidP="00D95E0E">
      <w:pPr>
        <w:pStyle w:val="Heading2"/>
        <w:numPr>
          <w:ilvl w:val="0"/>
          <w:numId w:val="46"/>
        </w:numPr>
        <w:ind w:left="426"/>
      </w:pPr>
      <w:bookmarkStart w:id="86" w:name="_Toc210812760"/>
      <w:r>
        <w:t>pitää tärkeänä edistää kohdennettuja koulutusaloitteita, jotta voidaan parantaa tietämystä terveyteen vaikuttavista ympäristötekijöistä ja sosiaalisista tekijöistä.</w:t>
      </w:r>
      <w:bookmarkEnd w:id="86"/>
    </w:p>
    <w:p w14:paraId="428621A3" w14:textId="77777777" w:rsidR="00906DDB" w:rsidRDefault="00906DDB" w:rsidP="00D95E0E">
      <w:pPr>
        <w:pStyle w:val="Heading2"/>
        <w:numPr>
          <w:ilvl w:val="0"/>
          <w:numId w:val="46"/>
        </w:numPr>
        <w:ind w:left="426"/>
      </w:pPr>
      <w:bookmarkStart w:id="87" w:name="_Toc210812761"/>
      <w:r>
        <w:t>korostaa, että on tärkeää tunnistaa erityiset haasteet, joita maa-, kala- ja metsätalousalalla sekä teollisuudessa kohdataan siirryttäessä kohti kestäviä, yhteinen terveys -mallin mukaisia käytäntöjä, ja puuttua niihin. Lisäksi on tärkeää käsitellä kaikkein haavoittuvimmassa asemassa (</w:t>
      </w:r>
      <w:proofErr w:type="spellStart"/>
      <w:r>
        <w:t>eksposominsa</w:t>
      </w:r>
      <w:proofErr w:type="spellEnd"/>
      <w:r>
        <w:t xml:space="preserve"> takia) olevien tarpeita ja huolenaiheita sekä keinoja tukea heitä.</w:t>
      </w:r>
      <w:bookmarkEnd w:id="87"/>
    </w:p>
    <w:p w14:paraId="2EC54EC5" w14:textId="77777777" w:rsidR="00906DDB" w:rsidRDefault="00906DDB" w:rsidP="00D95E0E">
      <w:pPr>
        <w:numPr>
          <w:ilvl w:val="0"/>
          <w:numId w:val="46"/>
        </w:numPr>
        <w:overflowPunct w:val="0"/>
        <w:autoSpaceDE w:val="0"/>
        <w:autoSpaceDN w:val="0"/>
        <w:adjustRightInd w:val="0"/>
        <w:ind w:left="426"/>
        <w:rPr>
          <w:rFonts w:asciiTheme="minorHAnsi" w:hAnsiTheme="minorHAnsi"/>
        </w:rPr>
      </w:pPr>
      <w:r>
        <w:t>katsoo, että yhteinen terveys -strategiassa on otettava huomioon maailmanlaajuiset rahoitus- ja kauppavaikutukset, muun muassa terveyteen ja ympäristöön liittyvien peililausekkeiden sisällyttäminen kauppasopimuksiin kansanterveyden turvaamiseksi ja tasapuolisten toimintaedellytysten varmistamiseksi.</w:t>
      </w:r>
    </w:p>
    <w:p w14:paraId="626BAC43" w14:textId="77777777" w:rsidR="00906DDB" w:rsidRPr="00AF3202" w:rsidRDefault="00906DDB" w:rsidP="00D95E0E">
      <w:pPr>
        <w:spacing w:line="240" w:lineRule="auto"/>
        <w:ind w:left="709"/>
        <w:rPr>
          <w:sz w:val="16"/>
          <w:szCs w:val="16"/>
        </w:rPr>
      </w:pPr>
    </w:p>
    <w:tbl>
      <w:tblPr>
        <w:tblW w:w="5000" w:type="pct"/>
        <w:tblLook w:val="04A0" w:firstRow="1" w:lastRow="0" w:firstColumn="1" w:lastColumn="0" w:noHBand="0" w:noVBand="1"/>
      </w:tblPr>
      <w:tblGrid>
        <w:gridCol w:w="1978"/>
        <w:gridCol w:w="7095"/>
      </w:tblGrid>
      <w:tr w:rsidR="00906DDB" w14:paraId="3A5ACDE5" w14:textId="77777777" w:rsidTr="00906DDB">
        <w:tc>
          <w:tcPr>
            <w:tcW w:w="1090" w:type="pct"/>
            <w:hideMark/>
          </w:tcPr>
          <w:p w14:paraId="57BC783B" w14:textId="77777777" w:rsidR="00906DDB" w:rsidRDefault="00906DDB" w:rsidP="00D95E0E">
            <w:pPr>
              <w:rPr>
                <w:i/>
              </w:rPr>
            </w:pPr>
            <w:r>
              <w:rPr>
                <w:b/>
                <w:i/>
              </w:rPr>
              <w:t>Yhteydenotot</w:t>
            </w:r>
          </w:p>
        </w:tc>
        <w:tc>
          <w:tcPr>
            <w:tcW w:w="3910" w:type="pct"/>
            <w:hideMark/>
          </w:tcPr>
          <w:p w14:paraId="745D4CDE" w14:textId="1FC1B7AB" w:rsidR="00906DDB" w:rsidRPr="0062331E" w:rsidRDefault="00906DDB" w:rsidP="00D95E0E">
            <w:pPr>
              <w:rPr>
                <w:i/>
                <w:iCs/>
              </w:rPr>
            </w:pPr>
            <w:proofErr w:type="spellStart"/>
            <w:r w:rsidRPr="0062331E">
              <w:rPr>
                <w:i/>
                <w:iCs/>
              </w:rPr>
              <w:t>Gaia</w:t>
            </w:r>
            <w:proofErr w:type="spellEnd"/>
            <w:r w:rsidRPr="0062331E">
              <w:rPr>
                <w:i/>
                <w:iCs/>
              </w:rPr>
              <w:t xml:space="preserve"> </w:t>
            </w:r>
            <w:proofErr w:type="spellStart"/>
            <w:r w:rsidR="00B959E2" w:rsidRPr="0062331E">
              <w:rPr>
                <w:i/>
                <w:iCs/>
              </w:rPr>
              <w:t>Bottoni</w:t>
            </w:r>
            <w:proofErr w:type="spellEnd"/>
          </w:p>
        </w:tc>
      </w:tr>
      <w:tr w:rsidR="00906DDB" w14:paraId="1F6D8057" w14:textId="77777777" w:rsidTr="00906DDB">
        <w:tc>
          <w:tcPr>
            <w:tcW w:w="1090" w:type="pct"/>
            <w:hideMark/>
          </w:tcPr>
          <w:p w14:paraId="48999DBC" w14:textId="77777777" w:rsidR="00906DDB" w:rsidRDefault="00906DDB" w:rsidP="00D95E0E">
            <w:pPr>
              <w:rPr>
                <w:i/>
              </w:rPr>
            </w:pPr>
            <w:r>
              <w:rPr>
                <w:i/>
              </w:rPr>
              <w:t>P.</w:t>
            </w:r>
          </w:p>
        </w:tc>
        <w:tc>
          <w:tcPr>
            <w:tcW w:w="3910" w:type="pct"/>
            <w:hideMark/>
          </w:tcPr>
          <w:p w14:paraId="48452371" w14:textId="77777777" w:rsidR="00906DDB" w:rsidRDefault="00906DDB" w:rsidP="00D95E0E">
            <w:pPr>
              <w:rPr>
                <w:i/>
              </w:rPr>
            </w:pPr>
            <w:r>
              <w:rPr>
                <w:i/>
              </w:rPr>
              <w:t>+32 25469447</w:t>
            </w:r>
          </w:p>
        </w:tc>
      </w:tr>
      <w:tr w:rsidR="00906DDB" w14:paraId="2BF0BC45" w14:textId="77777777" w:rsidTr="00906DDB">
        <w:trPr>
          <w:trHeight w:val="215"/>
        </w:trPr>
        <w:tc>
          <w:tcPr>
            <w:tcW w:w="1090" w:type="pct"/>
            <w:hideMark/>
          </w:tcPr>
          <w:p w14:paraId="46E15EB9" w14:textId="77777777" w:rsidR="00906DDB" w:rsidRDefault="00906DDB" w:rsidP="00D95E0E">
            <w:pPr>
              <w:rPr>
                <w:i/>
              </w:rPr>
            </w:pPr>
            <w:r>
              <w:rPr>
                <w:i/>
              </w:rPr>
              <w:t>Sähköposti</w:t>
            </w:r>
          </w:p>
        </w:tc>
        <w:tc>
          <w:tcPr>
            <w:tcW w:w="3910" w:type="pct"/>
            <w:hideMark/>
          </w:tcPr>
          <w:p w14:paraId="4EFBC63C" w14:textId="77777777" w:rsidR="00906DDB" w:rsidRDefault="0061775F" w:rsidP="00D95E0E">
            <w:pPr>
              <w:rPr>
                <w:i/>
                <w:iCs/>
              </w:rPr>
            </w:pPr>
            <w:hyperlink r:id="rId86" w:history="1">
              <w:r w:rsidR="00906DDB">
                <w:rPr>
                  <w:rStyle w:val="Hyperlink"/>
                  <w:i/>
                </w:rPr>
                <w:t>Gaia.Bottoni@eesc.europa.eu</w:t>
              </w:r>
            </w:hyperlink>
          </w:p>
        </w:tc>
      </w:tr>
    </w:tbl>
    <w:p w14:paraId="4464305F" w14:textId="35922C50" w:rsidR="006D2C8A" w:rsidRDefault="006D2C8A" w:rsidP="00D95E0E">
      <w:pPr>
        <w:jc w:val="left"/>
      </w:pPr>
    </w:p>
    <w:p w14:paraId="528C73AA" w14:textId="7462BEBE" w:rsidR="006D2C8A" w:rsidRPr="006D2C8A" w:rsidRDefault="00906DDB" w:rsidP="00D95E0E">
      <w:pPr>
        <w:pStyle w:val="Heading1"/>
        <w:rPr>
          <w:b/>
        </w:rPr>
      </w:pPr>
      <w:bookmarkStart w:id="88" w:name="_Toc210812762"/>
      <w:r w:rsidRPr="00906DDB">
        <w:rPr>
          <w:b/>
          <w:color w:val="222A35" w:themeColor="text2" w:themeShade="80"/>
        </w:rPr>
        <w:t>ULKOSUHTEET</w:t>
      </w:r>
      <w:bookmarkEnd w:id="88"/>
    </w:p>
    <w:p w14:paraId="713E272F" w14:textId="77777777" w:rsidR="006D2C8A" w:rsidRDefault="006D2C8A" w:rsidP="00D95E0E"/>
    <w:p w14:paraId="06341EF9" w14:textId="31E9DB9E" w:rsidR="00906DDB" w:rsidRDefault="0061775F" w:rsidP="00D95E0E">
      <w:pPr>
        <w:numPr>
          <w:ilvl w:val="0"/>
          <w:numId w:val="3"/>
        </w:numPr>
        <w:overflowPunct w:val="0"/>
        <w:autoSpaceDE w:val="0"/>
        <w:autoSpaceDN w:val="0"/>
        <w:adjustRightInd w:val="0"/>
        <w:ind w:hanging="567"/>
        <w:jc w:val="left"/>
        <w:rPr>
          <w:sz w:val="20"/>
        </w:rPr>
      </w:pPr>
      <w:hyperlink r:id="rId87" w:history="1">
        <w:r w:rsidR="00906DDB">
          <w:rPr>
            <w:rStyle w:val="Hyperlink"/>
            <w:b/>
            <w:i/>
            <w:sz w:val="28"/>
          </w:rPr>
          <w:t>Uusi Välimeren sopimus</w:t>
        </w:r>
      </w:hyperlink>
      <w:r w:rsidR="00906DDB">
        <w:rPr>
          <w:b/>
          <w:i/>
          <w:sz w:val="28"/>
        </w:rPr>
        <w:t xml:space="preserve"> </w:t>
      </w:r>
    </w:p>
    <w:p w14:paraId="1894E990" w14:textId="77777777" w:rsidR="00906DDB" w:rsidRDefault="00906DDB" w:rsidP="00D95E0E">
      <w:pPr>
        <w:tabs>
          <w:tab w:val="center" w:pos="284"/>
        </w:tabs>
        <w:ind w:left="266" w:hanging="266"/>
        <w:rPr>
          <w:b/>
        </w:rPr>
      </w:pPr>
    </w:p>
    <w:tbl>
      <w:tblPr>
        <w:tblW w:w="5000" w:type="pct"/>
        <w:tblLook w:val="04A0" w:firstRow="1" w:lastRow="0" w:firstColumn="1" w:lastColumn="0" w:noHBand="0" w:noVBand="1"/>
      </w:tblPr>
      <w:tblGrid>
        <w:gridCol w:w="1954"/>
        <w:gridCol w:w="7119"/>
      </w:tblGrid>
      <w:tr w:rsidR="00906DDB" w14:paraId="1B57F442" w14:textId="77777777" w:rsidTr="00906DDB">
        <w:trPr>
          <w:trHeight w:val="70"/>
        </w:trPr>
        <w:tc>
          <w:tcPr>
            <w:tcW w:w="1077" w:type="pct"/>
            <w:hideMark/>
          </w:tcPr>
          <w:p w14:paraId="23D0E825" w14:textId="77777777" w:rsidR="00906DDB" w:rsidRDefault="00906DDB" w:rsidP="00D95E0E">
            <w:pPr>
              <w:tabs>
                <w:tab w:val="center" w:pos="284"/>
              </w:tabs>
              <w:ind w:left="266" w:hanging="266"/>
              <w:rPr>
                <w:b/>
              </w:rPr>
            </w:pPr>
            <w:r>
              <w:rPr>
                <w:b/>
              </w:rPr>
              <w:t>Esittelijä</w:t>
            </w:r>
          </w:p>
        </w:tc>
        <w:tc>
          <w:tcPr>
            <w:tcW w:w="3923" w:type="pct"/>
            <w:hideMark/>
          </w:tcPr>
          <w:p w14:paraId="20669B13" w14:textId="77777777" w:rsidR="00906DDB" w:rsidRDefault="00906DDB" w:rsidP="00D95E0E">
            <w:pPr>
              <w:tabs>
                <w:tab w:val="center" w:pos="284"/>
              </w:tabs>
              <w:ind w:left="266" w:right="-3091" w:hanging="266"/>
            </w:pPr>
            <w:r>
              <w:t>Thomas WAGNSONNER (työntekijät – AT)</w:t>
            </w:r>
          </w:p>
        </w:tc>
      </w:tr>
      <w:tr w:rsidR="00906DDB" w14:paraId="26334FD1" w14:textId="77777777" w:rsidTr="00906DDB">
        <w:tc>
          <w:tcPr>
            <w:tcW w:w="1077" w:type="pct"/>
            <w:hideMark/>
          </w:tcPr>
          <w:p w14:paraId="18423EFA" w14:textId="77777777" w:rsidR="00906DDB" w:rsidRDefault="00906DDB" w:rsidP="00D95E0E">
            <w:pPr>
              <w:tabs>
                <w:tab w:val="center" w:pos="284"/>
              </w:tabs>
              <w:ind w:left="266" w:hanging="266"/>
              <w:rPr>
                <w:b/>
              </w:rPr>
            </w:pPr>
            <w:r>
              <w:rPr>
                <w:b/>
              </w:rPr>
              <w:t>Yhteisesittelijä</w:t>
            </w:r>
          </w:p>
        </w:tc>
        <w:tc>
          <w:tcPr>
            <w:tcW w:w="3923" w:type="pct"/>
            <w:hideMark/>
          </w:tcPr>
          <w:p w14:paraId="4076BCBC" w14:textId="77777777" w:rsidR="00906DDB" w:rsidRDefault="00906DDB" w:rsidP="00D95E0E">
            <w:pPr>
              <w:tabs>
                <w:tab w:val="center" w:pos="284"/>
              </w:tabs>
              <w:ind w:left="266" w:right="-3091" w:hanging="266"/>
            </w:pPr>
            <w:proofErr w:type="spellStart"/>
            <w:r>
              <w:t>Lidija</w:t>
            </w:r>
            <w:proofErr w:type="spellEnd"/>
            <w:r>
              <w:t xml:space="preserve"> PAVIĆ-ROGOŠIĆ (kansalaisyhteiskunnan organisaatiot – HR)</w:t>
            </w:r>
          </w:p>
        </w:tc>
      </w:tr>
      <w:tr w:rsidR="00906DDB" w14:paraId="1DF47800" w14:textId="77777777" w:rsidTr="00906DDB">
        <w:tc>
          <w:tcPr>
            <w:tcW w:w="1077" w:type="pct"/>
            <w:hideMark/>
          </w:tcPr>
          <w:p w14:paraId="1989BE66" w14:textId="77777777" w:rsidR="00906DDB" w:rsidRDefault="00906DDB" w:rsidP="00D95E0E">
            <w:pPr>
              <w:tabs>
                <w:tab w:val="center" w:pos="284"/>
              </w:tabs>
              <w:ind w:left="266" w:hanging="266"/>
              <w:rPr>
                <w:b/>
              </w:rPr>
            </w:pPr>
            <w:r>
              <w:rPr>
                <w:b/>
              </w:rPr>
              <w:t>Viiteasiakirjat</w:t>
            </w:r>
          </w:p>
        </w:tc>
        <w:tc>
          <w:tcPr>
            <w:tcW w:w="3923" w:type="pct"/>
            <w:hideMark/>
          </w:tcPr>
          <w:p w14:paraId="4168595A" w14:textId="77777777" w:rsidR="00257C62" w:rsidRDefault="00257C62" w:rsidP="00D95E0E">
            <w:pPr>
              <w:tabs>
                <w:tab w:val="center" w:pos="284"/>
              </w:tabs>
              <w:ind w:left="266" w:right="-3091" w:hanging="266"/>
            </w:pPr>
            <w:r>
              <w:t xml:space="preserve">Euroopan komission pyytämä valmisteleva lausunto </w:t>
            </w:r>
          </w:p>
          <w:p w14:paraId="545A0EBE" w14:textId="558DF121" w:rsidR="00906DDB" w:rsidRDefault="00906DDB" w:rsidP="00D95E0E">
            <w:pPr>
              <w:tabs>
                <w:tab w:val="center" w:pos="284"/>
              </w:tabs>
              <w:ind w:left="266" w:right="-3091" w:hanging="266"/>
            </w:pPr>
            <w:r>
              <w:t>EESC-2025-01275-00-00-AC</w:t>
            </w:r>
          </w:p>
        </w:tc>
      </w:tr>
    </w:tbl>
    <w:p w14:paraId="46AC5DD5" w14:textId="77777777" w:rsidR="00906DDB" w:rsidRDefault="00906DDB" w:rsidP="00D95E0E">
      <w:pPr>
        <w:tabs>
          <w:tab w:val="center" w:pos="284"/>
        </w:tabs>
        <w:ind w:left="266" w:hanging="266"/>
        <w:rPr>
          <w:b/>
        </w:rPr>
      </w:pPr>
    </w:p>
    <w:p w14:paraId="5D98994E" w14:textId="77777777" w:rsidR="00906DDB" w:rsidRDefault="00906DDB" w:rsidP="00D95E0E">
      <w:pPr>
        <w:keepNext/>
        <w:keepLines/>
        <w:tabs>
          <w:tab w:val="center" w:pos="284"/>
        </w:tabs>
        <w:ind w:left="266" w:hanging="266"/>
        <w:rPr>
          <w:b/>
        </w:rPr>
      </w:pPr>
      <w:r>
        <w:rPr>
          <w:b/>
        </w:rPr>
        <w:t>Keskeiset kohdat</w:t>
      </w:r>
    </w:p>
    <w:p w14:paraId="423E38E0" w14:textId="77777777" w:rsidR="00906DDB" w:rsidRDefault="00906DDB" w:rsidP="00D95E0E">
      <w:pPr>
        <w:keepNext/>
        <w:keepLines/>
        <w:tabs>
          <w:tab w:val="center" w:pos="284"/>
        </w:tabs>
        <w:ind w:left="266" w:hanging="266"/>
        <w:rPr>
          <w:b/>
        </w:rPr>
      </w:pPr>
    </w:p>
    <w:p w14:paraId="6818C6A9" w14:textId="77777777" w:rsidR="00906DDB" w:rsidRDefault="00906DDB" w:rsidP="00D95E0E">
      <w:pPr>
        <w:rPr>
          <w:bCs/>
          <w:iCs/>
        </w:rPr>
      </w:pPr>
      <w:r>
        <w:t>ETSK</w:t>
      </w:r>
    </w:p>
    <w:p w14:paraId="198A20B5" w14:textId="77777777" w:rsidR="00906DDB" w:rsidRDefault="00906DDB" w:rsidP="00D95E0E">
      <w:pPr>
        <w:pStyle w:val="NormalWeb"/>
        <w:numPr>
          <w:ilvl w:val="0"/>
          <w:numId w:val="47"/>
        </w:numPr>
        <w:spacing w:before="0" w:beforeAutospacing="0" w:after="0" w:afterAutospacing="0" w:line="288" w:lineRule="auto"/>
        <w:ind w:left="426"/>
        <w:jc w:val="both"/>
        <w:rPr>
          <w:sz w:val="22"/>
          <w:szCs w:val="22"/>
        </w:rPr>
      </w:pPr>
      <w:r>
        <w:rPr>
          <w:sz w:val="22"/>
        </w:rPr>
        <w:t>kehottaa edistämään sopimuksella aktiivisesti rauhaa, demokratiaa, hyvää hallintoa, korruption torjuntaa, oikeusvaltioperiaatetta, osallistavaa vaurautta, kansalaistoimintaa sekä kansainvälisen humanitaarisen oikeuden kunnioittamista Välimeren alueen yhteistyön perustana.</w:t>
      </w:r>
    </w:p>
    <w:p w14:paraId="63157507" w14:textId="77777777" w:rsidR="00906DDB" w:rsidRDefault="00906DDB" w:rsidP="00D95E0E">
      <w:pPr>
        <w:pStyle w:val="NormalWeb"/>
        <w:numPr>
          <w:ilvl w:val="0"/>
          <w:numId w:val="47"/>
        </w:numPr>
        <w:spacing w:before="0" w:beforeAutospacing="0" w:after="0" w:afterAutospacing="0" w:line="288" w:lineRule="auto"/>
        <w:ind w:left="426"/>
        <w:jc w:val="both"/>
        <w:rPr>
          <w:sz w:val="22"/>
          <w:szCs w:val="22"/>
        </w:rPr>
      </w:pPr>
      <w:r>
        <w:rPr>
          <w:sz w:val="22"/>
        </w:rPr>
        <w:t>suosittaa, että sopimuksen seurannan ja arvioinnin on oltava alusta alkaen osallistavaa, jotta kansalaisyhteiskunnan organisaatiot, työmarkkinaosapuolet ja nuorten edustajat voivat olla mukana muokkaamassa indikaattoreita, todentamassa tietoja ja ohjaamassa täytäntöönpanoa.</w:t>
      </w:r>
    </w:p>
    <w:p w14:paraId="49376D00" w14:textId="77777777" w:rsidR="00906DDB" w:rsidRDefault="00906DDB" w:rsidP="00D95E0E">
      <w:pPr>
        <w:pStyle w:val="NormalWeb"/>
        <w:numPr>
          <w:ilvl w:val="0"/>
          <w:numId w:val="47"/>
        </w:numPr>
        <w:spacing w:before="0" w:beforeAutospacing="0" w:after="0" w:afterAutospacing="0" w:line="288" w:lineRule="auto"/>
        <w:ind w:left="426"/>
        <w:jc w:val="both"/>
        <w:rPr>
          <w:sz w:val="22"/>
          <w:szCs w:val="22"/>
        </w:rPr>
      </w:pPr>
      <w:r>
        <w:rPr>
          <w:sz w:val="22"/>
        </w:rPr>
        <w:t>korostaa työmarkkina- ja kansalaisvuoropuhelun mekanismien ja organisaatioiden kohdennetun tukemisen tarvetta. On mm. annettava vahvempi rooli talous- ja sosiaalineuvostoille ja Välimeren nuorisovaltuustolle sekä edistettävä vastaavien elinten perustamista maissa, joissa sellaisia ei vielä ole.</w:t>
      </w:r>
    </w:p>
    <w:p w14:paraId="6E5D8292" w14:textId="77777777" w:rsidR="00906DDB" w:rsidRDefault="00906DDB" w:rsidP="00D95E0E">
      <w:pPr>
        <w:pStyle w:val="NormalWeb"/>
        <w:numPr>
          <w:ilvl w:val="0"/>
          <w:numId w:val="47"/>
        </w:numPr>
        <w:spacing w:before="0" w:beforeAutospacing="0" w:after="0" w:afterAutospacing="0" w:line="288" w:lineRule="auto"/>
        <w:ind w:left="426"/>
        <w:jc w:val="both"/>
        <w:rPr>
          <w:sz w:val="22"/>
          <w:szCs w:val="22"/>
        </w:rPr>
      </w:pPr>
      <w:r>
        <w:rPr>
          <w:sz w:val="22"/>
        </w:rPr>
        <w:t>ehdottaa, että perustetaan virallinen investointien koordinointimekanismi, esimerkiksi alueellinen investointipankki tai -rahasto, johon kaikki kumppanimaat ja kansalaisyhteiskunta osallistuvat. Tämä helpottaisi resurssien käyttöönottoa keskeisissä infrastruktuurihankkeissa ja niiden rahoittamista sekä edistäisi osallistavaa ja vihreää kasvua.</w:t>
      </w:r>
    </w:p>
    <w:p w14:paraId="1467189F" w14:textId="77777777" w:rsidR="00906DDB" w:rsidRDefault="00906DDB" w:rsidP="00D95E0E">
      <w:pPr>
        <w:pStyle w:val="NormalWeb"/>
        <w:numPr>
          <w:ilvl w:val="0"/>
          <w:numId w:val="47"/>
        </w:numPr>
        <w:spacing w:before="0" w:beforeAutospacing="0" w:after="0" w:afterAutospacing="0" w:line="288" w:lineRule="auto"/>
        <w:ind w:left="426"/>
        <w:jc w:val="both"/>
        <w:rPr>
          <w:sz w:val="22"/>
          <w:szCs w:val="22"/>
        </w:rPr>
      </w:pPr>
      <w:r>
        <w:rPr>
          <w:sz w:val="22"/>
        </w:rPr>
        <w:t xml:space="preserve">korostaa tarvetta laajentaa Erasmus+- ja </w:t>
      </w:r>
      <w:proofErr w:type="spellStart"/>
      <w:r>
        <w:rPr>
          <w:sz w:val="22"/>
        </w:rPr>
        <w:t>Interreg</w:t>
      </w:r>
      <w:proofErr w:type="spellEnd"/>
      <w:r>
        <w:rPr>
          <w:sz w:val="22"/>
        </w:rPr>
        <w:t>-ohjelman kaltaisia ohjelmia lisäämällä niihin kansalaisyhteiskunnalle tarkoitettuja erityisiä rahoituslinjoja ja tarvetta yksinkertaistaa tuen hakemista sekä investoida valmiuksien kehittämiseen ja kansalaiskasvatukseen, mukaan lukien epävirallinen oppiminen osallistavan hallinnon vahvistamiseksi.</w:t>
      </w:r>
    </w:p>
    <w:p w14:paraId="52284FB9" w14:textId="77777777" w:rsidR="00906DDB" w:rsidRDefault="00906DDB" w:rsidP="00D95E0E">
      <w:pPr>
        <w:pStyle w:val="NormalWeb"/>
        <w:numPr>
          <w:ilvl w:val="0"/>
          <w:numId w:val="47"/>
        </w:numPr>
        <w:spacing w:before="0" w:beforeAutospacing="0" w:after="0" w:afterAutospacing="0" w:line="288" w:lineRule="auto"/>
        <w:ind w:left="426"/>
        <w:jc w:val="both"/>
        <w:rPr>
          <w:sz w:val="22"/>
          <w:szCs w:val="22"/>
        </w:rPr>
      </w:pPr>
      <w:r>
        <w:rPr>
          <w:sz w:val="22"/>
        </w:rPr>
        <w:t>kannattaa neuvotteluja sellaisen Euro–Välimeri-vapaakauppa-alueen perustamisesta, johon sisältyy kestävää kehitystä koskevia lukuja, liikkuvuuden yhteinen hallinnointi ja kansalaisyhteiskunnan tekemä seuranta sisäisten neuvoa-antavien ryhmien kautta.</w:t>
      </w:r>
    </w:p>
    <w:p w14:paraId="6F873C61" w14:textId="648D9501" w:rsidR="00906DDB" w:rsidRPr="00257C62" w:rsidRDefault="00906DDB" w:rsidP="00D95E0E">
      <w:pPr>
        <w:pStyle w:val="NormalWeb"/>
        <w:numPr>
          <w:ilvl w:val="0"/>
          <w:numId w:val="47"/>
        </w:numPr>
        <w:spacing w:before="0" w:beforeAutospacing="0" w:after="0" w:afterAutospacing="0" w:line="288" w:lineRule="auto"/>
        <w:ind w:left="426"/>
        <w:jc w:val="both"/>
        <w:rPr>
          <w:sz w:val="22"/>
          <w:szCs w:val="22"/>
        </w:rPr>
      </w:pPr>
      <w:r>
        <w:rPr>
          <w:sz w:val="22"/>
        </w:rPr>
        <w:t>kannattaa Napolin prosessin pohjalta kulttuuriyhteistyön edistämistä alueen yhteisenä etuna, Euro–Välimeri-alueen kulttuurirahaston perustamista ja EU:n rahoituksen mukauttamista alueellisiin elvytystoimiin, kuten arabimaiden tukeman elpymis- ja jälleenrakentamissuunnitelmaan Gazaa varten.</w:t>
      </w:r>
    </w:p>
    <w:p w14:paraId="269A3F2E" w14:textId="77777777" w:rsidR="00257C62" w:rsidRDefault="00257C62" w:rsidP="00D95E0E">
      <w:pPr>
        <w:pStyle w:val="NormalWeb"/>
        <w:spacing w:before="0" w:beforeAutospacing="0" w:after="0" w:afterAutospacing="0" w:line="288" w:lineRule="auto"/>
        <w:ind w:left="426"/>
        <w:jc w:val="both"/>
        <w:rPr>
          <w:sz w:val="22"/>
          <w:szCs w:val="22"/>
        </w:rPr>
      </w:pPr>
    </w:p>
    <w:tbl>
      <w:tblPr>
        <w:tblW w:w="5000" w:type="pct"/>
        <w:tblLook w:val="04A0" w:firstRow="1" w:lastRow="0" w:firstColumn="1" w:lastColumn="0" w:noHBand="0" w:noVBand="1"/>
      </w:tblPr>
      <w:tblGrid>
        <w:gridCol w:w="1954"/>
        <w:gridCol w:w="7119"/>
      </w:tblGrid>
      <w:tr w:rsidR="00906DDB" w14:paraId="54FD6F8C" w14:textId="77777777" w:rsidTr="00906DDB">
        <w:tc>
          <w:tcPr>
            <w:tcW w:w="1077" w:type="pct"/>
            <w:hideMark/>
          </w:tcPr>
          <w:p w14:paraId="32243CB7" w14:textId="77777777" w:rsidR="00906DDB" w:rsidRDefault="00906DDB" w:rsidP="00D95E0E">
            <w:pPr>
              <w:rPr>
                <w:i/>
              </w:rPr>
            </w:pPr>
            <w:r>
              <w:rPr>
                <w:b/>
                <w:i/>
              </w:rPr>
              <w:t>Yhteydenotot</w:t>
            </w:r>
          </w:p>
        </w:tc>
        <w:tc>
          <w:tcPr>
            <w:tcW w:w="3923" w:type="pct"/>
            <w:hideMark/>
          </w:tcPr>
          <w:p w14:paraId="333A0C7A" w14:textId="06BD13C6" w:rsidR="00906DDB" w:rsidRDefault="00906DDB" w:rsidP="00D95E0E">
            <w:pPr>
              <w:rPr>
                <w:i/>
              </w:rPr>
            </w:pPr>
            <w:r>
              <w:rPr>
                <w:i/>
              </w:rPr>
              <w:t xml:space="preserve">Andreas </w:t>
            </w:r>
            <w:r w:rsidR="00B959E2">
              <w:rPr>
                <w:i/>
              </w:rPr>
              <w:t>Berger</w:t>
            </w:r>
          </w:p>
        </w:tc>
      </w:tr>
      <w:tr w:rsidR="00906DDB" w14:paraId="6E5AA2DC" w14:textId="77777777" w:rsidTr="00906DDB">
        <w:tc>
          <w:tcPr>
            <w:tcW w:w="1077" w:type="pct"/>
            <w:hideMark/>
          </w:tcPr>
          <w:p w14:paraId="19AD35CA" w14:textId="77777777" w:rsidR="00906DDB" w:rsidRDefault="00906DDB" w:rsidP="00D95E0E">
            <w:pPr>
              <w:rPr>
                <w:i/>
              </w:rPr>
            </w:pPr>
            <w:r>
              <w:rPr>
                <w:i/>
              </w:rPr>
              <w:t>P.</w:t>
            </w:r>
          </w:p>
        </w:tc>
        <w:tc>
          <w:tcPr>
            <w:tcW w:w="3923" w:type="pct"/>
            <w:hideMark/>
          </w:tcPr>
          <w:p w14:paraId="24F53763" w14:textId="77777777" w:rsidR="00906DDB" w:rsidRDefault="00906DDB" w:rsidP="00D95E0E">
            <w:pPr>
              <w:rPr>
                <w:i/>
              </w:rPr>
            </w:pPr>
            <w:r>
              <w:rPr>
                <w:i/>
              </w:rPr>
              <w:t>+32 25469062</w:t>
            </w:r>
          </w:p>
        </w:tc>
      </w:tr>
      <w:tr w:rsidR="00906DDB" w14:paraId="65944C21" w14:textId="77777777" w:rsidTr="00906DDB">
        <w:tc>
          <w:tcPr>
            <w:tcW w:w="1077" w:type="pct"/>
            <w:hideMark/>
          </w:tcPr>
          <w:p w14:paraId="2626C038" w14:textId="77777777" w:rsidR="00906DDB" w:rsidRDefault="00906DDB" w:rsidP="00D95E0E">
            <w:pPr>
              <w:rPr>
                <w:i/>
              </w:rPr>
            </w:pPr>
            <w:r>
              <w:rPr>
                <w:i/>
              </w:rPr>
              <w:t>Sähköposti</w:t>
            </w:r>
          </w:p>
        </w:tc>
        <w:tc>
          <w:tcPr>
            <w:tcW w:w="3923" w:type="pct"/>
            <w:hideMark/>
          </w:tcPr>
          <w:p w14:paraId="37A8E635" w14:textId="77777777" w:rsidR="00906DDB" w:rsidRDefault="0061775F" w:rsidP="00D95E0E">
            <w:pPr>
              <w:rPr>
                <w:i/>
              </w:rPr>
            </w:pPr>
            <w:hyperlink r:id="rId88" w:history="1">
              <w:r w:rsidR="00906DDB">
                <w:rPr>
                  <w:rStyle w:val="Hyperlink"/>
                  <w:i/>
                </w:rPr>
                <w:t>Andreas.Berger@eesc.europa.eu</w:t>
              </w:r>
            </w:hyperlink>
            <w:r w:rsidR="00906DDB">
              <w:rPr>
                <w:i/>
              </w:rPr>
              <w:t xml:space="preserve"> </w:t>
            </w:r>
          </w:p>
        </w:tc>
      </w:tr>
    </w:tbl>
    <w:p w14:paraId="053975C5" w14:textId="77777777" w:rsidR="00906DDB" w:rsidRDefault="00906DDB" w:rsidP="00D95E0E">
      <w:pPr>
        <w:ind w:left="709"/>
        <w:rPr>
          <w:szCs w:val="20"/>
        </w:rPr>
      </w:pPr>
    </w:p>
    <w:p w14:paraId="0FA13A3E" w14:textId="5370F6E2" w:rsidR="00906DDB" w:rsidRDefault="00906DDB" w:rsidP="00D95E0E">
      <w:pPr>
        <w:jc w:val="left"/>
      </w:pPr>
      <w:r>
        <w:br w:type="page"/>
      </w:r>
    </w:p>
    <w:p w14:paraId="3506E1D7" w14:textId="430E3D81" w:rsidR="00906DDB" w:rsidRDefault="0061775F" w:rsidP="00D95E0E">
      <w:pPr>
        <w:pStyle w:val="ListParagraph"/>
        <w:numPr>
          <w:ilvl w:val="0"/>
          <w:numId w:val="9"/>
        </w:numPr>
        <w:ind w:left="567" w:hanging="567"/>
        <w:rPr>
          <w:b/>
        </w:rPr>
      </w:pPr>
      <w:hyperlink r:id="rId89" w:history="1">
        <w:r w:rsidR="00906DDB">
          <w:rPr>
            <w:rStyle w:val="Hyperlink"/>
            <w:b/>
            <w:i/>
            <w:sz w:val="28"/>
          </w:rPr>
          <w:t>Sosiaalinen media ja tekoälyalgoritmit: varmistetaan oikeus paikkansapitävään tietoon ja laadukkaan sisällön näkyvyys kaikkialla Euroopassa, erityisesti kun on kyse Itä- ja Keski-Euroopasta</w:t>
        </w:r>
      </w:hyperlink>
    </w:p>
    <w:p w14:paraId="6412BCF6" w14:textId="77777777" w:rsidR="00906DDB" w:rsidRPr="00693C8D" w:rsidRDefault="00906DDB" w:rsidP="00693C8D">
      <w:pPr>
        <w:spacing w:line="240" w:lineRule="auto"/>
        <w:ind w:left="720"/>
        <w:rPr>
          <w:b/>
          <w:sz w:val="16"/>
          <w:szCs w:val="16"/>
        </w:rPr>
      </w:pPr>
    </w:p>
    <w:tbl>
      <w:tblPr>
        <w:tblW w:w="4922" w:type="pct"/>
        <w:tblLook w:val="04A0" w:firstRow="1" w:lastRow="0" w:firstColumn="1" w:lastColumn="0" w:noHBand="0" w:noVBand="1"/>
      </w:tblPr>
      <w:tblGrid>
        <w:gridCol w:w="1984"/>
        <w:gridCol w:w="6947"/>
      </w:tblGrid>
      <w:tr w:rsidR="00906DDB" w14:paraId="0D5C8980" w14:textId="77777777" w:rsidTr="00906DDB">
        <w:trPr>
          <w:trHeight w:val="445"/>
        </w:trPr>
        <w:tc>
          <w:tcPr>
            <w:tcW w:w="1111" w:type="pct"/>
            <w:hideMark/>
          </w:tcPr>
          <w:p w14:paraId="3DE80AA0" w14:textId="77777777" w:rsidR="00906DDB" w:rsidRDefault="00906DDB" w:rsidP="00D95E0E">
            <w:pPr>
              <w:tabs>
                <w:tab w:val="center" w:pos="284"/>
              </w:tabs>
              <w:ind w:left="266" w:hanging="266"/>
              <w:rPr>
                <w:b/>
              </w:rPr>
            </w:pPr>
            <w:r>
              <w:rPr>
                <w:b/>
              </w:rPr>
              <w:t>Esittelijä</w:t>
            </w:r>
          </w:p>
          <w:p w14:paraId="09EC6D20" w14:textId="77777777" w:rsidR="00906DDB" w:rsidRDefault="00906DDB" w:rsidP="00D95E0E">
            <w:pPr>
              <w:tabs>
                <w:tab w:val="center" w:pos="284"/>
              </w:tabs>
              <w:ind w:left="266" w:hanging="266"/>
              <w:rPr>
                <w:b/>
              </w:rPr>
            </w:pPr>
            <w:r>
              <w:rPr>
                <w:b/>
              </w:rPr>
              <w:t>Yhteisesittelijä</w:t>
            </w:r>
          </w:p>
        </w:tc>
        <w:tc>
          <w:tcPr>
            <w:tcW w:w="3889" w:type="pct"/>
            <w:hideMark/>
          </w:tcPr>
          <w:p w14:paraId="4E2325AA" w14:textId="77777777" w:rsidR="00906DDB" w:rsidRDefault="00906DDB" w:rsidP="00D95E0E">
            <w:pPr>
              <w:tabs>
                <w:tab w:val="center" w:pos="284"/>
              </w:tabs>
              <w:ind w:left="266" w:hanging="266"/>
            </w:pPr>
            <w:r>
              <w:t>Tatjana BABRAUSKIENĖ (työntekijät – LT)</w:t>
            </w:r>
          </w:p>
          <w:p w14:paraId="3568B7B6" w14:textId="77777777" w:rsidR="00906DDB" w:rsidRDefault="00906DDB" w:rsidP="00D95E0E">
            <w:pPr>
              <w:tabs>
                <w:tab w:val="center" w:pos="284"/>
              </w:tabs>
              <w:ind w:left="266" w:hanging="266"/>
            </w:pPr>
            <w:proofErr w:type="spellStart"/>
            <w:r>
              <w:t>Andris</w:t>
            </w:r>
            <w:proofErr w:type="spellEnd"/>
            <w:r>
              <w:t xml:space="preserve"> GOBIŅŠ (kansalaisyhteiskunnan organisaatiot – LV)</w:t>
            </w:r>
          </w:p>
        </w:tc>
      </w:tr>
      <w:tr w:rsidR="00906DDB" w14:paraId="2585AB25" w14:textId="77777777" w:rsidTr="00906DDB">
        <w:tc>
          <w:tcPr>
            <w:tcW w:w="1111" w:type="pct"/>
            <w:hideMark/>
          </w:tcPr>
          <w:p w14:paraId="3213B8CF" w14:textId="77777777" w:rsidR="00906DDB" w:rsidRDefault="00906DDB" w:rsidP="00D95E0E">
            <w:pPr>
              <w:tabs>
                <w:tab w:val="center" w:pos="284"/>
              </w:tabs>
              <w:ind w:left="266" w:hanging="266"/>
              <w:rPr>
                <w:b/>
              </w:rPr>
            </w:pPr>
            <w:r>
              <w:rPr>
                <w:b/>
              </w:rPr>
              <w:t>Viiteasiakirja</w:t>
            </w:r>
          </w:p>
        </w:tc>
        <w:tc>
          <w:tcPr>
            <w:tcW w:w="3889" w:type="pct"/>
            <w:hideMark/>
          </w:tcPr>
          <w:p w14:paraId="07E82D30" w14:textId="565F23AF" w:rsidR="00257C62" w:rsidRDefault="0062331E" w:rsidP="00D95E0E">
            <w:pPr>
              <w:tabs>
                <w:tab w:val="center" w:pos="284"/>
              </w:tabs>
              <w:ind w:left="266" w:hanging="266"/>
            </w:pPr>
            <w:r>
              <w:t>tiedonanto</w:t>
            </w:r>
          </w:p>
          <w:p w14:paraId="39A5B7B7" w14:textId="4E8CBAD4" w:rsidR="00906DDB" w:rsidRDefault="00906DDB" w:rsidP="00D95E0E">
            <w:pPr>
              <w:tabs>
                <w:tab w:val="center" w:pos="284"/>
              </w:tabs>
              <w:ind w:left="266" w:hanging="266"/>
            </w:pPr>
            <w:r>
              <w:t>EESC-2025-00907-00-00-RI</w:t>
            </w:r>
          </w:p>
        </w:tc>
      </w:tr>
    </w:tbl>
    <w:p w14:paraId="14035EBF" w14:textId="77777777" w:rsidR="00906DDB" w:rsidRPr="00693C8D" w:rsidRDefault="00906DDB" w:rsidP="00693C8D">
      <w:pPr>
        <w:keepNext/>
        <w:keepLines/>
        <w:tabs>
          <w:tab w:val="center" w:pos="284"/>
        </w:tabs>
        <w:spacing w:line="240" w:lineRule="auto"/>
        <w:ind w:left="266" w:hanging="266"/>
        <w:rPr>
          <w:b/>
          <w:sz w:val="16"/>
          <w:szCs w:val="16"/>
        </w:rPr>
      </w:pPr>
    </w:p>
    <w:p w14:paraId="6056709E" w14:textId="77777777" w:rsidR="00906DDB" w:rsidRDefault="00906DDB" w:rsidP="00693C8D">
      <w:pPr>
        <w:keepNext/>
        <w:keepLines/>
        <w:tabs>
          <w:tab w:val="center" w:pos="284"/>
        </w:tabs>
        <w:spacing w:line="240" w:lineRule="auto"/>
        <w:ind w:left="266" w:hanging="266"/>
        <w:rPr>
          <w:b/>
        </w:rPr>
      </w:pPr>
      <w:r>
        <w:rPr>
          <w:b/>
        </w:rPr>
        <w:t>Keskeiset kohdat</w:t>
      </w:r>
    </w:p>
    <w:p w14:paraId="6F2B562E" w14:textId="77777777" w:rsidR="00906DDB" w:rsidRPr="00693C8D" w:rsidRDefault="00906DDB" w:rsidP="00693C8D">
      <w:pPr>
        <w:keepNext/>
        <w:keepLines/>
        <w:tabs>
          <w:tab w:val="center" w:pos="284"/>
        </w:tabs>
        <w:spacing w:line="240" w:lineRule="auto"/>
        <w:ind w:left="266" w:hanging="266"/>
        <w:rPr>
          <w:b/>
          <w:sz w:val="16"/>
          <w:szCs w:val="16"/>
        </w:rPr>
      </w:pPr>
    </w:p>
    <w:p w14:paraId="6C961B6B" w14:textId="77777777" w:rsidR="00906DDB" w:rsidRDefault="00906DDB" w:rsidP="00D95E0E">
      <w:pPr>
        <w:rPr>
          <w:bCs/>
          <w:iCs/>
        </w:rPr>
      </w:pPr>
      <w:r>
        <w:t>ETSK</w:t>
      </w:r>
    </w:p>
    <w:p w14:paraId="7A943B7A" w14:textId="77777777" w:rsidR="00906DDB" w:rsidRPr="00693C8D" w:rsidRDefault="00906DDB" w:rsidP="00693C8D">
      <w:pPr>
        <w:numPr>
          <w:ilvl w:val="0"/>
          <w:numId w:val="48"/>
        </w:numPr>
        <w:autoSpaceDN w:val="0"/>
        <w:spacing w:line="276" w:lineRule="auto"/>
        <w:ind w:left="426"/>
        <w:rPr>
          <w:spacing w:val="-2"/>
          <w:szCs w:val="20"/>
        </w:rPr>
      </w:pPr>
      <w:r w:rsidRPr="00693C8D">
        <w:rPr>
          <w:spacing w:val="-2"/>
        </w:rPr>
        <w:t>korostaa, että ulkovaltojen tällä hetkellä Itä-Euroopassa demokratiaa vastaan käymän hybridisodan yhtenä osana ovat disinformaatiokampanjat, joiden tarkoituksena on heikentää luottamusta demokraattisiin instituutioihin, joissa hyödynnetään yhteiskunnan jakolinjoja ja jotka kohdennetaan erityisesti haavoittuvassa asemassa oleviin väestöryhmiin. Sosiaalisella medialla ja tekoälyalgoritmeilla on ratkaiseva rooli, sillä ne voivat joko tukea tai heikentää demokratiaa.</w:t>
      </w:r>
    </w:p>
    <w:p w14:paraId="23BAAFA8" w14:textId="77777777" w:rsidR="00906DDB" w:rsidRPr="00693C8D" w:rsidRDefault="00906DDB" w:rsidP="00693C8D">
      <w:pPr>
        <w:numPr>
          <w:ilvl w:val="0"/>
          <w:numId w:val="48"/>
        </w:numPr>
        <w:autoSpaceDN w:val="0"/>
        <w:spacing w:line="276" w:lineRule="auto"/>
        <w:ind w:left="426"/>
        <w:rPr>
          <w:spacing w:val="-2"/>
        </w:rPr>
      </w:pPr>
      <w:r w:rsidRPr="00693C8D">
        <w:rPr>
          <w:spacing w:val="-2"/>
        </w:rPr>
        <w:t>korostaa, että sosiaalisen median alustat ja tekoälyalgoritmit muokkaavat ratkaisevalla tavalla julkista keskustelua ja eurooppalaisten näkemää tietoa ja kasvattavat usein sensaatiohakuisen tai mielipiteitä jakavan sisällön näkyvyyttä laadukkaan journalismin kustannuksella: koska alustat on suunniteltu korostamaan osallistumista tarkkuuden sijaan, riippumattomien tahojen on vaikeampaa saada ääntään kuuluviin – erityisesti Itä-Euroopassa – kun taas polarisoiva sisältö kukoistaa.</w:t>
      </w:r>
    </w:p>
    <w:p w14:paraId="4BF18F15" w14:textId="77777777" w:rsidR="00906DDB" w:rsidRPr="00693C8D" w:rsidRDefault="00906DDB" w:rsidP="00693C8D">
      <w:pPr>
        <w:numPr>
          <w:ilvl w:val="0"/>
          <w:numId w:val="48"/>
        </w:numPr>
        <w:autoSpaceDN w:val="0"/>
        <w:spacing w:line="276" w:lineRule="auto"/>
        <w:ind w:left="426"/>
        <w:rPr>
          <w:spacing w:val="-2"/>
        </w:rPr>
      </w:pPr>
      <w:r w:rsidRPr="00693C8D">
        <w:rPr>
          <w:spacing w:val="-2"/>
        </w:rPr>
        <w:t>painottaa, että Keski- ja Itä-Euroopan tiedotusympäristö on erityisen haavoittuva: disinformaatio räätälöidään paikallisten kielten ja sisällön mukaan, hyödyntäen algoritmivalinnoista johtuvaa venäjänkielisen sisällön hallitsevaa asemaa internetissä.</w:t>
      </w:r>
    </w:p>
    <w:p w14:paraId="0D0AE44F" w14:textId="77777777" w:rsidR="00906DDB" w:rsidRPr="00693C8D" w:rsidRDefault="00906DDB" w:rsidP="00693C8D">
      <w:pPr>
        <w:numPr>
          <w:ilvl w:val="0"/>
          <w:numId w:val="48"/>
        </w:numPr>
        <w:autoSpaceDN w:val="0"/>
        <w:spacing w:line="276" w:lineRule="auto"/>
        <w:ind w:left="426"/>
        <w:rPr>
          <w:spacing w:val="-2"/>
        </w:rPr>
      </w:pPr>
      <w:r w:rsidRPr="00693C8D">
        <w:rPr>
          <w:spacing w:val="-2"/>
        </w:rPr>
        <w:t xml:space="preserve">huomauttaa, että digitaalisia tiloja hallitsevat venäjänkieliset kertomukset ja että itsenäiset äänet jäävät vähälle huomiolle. </w:t>
      </w:r>
      <w:proofErr w:type="spellStart"/>
      <w:r w:rsidRPr="00693C8D">
        <w:rPr>
          <w:spacing w:val="-2"/>
        </w:rPr>
        <w:t>Telegramin</w:t>
      </w:r>
      <w:proofErr w:type="spellEnd"/>
      <w:r w:rsidRPr="00693C8D">
        <w:rPr>
          <w:spacing w:val="-2"/>
        </w:rPr>
        <w:t xml:space="preserve"> ja </w:t>
      </w:r>
      <w:proofErr w:type="spellStart"/>
      <w:r w:rsidRPr="00693C8D">
        <w:rPr>
          <w:spacing w:val="-2"/>
        </w:rPr>
        <w:t>VKontakten</w:t>
      </w:r>
      <w:proofErr w:type="spellEnd"/>
      <w:r w:rsidRPr="00693C8D">
        <w:rPr>
          <w:spacing w:val="-2"/>
        </w:rPr>
        <w:t xml:space="preserve"> kaltaiset suositut alustat eivät myöskään ole EU:n sääntelyn piirissä, mikä luo katvealueita. Heikon täytäntöönpanon ja sakkojen rajallisuuden seurauksena alustojen vaatimustenmukaisuus on edelleen vähäistä.</w:t>
      </w:r>
    </w:p>
    <w:p w14:paraId="75E56FB5" w14:textId="77777777" w:rsidR="00906DDB" w:rsidRPr="00693C8D" w:rsidRDefault="00906DDB" w:rsidP="00693C8D">
      <w:pPr>
        <w:numPr>
          <w:ilvl w:val="0"/>
          <w:numId w:val="48"/>
        </w:numPr>
        <w:autoSpaceDN w:val="0"/>
        <w:spacing w:line="276" w:lineRule="auto"/>
        <w:ind w:left="426"/>
        <w:rPr>
          <w:spacing w:val="-2"/>
        </w:rPr>
      </w:pPr>
      <w:r w:rsidRPr="00693C8D">
        <w:rPr>
          <w:spacing w:val="-2"/>
        </w:rPr>
        <w:t>katsoo, että Valko-Venäjä on karu esimerkki näistä haasteista: tukahduttamisen, digitaalisen syrjäytymisen ja algoritmien avulla tapahtuvan sivuuttamisen yhdistelmällä hiljennetään toisinajattelu, vahvistetaan propagandaa ja muokataan mielikuvia EU:sta. Sama dynamiikka vaikuttaa eri Keski- ja Itä-Euroopan maissa, joissa alustoilta puuttuvat usein paikalliset käytännöt ja tekoälytyökalujen koulutuksessa käytettävät lähteet ovat epäluotettavia.</w:t>
      </w:r>
    </w:p>
    <w:p w14:paraId="7DFB57C1" w14:textId="615C5865" w:rsidR="00906DDB" w:rsidRPr="00693C8D" w:rsidRDefault="00906DDB" w:rsidP="00693C8D">
      <w:pPr>
        <w:numPr>
          <w:ilvl w:val="0"/>
          <w:numId w:val="48"/>
        </w:numPr>
        <w:autoSpaceDN w:val="0"/>
        <w:spacing w:line="276" w:lineRule="auto"/>
        <w:ind w:left="426"/>
        <w:rPr>
          <w:spacing w:val="-2"/>
        </w:rPr>
      </w:pPr>
      <w:r w:rsidRPr="00693C8D">
        <w:rPr>
          <w:spacing w:val="-2"/>
        </w:rPr>
        <w:t>toteaa, että valvonta on epätasaista ja siinä on edelleen puutteita, vaikka avoimuutta ja vastuu</w:t>
      </w:r>
      <w:r w:rsidR="00693C8D">
        <w:rPr>
          <w:spacing w:val="-2"/>
        </w:rPr>
        <w:softHyphen/>
      </w:r>
      <w:r w:rsidRPr="00693C8D">
        <w:rPr>
          <w:spacing w:val="-2"/>
        </w:rPr>
        <w:t>velvollisuutta on pyritty lisäämään digipalvelusäädöksen, tekoälysäädöksen ja eurooppalaisen medianvapaussäädöksen kaltaisilla välineillä. Kielelliset ja narratiiviset vinoumat – kuten ’entisen Neuvostoliiton maista’ puhuminen edelleen – vääristävät entisestään erilaisia identiteettejä ja historiaa.</w:t>
      </w:r>
    </w:p>
    <w:p w14:paraId="2E62819F" w14:textId="77777777" w:rsidR="00906DDB" w:rsidRPr="00693C8D" w:rsidRDefault="00906DDB" w:rsidP="00693C8D">
      <w:pPr>
        <w:numPr>
          <w:ilvl w:val="0"/>
          <w:numId w:val="48"/>
        </w:numPr>
        <w:autoSpaceDN w:val="0"/>
        <w:spacing w:line="276" w:lineRule="auto"/>
        <w:ind w:left="426"/>
        <w:rPr>
          <w:spacing w:val="-2"/>
        </w:rPr>
      </w:pPr>
      <w:r w:rsidRPr="00693C8D">
        <w:rPr>
          <w:spacing w:val="-2"/>
        </w:rPr>
        <w:t>kannattaa sellaisten puitteiden kehittämistä, joilla varmistetaan Itä-Euroopasta tulevan laadukkaan ja paikallisesti juurtuneen sisällön näkyvyys, sekä medialukutaidon vahvistamista, algoritmista vastuuvelvollisuutta ja rajat ylittävää yhteistyötä disinformaation torjumiseksi ja demokraattisten arvojen ylläpitämiseksi.</w:t>
      </w:r>
    </w:p>
    <w:p w14:paraId="14138A01" w14:textId="77777777" w:rsidR="00906DDB" w:rsidRPr="00693C8D" w:rsidRDefault="00906DDB" w:rsidP="00693C8D">
      <w:pPr>
        <w:spacing w:line="240" w:lineRule="auto"/>
        <w:ind w:left="709"/>
        <w:rPr>
          <w:sz w:val="16"/>
          <w:szCs w:val="16"/>
        </w:rPr>
      </w:pPr>
    </w:p>
    <w:tbl>
      <w:tblPr>
        <w:tblW w:w="5000" w:type="pct"/>
        <w:tblLook w:val="04A0" w:firstRow="1" w:lastRow="0" w:firstColumn="1" w:lastColumn="0" w:noHBand="0" w:noVBand="1"/>
      </w:tblPr>
      <w:tblGrid>
        <w:gridCol w:w="1630"/>
        <w:gridCol w:w="7443"/>
      </w:tblGrid>
      <w:tr w:rsidR="00906DDB" w14:paraId="5962BEFC" w14:textId="77777777" w:rsidTr="00906DDB">
        <w:tc>
          <w:tcPr>
            <w:tcW w:w="898" w:type="pct"/>
            <w:hideMark/>
          </w:tcPr>
          <w:p w14:paraId="4CA208A7" w14:textId="77777777" w:rsidR="00906DDB" w:rsidRDefault="00906DDB" w:rsidP="00D95E0E">
            <w:pPr>
              <w:rPr>
                <w:i/>
              </w:rPr>
            </w:pPr>
            <w:r>
              <w:rPr>
                <w:b/>
                <w:i/>
              </w:rPr>
              <w:t>Yhteydenotot</w:t>
            </w:r>
          </w:p>
        </w:tc>
        <w:tc>
          <w:tcPr>
            <w:tcW w:w="4102" w:type="pct"/>
            <w:hideMark/>
          </w:tcPr>
          <w:p w14:paraId="7F32C2A9" w14:textId="3C9CBE7A" w:rsidR="00906DDB" w:rsidRDefault="00906DDB" w:rsidP="00D95E0E">
            <w:pPr>
              <w:rPr>
                <w:i/>
                <w:iCs/>
                <w:szCs w:val="20"/>
              </w:rPr>
            </w:pPr>
            <w:proofErr w:type="spellStart"/>
            <w:r>
              <w:rPr>
                <w:i/>
              </w:rPr>
              <w:t>Daniele</w:t>
            </w:r>
            <w:proofErr w:type="spellEnd"/>
            <w:r w:rsidR="00466543">
              <w:rPr>
                <w:i/>
              </w:rPr>
              <w:t xml:space="preserve"> </w:t>
            </w:r>
            <w:proofErr w:type="spellStart"/>
            <w:r w:rsidR="00B959E2" w:rsidRPr="004B6F63">
              <w:rPr>
                <w:i/>
                <w:iCs/>
              </w:rPr>
              <w:t>Vitali</w:t>
            </w:r>
            <w:proofErr w:type="spellEnd"/>
            <w:r w:rsidR="00B959E2">
              <w:rPr>
                <w:i/>
              </w:rPr>
              <w:t xml:space="preserve"> </w:t>
            </w:r>
          </w:p>
        </w:tc>
      </w:tr>
      <w:tr w:rsidR="00906DDB" w14:paraId="63B4B00C" w14:textId="77777777" w:rsidTr="00906DDB">
        <w:tc>
          <w:tcPr>
            <w:tcW w:w="898" w:type="pct"/>
            <w:hideMark/>
          </w:tcPr>
          <w:p w14:paraId="3C45B179" w14:textId="77777777" w:rsidR="00906DDB" w:rsidRDefault="00906DDB" w:rsidP="00D95E0E">
            <w:pPr>
              <w:rPr>
                <w:i/>
              </w:rPr>
            </w:pPr>
            <w:r>
              <w:rPr>
                <w:i/>
              </w:rPr>
              <w:t>P.</w:t>
            </w:r>
          </w:p>
        </w:tc>
        <w:tc>
          <w:tcPr>
            <w:tcW w:w="4102" w:type="pct"/>
            <w:hideMark/>
          </w:tcPr>
          <w:p w14:paraId="58B64652" w14:textId="77777777" w:rsidR="00906DDB" w:rsidRDefault="00906DDB" w:rsidP="00D95E0E">
            <w:pPr>
              <w:rPr>
                <w:i/>
              </w:rPr>
            </w:pPr>
            <w:r>
              <w:rPr>
                <w:i/>
              </w:rPr>
              <w:t>+32 25468817</w:t>
            </w:r>
          </w:p>
        </w:tc>
      </w:tr>
      <w:tr w:rsidR="00906DDB" w14:paraId="29340E12" w14:textId="77777777" w:rsidTr="00906DDB">
        <w:tc>
          <w:tcPr>
            <w:tcW w:w="898" w:type="pct"/>
            <w:hideMark/>
          </w:tcPr>
          <w:p w14:paraId="25D2AAA8" w14:textId="77777777" w:rsidR="00906DDB" w:rsidRDefault="00906DDB" w:rsidP="00D95E0E">
            <w:pPr>
              <w:rPr>
                <w:i/>
              </w:rPr>
            </w:pPr>
            <w:r>
              <w:rPr>
                <w:i/>
              </w:rPr>
              <w:t>Sähköposti</w:t>
            </w:r>
          </w:p>
        </w:tc>
        <w:tc>
          <w:tcPr>
            <w:tcW w:w="4102" w:type="pct"/>
            <w:hideMark/>
          </w:tcPr>
          <w:p w14:paraId="1DE9B0E5" w14:textId="77777777" w:rsidR="00906DDB" w:rsidRDefault="0061775F" w:rsidP="00D95E0E">
            <w:pPr>
              <w:rPr>
                <w:i/>
              </w:rPr>
            </w:pPr>
            <w:hyperlink r:id="rId90" w:history="1">
              <w:r w:rsidR="00906DDB">
                <w:rPr>
                  <w:rStyle w:val="Hyperlink"/>
                  <w:i/>
                </w:rPr>
                <w:t>Daniele.Vitali@eesc.europa.eu</w:t>
              </w:r>
            </w:hyperlink>
          </w:p>
        </w:tc>
      </w:tr>
    </w:tbl>
    <w:p w14:paraId="4BE88E26" w14:textId="77777777" w:rsidR="00906DDB" w:rsidRDefault="00906DDB" w:rsidP="00D95E0E">
      <w:pPr>
        <w:jc w:val="left"/>
      </w:pPr>
      <w:r>
        <w:br w:type="page"/>
      </w:r>
    </w:p>
    <w:p w14:paraId="7D2756F6" w14:textId="267FB09A" w:rsidR="00906DDB" w:rsidRDefault="0061775F" w:rsidP="00D95E0E">
      <w:pPr>
        <w:numPr>
          <w:ilvl w:val="0"/>
          <w:numId w:val="3"/>
        </w:numPr>
        <w:overflowPunct w:val="0"/>
        <w:autoSpaceDE w:val="0"/>
        <w:autoSpaceDN w:val="0"/>
        <w:adjustRightInd w:val="0"/>
        <w:ind w:left="266" w:hanging="266"/>
        <w:rPr>
          <w:b/>
        </w:rPr>
      </w:pPr>
      <w:hyperlink r:id="rId91" w:history="1">
        <w:r w:rsidR="00906DDB">
          <w:rPr>
            <w:rStyle w:val="Hyperlink"/>
            <w:b/>
            <w:i/>
            <w:sz w:val="28"/>
          </w:rPr>
          <w:t>Sininen diplomatia ja vesiyhteistyö</w:t>
        </w:r>
      </w:hyperlink>
      <w:r w:rsidR="00906DDB">
        <w:rPr>
          <w:b/>
          <w:i/>
          <w:sz w:val="28"/>
        </w:rPr>
        <w:t xml:space="preserve"> </w:t>
      </w:r>
    </w:p>
    <w:p w14:paraId="69400AC9" w14:textId="77777777" w:rsidR="00906DDB" w:rsidRDefault="00906DDB" w:rsidP="00D95E0E">
      <w:pPr>
        <w:ind w:left="266"/>
        <w:rPr>
          <w:b/>
        </w:rPr>
      </w:pPr>
    </w:p>
    <w:tbl>
      <w:tblPr>
        <w:tblW w:w="5000" w:type="pct"/>
        <w:tblLook w:val="04A0" w:firstRow="1" w:lastRow="0" w:firstColumn="1" w:lastColumn="0" w:noHBand="0" w:noVBand="1"/>
      </w:tblPr>
      <w:tblGrid>
        <w:gridCol w:w="1954"/>
        <w:gridCol w:w="7119"/>
      </w:tblGrid>
      <w:tr w:rsidR="00906DDB" w14:paraId="16CE11ED" w14:textId="77777777" w:rsidTr="00906DDB">
        <w:tc>
          <w:tcPr>
            <w:tcW w:w="1077" w:type="pct"/>
            <w:hideMark/>
          </w:tcPr>
          <w:p w14:paraId="58EA9EC1" w14:textId="77777777" w:rsidR="00906DDB" w:rsidRDefault="00906DDB" w:rsidP="00D95E0E">
            <w:pPr>
              <w:tabs>
                <w:tab w:val="center" w:pos="284"/>
              </w:tabs>
              <w:ind w:left="266" w:hanging="266"/>
              <w:rPr>
                <w:b/>
              </w:rPr>
            </w:pPr>
            <w:r>
              <w:rPr>
                <w:b/>
              </w:rPr>
              <w:t>Esittelijä</w:t>
            </w:r>
          </w:p>
        </w:tc>
        <w:tc>
          <w:tcPr>
            <w:tcW w:w="3923" w:type="pct"/>
            <w:hideMark/>
          </w:tcPr>
          <w:p w14:paraId="3BD934DF" w14:textId="77777777" w:rsidR="00906DDB" w:rsidRDefault="00906DDB" w:rsidP="00D95E0E">
            <w:pPr>
              <w:tabs>
                <w:tab w:val="center" w:pos="284"/>
              </w:tabs>
              <w:ind w:left="266" w:right="-3091" w:hanging="266"/>
            </w:pPr>
            <w:r>
              <w:t>Milena ANGELOVA (työnantajat – BG)</w:t>
            </w:r>
          </w:p>
        </w:tc>
      </w:tr>
      <w:tr w:rsidR="00906DDB" w14:paraId="4A9479E3" w14:textId="77777777" w:rsidTr="00906DDB">
        <w:tc>
          <w:tcPr>
            <w:tcW w:w="1077" w:type="pct"/>
            <w:hideMark/>
          </w:tcPr>
          <w:p w14:paraId="7A926C70" w14:textId="77777777" w:rsidR="00906DDB" w:rsidRDefault="00906DDB" w:rsidP="00D95E0E">
            <w:pPr>
              <w:tabs>
                <w:tab w:val="center" w:pos="284"/>
              </w:tabs>
              <w:ind w:left="266" w:hanging="266"/>
              <w:rPr>
                <w:b/>
              </w:rPr>
            </w:pPr>
            <w:r>
              <w:rPr>
                <w:b/>
              </w:rPr>
              <w:t>Yhteisesittelijä</w:t>
            </w:r>
          </w:p>
        </w:tc>
        <w:tc>
          <w:tcPr>
            <w:tcW w:w="3923" w:type="pct"/>
            <w:hideMark/>
          </w:tcPr>
          <w:p w14:paraId="5E56FF7E" w14:textId="77777777" w:rsidR="00906DDB" w:rsidRDefault="00906DDB" w:rsidP="00D95E0E">
            <w:pPr>
              <w:tabs>
                <w:tab w:val="center" w:pos="284"/>
              </w:tabs>
              <w:ind w:left="266" w:right="-3091" w:hanging="266"/>
            </w:pPr>
            <w:proofErr w:type="spellStart"/>
            <w:r>
              <w:t>Ioannis</w:t>
            </w:r>
            <w:proofErr w:type="spellEnd"/>
            <w:r>
              <w:t xml:space="preserve"> VARDAKASTANIS (kansalaisyhteiskunnan organisaatiot – EL)</w:t>
            </w:r>
          </w:p>
        </w:tc>
      </w:tr>
      <w:tr w:rsidR="00906DDB" w14:paraId="3CE6C679" w14:textId="77777777" w:rsidTr="00906DDB">
        <w:tc>
          <w:tcPr>
            <w:tcW w:w="1077" w:type="pct"/>
            <w:hideMark/>
          </w:tcPr>
          <w:p w14:paraId="3D14CFA2" w14:textId="77777777" w:rsidR="00906DDB" w:rsidRDefault="00906DDB" w:rsidP="00D95E0E">
            <w:pPr>
              <w:tabs>
                <w:tab w:val="center" w:pos="284"/>
              </w:tabs>
              <w:ind w:left="266" w:hanging="266"/>
              <w:rPr>
                <w:b/>
              </w:rPr>
            </w:pPr>
            <w:r>
              <w:rPr>
                <w:b/>
              </w:rPr>
              <w:t>Viiteasiakirjat</w:t>
            </w:r>
          </w:p>
        </w:tc>
        <w:tc>
          <w:tcPr>
            <w:tcW w:w="3923" w:type="pct"/>
            <w:hideMark/>
          </w:tcPr>
          <w:p w14:paraId="4FAC8DD5" w14:textId="666F8548" w:rsidR="00257C62" w:rsidRDefault="0062331E" w:rsidP="00D95E0E">
            <w:pPr>
              <w:tabs>
                <w:tab w:val="center" w:pos="284"/>
              </w:tabs>
              <w:ind w:left="266" w:right="-3091" w:hanging="266"/>
            </w:pPr>
            <w:r>
              <w:t>oma</w:t>
            </w:r>
            <w:r w:rsidR="00257C62">
              <w:t>-aloitteinen lausunto</w:t>
            </w:r>
          </w:p>
          <w:p w14:paraId="626E4F58" w14:textId="7FC8A69B" w:rsidR="00906DDB" w:rsidRDefault="00906DDB" w:rsidP="00D95E0E">
            <w:pPr>
              <w:tabs>
                <w:tab w:val="center" w:pos="284"/>
              </w:tabs>
              <w:ind w:left="266" w:right="-3091" w:hanging="266"/>
            </w:pPr>
            <w:r>
              <w:t>EESC-2025-00737-00-00-AC</w:t>
            </w:r>
          </w:p>
        </w:tc>
      </w:tr>
    </w:tbl>
    <w:p w14:paraId="7C58F22F" w14:textId="77777777" w:rsidR="00906DDB" w:rsidRDefault="00906DDB" w:rsidP="00D95E0E">
      <w:pPr>
        <w:tabs>
          <w:tab w:val="center" w:pos="284"/>
        </w:tabs>
        <w:ind w:left="266" w:hanging="266"/>
        <w:rPr>
          <w:b/>
        </w:rPr>
      </w:pPr>
    </w:p>
    <w:p w14:paraId="7B4FFA4B" w14:textId="77777777" w:rsidR="00906DDB" w:rsidRDefault="00906DDB" w:rsidP="00D95E0E">
      <w:pPr>
        <w:keepNext/>
        <w:keepLines/>
        <w:tabs>
          <w:tab w:val="center" w:pos="284"/>
        </w:tabs>
        <w:ind w:left="266" w:hanging="266"/>
        <w:rPr>
          <w:b/>
        </w:rPr>
      </w:pPr>
      <w:r>
        <w:rPr>
          <w:b/>
        </w:rPr>
        <w:t>Keskeiset kohdat</w:t>
      </w:r>
    </w:p>
    <w:p w14:paraId="46420DF3" w14:textId="77777777" w:rsidR="00906DDB" w:rsidRDefault="00906DDB" w:rsidP="00D95E0E">
      <w:pPr>
        <w:keepNext/>
        <w:keepLines/>
        <w:tabs>
          <w:tab w:val="center" w:pos="284"/>
        </w:tabs>
        <w:ind w:left="266" w:hanging="266"/>
        <w:rPr>
          <w:b/>
        </w:rPr>
      </w:pPr>
    </w:p>
    <w:p w14:paraId="6F1E031C" w14:textId="77777777" w:rsidR="00906DDB" w:rsidRDefault="00906DDB" w:rsidP="00D95E0E">
      <w:pPr>
        <w:rPr>
          <w:bCs/>
          <w:iCs/>
        </w:rPr>
      </w:pPr>
      <w:r>
        <w:t>ETSK</w:t>
      </w:r>
    </w:p>
    <w:p w14:paraId="6D6A2F39" w14:textId="77777777" w:rsidR="00906DDB" w:rsidRDefault="00906DDB" w:rsidP="00D95E0E">
      <w:pPr>
        <w:numPr>
          <w:ilvl w:val="0"/>
          <w:numId w:val="49"/>
        </w:numPr>
        <w:overflowPunct w:val="0"/>
        <w:autoSpaceDE w:val="0"/>
        <w:autoSpaceDN w:val="0"/>
        <w:adjustRightInd w:val="0"/>
        <w:ind w:left="426"/>
        <w:rPr>
          <w:bCs/>
          <w:iCs/>
        </w:rPr>
      </w:pPr>
      <w:r>
        <w:t xml:space="preserve">suosittaa </w:t>
      </w:r>
      <w:r>
        <w:rPr>
          <w:b/>
        </w:rPr>
        <w:t>yhden yhteisen määritelmän hyväksymistä ilmastosta johtuvalle muuttoliikkeelle EU:n tasolla</w:t>
      </w:r>
      <w:r>
        <w:t>.</w:t>
      </w:r>
    </w:p>
    <w:p w14:paraId="7F1B6D38" w14:textId="77777777" w:rsidR="00906DDB" w:rsidRDefault="00906DDB" w:rsidP="00D95E0E">
      <w:pPr>
        <w:numPr>
          <w:ilvl w:val="0"/>
          <w:numId w:val="49"/>
        </w:numPr>
        <w:overflowPunct w:val="0"/>
        <w:autoSpaceDE w:val="0"/>
        <w:autoSpaceDN w:val="0"/>
        <w:adjustRightInd w:val="0"/>
        <w:ind w:left="426"/>
        <w:rPr>
          <w:bCs/>
          <w:iCs/>
        </w:rPr>
      </w:pPr>
      <w:r>
        <w:t xml:space="preserve">kehottaa </w:t>
      </w:r>
      <w:r>
        <w:rPr>
          <w:b/>
        </w:rPr>
        <w:t xml:space="preserve">edistämään ja rahoittamaan lisätutkimushankkeita </w:t>
      </w:r>
      <w:r>
        <w:t>ottaen huomioon muuttoliikkeen mutkikkaan ja monitahoisen luonteen sekä</w:t>
      </w:r>
      <w:r>
        <w:rPr>
          <w:b/>
        </w:rPr>
        <w:t xml:space="preserve"> tutkimaan mahdollisuutta muuttaa kohdemaihin saapuvia henkilöitä koskevan tiedonkeruun käytäntöjä</w:t>
      </w:r>
      <w:r>
        <w:t>.</w:t>
      </w:r>
    </w:p>
    <w:p w14:paraId="7F3944BC" w14:textId="77777777" w:rsidR="00906DDB" w:rsidRDefault="00906DDB" w:rsidP="00D95E0E">
      <w:pPr>
        <w:numPr>
          <w:ilvl w:val="0"/>
          <w:numId w:val="49"/>
        </w:numPr>
        <w:overflowPunct w:val="0"/>
        <w:autoSpaceDE w:val="0"/>
        <w:autoSpaceDN w:val="0"/>
        <w:adjustRightInd w:val="0"/>
        <w:ind w:left="426"/>
        <w:rPr>
          <w:bCs/>
          <w:iCs/>
        </w:rPr>
      </w:pPr>
      <w:r>
        <w:t xml:space="preserve">kehottaa </w:t>
      </w:r>
      <w:r>
        <w:rPr>
          <w:b/>
        </w:rPr>
        <w:t>edistämään oikeusalan ja muuttoliikeasioiden ammattilaisten välistä vuoropuhelua erilaisista oikeudellista kehystä koskevista tulkinnoista tiedon jakamiseksi jäsenvaltioissa ja niiden välillä</w:t>
      </w:r>
      <w:r>
        <w:t xml:space="preserve"> ja lisäksi Euroopan komissiota </w:t>
      </w:r>
      <w:r>
        <w:rPr>
          <w:b/>
        </w:rPr>
        <w:t>laatimaan koosteen asiaa koskevasta oikeuskäytännöstä</w:t>
      </w:r>
      <w:r>
        <w:t xml:space="preserve">. Komitea katsoo, että </w:t>
      </w:r>
      <w:r>
        <w:rPr>
          <w:b/>
        </w:rPr>
        <w:t>toimijoita tulee kannustaa hyödyntämään ilmastonmuutoksen ja katastrofien vuoksi toiseen maahan muuttamaan joutuneiden henkilöiden kansainvälistä suojelua koskevaa käytännön välineistöä</w:t>
      </w:r>
      <w:r>
        <w:t>.</w:t>
      </w:r>
    </w:p>
    <w:p w14:paraId="7E626DD3" w14:textId="77777777" w:rsidR="00906DDB" w:rsidRDefault="00906DDB" w:rsidP="00D95E0E">
      <w:pPr>
        <w:numPr>
          <w:ilvl w:val="0"/>
          <w:numId w:val="49"/>
        </w:numPr>
        <w:overflowPunct w:val="0"/>
        <w:autoSpaceDE w:val="0"/>
        <w:autoSpaceDN w:val="0"/>
        <w:adjustRightInd w:val="0"/>
        <w:ind w:left="426"/>
        <w:rPr>
          <w:bCs/>
          <w:iCs/>
        </w:rPr>
      </w:pPr>
      <w:r>
        <w:t xml:space="preserve">peräänkuuluttaa </w:t>
      </w:r>
      <w:r>
        <w:rPr>
          <w:b/>
        </w:rPr>
        <w:t>toimia, joiden avulla edistetään EU:n ympäristö- ja muuttoliikepolitiikan yhteisvaikutuksia</w:t>
      </w:r>
      <w:r>
        <w:t xml:space="preserve"> nivomalla humanitaarisen avun, kehityksen ja rauhan jatkumo yhä tiiviimmin ilmastosiirtolaisuuspolitiikkaan ja sisällyttämällä muuttoliike ilmastonmuutokseen sopeutumisen muotona ilmastosiirtolaisuutta koskevaan unionin lähestymistapaan.</w:t>
      </w:r>
    </w:p>
    <w:p w14:paraId="52893F07" w14:textId="77777777" w:rsidR="00906DDB" w:rsidRDefault="00906DDB" w:rsidP="00D95E0E">
      <w:pPr>
        <w:numPr>
          <w:ilvl w:val="0"/>
          <w:numId w:val="49"/>
        </w:numPr>
        <w:overflowPunct w:val="0"/>
        <w:autoSpaceDE w:val="0"/>
        <w:autoSpaceDN w:val="0"/>
        <w:adjustRightInd w:val="0"/>
        <w:ind w:left="426"/>
        <w:rPr>
          <w:bCs/>
          <w:iCs/>
        </w:rPr>
      </w:pPr>
      <w:r>
        <w:t xml:space="preserve">kehottaa </w:t>
      </w:r>
      <w:r>
        <w:rPr>
          <w:b/>
        </w:rPr>
        <w:t>Euroopan komissiota kehittämään edelleen yhteistyötään kumppanimaiden kanssa, helpottamaan kansainvälisen rahoituksen saamista kumppanimaihin ilmastokestävyyden ja ilmastonmuutokseen varautumisen tukemiseksi ja noudattamaan jo tehtyjä sitoumuksia</w:t>
      </w:r>
      <w:r>
        <w:t>.</w:t>
      </w:r>
    </w:p>
    <w:p w14:paraId="20EDADA6" w14:textId="77777777" w:rsidR="00906DDB" w:rsidRDefault="00906DDB" w:rsidP="00D95E0E">
      <w:pPr>
        <w:numPr>
          <w:ilvl w:val="0"/>
          <w:numId w:val="49"/>
        </w:numPr>
        <w:overflowPunct w:val="0"/>
        <w:autoSpaceDE w:val="0"/>
        <w:autoSpaceDN w:val="0"/>
        <w:adjustRightInd w:val="0"/>
        <w:ind w:left="426"/>
        <w:rPr>
          <w:bCs/>
          <w:iCs/>
        </w:rPr>
      </w:pPr>
      <w:r>
        <w:t xml:space="preserve">suosittaa, että </w:t>
      </w:r>
      <w:r>
        <w:rPr>
          <w:b/>
        </w:rPr>
        <w:t>tilapäistä suojelua koskevan direktiivin soveltamisalaa laajennetaan koskemaan muuttajia, jotka pakenevat katastrofien ja ilmastonmuutoksen voimakkaasti koettelemista maista</w:t>
      </w:r>
      <w:r>
        <w:t>.</w:t>
      </w:r>
    </w:p>
    <w:p w14:paraId="592B7120" w14:textId="77777777" w:rsidR="00906DDB" w:rsidRDefault="00906DDB" w:rsidP="00D95E0E">
      <w:pPr>
        <w:ind w:left="709"/>
        <w:rPr>
          <w:szCs w:val="20"/>
        </w:rPr>
      </w:pPr>
    </w:p>
    <w:tbl>
      <w:tblPr>
        <w:tblW w:w="5000" w:type="pct"/>
        <w:tblLook w:val="04A0" w:firstRow="1" w:lastRow="0" w:firstColumn="1" w:lastColumn="0" w:noHBand="0" w:noVBand="1"/>
      </w:tblPr>
      <w:tblGrid>
        <w:gridCol w:w="1954"/>
        <w:gridCol w:w="7119"/>
      </w:tblGrid>
      <w:tr w:rsidR="00906DDB" w14:paraId="4924C757" w14:textId="77777777" w:rsidTr="00906DDB">
        <w:tc>
          <w:tcPr>
            <w:tcW w:w="1077" w:type="pct"/>
            <w:hideMark/>
          </w:tcPr>
          <w:p w14:paraId="729FBED3" w14:textId="77777777" w:rsidR="00906DDB" w:rsidRDefault="00906DDB" w:rsidP="00D95E0E">
            <w:pPr>
              <w:rPr>
                <w:i/>
              </w:rPr>
            </w:pPr>
            <w:r>
              <w:rPr>
                <w:b/>
                <w:i/>
              </w:rPr>
              <w:t>Yhteydenotot</w:t>
            </w:r>
          </w:p>
        </w:tc>
        <w:tc>
          <w:tcPr>
            <w:tcW w:w="3923" w:type="pct"/>
            <w:hideMark/>
          </w:tcPr>
          <w:p w14:paraId="75689B90" w14:textId="1071F732" w:rsidR="00906DDB" w:rsidRDefault="00906DDB" w:rsidP="00D95E0E">
            <w:pPr>
              <w:rPr>
                <w:i/>
              </w:rPr>
            </w:pPr>
            <w:r>
              <w:rPr>
                <w:i/>
              </w:rPr>
              <w:t xml:space="preserve">Marie-Laurence </w:t>
            </w:r>
            <w:proofErr w:type="spellStart"/>
            <w:r w:rsidR="00B959E2">
              <w:rPr>
                <w:i/>
              </w:rPr>
              <w:t>Drillon</w:t>
            </w:r>
            <w:proofErr w:type="spellEnd"/>
          </w:p>
        </w:tc>
      </w:tr>
      <w:tr w:rsidR="00906DDB" w14:paraId="61A16AD4" w14:textId="77777777" w:rsidTr="00906DDB">
        <w:tc>
          <w:tcPr>
            <w:tcW w:w="1077" w:type="pct"/>
            <w:hideMark/>
          </w:tcPr>
          <w:p w14:paraId="23004154" w14:textId="77777777" w:rsidR="00906DDB" w:rsidRDefault="00906DDB" w:rsidP="00D95E0E">
            <w:pPr>
              <w:rPr>
                <w:i/>
              </w:rPr>
            </w:pPr>
            <w:r>
              <w:rPr>
                <w:i/>
              </w:rPr>
              <w:t>P.</w:t>
            </w:r>
          </w:p>
        </w:tc>
        <w:tc>
          <w:tcPr>
            <w:tcW w:w="3923" w:type="pct"/>
            <w:hideMark/>
          </w:tcPr>
          <w:p w14:paraId="5BD6FC7F" w14:textId="77777777" w:rsidR="00906DDB" w:rsidRDefault="00906DDB" w:rsidP="00D95E0E">
            <w:pPr>
              <w:rPr>
                <w:i/>
              </w:rPr>
            </w:pPr>
            <w:r>
              <w:rPr>
                <w:i/>
              </w:rPr>
              <w:t>+32 25468320</w:t>
            </w:r>
          </w:p>
        </w:tc>
      </w:tr>
      <w:tr w:rsidR="00906DDB" w14:paraId="2EC888F8" w14:textId="77777777" w:rsidTr="00906DDB">
        <w:tc>
          <w:tcPr>
            <w:tcW w:w="1077" w:type="pct"/>
            <w:hideMark/>
          </w:tcPr>
          <w:p w14:paraId="088C26ED" w14:textId="77777777" w:rsidR="00906DDB" w:rsidRDefault="00906DDB" w:rsidP="00D95E0E">
            <w:pPr>
              <w:rPr>
                <w:i/>
              </w:rPr>
            </w:pPr>
            <w:r>
              <w:rPr>
                <w:i/>
              </w:rPr>
              <w:t>Sähköposti</w:t>
            </w:r>
          </w:p>
        </w:tc>
        <w:tc>
          <w:tcPr>
            <w:tcW w:w="3923" w:type="pct"/>
            <w:hideMark/>
          </w:tcPr>
          <w:p w14:paraId="03BE18C2" w14:textId="77777777" w:rsidR="00906DDB" w:rsidRDefault="0061775F" w:rsidP="00D95E0E">
            <w:pPr>
              <w:rPr>
                <w:i/>
              </w:rPr>
            </w:pPr>
            <w:hyperlink r:id="rId92" w:history="1">
              <w:r w:rsidR="00906DDB">
                <w:rPr>
                  <w:rStyle w:val="Hyperlink"/>
                  <w:i/>
                </w:rPr>
                <w:t>Marie-Laurence.Drillon@eesc.europa.eu</w:t>
              </w:r>
            </w:hyperlink>
          </w:p>
        </w:tc>
      </w:tr>
    </w:tbl>
    <w:p w14:paraId="031249CD" w14:textId="10C702D2" w:rsidR="00906DDB" w:rsidRDefault="00906DDB" w:rsidP="00D95E0E">
      <w:pPr>
        <w:jc w:val="left"/>
      </w:pPr>
    </w:p>
    <w:p w14:paraId="3DC3E82A" w14:textId="77777777" w:rsidR="00906DDB" w:rsidRDefault="00906DDB" w:rsidP="00D95E0E">
      <w:pPr>
        <w:jc w:val="left"/>
      </w:pPr>
      <w:r>
        <w:br w:type="page"/>
      </w:r>
    </w:p>
    <w:p w14:paraId="5BB5F3FB" w14:textId="0F1D2244" w:rsidR="00906DDB" w:rsidRDefault="0061775F" w:rsidP="00D95E0E">
      <w:pPr>
        <w:numPr>
          <w:ilvl w:val="0"/>
          <w:numId w:val="3"/>
        </w:numPr>
        <w:overflowPunct w:val="0"/>
        <w:autoSpaceDE w:val="0"/>
        <w:autoSpaceDN w:val="0"/>
        <w:adjustRightInd w:val="0"/>
        <w:ind w:hanging="567"/>
        <w:rPr>
          <w:b/>
        </w:rPr>
      </w:pPr>
      <w:hyperlink r:id="rId93" w:history="1">
        <w:r w:rsidR="00906DDB">
          <w:rPr>
            <w:rStyle w:val="Hyperlink"/>
            <w:b/>
            <w:i/>
            <w:sz w:val="28"/>
          </w:rPr>
          <w:t>Kestävän kasvun ja laadukkaiden työpaikkojen luomisen vauhdittaminen Euro–Välimeri-alueella</w:t>
        </w:r>
      </w:hyperlink>
    </w:p>
    <w:p w14:paraId="6E5DCAFC" w14:textId="77777777" w:rsidR="00906DDB" w:rsidRDefault="00906DDB" w:rsidP="00D95E0E">
      <w:pPr>
        <w:ind w:left="266"/>
        <w:rPr>
          <w:b/>
        </w:rPr>
      </w:pPr>
    </w:p>
    <w:tbl>
      <w:tblPr>
        <w:tblW w:w="5000" w:type="pct"/>
        <w:tblLook w:val="04A0" w:firstRow="1" w:lastRow="0" w:firstColumn="1" w:lastColumn="0" w:noHBand="0" w:noVBand="1"/>
      </w:tblPr>
      <w:tblGrid>
        <w:gridCol w:w="1954"/>
        <w:gridCol w:w="7119"/>
      </w:tblGrid>
      <w:tr w:rsidR="00906DDB" w14:paraId="5BFDB4AA" w14:textId="77777777" w:rsidTr="00906DDB">
        <w:tc>
          <w:tcPr>
            <w:tcW w:w="1077" w:type="pct"/>
            <w:hideMark/>
          </w:tcPr>
          <w:p w14:paraId="1F41077B" w14:textId="77777777" w:rsidR="00906DDB" w:rsidRDefault="00906DDB" w:rsidP="00D95E0E">
            <w:pPr>
              <w:tabs>
                <w:tab w:val="center" w:pos="284"/>
              </w:tabs>
              <w:ind w:left="266" w:hanging="266"/>
              <w:rPr>
                <w:b/>
              </w:rPr>
            </w:pPr>
            <w:r>
              <w:rPr>
                <w:b/>
              </w:rPr>
              <w:t>Esittelijä</w:t>
            </w:r>
          </w:p>
        </w:tc>
        <w:tc>
          <w:tcPr>
            <w:tcW w:w="3923" w:type="pct"/>
            <w:hideMark/>
          </w:tcPr>
          <w:p w14:paraId="1CC8BCBF" w14:textId="63E31E23" w:rsidR="00906DDB" w:rsidRDefault="00906DDB" w:rsidP="00D95E0E">
            <w:pPr>
              <w:tabs>
                <w:tab w:val="center" w:pos="284"/>
              </w:tabs>
              <w:ind w:left="266" w:right="-3091" w:hanging="266"/>
            </w:pPr>
            <w:r>
              <w:t xml:space="preserve">Milena </w:t>
            </w:r>
            <w:r w:rsidR="00DB1849">
              <w:t xml:space="preserve">ANGELOVA </w:t>
            </w:r>
            <w:r>
              <w:t>(työnantajat – BG)</w:t>
            </w:r>
          </w:p>
        </w:tc>
      </w:tr>
      <w:tr w:rsidR="00906DDB" w14:paraId="522428EC" w14:textId="77777777" w:rsidTr="00906DDB">
        <w:tc>
          <w:tcPr>
            <w:tcW w:w="1077" w:type="pct"/>
            <w:hideMark/>
          </w:tcPr>
          <w:p w14:paraId="2F08D053" w14:textId="77777777" w:rsidR="00906DDB" w:rsidRDefault="00906DDB" w:rsidP="00D95E0E">
            <w:pPr>
              <w:tabs>
                <w:tab w:val="center" w:pos="284"/>
              </w:tabs>
              <w:ind w:left="266" w:hanging="266"/>
              <w:rPr>
                <w:b/>
              </w:rPr>
            </w:pPr>
            <w:r>
              <w:rPr>
                <w:b/>
              </w:rPr>
              <w:t>Yhteisesittelijä</w:t>
            </w:r>
          </w:p>
        </w:tc>
        <w:tc>
          <w:tcPr>
            <w:tcW w:w="3923" w:type="pct"/>
            <w:hideMark/>
          </w:tcPr>
          <w:p w14:paraId="002CCF95" w14:textId="58F6CC52" w:rsidR="00906DDB" w:rsidRDefault="00906DDB" w:rsidP="00D95E0E">
            <w:pPr>
              <w:tabs>
                <w:tab w:val="center" w:pos="284"/>
              </w:tabs>
              <w:ind w:left="266" w:right="-3091" w:hanging="266"/>
            </w:pPr>
            <w:proofErr w:type="spellStart"/>
            <w:r>
              <w:t>Ioannis</w:t>
            </w:r>
            <w:proofErr w:type="spellEnd"/>
            <w:r>
              <w:t xml:space="preserve"> </w:t>
            </w:r>
            <w:r w:rsidR="00DB1849">
              <w:t xml:space="preserve">VARDAKASTANIS </w:t>
            </w:r>
            <w:r>
              <w:t>(kansalaisyhteiskunnan organisaatiot – EL)</w:t>
            </w:r>
          </w:p>
        </w:tc>
      </w:tr>
      <w:tr w:rsidR="00906DDB" w14:paraId="483A6FF2" w14:textId="77777777" w:rsidTr="00906DDB">
        <w:tc>
          <w:tcPr>
            <w:tcW w:w="1077" w:type="pct"/>
            <w:hideMark/>
          </w:tcPr>
          <w:p w14:paraId="5042BC81" w14:textId="77777777" w:rsidR="00906DDB" w:rsidRDefault="00906DDB" w:rsidP="00D95E0E">
            <w:pPr>
              <w:tabs>
                <w:tab w:val="center" w:pos="284"/>
              </w:tabs>
              <w:ind w:left="266" w:hanging="266"/>
              <w:rPr>
                <w:b/>
              </w:rPr>
            </w:pPr>
            <w:r>
              <w:rPr>
                <w:b/>
              </w:rPr>
              <w:t>Viiteasiakirja</w:t>
            </w:r>
          </w:p>
        </w:tc>
        <w:tc>
          <w:tcPr>
            <w:tcW w:w="3923" w:type="pct"/>
            <w:hideMark/>
          </w:tcPr>
          <w:p w14:paraId="3FC356AE" w14:textId="2CC13A92" w:rsidR="00DB1849" w:rsidRDefault="0062331E" w:rsidP="00D95E0E">
            <w:pPr>
              <w:tabs>
                <w:tab w:val="center" w:pos="284"/>
              </w:tabs>
              <w:ind w:left="266" w:right="-3091" w:hanging="266"/>
            </w:pPr>
            <w:r>
              <w:t>oma</w:t>
            </w:r>
            <w:r w:rsidR="00DB1849">
              <w:t>-aloitteinen lausunto</w:t>
            </w:r>
          </w:p>
          <w:p w14:paraId="2B466FC4" w14:textId="78646D55" w:rsidR="00906DDB" w:rsidRDefault="00906DDB" w:rsidP="00D95E0E">
            <w:pPr>
              <w:tabs>
                <w:tab w:val="center" w:pos="284"/>
              </w:tabs>
              <w:ind w:left="266" w:right="-3091" w:hanging="266"/>
            </w:pPr>
            <w:r>
              <w:t>EESC-2025-00913-00-00-AC</w:t>
            </w:r>
          </w:p>
        </w:tc>
      </w:tr>
    </w:tbl>
    <w:p w14:paraId="04E5642B" w14:textId="77777777" w:rsidR="00906DDB" w:rsidRDefault="00906DDB" w:rsidP="00D95E0E">
      <w:pPr>
        <w:tabs>
          <w:tab w:val="center" w:pos="284"/>
        </w:tabs>
        <w:ind w:left="266" w:hanging="266"/>
        <w:rPr>
          <w:b/>
        </w:rPr>
      </w:pPr>
    </w:p>
    <w:p w14:paraId="6F408382" w14:textId="77777777" w:rsidR="00906DDB" w:rsidRDefault="00906DDB" w:rsidP="00D95E0E">
      <w:pPr>
        <w:keepNext/>
        <w:keepLines/>
        <w:tabs>
          <w:tab w:val="center" w:pos="284"/>
        </w:tabs>
        <w:ind w:left="266" w:hanging="266"/>
        <w:rPr>
          <w:b/>
        </w:rPr>
      </w:pPr>
      <w:r>
        <w:rPr>
          <w:b/>
        </w:rPr>
        <w:t>Keskeiset kohdat</w:t>
      </w:r>
    </w:p>
    <w:p w14:paraId="190213C8" w14:textId="77777777" w:rsidR="00906DDB" w:rsidRDefault="00906DDB" w:rsidP="00D95E0E">
      <w:pPr>
        <w:keepNext/>
        <w:keepLines/>
        <w:tabs>
          <w:tab w:val="center" w:pos="284"/>
        </w:tabs>
        <w:ind w:left="266" w:hanging="266"/>
        <w:rPr>
          <w:b/>
        </w:rPr>
      </w:pPr>
    </w:p>
    <w:p w14:paraId="7FBD9560" w14:textId="77777777" w:rsidR="00906DDB" w:rsidRDefault="00906DDB" w:rsidP="00D95E0E">
      <w:pPr>
        <w:rPr>
          <w:bCs/>
          <w:iCs/>
        </w:rPr>
      </w:pPr>
      <w:r>
        <w:t>ETSK</w:t>
      </w:r>
    </w:p>
    <w:p w14:paraId="27188D25" w14:textId="77777777" w:rsidR="00906DDB" w:rsidRDefault="00906DDB" w:rsidP="00D95E0E">
      <w:pPr>
        <w:pStyle w:val="NormalWeb"/>
        <w:numPr>
          <w:ilvl w:val="0"/>
          <w:numId w:val="50"/>
        </w:numPr>
        <w:spacing w:before="0" w:beforeAutospacing="0" w:after="0" w:afterAutospacing="0" w:line="288" w:lineRule="auto"/>
        <w:ind w:left="426"/>
        <w:jc w:val="both"/>
        <w:rPr>
          <w:sz w:val="22"/>
          <w:szCs w:val="22"/>
        </w:rPr>
      </w:pPr>
      <w:r>
        <w:rPr>
          <w:sz w:val="22"/>
        </w:rPr>
        <w:t>pitää tavoitteena edistää yrittäjyyttä ja laadukkaiden työpaikkojen luomista koko Välimeren alueella niin, että painotetaan etenkin naisten ja nuorten potentiaalin hyödyntämistä osallistavamman ja häiriönsietokykyisemmän kasvun ja yhteisen vaurauden luomiseksi.</w:t>
      </w:r>
    </w:p>
    <w:p w14:paraId="73EB9549" w14:textId="77777777" w:rsidR="00906DDB" w:rsidRDefault="00906DDB" w:rsidP="00D95E0E">
      <w:pPr>
        <w:pStyle w:val="NormalWeb"/>
        <w:numPr>
          <w:ilvl w:val="0"/>
          <w:numId w:val="50"/>
        </w:numPr>
        <w:spacing w:before="0" w:beforeAutospacing="0" w:after="0" w:afterAutospacing="0" w:line="288" w:lineRule="auto"/>
        <w:ind w:left="426"/>
        <w:jc w:val="both"/>
        <w:rPr>
          <w:sz w:val="22"/>
          <w:szCs w:val="22"/>
        </w:rPr>
      </w:pPr>
      <w:r>
        <w:rPr>
          <w:sz w:val="22"/>
        </w:rPr>
        <w:t>kehottaa kartoittamaan ja poistamaan sukupuoleen liittyvät rakenteelliset esteet koulutuksen, työmarkkinoiden ja yrittäjyyden aloilla sekä lisäämään tietoisuutta monimuotoisuuden hyödyistä ja tuomaan esiin naispuolisia roolimalleja ja naisten saavutuksia.</w:t>
      </w:r>
    </w:p>
    <w:p w14:paraId="2FCB1159" w14:textId="77777777" w:rsidR="00906DDB" w:rsidRDefault="00906DDB" w:rsidP="00D95E0E">
      <w:pPr>
        <w:pStyle w:val="NormalWeb"/>
        <w:numPr>
          <w:ilvl w:val="0"/>
          <w:numId w:val="50"/>
        </w:numPr>
        <w:spacing w:before="0" w:beforeAutospacing="0" w:after="0" w:afterAutospacing="0" w:line="288" w:lineRule="auto"/>
        <w:ind w:left="426"/>
        <w:jc w:val="both"/>
        <w:rPr>
          <w:sz w:val="22"/>
          <w:szCs w:val="22"/>
        </w:rPr>
      </w:pPr>
      <w:r>
        <w:rPr>
          <w:sz w:val="22"/>
        </w:rPr>
        <w:t>korostaa tarvetta investoida koulutukseen, taitojen kehittämiseen ja nuorten liikkuvuuteen muun muassa panostamalla tehostettuun ammatilliseen koulutukseen ja korkea-asteen koulutukseen ja varmistamalla laaja osallistuminen opiskelijavaihto-ohjelmiin, jotta lisätään nuorten mahdollisuuksia vaikuttaa alueen arvokkaana voimavarana.</w:t>
      </w:r>
    </w:p>
    <w:p w14:paraId="1C6558AE" w14:textId="77777777" w:rsidR="00906DDB" w:rsidRDefault="00906DDB" w:rsidP="00D95E0E">
      <w:pPr>
        <w:pStyle w:val="NormalWeb"/>
        <w:numPr>
          <w:ilvl w:val="0"/>
          <w:numId w:val="50"/>
        </w:numPr>
        <w:spacing w:before="0" w:beforeAutospacing="0" w:after="0" w:afterAutospacing="0" w:line="288" w:lineRule="auto"/>
        <w:ind w:left="426"/>
        <w:jc w:val="both"/>
        <w:rPr>
          <w:sz w:val="22"/>
          <w:szCs w:val="22"/>
        </w:rPr>
      </w:pPr>
      <w:r>
        <w:rPr>
          <w:sz w:val="22"/>
        </w:rPr>
        <w:t>suosittaa, että tyttöjä ja naisia kannustetaan pyrkimään luonnontieteiden, teknologian, insinööritieteiden ja matematiikan aloille (STEM-alat) ja hankkimaan digitaalisia taitoja ja finanssiosaamista, ja kehottaa hyödyntämään verkko- ja liikkuvaa opetusta, jotta voidaan vähentää alueellisia eroja ja parantaa syrjäisten alueiden yhtäläisiä koulutusmahdollisuuksia.</w:t>
      </w:r>
    </w:p>
    <w:p w14:paraId="7707BA6A" w14:textId="77777777" w:rsidR="00906DDB" w:rsidRDefault="00906DDB" w:rsidP="00D95E0E">
      <w:pPr>
        <w:pStyle w:val="NormalWeb"/>
        <w:numPr>
          <w:ilvl w:val="0"/>
          <w:numId w:val="50"/>
        </w:numPr>
        <w:spacing w:before="0" w:beforeAutospacing="0" w:after="0" w:afterAutospacing="0" w:line="288" w:lineRule="auto"/>
        <w:ind w:left="426"/>
        <w:jc w:val="both"/>
        <w:rPr>
          <w:sz w:val="22"/>
          <w:szCs w:val="22"/>
        </w:rPr>
      </w:pPr>
      <w:r>
        <w:rPr>
          <w:sz w:val="22"/>
        </w:rPr>
        <w:t>kehottaa parantamaan nuorten ja naisten työoloja ja -ehtoja ja heidän mahdollisuuksiaan työelämässä, ehkäisemään syrjintää ja häirintää sekä luomaan heille mahdollisuudet osallistumiseen ja johtavaan asemaan politiikassa, liiketoiminnassa ja kansalaisyhteiskunnassa.</w:t>
      </w:r>
    </w:p>
    <w:p w14:paraId="7E875EFA" w14:textId="77777777" w:rsidR="00906DDB" w:rsidRDefault="00906DDB" w:rsidP="00D95E0E">
      <w:pPr>
        <w:pStyle w:val="NormalWeb"/>
        <w:numPr>
          <w:ilvl w:val="0"/>
          <w:numId w:val="50"/>
        </w:numPr>
        <w:spacing w:before="0" w:beforeAutospacing="0" w:after="0" w:afterAutospacing="0" w:line="288" w:lineRule="auto"/>
        <w:ind w:left="426"/>
        <w:jc w:val="both"/>
        <w:rPr>
          <w:sz w:val="22"/>
          <w:szCs w:val="22"/>
        </w:rPr>
      </w:pPr>
      <w:r>
        <w:rPr>
          <w:sz w:val="22"/>
        </w:rPr>
        <w:t>korostaa tarvetta tarjota naisille ja nuorille yrittäjille asianmukaiset mahdollisuudet saada rahoitusta, hyötyä infrastruktuurista ja luonnonvaroista ja saada laillisia omistusoikeuksia sekä tarvetta varmistaa heidän pääsynsä verkostoihin, kuten innovaatioekosysteemeihin ja yrittäjyyskeskuksiin, jotta heillä on mahdollisuudet menestyä.</w:t>
      </w:r>
    </w:p>
    <w:p w14:paraId="2A53A15F" w14:textId="77777777" w:rsidR="00906DDB" w:rsidRDefault="00906DDB" w:rsidP="00D95E0E">
      <w:pPr>
        <w:pStyle w:val="NormalWeb"/>
        <w:numPr>
          <w:ilvl w:val="0"/>
          <w:numId w:val="50"/>
        </w:numPr>
        <w:spacing w:before="0" w:beforeAutospacing="0" w:after="0" w:afterAutospacing="0" w:line="288" w:lineRule="auto"/>
        <w:ind w:left="426"/>
        <w:jc w:val="both"/>
        <w:rPr>
          <w:sz w:val="22"/>
          <w:szCs w:val="22"/>
        </w:rPr>
      </w:pPr>
      <w:r>
        <w:rPr>
          <w:sz w:val="22"/>
        </w:rPr>
        <w:t xml:space="preserve">korostaa oikeusvarmuuden, korruption vastaisten toimien ja mikro- ja pk-yritysten virallistamisen tärkeyttä sekä sellaisten keskeisten alojen kuin kestävän maatalouden, uusiutuvan energian, digitaalitalouden, luovan teollisuuden ja markkinoiden </w:t>
      </w:r>
      <w:proofErr w:type="spellStart"/>
      <w:r>
        <w:rPr>
          <w:sz w:val="22"/>
        </w:rPr>
        <w:t>yhteenliitettävyyshankkeiden</w:t>
      </w:r>
      <w:proofErr w:type="spellEnd"/>
      <w:r>
        <w:rPr>
          <w:sz w:val="22"/>
        </w:rPr>
        <w:t xml:space="preserve"> – energiamarkkinoiden yhdentyminen mukaan lukien – edistämisen merkitystä alueen talouskehityksen ja yrittäjyyden tukemisessa.</w:t>
      </w:r>
    </w:p>
    <w:p w14:paraId="6562796C" w14:textId="77777777" w:rsidR="00906DDB" w:rsidRDefault="00906DDB" w:rsidP="00D95E0E">
      <w:pPr>
        <w:ind w:left="709"/>
        <w:rPr>
          <w:szCs w:val="20"/>
        </w:rPr>
      </w:pPr>
    </w:p>
    <w:tbl>
      <w:tblPr>
        <w:tblW w:w="5000" w:type="pct"/>
        <w:tblLook w:val="04A0" w:firstRow="1" w:lastRow="0" w:firstColumn="1" w:lastColumn="0" w:noHBand="0" w:noVBand="1"/>
      </w:tblPr>
      <w:tblGrid>
        <w:gridCol w:w="1954"/>
        <w:gridCol w:w="7119"/>
      </w:tblGrid>
      <w:tr w:rsidR="00906DDB" w14:paraId="0A420634" w14:textId="77777777" w:rsidTr="00906DDB">
        <w:tc>
          <w:tcPr>
            <w:tcW w:w="1077" w:type="pct"/>
            <w:hideMark/>
          </w:tcPr>
          <w:p w14:paraId="0DD9221E" w14:textId="77777777" w:rsidR="00906DDB" w:rsidRDefault="00906DDB" w:rsidP="00D95E0E">
            <w:pPr>
              <w:rPr>
                <w:i/>
              </w:rPr>
            </w:pPr>
            <w:r>
              <w:rPr>
                <w:b/>
                <w:i/>
              </w:rPr>
              <w:t>Yhteydenotot</w:t>
            </w:r>
          </w:p>
        </w:tc>
        <w:tc>
          <w:tcPr>
            <w:tcW w:w="3923" w:type="pct"/>
            <w:hideMark/>
          </w:tcPr>
          <w:p w14:paraId="5DFE925E" w14:textId="07F4CA97" w:rsidR="00906DDB" w:rsidRDefault="00906DDB" w:rsidP="00D95E0E">
            <w:pPr>
              <w:rPr>
                <w:i/>
              </w:rPr>
            </w:pPr>
            <w:r>
              <w:rPr>
                <w:i/>
              </w:rPr>
              <w:t xml:space="preserve">Andreas </w:t>
            </w:r>
            <w:r w:rsidR="00B959E2">
              <w:rPr>
                <w:i/>
              </w:rPr>
              <w:t>Berger</w:t>
            </w:r>
          </w:p>
        </w:tc>
      </w:tr>
      <w:tr w:rsidR="00906DDB" w14:paraId="15E2D698" w14:textId="77777777" w:rsidTr="00906DDB">
        <w:tc>
          <w:tcPr>
            <w:tcW w:w="1077" w:type="pct"/>
            <w:hideMark/>
          </w:tcPr>
          <w:p w14:paraId="21F4BB81" w14:textId="77777777" w:rsidR="00906DDB" w:rsidRDefault="00906DDB" w:rsidP="00D95E0E">
            <w:pPr>
              <w:rPr>
                <w:i/>
              </w:rPr>
            </w:pPr>
            <w:r>
              <w:rPr>
                <w:i/>
              </w:rPr>
              <w:t>P.</w:t>
            </w:r>
          </w:p>
        </w:tc>
        <w:tc>
          <w:tcPr>
            <w:tcW w:w="3923" w:type="pct"/>
            <w:hideMark/>
          </w:tcPr>
          <w:p w14:paraId="44CA09B2" w14:textId="77777777" w:rsidR="00906DDB" w:rsidRDefault="00906DDB" w:rsidP="00D95E0E">
            <w:pPr>
              <w:rPr>
                <w:i/>
              </w:rPr>
            </w:pPr>
            <w:r>
              <w:rPr>
                <w:i/>
              </w:rPr>
              <w:t>+32 25469062</w:t>
            </w:r>
          </w:p>
        </w:tc>
      </w:tr>
      <w:tr w:rsidR="00906DDB" w14:paraId="22095B22" w14:textId="77777777" w:rsidTr="00906DDB">
        <w:tc>
          <w:tcPr>
            <w:tcW w:w="1077" w:type="pct"/>
            <w:hideMark/>
          </w:tcPr>
          <w:p w14:paraId="3A4F5265" w14:textId="77777777" w:rsidR="00906DDB" w:rsidRDefault="00906DDB" w:rsidP="00D95E0E">
            <w:pPr>
              <w:rPr>
                <w:i/>
              </w:rPr>
            </w:pPr>
            <w:r>
              <w:rPr>
                <w:i/>
              </w:rPr>
              <w:t>Sähköposti</w:t>
            </w:r>
          </w:p>
        </w:tc>
        <w:tc>
          <w:tcPr>
            <w:tcW w:w="3923" w:type="pct"/>
            <w:hideMark/>
          </w:tcPr>
          <w:p w14:paraId="1018C9FB" w14:textId="77777777" w:rsidR="00906DDB" w:rsidRDefault="0061775F" w:rsidP="00D95E0E">
            <w:pPr>
              <w:rPr>
                <w:i/>
              </w:rPr>
            </w:pPr>
            <w:hyperlink r:id="rId94" w:history="1">
              <w:r w:rsidR="00906DDB">
                <w:rPr>
                  <w:rStyle w:val="Hyperlink"/>
                  <w:i/>
                </w:rPr>
                <w:t>Andreas.Berger@eesc.europa.eu</w:t>
              </w:r>
            </w:hyperlink>
            <w:r w:rsidR="00906DDB">
              <w:rPr>
                <w:i/>
              </w:rPr>
              <w:t xml:space="preserve"> </w:t>
            </w:r>
          </w:p>
        </w:tc>
      </w:tr>
    </w:tbl>
    <w:p w14:paraId="505CBCE2" w14:textId="5355826B" w:rsidR="00906DDB" w:rsidRDefault="00906DDB" w:rsidP="00D95E0E">
      <w:pPr>
        <w:jc w:val="left"/>
      </w:pPr>
    </w:p>
    <w:p w14:paraId="1279366A" w14:textId="77777777" w:rsidR="00906DDB" w:rsidRDefault="00906DDB" w:rsidP="00D95E0E">
      <w:pPr>
        <w:jc w:val="left"/>
      </w:pPr>
      <w:r>
        <w:br w:type="page"/>
      </w:r>
    </w:p>
    <w:p w14:paraId="5338C9C9" w14:textId="40ECB7F6" w:rsidR="00067138" w:rsidRPr="006D2C8A" w:rsidRDefault="00067138" w:rsidP="00D95E0E">
      <w:pPr>
        <w:pStyle w:val="Heading1"/>
        <w:spacing w:line="240" w:lineRule="auto"/>
        <w:rPr>
          <w:b/>
        </w:rPr>
      </w:pPr>
      <w:bookmarkStart w:id="89" w:name="_Toc210812763"/>
      <w:r w:rsidRPr="00906DDB">
        <w:rPr>
          <w:b/>
          <w:color w:val="222A35" w:themeColor="text2" w:themeShade="80"/>
        </w:rPr>
        <w:lastRenderedPageBreak/>
        <w:t>NEUVOA-ANTAVA VALIOKUNTA ”TEOLLISUUDEN MUUTOKSET”</w:t>
      </w:r>
      <w:bookmarkEnd w:id="89"/>
    </w:p>
    <w:p w14:paraId="2197556E" w14:textId="77777777" w:rsidR="00906DDB" w:rsidRDefault="00906DDB" w:rsidP="00D95E0E">
      <w:pPr>
        <w:spacing w:line="240" w:lineRule="auto"/>
        <w:jc w:val="left"/>
      </w:pPr>
    </w:p>
    <w:p w14:paraId="72F3D21F" w14:textId="4F579B96" w:rsidR="00906DDB" w:rsidRDefault="0061775F" w:rsidP="00D95E0E">
      <w:pPr>
        <w:numPr>
          <w:ilvl w:val="0"/>
          <w:numId w:val="3"/>
        </w:numPr>
        <w:overflowPunct w:val="0"/>
        <w:autoSpaceDE w:val="0"/>
        <w:autoSpaceDN w:val="0"/>
        <w:adjustRightInd w:val="0"/>
        <w:spacing w:line="240" w:lineRule="auto"/>
        <w:ind w:hanging="567"/>
        <w:rPr>
          <w:sz w:val="20"/>
        </w:rPr>
      </w:pPr>
      <w:hyperlink r:id="rId95" w:history="1">
        <w:proofErr w:type="spellStart"/>
        <w:r w:rsidR="00906DDB">
          <w:rPr>
            <w:rStyle w:val="Hyperlink"/>
            <w:b/>
            <w:i/>
            <w:sz w:val="28"/>
          </w:rPr>
          <w:t>Vesiresilienssistrategia</w:t>
        </w:r>
        <w:proofErr w:type="spellEnd"/>
      </w:hyperlink>
    </w:p>
    <w:p w14:paraId="0ED0D578" w14:textId="77777777" w:rsidR="00906DDB" w:rsidRDefault="00906DDB" w:rsidP="00D95E0E">
      <w:pPr>
        <w:tabs>
          <w:tab w:val="center" w:pos="284"/>
        </w:tabs>
        <w:spacing w:line="240" w:lineRule="auto"/>
        <w:ind w:left="266" w:hanging="266"/>
        <w:rPr>
          <w:b/>
        </w:rPr>
      </w:pPr>
    </w:p>
    <w:tbl>
      <w:tblPr>
        <w:tblW w:w="0" w:type="auto"/>
        <w:tblLook w:val="04A0" w:firstRow="1" w:lastRow="0" w:firstColumn="1" w:lastColumn="0" w:noHBand="0" w:noVBand="1"/>
      </w:tblPr>
      <w:tblGrid>
        <w:gridCol w:w="1719"/>
        <w:gridCol w:w="5387"/>
      </w:tblGrid>
      <w:tr w:rsidR="00906DDB" w14:paraId="55FB2AB7" w14:textId="77777777" w:rsidTr="00DB1849">
        <w:tc>
          <w:tcPr>
            <w:tcW w:w="1719" w:type="dxa"/>
            <w:hideMark/>
          </w:tcPr>
          <w:p w14:paraId="7C9A06C6" w14:textId="77777777" w:rsidR="00906DDB" w:rsidRDefault="00906DDB" w:rsidP="00D95E0E">
            <w:pPr>
              <w:tabs>
                <w:tab w:val="center" w:pos="284"/>
              </w:tabs>
              <w:ind w:left="266" w:hanging="266"/>
              <w:rPr>
                <w:b/>
              </w:rPr>
            </w:pPr>
            <w:bookmarkStart w:id="90" w:name="_Hlk203461239"/>
            <w:r>
              <w:rPr>
                <w:b/>
              </w:rPr>
              <w:t>Esittelijä</w:t>
            </w:r>
          </w:p>
        </w:tc>
        <w:tc>
          <w:tcPr>
            <w:tcW w:w="5387" w:type="dxa"/>
            <w:hideMark/>
          </w:tcPr>
          <w:p w14:paraId="3C02E43F" w14:textId="77777777" w:rsidR="00906DDB" w:rsidRDefault="00906DDB" w:rsidP="00D95E0E">
            <w:pPr>
              <w:tabs>
                <w:tab w:val="center" w:pos="284"/>
              </w:tabs>
              <w:ind w:left="266" w:hanging="266"/>
            </w:pPr>
            <w:proofErr w:type="spellStart"/>
            <w:r>
              <w:t>András</w:t>
            </w:r>
            <w:proofErr w:type="spellEnd"/>
            <w:r>
              <w:t xml:space="preserve"> EDELÉNYI (työnantajat – HU)</w:t>
            </w:r>
          </w:p>
        </w:tc>
      </w:tr>
      <w:tr w:rsidR="00906DDB" w14:paraId="4F1645AD" w14:textId="77777777" w:rsidTr="00DB1849">
        <w:tc>
          <w:tcPr>
            <w:tcW w:w="1719" w:type="dxa"/>
            <w:hideMark/>
          </w:tcPr>
          <w:p w14:paraId="1FA2828D" w14:textId="77777777" w:rsidR="00906DDB" w:rsidRDefault="00906DDB" w:rsidP="00D95E0E">
            <w:pPr>
              <w:tabs>
                <w:tab w:val="center" w:pos="284"/>
              </w:tabs>
              <w:ind w:left="266" w:hanging="266"/>
              <w:rPr>
                <w:b/>
              </w:rPr>
            </w:pPr>
            <w:r>
              <w:rPr>
                <w:b/>
              </w:rPr>
              <w:t>Yhteisesittelijä</w:t>
            </w:r>
          </w:p>
        </w:tc>
        <w:tc>
          <w:tcPr>
            <w:tcW w:w="5387" w:type="dxa"/>
            <w:hideMark/>
          </w:tcPr>
          <w:p w14:paraId="38772D6B" w14:textId="77777777" w:rsidR="00906DDB" w:rsidRDefault="00906DDB" w:rsidP="00D95E0E">
            <w:pPr>
              <w:tabs>
                <w:tab w:val="center" w:pos="284"/>
              </w:tabs>
              <w:ind w:left="266" w:hanging="266"/>
            </w:pPr>
            <w:proofErr w:type="spellStart"/>
            <w:r>
              <w:t>Guido</w:t>
            </w:r>
            <w:proofErr w:type="spellEnd"/>
            <w:r>
              <w:t xml:space="preserve"> NELISSEN (kat. 2 – BE)</w:t>
            </w:r>
          </w:p>
        </w:tc>
        <w:bookmarkEnd w:id="90"/>
      </w:tr>
      <w:tr w:rsidR="00906DDB" w14:paraId="519FA70D" w14:textId="77777777" w:rsidTr="00DB1849">
        <w:tc>
          <w:tcPr>
            <w:tcW w:w="1719" w:type="dxa"/>
            <w:vMerge w:val="restart"/>
            <w:hideMark/>
          </w:tcPr>
          <w:p w14:paraId="35EA4120" w14:textId="77777777" w:rsidR="00906DDB" w:rsidRDefault="00906DDB" w:rsidP="00D95E0E">
            <w:pPr>
              <w:tabs>
                <w:tab w:val="center" w:pos="284"/>
              </w:tabs>
              <w:ind w:left="266" w:hanging="266"/>
              <w:rPr>
                <w:b/>
              </w:rPr>
            </w:pPr>
            <w:r>
              <w:rPr>
                <w:b/>
              </w:rPr>
              <w:t>Viiteasiakirja(t)</w:t>
            </w:r>
          </w:p>
        </w:tc>
        <w:tc>
          <w:tcPr>
            <w:tcW w:w="5387" w:type="dxa"/>
            <w:hideMark/>
          </w:tcPr>
          <w:p w14:paraId="76D12C5B" w14:textId="059CFF8B" w:rsidR="00906DDB" w:rsidRPr="00DB1849" w:rsidRDefault="00DB1849" w:rsidP="00D95E0E">
            <w:pPr>
              <w:tabs>
                <w:tab w:val="center" w:pos="284"/>
              </w:tabs>
              <w:overflowPunct w:val="0"/>
              <w:autoSpaceDE w:val="0"/>
              <w:autoSpaceDN w:val="0"/>
              <w:adjustRightInd w:val="0"/>
              <w:ind w:left="266" w:hanging="266"/>
              <w:textAlignment w:val="baseline"/>
              <w:rPr>
                <w:lang w:val="pt-PT"/>
              </w:rPr>
            </w:pPr>
            <w:r>
              <w:rPr>
                <w:lang w:val="pt-PT"/>
              </w:rPr>
              <w:t>COM(2025) 280 final</w:t>
            </w:r>
          </w:p>
        </w:tc>
      </w:tr>
      <w:tr w:rsidR="00906DDB" w14:paraId="5037AF09" w14:textId="77777777" w:rsidTr="00906DDB">
        <w:tc>
          <w:tcPr>
            <w:tcW w:w="0" w:type="auto"/>
            <w:vMerge/>
            <w:vAlign w:val="center"/>
            <w:hideMark/>
          </w:tcPr>
          <w:p w14:paraId="74D891A2" w14:textId="77777777" w:rsidR="00906DDB" w:rsidRDefault="00906DDB" w:rsidP="00D95E0E">
            <w:pPr>
              <w:jc w:val="left"/>
              <w:rPr>
                <w:b/>
              </w:rPr>
            </w:pPr>
          </w:p>
        </w:tc>
        <w:tc>
          <w:tcPr>
            <w:tcW w:w="5387" w:type="dxa"/>
          </w:tcPr>
          <w:p w14:paraId="3357F3FB" w14:textId="6C7DBEBE" w:rsidR="00906DDB" w:rsidRDefault="00DB1849" w:rsidP="00D95E0E">
            <w:pPr>
              <w:tabs>
                <w:tab w:val="center" w:pos="284"/>
              </w:tabs>
              <w:ind w:left="266" w:hanging="266"/>
              <w:rPr>
                <w:lang w:val="en-US"/>
              </w:rPr>
            </w:pPr>
            <w:r>
              <w:t>EESC-2024-00587-00-00-AC-TRA</w:t>
            </w:r>
          </w:p>
        </w:tc>
      </w:tr>
    </w:tbl>
    <w:p w14:paraId="0342D7B9" w14:textId="77777777" w:rsidR="00906DDB" w:rsidRDefault="00906DDB" w:rsidP="00D95E0E">
      <w:pPr>
        <w:tabs>
          <w:tab w:val="center" w:pos="284"/>
        </w:tabs>
        <w:spacing w:line="240" w:lineRule="auto"/>
        <w:ind w:left="266" w:hanging="266"/>
      </w:pPr>
    </w:p>
    <w:p w14:paraId="365A7374" w14:textId="77777777" w:rsidR="00906DDB" w:rsidRDefault="00906DDB" w:rsidP="00D95E0E">
      <w:pPr>
        <w:keepNext/>
        <w:keepLines/>
        <w:tabs>
          <w:tab w:val="center" w:pos="284"/>
        </w:tabs>
        <w:spacing w:line="240" w:lineRule="auto"/>
        <w:ind w:left="266" w:hanging="266"/>
        <w:rPr>
          <w:b/>
        </w:rPr>
      </w:pPr>
      <w:r>
        <w:rPr>
          <w:b/>
        </w:rPr>
        <w:t>Keskeiset kohdat</w:t>
      </w:r>
    </w:p>
    <w:p w14:paraId="470BF92B" w14:textId="77777777" w:rsidR="00906DDB" w:rsidRDefault="00906DDB" w:rsidP="00D95E0E">
      <w:pPr>
        <w:keepNext/>
        <w:keepLines/>
        <w:tabs>
          <w:tab w:val="center" w:pos="284"/>
        </w:tabs>
        <w:spacing w:line="240" w:lineRule="auto"/>
        <w:ind w:left="266" w:hanging="266"/>
        <w:rPr>
          <w:b/>
        </w:rPr>
      </w:pPr>
    </w:p>
    <w:p w14:paraId="3162B0CD" w14:textId="77777777" w:rsidR="00906DDB" w:rsidRDefault="00906DDB" w:rsidP="00D95E0E">
      <w:pPr>
        <w:rPr>
          <w:bCs/>
          <w:iCs/>
        </w:rPr>
      </w:pPr>
      <w:r>
        <w:t>ETSK</w:t>
      </w:r>
    </w:p>
    <w:p w14:paraId="6302545F" w14:textId="77777777" w:rsidR="00906DDB" w:rsidRDefault="00906DDB" w:rsidP="00D95E0E">
      <w:pPr>
        <w:numPr>
          <w:ilvl w:val="0"/>
          <w:numId w:val="51"/>
        </w:numPr>
        <w:overflowPunct w:val="0"/>
        <w:autoSpaceDE w:val="0"/>
        <w:autoSpaceDN w:val="0"/>
        <w:adjustRightInd w:val="0"/>
        <w:ind w:left="426"/>
        <w:rPr>
          <w:bCs/>
          <w:iCs/>
        </w:rPr>
      </w:pPr>
      <w:r>
        <w:t xml:space="preserve">korostaa, että </w:t>
      </w:r>
      <w:r>
        <w:rPr>
          <w:b/>
        </w:rPr>
        <w:t xml:space="preserve">eurooppalaisen </w:t>
      </w:r>
      <w:proofErr w:type="spellStart"/>
      <w:r>
        <w:rPr>
          <w:b/>
        </w:rPr>
        <w:t>vesiresilienssistrategian</w:t>
      </w:r>
      <w:proofErr w:type="spellEnd"/>
      <w:r>
        <w:rPr>
          <w:b/>
        </w:rPr>
        <w:t xml:space="preserve"> olisi oltava EU:n poliittisen asialistan kärjessä</w:t>
      </w:r>
      <w:r>
        <w:t xml:space="preserve">, sillä vesi on rajallinen julkinen hyödyke eikä </w:t>
      </w:r>
      <w:r>
        <w:rPr>
          <w:b/>
        </w:rPr>
        <w:t>vesiköyhyyttä</w:t>
      </w:r>
      <w:r>
        <w:t xml:space="preserve"> voida hyväksyä. Käyttökelpoisten ja kestävien vesivarojen saatavuus on avainasemassa, jotta voidaan varmistaa </w:t>
      </w:r>
      <w:r>
        <w:rPr>
          <w:b/>
        </w:rPr>
        <w:t>veden kohtuuhintaisuus ja sen saatavuus kaikille kansalaisille</w:t>
      </w:r>
      <w:r>
        <w:t xml:space="preserve">, </w:t>
      </w:r>
      <w:r>
        <w:rPr>
          <w:b/>
        </w:rPr>
        <w:t>ekosysteemien</w:t>
      </w:r>
      <w:r>
        <w:t xml:space="preserve"> ennallistaminen ja suojelu, vesi-intensiivisen taloudellisen toiminnan </w:t>
      </w:r>
      <w:r>
        <w:rPr>
          <w:b/>
        </w:rPr>
        <w:t>kilpailukyky</w:t>
      </w:r>
      <w:r>
        <w:t xml:space="preserve"> sekä kestävien yhteisöjen säilyminen yhteiskunnissamme.</w:t>
      </w:r>
    </w:p>
    <w:p w14:paraId="6B6BB386" w14:textId="77777777" w:rsidR="00906DDB" w:rsidRDefault="00906DDB" w:rsidP="00D95E0E">
      <w:pPr>
        <w:numPr>
          <w:ilvl w:val="0"/>
          <w:numId w:val="51"/>
        </w:numPr>
        <w:overflowPunct w:val="0"/>
        <w:autoSpaceDE w:val="0"/>
        <w:autoSpaceDN w:val="0"/>
        <w:adjustRightInd w:val="0"/>
        <w:ind w:left="426"/>
        <w:rPr>
          <w:bCs/>
          <w:iCs/>
        </w:rPr>
      </w:pPr>
      <w:r>
        <w:t xml:space="preserve">toistaa kehotuksensa asettaa vesi </w:t>
      </w:r>
      <w:r>
        <w:rPr>
          <w:b/>
        </w:rPr>
        <w:t>seuraavassa monivuotisessa rahoituskehyksessä strategiseksi painopisteeksi</w:t>
      </w:r>
      <w:r>
        <w:t xml:space="preserve"> ja korostaa, että tarvitaan hyvin suunniteltua </w:t>
      </w:r>
      <w:r>
        <w:rPr>
          <w:b/>
        </w:rPr>
        <w:t>julkista</w:t>
      </w:r>
      <w:r>
        <w:t xml:space="preserve"> rahoitusta </w:t>
      </w:r>
      <w:r>
        <w:rPr>
          <w:b/>
        </w:rPr>
        <w:t>ja EIP:n rahoitusta</w:t>
      </w:r>
      <w:r>
        <w:t xml:space="preserve"> tarvittavien lisäinvestointien </w:t>
      </w:r>
      <w:r>
        <w:rPr>
          <w:b/>
        </w:rPr>
        <w:t>liikkeelle saamiseksi</w:t>
      </w:r>
      <w:r>
        <w:t xml:space="preserve"> kannustamalla </w:t>
      </w:r>
      <w:r>
        <w:rPr>
          <w:b/>
        </w:rPr>
        <w:t>yksityistä rahoitusta</w:t>
      </w:r>
      <w:r>
        <w:t>.</w:t>
      </w:r>
    </w:p>
    <w:p w14:paraId="1DD314EB" w14:textId="77777777" w:rsidR="00906DDB" w:rsidRDefault="00906DDB" w:rsidP="00D95E0E">
      <w:pPr>
        <w:numPr>
          <w:ilvl w:val="0"/>
          <w:numId w:val="51"/>
        </w:numPr>
        <w:overflowPunct w:val="0"/>
        <w:autoSpaceDE w:val="0"/>
        <w:autoSpaceDN w:val="0"/>
        <w:adjustRightInd w:val="0"/>
        <w:ind w:left="426"/>
        <w:rPr>
          <w:bCs/>
          <w:iCs/>
        </w:rPr>
      </w:pPr>
      <w:r>
        <w:t xml:space="preserve">kannattaa </w:t>
      </w:r>
      <w:r>
        <w:rPr>
          <w:b/>
        </w:rPr>
        <w:t>tavoitetta lisätä vedenkäytön tehokkuutta 10 prosentilla</w:t>
      </w:r>
      <w:r>
        <w:t>, ja kehottaa panemaan täytäntöön vesistöalueita koskevia suunnitelmia ja indikaattoreita ja sisällyttämään ne alakohtaisiin toimintasuunnitelmiin, jotta tavoite saadaan toteutettua.</w:t>
      </w:r>
    </w:p>
    <w:p w14:paraId="45D62AF3" w14:textId="77777777" w:rsidR="00906DDB" w:rsidRDefault="00906DDB" w:rsidP="00D95E0E">
      <w:pPr>
        <w:numPr>
          <w:ilvl w:val="0"/>
          <w:numId w:val="51"/>
        </w:numPr>
        <w:overflowPunct w:val="0"/>
        <w:autoSpaceDE w:val="0"/>
        <w:autoSpaceDN w:val="0"/>
        <w:adjustRightInd w:val="0"/>
        <w:ind w:left="426"/>
        <w:rPr>
          <w:bCs/>
          <w:iCs/>
        </w:rPr>
      </w:pPr>
      <w:r>
        <w:t>ehdottaa, että asetetaan lyhyen aikavälin tavoitteet</w:t>
      </w:r>
      <w:r>
        <w:rPr>
          <w:b/>
        </w:rPr>
        <w:t xml:space="preserve"> vuotojen vähentämiseksi</w:t>
      </w:r>
      <w:r>
        <w:t xml:space="preserve"> ja että jäsenvaltioiden (pakollisten) kansallisten suunnitelmien käyttöönotolle asetettua </w:t>
      </w:r>
      <w:r>
        <w:rPr>
          <w:b/>
        </w:rPr>
        <w:t>vuoden 2030 määräaikaa aikaistetaan</w:t>
      </w:r>
      <w:r>
        <w:t>.</w:t>
      </w:r>
    </w:p>
    <w:p w14:paraId="443A933B" w14:textId="77777777" w:rsidR="00906DDB" w:rsidRDefault="00906DDB" w:rsidP="00D95E0E">
      <w:pPr>
        <w:numPr>
          <w:ilvl w:val="0"/>
          <w:numId w:val="51"/>
        </w:numPr>
        <w:overflowPunct w:val="0"/>
        <w:autoSpaceDE w:val="0"/>
        <w:autoSpaceDN w:val="0"/>
        <w:adjustRightInd w:val="0"/>
        <w:ind w:left="426"/>
        <w:rPr>
          <w:bCs/>
          <w:iCs/>
        </w:rPr>
      </w:pPr>
      <w:r>
        <w:t xml:space="preserve">suhtautuu myönteisesti komission ehdotukseen kutsua joka toinen vuosi koolle </w:t>
      </w:r>
      <w:proofErr w:type="spellStart"/>
      <w:r>
        <w:rPr>
          <w:b/>
        </w:rPr>
        <w:t>vesiresilienssifoorumi</w:t>
      </w:r>
      <w:proofErr w:type="spellEnd"/>
      <w:r>
        <w:t xml:space="preserve"> ja – ottaen huomioon sen johtavan roolin kunnianhimoisen EU:n vesipolitiikan edistämisessä – </w:t>
      </w:r>
      <w:r>
        <w:rPr>
          <w:b/>
        </w:rPr>
        <w:t>toivoo voivansa osallistua siihen yhtenä järjestäjänä</w:t>
      </w:r>
      <w:r>
        <w:t>.</w:t>
      </w:r>
    </w:p>
    <w:p w14:paraId="162F07F1" w14:textId="77777777" w:rsidR="00906DDB" w:rsidRDefault="00906DDB" w:rsidP="00D95E0E">
      <w:pPr>
        <w:numPr>
          <w:ilvl w:val="0"/>
          <w:numId w:val="51"/>
        </w:numPr>
        <w:overflowPunct w:val="0"/>
        <w:autoSpaceDE w:val="0"/>
        <w:autoSpaceDN w:val="0"/>
        <w:adjustRightInd w:val="0"/>
        <w:ind w:left="426"/>
        <w:rPr>
          <w:bCs/>
          <w:iCs/>
        </w:rPr>
      </w:pPr>
      <w:r>
        <w:t xml:space="preserve">muistuttaa tarpeesta </w:t>
      </w:r>
      <w:r>
        <w:rPr>
          <w:b/>
        </w:rPr>
        <w:t>perustaa EU:n neuvoa-antava sidosryhmäfoorumi, johon ETSK ja muut EU:n toimielimet osallistuvat</w:t>
      </w:r>
      <w:r>
        <w:t xml:space="preserve"> ja joka perustuu Euroopan kiertotalouden sidosryhmäfoorumin kaltaiseen malliin. Foorumi seuraisi Euroopan </w:t>
      </w:r>
      <w:proofErr w:type="spellStart"/>
      <w:r>
        <w:t>vesiresilienssistrategian</w:t>
      </w:r>
      <w:proofErr w:type="spellEnd"/>
      <w:r>
        <w:t xml:space="preserve"> täytäntöönpanoa ja jakaisi parhaita käytäntöjä, edistäisi </w:t>
      </w:r>
      <w:proofErr w:type="spellStart"/>
      <w:r>
        <w:t>vesiresilienssifoorumin</w:t>
      </w:r>
      <w:proofErr w:type="spellEnd"/>
      <w:r>
        <w:t xml:space="preserve"> valmistelua sekä varmistaisi jatkuvan seurannan.</w:t>
      </w:r>
    </w:p>
    <w:p w14:paraId="2550634C" w14:textId="77777777" w:rsidR="00906DDB" w:rsidRDefault="00906DDB" w:rsidP="00D95E0E">
      <w:pPr>
        <w:numPr>
          <w:ilvl w:val="0"/>
          <w:numId w:val="51"/>
        </w:numPr>
        <w:overflowPunct w:val="0"/>
        <w:autoSpaceDE w:val="0"/>
        <w:autoSpaceDN w:val="0"/>
        <w:adjustRightInd w:val="0"/>
        <w:ind w:left="426"/>
        <w:rPr>
          <w:bCs/>
          <w:iCs/>
        </w:rPr>
      </w:pPr>
      <w:r>
        <w:t xml:space="preserve">suhtautuu myönteisesti ilmoitukseen </w:t>
      </w:r>
      <w:r>
        <w:rPr>
          <w:b/>
        </w:rPr>
        <w:t>vesiälykkään teollisuusallianssin</w:t>
      </w:r>
      <w:r>
        <w:t xml:space="preserve"> perustamisesta kilpailukyvyn edistämiseksi ja </w:t>
      </w:r>
      <w:r>
        <w:rPr>
          <w:b/>
        </w:rPr>
        <w:t>pyytää päästä mukaan tähän uuteen allianssiin</w:t>
      </w:r>
      <w:r>
        <w:t>.</w:t>
      </w:r>
    </w:p>
    <w:p w14:paraId="17FE1DAC" w14:textId="77777777" w:rsidR="00906DDB" w:rsidRDefault="00906DDB" w:rsidP="00D95E0E">
      <w:pPr>
        <w:numPr>
          <w:ilvl w:val="0"/>
          <w:numId w:val="51"/>
        </w:numPr>
        <w:overflowPunct w:val="0"/>
        <w:autoSpaceDE w:val="0"/>
        <w:autoSpaceDN w:val="0"/>
        <w:adjustRightInd w:val="0"/>
        <w:ind w:left="426"/>
        <w:rPr>
          <w:bCs/>
          <w:iCs/>
        </w:rPr>
      </w:pPr>
      <w:r>
        <w:t xml:space="preserve">suosittaa, että </w:t>
      </w:r>
      <w:r>
        <w:rPr>
          <w:b/>
        </w:rPr>
        <w:t>EU:n uuteen ja tarkistettuun lainsäädäntöön sovelletaan järjestelmällisesti ”vesitestiä”</w:t>
      </w:r>
      <w:r>
        <w:t xml:space="preserve">, jotta varmistetaan, että se on </w:t>
      </w:r>
      <w:proofErr w:type="spellStart"/>
      <w:r>
        <w:t>vesiresilienssistrategian</w:t>
      </w:r>
      <w:proofErr w:type="spellEnd"/>
      <w:r>
        <w:t xml:space="preserve"> tavoitteiden mukainen.</w:t>
      </w:r>
    </w:p>
    <w:p w14:paraId="0AC518C5" w14:textId="77777777" w:rsidR="00906DDB" w:rsidRDefault="00906DDB" w:rsidP="00D95E0E">
      <w:pPr>
        <w:numPr>
          <w:ilvl w:val="0"/>
          <w:numId w:val="51"/>
        </w:numPr>
        <w:overflowPunct w:val="0"/>
        <w:autoSpaceDE w:val="0"/>
        <w:autoSpaceDN w:val="0"/>
        <w:adjustRightInd w:val="0"/>
        <w:ind w:left="426"/>
        <w:rPr>
          <w:bCs/>
          <w:iCs/>
        </w:rPr>
      </w:pPr>
      <w:r>
        <w:t xml:space="preserve">korostaa, että veteen liittyviin riskeihin on puututtava yhdennetyllä </w:t>
      </w:r>
      <w:r>
        <w:rPr>
          <w:b/>
        </w:rPr>
        <w:t>valmiuden</w:t>
      </w:r>
      <w:r>
        <w:t xml:space="preserve"> hallintajärjestelmällä, joka perustuu selkeisiin vastuisiin ja ennakoivaan riskinarviointiin.</w:t>
      </w:r>
    </w:p>
    <w:p w14:paraId="4653E368" w14:textId="77777777" w:rsidR="00906DDB" w:rsidRDefault="00906DDB" w:rsidP="00D95E0E">
      <w:pPr>
        <w:spacing w:line="240" w:lineRule="auto"/>
        <w:ind w:left="709"/>
        <w:rPr>
          <w:szCs w:val="20"/>
        </w:rPr>
      </w:pPr>
    </w:p>
    <w:tbl>
      <w:tblPr>
        <w:tblW w:w="0" w:type="auto"/>
        <w:tblLook w:val="04A0" w:firstRow="1" w:lastRow="0" w:firstColumn="1" w:lastColumn="0" w:noHBand="0" w:noVBand="1"/>
      </w:tblPr>
      <w:tblGrid>
        <w:gridCol w:w="1418"/>
        <w:gridCol w:w="5670"/>
      </w:tblGrid>
      <w:tr w:rsidR="00906DDB" w14:paraId="21F183EA" w14:textId="77777777" w:rsidTr="00906DDB">
        <w:tc>
          <w:tcPr>
            <w:tcW w:w="1418" w:type="dxa"/>
            <w:hideMark/>
          </w:tcPr>
          <w:p w14:paraId="1B47DC35" w14:textId="77777777" w:rsidR="00906DDB" w:rsidRDefault="00906DDB" w:rsidP="00D95E0E">
            <w:pPr>
              <w:rPr>
                <w:i/>
              </w:rPr>
            </w:pPr>
            <w:r>
              <w:rPr>
                <w:b/>
                <w:bCs/>
                <w:i/>
              </w:rPr>
              <w:t>Yhteydenotot</w:t>
            </w:r>
          </w:p>
        </w:tc>
        <w:tc>
          <w:tcPr>
            <w:tcW w:w="5670" w:type="dxa"/>
            <w:hideMark/>
          </w:tcPr>
          <w:p w14:paraId="2ED7A569" w14:textId="6C95CB00" w:rsidR="00906DDB" w:rsidRDefault="00906DDB" w:rsidP="00D95E0E">
            <w:pPr>
              <w:rPr>
                <w:i/>
              </w:rPr>
            </w:pPr>
            <w:r>
              <w:rPr>
                <w:i/>
              </w:rPr>
              <w:t xml:space="preserve">Heli </w:t>
            </w:r>
            <w:r w:rsidR="00B959E2">
              <w:rPr>
                <w:i/>
              </w:rPr>
              <w:t>Niemelä</w:t>
            </w:r>
            <w:r w:rsidR="00466543">
              <w:rPr>
                <w:i/>
              </w:rPr>
              <w:t>-</w:t>
            </w:r>
            <w:proofErr w:type="spellStart"/>
            <w:r w:rsidR="00B959E2">
              <w:rPr>
                <w:i/>
              </w:rPr>
              <w:t>Farrer</w:t>
            </w:r>
            <w:proofErr w:type="spellEnd"/>
          </w:p>
        </w:tc>
      </w:tr>
      <w:tr w:rsidR="00906DDB" w14:paraId="3BD4E636" w14:textId="77777777" w:rsidTr="00906DDB">
        <w:tc>
          <w:tcPr>
            <w:tcW w:w="1418" w:type="dxa"/>
            <w:hideMark/>
          </w:tcPr>
          <w:p w14:paraId="495E6885" w14:textId="4269E27C" w:rsidR="00906DDB" w:rsidRDefault="00906DDB" w:rsidP="00D95E0E">
            <w:pPr>
              <w:rPr>
                <w:i/>
              </w:rPr>
            </w:pPr>
            <w:r>
              <w:rPr>
                <w:i/>
              </w:rPr>
              <w:t>P.</w:t>
            </w:r>
          </w:p>
        </w:tc>
        <w:tc>
          <w:tcPr>
            <w:tcW w:w="5670" w:type="dxa"/>
            <w:hideMark/>
          </w:tcPr>
          <w:p w14:paraId="45DC9F37" w14:textId="77777777" w:rsidR="00906DDB" w:rsidRDefault="00906DDB" w:rsidP="00D95E0E">
            <w:pPr>
              <w:rPr>
                <w:i/>
              </w:rPr>
            </w:pPr>
            <w:r>
              <w:rPr>
                <w:i/>
              </w:rPr>
              <w:t>+32 2 282 2464</w:t>
            </w:r>
          </w:p>
        </w:tc>
      </w:tr>
      <w:tr w:rsidR="00906DDB" w14:paraId="74AF3098" w14:textId="77777777" w:rsidTr="00906DDB">
        <w:tc>
          <w:tcPr>
            <w:tcW w:w="1418" w:type="dxa"/>
            <w:hideMark/>
          </w:tcPr>
          <w:p w14:paraId="7190684D" w14:textId="77777777" w:rsidR="00906DDB" w:rsidRDefault="00906DDB" w:rsidP="00D95E0E">
            <w:pPr>
              <w:rPr>
                <w:i/>
              </w:rPr>
            </w:pPr>
            <w:r>
              <w:rPr>
                <w:i/>
              </w:rPr>
              <w:t>Sähköposti</w:t>
            </w:r>
          </w:p>
        </w:tc>
        <w:tc>
          <w:tcPr>
            <w:tcW w:w="5670" w:type="dxa"/>
            <w:hideMark/>
          </w:tcPr>
          <w:p w14:paraId="4BFE4523" w14:textId="77777777" w:rsidR="00906DDB" w:rsidRDefault="0061775F" w:rsidP="00D95E0E">
            <w:pPr>
              <w:rPr>
                <w:i/>
              </w:rPr>
            </w:pPr>
            <w:hyperlink r:id="rId96" w:history="1">
              <w:r w:rsidR="00906DDB">
                <w:rPr>
                  <w:rStyle w:val="Hyperlink"/>
                  <w:i/>
                </w:rPr>
                <w:t>Heli.Niemela-Farrer@eesc.europa.eu</w:t>
              </w:r>
            </w:hyperlink>
          </w:p>
        </w:tc>
      </w:tr>
    </w:tbl>
    <w:p w14:paraId="27D19223" w14:textId="77777777" w:rsidR="00AF3202" w:rsidRDefault="00AF3202" w:rsidP="00D95E0E">
      <w:pPr>
        <w:spacing w:after="160" w:line="259" w:lineRule="auto"/>
        <w:jc w:val="left"/>
        <w:rPr>
          <w:sz w:val="16"/>
          <w:szCs w:val="16"/>
        </w:rPr>
      </w:pPr>
      <w:r>
        <w:rPr>
          <w:sz w:val="16"/>
          <w:szCs w:val="16"/>
        </w:rPr>
        <w:br w:type="page"/>
      </w:r>
    </w:p>
    <w:p w14:paraId="504716B2" w14:textId="33B0D532" w:rsidR="00067138" w:rsidRDefault="0061775F" w:rsidP="00D95E0E">
      <w:pPr>
        <w:numPr>
          <w:ilvl w:val="0"/>
          <w:numId w:val="3"/>
        </w:numPr>
        <w:overflowPunct w:val="0"/>
        <w:autoSpaceDE w:val="0"/>
        <w:autoSpaceDN w:val="0"/>
        <w:adjustRightInd w:val="0"/>
        <w:ind w:hanging="567"/>
        <w:rPr>
          <w:sz w:val="20"/>
        </w:rPr>
      </w:pPr>
      <w:hyperlink r:id="rId97" w:history="1">
        <w:proofErr w:type="spellStart"/>
        <w:r w:rsidR="00067138">
          <w:rPr>
            <w:rStyle w:val="Hyperlink"/>
            <w:b/>
            <w:i/>
            <w:sz w:val="28"/>
          </w:rPr>
          <w:t>Vesiresilienssi</w:t>
        </w:r>
        <w:proofErr w:type="spellEnd"/>
        <w:r w:rsidR="00067138">
          <w:rPr>
            <w:rStyle w:val="Hyperlink"/>
            <w:b/>
            <w:i/>
            <w:sz w:val="28"/>
          </w:rPr>
          <w:t>, vihreä siirtymä ja digitalisaatio</w:t>
        </w:r>
      </w:hyperlink>
    </w:p>
    <w:p w14:paraId="523E8D58" w14:textId="77777777" w:rsidR="00067138" w:rsidRDefault="00067138" w:rsidP="00D95E0E">
      <w:pPr>
        <w:tabs>
          <w:tab w:val="center" w:pos="284"/>
        </w:tabs>
        <w:ind w:left="266" w:hanging="266"/>
        <w:rPr>
          <w:b/>
        </w:rPr>
      </w:pPr>
    </w:p>
    <w:tbl>
      <w:tblPr>
        <w:tblW w:w="0" w:type="auto"/>
        <w:tblLook w:val="04A0" w:firstRow="1" w:lastRow="0" w:firstColumn="1" w:lastColumn="0" w:noHBand="0" w:noVBand="1"/>
      </w:tblPr>
      <w:tblGrid>
        <w:gridCol w:w="1699"/>
        <w:gridCol w:w="7374"/>
      </w:tblGrid>
      <w:tr w:rsidR="00067138" w14:paraId="106A920D" w14:textId="77777777" w:rsidTr="00067138">
        <w:tc>
          <w:tcPr>
            <w:tcW w:w="1701" w:type="dxa"/>
            <w:hideMark/>
          </w:tcPr>
          <w:p w14:paraId="44C14B46" w14:textId="77777777" w:rsidR="00067138" w:rsidRDefault="00067138" w:rsidP="00D95E0E">
            <w:pPr>
              <w:tabs>
                <w:tab w:val="center" w:pos="284"/>
              </w:tabs>
              <w:ind w:left="266" w:hanging="266"/>
              <w:rPr>
                <w:b/>
              </w:rPr>
            </w:pPr>
            <w:r>
              <w:rPr>
                <w:b/>
              </w:rPr>
              <w:t>Esittelijä</w:t>
            </w:r>
          </w:p>
        </w:tc>
        <w:tc>
          <w:tcPr>
            <w:tcW w:w="7479" w:type="dxa"/>
            <w:hideMark/>
          </w:tcPr>
          <w:p w14:paraId="4671A242" w14:textId="560C0516" w:rsidR="00067138" w:rsidRDefault="00067138" w:rsidP="00D95E0E">
            <w:pPr>
              <w:tabs>
                <w:tab w:val="center" w:pos="284"/>
              </w:tabs>
              <w:ind w:left="266" w:hanging="266"/>
            </w:pPr>
            <w:proofErr w:type="spellStart"/>
            <w:r>
              <w:t>Carole</w:t>
            </w:r>
            <w:proofErr w:type="spellEnd"/>
            <w:r>
              <w:t xml:space="preserve"> </w:t>
            </w:r>
            <w:r w:rsidR="00DB1849">
              <w:t xml:space="preserve">DESIANO </w:t>
            </w:r>
            <w:r>
              <w:t>(työntekijät – FR)</w:t>
            </w:r>
          </w:p>
        </w:tc>
      </w:tr>
      <w:tr w:rsidR="00067138" w14:paraId="5E2C5B11" w14:textId="77777777" w:rsidTr="00067138">
        <w:tc>
          <w:tcPr>
            <w:tcW w:w="1701" w:type="dxa"/>
            <w:hideMark/>
          </w:tcPr>
          <w:p w14:paraId="6371A88E" w14:textId="77777777" w:rsidR="00067138" w:rsidRDefault="00067138" w:rsidP="00D95E0E">
            <w:pPr>
              <w:tabs>
                <w:tab w:val="center" w:pos="284"/>
              </w:tabs>
              <w:ind w:left="266" w:hanging="266"/>
              <w:rPr>
                <w:b/>
              </w:rPr>
            </w:pPr>
            <w:r>
              <w:rPr>
                <w:b/>
              </w:rPr>
              <w:t>Yhteisesittelijä</w:t>
            </w:r>
          </w:p>
        </w:tc>
        <w:tc>
          <w:tcPr>
            <w:tcW w:w="7479" w:type="dxa"/>
            <w:hideMark/>
          </w:tcPr>
          <w:p w14:paraId="1A5C3365" w14:textId="25F6C835" w:rsidR="00067138" w:rsidRDefault="00067138" w:rsidP="00D95E0E">
            <w:pPr>
              <w:tabs>
                <w:tab w:val="center" w:pos="284"/>
              </w:tabs>
              <w:ind w:left="266" w:hanging="266"/>
            </w:pPr>
            <w:r>
              <w:t xml:space="preserve">Michal </w:t>
            </w:r>
            <w:r w:rsidR="00DB1849">
              <w:t xml:space="preserve">PINTÉR </w:t>
            </w:r>
            <w:r>
              <w:t>(SK – kat. 1)</w:t>
            </w:r>
          </w:p>
        </w:tc>
      </w:tr>
      <w:tr w:rsidR="00067138" w14:paraId="47ECDFC3" w14:textId="77777777" w:rsidTr="00067138">
        <w:tc>
          <w:tcPr>
            <w:tcW w:w="1701" w:type="dxa"/>
            <w:hideMark/>
          </w:tcPr>
          <w:p w14:paraId="66AE8FE9" w14:textId="77777777" w:rsidR="00067138" w:rsidRDefault="00067138" w:rsidP="00D95E0E">
            <w:pPr>
              <w:tabs>
                <w:tab w:val="center" w:pos="284"/>
              </w:tabs>
              <w:ind w:left="266" w:hanging="266"/>
              <w:rPr>
                <w:b/>
              </w:rPr>
            </w:pPr>
            <w:r>
              <w:rPr>
                <w:b/>
              </w:rPr>
              <w:t>Viiteasiakirja</w:t>
            </w:r>
          </w:p>
        </w:tc>
        <w:tc>
          <w:tcPr>
            <w:tcW w:w="7479" w:type="dxa"/>
            <w:hideMark/>
          </w:tcPr>
          <w:p w14:paraId="3D5AC957" w14:textId="70FB6255" w:rsidR="00DB1849" w:rsidRDefault="000A3466" w:rsidP="00D95E0E">
            <w:pPr>
              <w:tabs>
                <w:tab w:val="center" w:pos="284"/>
              </w:tabs>
              <w:ind w:left="266" w:hanging="266"/>
            </w:pPr>
            <w:r>
              <w:t>oma</w:t>
            </w:r>
            <w:r w:rsidR="00DB1849">
              <w:t>-aloitteinen lausunto</w:t>
            </w:r>
          </w:p>
          <w:p w14:paraId="51D3DDB2" w14:textId="64CA3B88" w:rsidR="00067138" w:rsidRDefault="00067138" w:rsidP="00D95E0E">
            <w:pPr>
              <w:tabs>
                <w:tab w:val="center" w:pos="284"/>
              </w:tabs>
              <w:ind w:left="266" w:hanging="266"/>
            </w:pPr>
            <w:r>
              <w:t>EESC-2025-00996-00-00-AC</w:t>
            </w:r>
          </w:p>
        </w:tc>
      </w:tr>
    </w:tbl>
    <w:p w14:paraId="65511D78" w14:textId="77777777" w:rsidR="00067138" w:rsidRDefault="00067138" w:rsidP="00D95E0E">
      <w:pPr>
        <w:tabs>
          <w:tab w:val="center" w:pos="284"/>
        </w:tabs>
        <w:ind w:left="266" w:hanging="266"/>
      </w:pPr>
    </w:p>
    <w:p w14:paraId="73E4786E" w14:textId="77777777" w:rsidR="00067138" w:rsidRDefault="00067138" w:rsidP="00D95E0E">
      <w:pPr>
        <w:keepNext/>
        <w:keepLines/>
        <w:tabs>
          <w:tab w:val="center" w:pos="284"/>
        </w:tabs>
        <w:ind w:left="266" w:hanging="266"/>
        <w:rPr>
          <w:b/>
        </w:rPr>
      </w:pPr>
      <w:r>
        <w:rPr>
          <w:b/>
        </w:rPr>
        <w:t>Keskeiset kohdat</w:t>
      </w:r>
    </w:p>
    <w:p w14:paraId="1EED0D1F" w14:textId="77777777" w:rsidR="00067138" w:rsidRDefault="00067138" w:rsidP="00D95E0E">
      <w:pPr>
        <w:keepNext/>
        <w:keepLines/>
        <w:tabs>
          <w:tab w:val="center" w:pos="284"/>
        </w:tabs>
        <w:ind w:left="266" w:hanging="266"/>
        <w:rPr>
          <w:b/>
        </w:rPr>
      </w:pPr>
    </w:p>
    <w:p w14:paraId="071D2D2A" w14:textId="77777777" w:rsidR="00067138" w:rsidRDefault="00067138" w:rsidP="00D95E0E">
      <w:pPr>
        <w:rPr>
          <w:bCs/>
          <w:iCs/>
        </w:rPr>
      </w:pPr>
      <w:r>
        <w:t>ETSK</w:t>
      </w:r>
    </w:p>
    <w:p w14:paraId="055A6201" w14:textId="77777777" w:rsidR="00067138" w:rsidRDefault="00067138" w:rsidP="00D95E0E">
      <w:pPr>
        <w:numPr>
          <w:ilvl w:val="0"/>
          <w:numId w:val="52"/>
        </w:numPr>
        <w:overflowPunct w:val="0"/>
        <w:autoSpaceDE w:val="0"/>
        <w:autoSpaceDN w:val="0"/>
        <w:adjustRightInd w:val="0"/>
        <w:ind w:left="426"/>
        <w:rPr>
          <w:bCs/>
          <w:iCs/>
        </w:rPr>
      </w:pPr>
      <w:r>
        <w:t xml:space="preserve">toistaa kehotuksensa </w:t>
      </w:r>
      <w:r>
        <w:rPr>
          <w:b/>
        </w:rPr>
        <w:t>tarkistaa EU:n teollisuusstrategiaa</w:t>
      </w:r>
      <w:r>
        <w:t xml:space="preserve"> siten, että siihen </w:t>
      </w:r>
      <w:r>
        <w:rPr>
          <w:b/>
        </w:rPr>
        <w:t>sisällytetään erikseen veteen liittyvät kysymykset</w:t>
      </w:r>
      <w:r>
        <w:t xml:space="preserve"> ja otetaan vesi olennaiseksi osaksi teollisuusstrategiaa.</w:t>
      </w:r>
    </w:p>
    <w:p w14:paraId="776E673F" w14:textId="77777777" w:rsidR="00067138" w:rsidRDefault="00067138" w:rsidP="00D95E0E">
      <w:pPr>
        <w:numPr>
          <w:ilvl w:val="0"/>
          <w:numId w:val="52"/>
        </w:numPr>
        <w:overflowPunct w:val="0"/>
        <w:autoSpaceDE w:val="0"/>
        <w:autoSpaceDN w:val="0"/>
        <w:adjustRightInd w:val="0"/>
        <w:ind w:left="426"/>
        <w:rPr>
          <w:bCs/>
          <w:iCs/>
        </w:rPr>
      </w:pPr>
      <w:r>
        <w:t xml:space="preserve">kehottaa EU:n toimielimiä </w:t>
      </w:r>
      <w:r>
        <w:rPr>
          <w:b/>
        </w:rPr>
        <w:t>lisäämään vesipolitiikan johdonmukaisuutta</w:t>
      </w:r>
      <w:r>
        <w:t xml:space="preserve"> sekä </w:t>
      </w:r>
      <w:r>
        <w:rPr>
          <w:b/>
        </w:rPr>
        <w:t>ottamaan huomioon veden ja energian yhteyden vesihuollossa</w:t>
      </w:r>
      <w:r>
        <w:t>, jotta teollisuuden vesitarpeet eivät jäisi huomiotta.</w:t>
      </w:r>
    </w:p>
    <w:p w14:paraId="617BE681" w14:textId="77777777" w:rsidR="00067138" w:rsidRDefault="00067138" w:rsidP="00D95E0E">
      <w:pPr>
        <w:numPr>
          <w:ilvl w:val="0"/>
          <w:numId w:val="52"/>
        </w:numPr>
        <w:overflowPunct w:val="0"/>
        <w:autoSpaceDE w:val="0"/>
        <w:autoSpaceDN w:val="0"/>
        <w:adjustRightInd w:val="0"/>
        <w:ind w:left="426"/>
        <w:rPr>
          <w:bCs/>
          <w:iCs/>
        </w:rPr>
      </w:pPr>
      <w:r>
        <w:t xml:space="preserve">toteaa, että hiilestä irtautuminen saattaa siirtää ympäristöpaineita paikallisiin vesihuoltojärjestelmiin, ja suosittaa </w:t>
      </w:r>
      <w:r>
        <w:rPr>
          <w:b/>
        </w:rPr>
        <w:t>kehittämään kohdennettuja politiikkoja, joilla voidaan puuttua veden niukkuuteen teollistuneilla alueilla ja vesistressialueilla</w:t>
      </w:r>
      <w:r>
        <w:t xml:space="preserve"> ja edistää </w:t>
      </w:r>
      <w:r>
        <w:rPr>
          <w:b/>
        </w:rPr>
        <w:t>vaihtoehtoista veden käsittelyä ja uudelleenkäyttöä</w:t>
      </w:r>
      <w:r>
        <w:t xml:space="preserve"> vesipuitedirektiivin noudattamisen varmistamiseksi.</w:t>
      </w:r>
    </w:p>
    <w:p w14:paraId="6946BE33" w14:textId="77777777" w:rsidR="00067138" w:rsidRDefault="00067138" w:rsidP="00D95E0E">
      <w:pPr>
        <w:numPr>
          <w:ilvl w:val="0"/>
          <w:numId w:val="52"/>
        </w:numPr>
        <w:overflowPunct w:val="0"/>
        <w:autoSpaceDE w:val="0"/>
        <w:autoSpaceDN w:val="0"/>
        <w:adjustRightInd w:val="0"/>
        <w:ind w:left="426"/>
        <w:rPr>
          <w:bCs/>
          <w:iCs/>
        </w:rPr>
      </w:pPr>
      <w:r>
        <w:t xml:space="preserve">kehottaa EU:ta tekemään </w:t>
      </w:r>
      <w:r>
        <w:rPr>
          <w:b/>
        </w:rPr>
        <w:t>seuraavassa monivuotisessa rahoituskehyksessä vedestä strategisen painopisteen</w:t>
      </w:r>
      <w:r>
        <w:t>.</w:t>
      </w:r>
    </w:p>
    <w:p w14:paraId="59FB947A" w14:textId="77777777" w:rsidR="00067138" w:rsidRDefault="00067138" w:rsidP="00D95E0E">
      <w:pPr>
        <w:numPr>
          <w:ilvl w:val="0"/>
          <w:numId w:val="52"/>
        </w:numPr>
        <w:overflowPunct w:val="0"/>
        <w:autoSpaceDE w:val="0"/>
        <w:autoSpaceDN w:val="0"/>
        <w:adjustRightInd w:val="0"/>
        <w:ind w:left="426"/>
        <w:rPr>
          <w:bCs/>
          <w:iCs/>
        </w:rPr>
      </w:pPr>
      <w:r>
        <w:t xml:space="preserve">suosittaa </w:t>
      </w:r>
      <w:r>
        <w:rPr>
          <w:b/>
        </w:rPr>
        <w:t>lisäämään poliittista ja taloudellista tukea vesitehokkaille hiilestä irtautumiseen tähtääville teknologioille</w:t>
      </w:r>
      <w:r>
        <w:t xml:space="preserve"> esimerkiksi Euroopan yhteistä etua koskevien tärkeiden hankkeiden ja Horisontti Eurooppa </w:t>
      </w:r>
      <w:r>
        <w:noBreakHyphen/>
        <w:t xml:space="preserve">puiteohjelman avulla sekä tarjoamaan </w:t>
      </w:r>
      <w:r>
        <w:rPr>
          <w:b/>
        </w:rPr>
        <w:t>taloudellisia kannustimia ja tukia</w:t>
      </w:r>
      <w:r>
        <w:t xml:space="preserve"> teollisuudenaloille, joilla otetaan käyttöön vesitehokkaita teknologioita.</w:t>
      </w:r>
    </w:p>
    <w:p w14:paraId="237BE004" w14:textId="77777777" w:rsidR="00067138" w:rsidRDefault="00067138" w:rsidP="00D95E0E">
      <w:pPr>
        <w:numPr>
          <w:ilvl w:val="0"/>
          <w:numId w:val="52"/>
        </w:numPr>
        <w:overflowPunct w:val="0"/>
        <w:autoSpaceDE w:val="0"/>
        <w:autoSpaceDN w:val="0"/>
        <w:adjustRightInd w:val="0"/>
        <w:ind w:left="426"/>
        <w:rPr>
          <w:bCs/>
          <w:iCs/>
        </w:rPr>
      </w:pPr>
      <w:r>
        <w:t xml:space="preserve">kehottaa teollisuutta asettamaan etusijalle </w:t>
      </w:r>
      <w:r>
        <w:rPr>
          <w:b/>
        </w:rPr>
        <w:t>vähemmän energiaa kuluttavat tekoälyn</w:t>
      </w:r>
      <w:r>
        <w:t xml:space="preserve"> oppimismallit ja algoritmit, käyttämään datakeskusten energianlähteenä vähemmän energiaa ja vettä kuluttavaa uusiutuvaa energiaa (aurinko- ja tuulienergia), </w:t>
      </w:r>
      <w:r>
        <w:rPr>
          <w:b/>
        </w:rPr>
        <w:t>perustamaan keskukset alueille, joilla ei ole vesipulaa</w:t>
      </w:r>
      <w:r>
        <w:t>, ja ottamaan huomioon muiden toimialojen tarpeet.</w:t>
      </w:r>
    </w:p>
    <w:p w14:paraId="624DCF2B" w14:textId="77777777" w:rsidR="00067138" w:rsidRDefault="00067138" w:rsidP="00D95E0E">
      <w:pPr>
        <w:numPr>
          <w:ilvl w:val="0"/>
          <w:numId w:val="52"/>
        </w:numPr>
        <w:overflowPunct w:val="0"/>
        <w:autoSpaceDE w:val="0"/>
        <w:autoSpaceDN w:val="0"/>
        <w:adjustRightInd w:val="0"/>
        <w:ind w:left="426"/>
        <w:rPr>
          <w:bCs/>
          <w:iCs/>
        </w:rPr>
      </w:pPr>
      <w:r>
        <w:t xml:space="preserve">suosittaa </w:t>
      </w:r>
      <w:r>
        <w:rPr>
          <w:b/>
        </w:rPr>
        <w:t xml:space="preserve">parantamaan vesidatan </w:t>
      </w:r>
      <w:proofErr w:type="spellStart"/>
      <w:r>
        <w:rPr>
          <w:b/>
        </w:rPr>
        <w:t>yhteentoimivuutta</w:t>
      </w:r>
      <w:proofErr w:type="spellEnd"/>
      <w:r>
        <w:rPr>
          <w:b/>
        </w:rPr>
        <w:t xml:space="preserve"> ja luotettavuutta</w:t>
      </w:r>
      <w:r>
        <w:t xml:space="preserve"> laatimalla </w:t>
      </w:r>
      <w:r>
        <w:rPr>
          <w:b/>
        </w:rPr>
        <w:t>yhteiset standardit tiedon keräämistä, tallentamista ja jakamista varten</w:t>
      </w:r>
      <w:r>
        <w:t xml:space="preserve"> ja kannustamalla teknologia- ja digitaalialan yrityksiä vesidatan avoimuuden lisäämiseen. Tämä koskee muun muassa veden lähteitä, määriä, kierrätystoimia ja tarkastuksia.</w:t>
      </w:r>
    </w:p>
    <w:p w14:paraId="5E119D08" w14:textId="77777777" w:rsidR="00067138" w:rsidRDefault="00067138" w:rsidP="00D95E0E">
      <w:pPr>
        <w:numPr>
          <w:ilvl w:val="0"/>
          <w:numId w:val="52"/>
        </w:numPr>
        <w:overflowPunct w:val="0"/>
        <w:autoSpaceDE w:val="0"/>
        <w:autoSpaceDN w:val="0"/>
        <w:adjustRightInd w:val="0"/>
        <w:ind w:left="426"/>
        <w:rPr>
          <w:bCs/>
          <w:iCs/>
        </w:rPr>
      </w:pPr>
      <w:r>
        <w:t xml:space="preserve">kehottaa </w:t>
      </w:r>
      <w:r>
        <w:rPr>
          <w:b/>
        </w:rPr>
        <w:t xml:space="preserve">investoimaan infrastruktuuriin vedenjakeluketjun ja </w:t>
      </w:r>
      <w:r>
        <w:t xml:space="preserve">Euroopan </w:t>
      </w:r>
      <w:r>
        <w:rPr>
          <w:b/>
        </w:rPr>
        <w:t>jokiverkostojen välisten yhteyksien parantamiseksi</w:t>
      </w:r>
      <w:r>
        <w:t xml:space="preserve"> ja vahvistamaan </w:t>
      </w:r>
      <w:r>
        <w:rPr>
          <w:b/>
        </w:rPr>
        <w:t>kyberturvallisuustoimenpiteitä</w:t>
      </w:r>
      <w:r>
        <w:t>.</w:t>
      </w:r>
    </w:p>
    <w:p w14:paraId="64C211C6" w14:textId="77777777" w:rsidR="00067138" w:rsidRDefault="00067138" w:rsidP="00D95E0E">
      <w:pPr>
        <w:numPr>
          <w:ilvl w:val="0"/>
          <w:numId w:val="52"/>
        </w:numPr>
        <w:overflowPunct w:val="0"/>
        <w:autoSpaceDE w:val="0"/>
        <w:autoSpaceDN w:val="0"/>
        <w:adjustRightInd w:val="0"/>
        <w:ind w:left="426"/>
        <w:rPr>
          <w:bCs/>
          <w:iCs/>
        </w:rPr>
      </w:pPr>
      <w:r>
        <w:t xml:space="preserve">kannustaa </w:t>
      </w:r>
      <w:r>
        <w:rPr>
          <w:b/>
        </w:rPr>
        <w:t>työmarkkinaosapuolten vuoropuheluun veden saatavuudesta ja vesihuollosta</w:t>
      </w:r>
      <w:r>
        <w:t xml:space="preserve"> vedenjakeluketjussa sekä </w:t>
      </w:r>
      <w:r>
        <w:rPr>
          <w:b/>
        </w:rPr>
        <w:t>tarjoamaan vesihuoltoa</w:t>
      </w:r>
      <w:r>
        <w:t xml:space="preserve">, tulvien torjuntaa, kuivuuden hallintaa ja kestävää vedenkäyttöä </w:t>
      </w:r>
      <w:r>
        <w:rPr>
          <w:b/>
        </w:rPr>
        <w:t>käsitteleviä kursseja</w:t>
      </w:r>
      <w:r>
        <w:t xml:space="preserve"> erityisesti korkeakouluissa ja ammatillisissa oppilaitoksissa.</w:t>
      </w:r>
    </w:p>
    <w:p w14:paraId="0430B8EB" w14:textId="77777777" w:rsidR="00067138" w:rsidRDefault="00067138" w:rsidP="00D95E0E">
      <w:pPr>
        <w:ind w:left="709"/>
        <w:rPr>
          <w:szCs w:val="20"/>
        </w:rPr>
      </w:pPr>
    </w:p>
    <w:tbl>
      <w:tblPr>
        <w:tblW w:w="9322" w:type="dxa"/>
        <w:tblLook w:val="04A0" w:firstRow="1" w:lastRow="0" w:firstColumn="1" w:lastColumn="0" w:noHBand="0" w:noVBand="1"/>
      </w:tblPr>
      <w:tblGrid>
        <w:gridCol w:w="1418"/>
        <w:gridCol w:w="7904"/>
      </w:tblGrid>
      <w:tr w:rsidR="00067138" w14:paraId="199B5214" w14:textId="77777777" w:rsidTr="00067138">
        <w:tc>
          <w:tcPr>
            <w:tcW w:w="1418" w:type="dxa"/>
            <w:hideMark/>
          </w:tcPr>
          <w:p w14:paraId="5C32B6A2" w14:textId="77777777" w:rsidR="00067138" w:rsidRDefault="00067138" w:rsidP="00D95E0E">
            <w:pPr>
              <w:rPr>
                <w:i/>
              </w:rPr>
            </w:pPr>
            <w:bookmarkStart w:id="91" w:name="_Hlk203461505"/>
            <w:r>
              <w:rPr>
                <w:b/>
                <w:i/>
              </w:rPr>
              <w:t>Yhteydenotot</w:t>
            </w:r>
          </w:p>
        </w:tc>
        <w:tc>
          <w:tcPr>
            <w:tcW w:w="7904" w:type="dxa"/>
            <w:hideMark/>
          </w:tcPr>
          <w:p w14:paraId="20954596" w14:textId="0409C776" w:rsidR="00067138" w:rsidRDefault="00067138" w:rsidP="00D95E0E">
            <w:pPr>
              <w:rPr>
                <w:i/>
              </w:rPr>
            </w:pPr>
            <w:r>
              <w:rPr>
                <w:i/>
              </w:rPr>
              <w:t xml:space="preserve">Heli </w:t>
            </w:r>
            <w:r w:rsidR="00B959E2">
              <w:rPr>
                <w:i/>
              </w:rPr>
              <w:t>Niemelä</w:t>
            </w:r>
            <w:r w:rsidR="00DB1849">
              <w:rPr>
                <w:i/>
              </w:rPr>
              <w:t>-</w:t>
            </w:r>
            <w:proofErr w:type="spellStart"/>
            <w:r w:rsidR="00B959E2">
              <w:rPr>
                <w:i/>
              </w:rPr>
              <w:t>Farrer</w:t>
            </w:r>
            <w:proofErr w:type="spellEnd"/>
          </w:p>
        </w:tc>
      </w:tr>
      <w:tr w:rsidR="00067138" w14:paraId="6ED31A26" w14:textId="77777777" w:rsidTr="00067138">
        <w:tc>
          <w:tcPr>
            <w:tcW w:w="1418" w:type="dxa"/>
            <w:hideMark/>
          </w:tcPr>
          <w:p w14:paraId="76A880C9" w14:textId="77777777" w:rsidR="00067138" w:rsidRDefault="00067138" w:rsidP="00D95E0E">
            <w:pPr>
              <w:rPr>
                <w:i/>
              </w:rPr>
            </w:pPr>
            <w:r>
              <w:rPr>
                <w:i/>
              </w:rPr>
              <w:t>P.</w:t>
            </w:r>
          </w:p>
        </w:tc>
        <w:tc>
          <w:tcPr>
            <w:tcW w:w="7904" w:type="dxa"/>
            <w:hideMark/>
          </w:tcPr>
          <w:p w14:paraId="39618FB6" w14:textId="77777777" w:rsidR="00067138" w:rsidRDefault="00067138" w:rsidP="00D95E0E">
            <w:pPr>
              <w:rPr>
                <w:i/>
              </w:rPr>
            </w:pPr>
            <w:r>
              <w:rPr>
                <w:i/>
              </w:rPr>
              <w:t>+32 22822464</w:t>
            </w:r>
          </w:p>
        </w:tc>
      </w:tr>
      <w:tr w:rsidR="00067138" w14:paraId="3FAED598" w14:textId="77777777" w:rsidTr="00067138">
        <w:tc>
          <w:tcPr>
            <w:tcW w:w="1418" w:type="dxa"/>
            <w:hideMark/>
          </w:tcPr>
          <w:p w14:paraId="339F0643" w14:textId="77777777" w:rsidR="00067138" w:rsidRDefault="00067138" w:rsidP="00D95E0E">
            <w:pPr>
              <w:rPr>
                <w:i/>
              </w:rPr>
            </w:pPr>
            <w:r>
              <w:rPr>
                <w:i/>
              </w:rPr>
              <w:t>Sähköposti</w:t>
            </w:r>
          </w:p>
        </w:tc>
        <w:tc>
          <w:tcPr>
            <w:tcW w:w="7904" w:type="dxa"/>
            <w:hideMark/>
          </w:tcPr>
          <w:p w14:paraId="76C005E3" w14:textId="0AB70480" w:rsidR="00067138" w:rsidRDefault="0061775F" w:rsidP="00D95E0E">
            <w:pPr>
              <w:rPr>
                <w:i/>
              </w:rPr>
            </w:pPr>
            <w:hyperlink r:id="rId98" w:history="1">
              <w:r w:rsidR="00C1486C">
                <w:rPr>
                  <w:rStyle w:val="Hyperlink"/>
                  <w:i/>
                </w:rPr>
                <w:t>Heli.Niemela-Farrer@eesc.europa.eu</w:t>
              </w:r>
            </w:hyperlink>
          </w:p>
        </w:tc>
        <w:bookmarkEnd w:id="91"/>
      </w:tr>
    </w:tbl>
    <w:p w14:paraId="5FB720E4" w14:textId="77777777" w:rsidR="00067138" w:rsidRDefault="00067138" w:rsidP="00D95E0E">
      <w:pPr>
        <w:jc w:val="left"/>
      </w:pPr>
      <w:r>
        <w:br w:type="page"/>
      </w:r>
    </w:p>
    <w:p w14:paraId="58AB7149" w14:textId="768B3C24" w:rsidR="00067138" w:rsidRPr="00DB1849" w:rsidRDefault="0061775F" w:rsidP="00D95E0E">
      <w:pPr>
        <w:pStyle w:val="ListParagraph"/>
        <w:numPr>
          <w:ilvl w:val="0"/>
          <w:numId w:val="10"/>
        </w:numPr>
        <w:ind w:left="567" w:hanging="567"/>
        <w:jc w:val="left"/>
        <w:rPr>
          <w:b/>
          <w:bCs/>
          <w:i/>
          <w:iCs/>
          <w:sz w:val="28"/>
          <w:szCs w:val="28"/>
        </w:rPr>
      </w:pPr>
      <w:hyperlink r:id="rId99" w:history="1">
        <w:r w:rsidR="00067138">
          <w:rPr>
            <w:rStyle w:val="Hyperlink"/>
            <w:b/>
            <w:i/>
            <w:sz w:val="28"/>
          </w:rPr>
          <w:t>Teräs- ja metallialan toimintasuunnitelma</w:t>
        </w:r>
      </w:hyperlink>
    </w:p>
    <w:p w14:paraId="568F321B" w14:textId="77777777" w:rsidR="00DB1849" w:rsidRPr="00DB1849" w:rsidRDefault="00DB1849" w:rsidP="00D95E0E">
      <w:pPr>
        <w:jc w:val="left"/>
        <w:rPr>
          <w:b/>
          <w:bCs/>
          <w:i/>
          <w:iCs/>
        </w:rPr>
      </w:pPr>
    </w:p>
    <w:tbl>
      <w:tblPr>
        <w:tblW w:w="0" w:type="auto"/>
        <w:tblLook w:val="04A0" w:firstRow="1" w:lastRow="0" w:firstColumn="1" w:lastColumn="0" w:noHBand="0" w:noVBand="1"/>
      </w:tblPr>
      <w:tblGrid>
        <w:gridCol w:w="1719"/>
        <w:gridCol w:w="6096"/>
      </w:tblGrid>
      <w:tr w:rsidR="00067138" w14:paraId="42F55711" w14:textId="77777777" w:rsidTr="00DB1849">
        <w:tc>
          <w:tcPr>
            <w:tcW w:w="1719" w:type="dxa"/>
            <w:hideMark/>
          </w:tcPr>
          <w:p w14:paraId="4425DEED" w14:textId="77777777" w:rsidR="00067138" w:rsidRDefault="00067138" w:rsidP="00D95E0E">
            <w:pPr>
              <w:tabs>
                <w:tab w:val="center" w:pos="284"/>
              </w:tabs>
              <w:ind w:left="266" w:hanging="266"/>
              <w:rPr>
                <w:b/>
              </w:rPr>
            </w:pPr>
            <w:r>
              <w:rPr>
                <w:b/>
              </w:rPr>
              <w:t>Esittelijä</w:t>
            </w:r>
          </w:p>
        </w:tc>
        <w:tc>
          <w:tcPr>
            <w:tcW w:w="6096" w:type="dxa"/>
            <w:hideMark/>
          </w:tcPr>
          <w:p w14:paraId="7BE60907" w14:textId="158E4C3B" w:rsidR="00067138" w:rsidRDefault="00067138" w:rsidP="00D95E0E">
            <w:pPr>
              <w:tabs>
                <w:tab w:val="center" w:pos="284"/>
              </w:tabs>
              <w:ind w:left="266" w:hanging="266"/>
            </w:pPr>
            <w:proofErr w:type="spellStart"/>
            <w:r>
              <w:t>Anastasis</w:t>
            </w:r>
            <w:proofErr w:type="spellEnd"/>
            <w:r>
              <w:t xml:space="preserve"> </w:t>
            </w:r>
            <w:r w:rsidR="00DB1849">
              <w:t xml:space="preserve">YIAPANIS </w:t>
            </w:r>
            <w:r>
              <w:t>(kansalaisyhteiskunnan organisaatiot – CY)</w:t>
            </w:r>
          </w:p>
        </w:tc>
      </w:tr>
      <w:tr w:rsidR="00067138" w14:paraId="67F91E82" w14:textId="77777777" w:rsidTr="00DB1849">
        <w:tc>
          <w:tcPr>
            <w:tcW w:w="1719" w:type="dxa"/>
            <w:hideMark/>
          </w:tcPr>
          <w:p w14:paraId="5919F506" w14:textId="77777777" w:rsidR="00067138" w:rsidRDefault="00067138" w:rsidP="00D95E0E">
            <w:pPr>
              <w:tabs>
                <w:tab w:val="center" w:pos="284"/>
              </w:tabs>
              <w:ind w:left="266" w:hanging="266"/>
              <w:rPr>
                <w:b/>
              </w:rPr>
            </w:pPr>
            <w:r>
              <w:rPr>
                <w:b/>
              </w:rPr>
              <w:t>Yhteisesittelijä</w:t>
            </w:r>
          </w:p>
        </w:tc>
        <w:tc>
          <w:tcPr>
            <w:tcW w:w="6096" w:type="dxa"/>
            <w:hideMark/>
          </w:tcPr>
          <w:p w14:paraId="53D9DCD1" w14:textId="77777777" w:rsidR="00067138" w:rsidRDefault="00067138" w:rsidP="00D95E0E">
            <w:pPr>
              <w:tabs>
                <w:tab w:val="center" w:pos="284"/>
              </w:tabs>
              <w:ind w:left="266" w:hanging="266"/>
            </w:pPr>
            <w:r>
              <w:t>Michal PINTÉR (kat. 1 – SK)</w:t>
            </w:r>
          </w:p>
        </w:tc>
      </w:tr>
      <w:tr w:rsidR="00067138" w14:paraId="6B966B09" w14:textId="77777777" w:rsidTr="00DB1849">
        <w:tc>
          <w:tcPr>
            <w:tcW w:w="1719" w:type="dxa"/>
            <w:hideMark/>
          </w:tcPr>
          <w:p w14:paraId="67FC04AD" w14:textId="77777777" w:rsidR="00067138" w:rsidRDefault="00067138" w:rsidP="00D95E0E">
            <w:pPr>
              <w:tabs>
                <w:tab w:val="center" w:pos="284"/>
              </w:tabs>
              <w:ind w:left="266" w:hanging="266"/>
              <w:rPr>
                <w:b/>
              </w:rPr>
            </w:pPr>
            <w:r>
              <w:rPr>
                <w:b/>
              </w:rPr>
              <w:t>Viiteasiakirja(t)</w:t>
            </w:r>
          </w:p>
        </w:tc>
        <w:tc>
          <w:tcPr>
            <w:tcW w:w="6096" w:type="dxa"/>
            <w:hideMark/>
          </w:tcPr>
          <w:p w14:paraId="51E0D6A1" w14:textId="77777777" w:rsidR="00DB1849" w:rsidRDefault="00DB1849" w:rsidP="00D95E0E">
            <w:pPr>
              <w:tabs>
                <w:tab w:val="center" w:pos="284"/>
              </w:tabs>
              <w:overflowPunct w:val="0"/>
              <w:autoSpaceDE w:val="0"/>
              <w:autoSpaceDN w:val="0"/>
              <w:adjustRightInd w:val="0"/>
              <w:ind w:left="266" w:hanging="266"/>
              <w:textAlignment w:val="baseline"/>
              <w:rPr>
                <w:lang w:val="pt-PT"/>
              </w:rPr>
            </w:pPr>
            <w:r>
              <w:rPr>
                <w:lang w:val="pt-PT"/>
              </w:rPr>
              <w:t>COM(2025) 125 final</w:t>
            </w:r>
          </w:p>
          <w:p w14:paraId="4A4C48EC" w14:textId="77777777" w:rsidR="00067138" w:rsidRDefault="00067138" w:rsidP="00D95E0E">
            <w:pPr>
              <w:tabs>
                <w:tab w:val="center" w:pos="284"/>
              </w:tabs>
              <w:ind w:left="266" w:hanging="266"/>
            </w:pPr>
            <w:r>
              <w:t>EESC-2025-01425-00-00-AC-TRA</w:t>
            </w:r>
          </w:p>
        </w:tc>
      </w:tr>
    </w:tbl>
    <w:p w14:paraId="44A3F777" w14:textId="77777777" w:rsidR="00DB1849" w:rsidRDefault="00DB1849" w:rsidP="00D95E0E">
      <w:pPr>
        <w:keepNext/>
        <w:keepLines/>
        <w:tabs>
          <w:tab w:val="center" w:pos="284"/>
        </w:tabs>
        <w:ind w:left="266" w:hanging="266"/>
        <w:rPr>
          <w:b/>
        </w:rPr>
      </w:pPr>
    </w:p>
    <w:p w14:paraId="5ED39C0E" w14:textId="766610EB" w:rsidR="00067138" w:rsidRDefault="00067138" w:rsidP="00D95E0E">
      <w:pPr>
        <w:keepNext/>
        <w:keepLines/>
        <w:tabs>
          <w:tab w:val="center" w:pos="284"/>
        </w:tabs>
        <w:ind w:left="266" w:hanging="266"/>
        <w:rPr>
          <w:b/>
        </w:rPr>
      </w:pPr>
      <w:r>
        <w:rPr>
          <w:b/>
        </w:rPr>
        <w:t>Keskeiset kohdat</w:t>
      </w:r>
    </w:p>
    <w:p w14:paraId="7716B0FB" w14:textId="77777777" w:rsidR="00067138" w:rsidRDefault="00067138" w:rsidP="00D95E0E">
      <w:pPr>
        <w:keepNext/>
        <w:keepLines/>
        <w:tabs>
          <w:tab w:val="center" w:pos="284"/>
        </w:tabs>
        <w:ind w:left="266" w:hanging="266"/>
        <w:rPr>
          <w:b/>
        </w:rPr>
      </w:pPr>
    </w:p>
    <w:p w14:paraId="3C907C9A" w14:textId="77777777" w:rsidR="00067138" w:rsidRDefault="00067138" w:rsidP="00D95E0E">
      <w:pPr>
        <w:keepNext/>
        <w:keepLines/>
        <w:tabs>
          <w:tab w:val="center" w:pos="284"/>
        </w:tabs>
        <w:ind w:left="266" w:hanging="266"/>
        <w:rPr>
          <w:bCs/>
        </w:rPr>
      </w:pPr>
      <w:r>
        <w:t>ETSK</w:t>
      </w:r>
    </w:p>
    <w:p w14:paraId="09F8DEF8" w14:textId="77777777" w:rsidR="00067138" w:rsidRPr="00B959E2" w:rsidRDefault="00067138" w:rsidP="00B959E2">
      <w:pPr>
        <w:numPr>
          <w:ilvl w:val="0"/>
          <w:numId w:val="51"/>
        </w:numPr>
        <w:overflowPunct w:val="0"/>
        <w:autoSpaceDE w:val="0"/>
        <w:autoSpaceDN w:val="0"/>
        <w:adjustRightInd w:val="0"/>
        <w:ind w:left="426"/>
      </w:pPr>
      <w:r w:rsidRPr="00B959E2">
        <w:t>on hyvin huolissaan EU:n terästeollisuuden kriisistä ja vaatii kiireellisiä toimenpiteitä kilpailukyvyn palauttamiseksi, työpaikkojen säilyttämiseksi ja alan siirtymään tehtävien investointien lisäämiseksi.</w:t>
      </w:r>
    </w:p>
    <w:p w14:paraId="2B8E9302" w14:textId="77777777" w:rsidR="00067138" w:rsidRPr="00B959E2" w:rsidRDefault="00067138" w:rsidP="00B959E2">
      <w:pPr>
        <w:numPr>
          <w:ilvl w:val="0"/>
          <w:numId w:val="51"/>
        </w:numPr>
        <w:overflowPunct w:val="0"/>
        <w:autoSpaceDE w:val="0"/>
        <w:autoSpaceDN w:val="0"/>
        <w:adjustRightInd w:val="0"/>
        <w:ind w:left="426"/>
      </w:pPr>
      <w:r w:rsidRPr="00B959E2">
        <w:t>kannattaa uutta ja kattavaa kauppaa koskevaa toimenpidettä, jolla voidaan korvata nykyinen teräsalan suojatoimenpide ennen sen voimassaolon päättymistä 1. heinäkuuta 2026, joka kattaa kaikki maat ja kaikki terästuotteet ja jossa käytetään tuontimarkkinaosuuteen ja kotimaiseen tuotantokapasiteetin käyttötasoon yhteydessä olevaa tariffikiintiöjärjestelmää.</w:t>
      </w:r>
    </w:p>
    <w:p w14:paraId="17AA6F13" w14:textId="77777777" w:rsidR="00067138" w:rsidRPr="00B959E2" w:rsidRDefault="00067138" w:rsidP="00B959E2">
      <w:pPr>
        <w:numPr>
          <w:ilvl w:val="0"/>
          <w:numId w:val="51"/>
        </w:numPr>
        <w:overflowPunct w:val="0"/>
        <w:autoSpaceDE w:val="0"/>
        <w:autoSpaceDN w:val="0"/>
        <w:adjustRightInd w:val="0"/>
        <w:ind w:left="426"/>
      </w:pPr>
      <w:r w:rsidRPr="00B959E2">
        <w:t>kehottaa ottamaan välittömästi käyttöön ”sulattamista ja valamista koskevan säännön”, jolla torjutaan tehokkaasti sovellettavien sääntöjen kiertämistä ja parannetaan teräksen alkuperän jäljitettävyyttä, sekä keskeyttämään tarvittaessa alhaisemman tullin säännön soveltamisen.</w:t>
      </w:r>
    </w:p>
    <w:p w14:paraId="0073D9FD" w14:textId="77777777" w:rsidR="00067138" w:rsidRPr="00B959E2" w:rsidRDefault="00067138" w:rsidP="00B959E2">
      <w:pPr>
        <w:numPr>
          <w:ilvl w:val="0"/>
          <w:numId w:val="51"/>
        </w:numPr>
        <w:overflowPunct w:val="0"/>
        <w:autoSpaceDE w:val="0"/>
        <w:autoSpaceDN w:val="0"/>
        <w:adjustRightInd w:val="0"/>
        <w:ind w:left="426"/>
      </w:pPr>
      <w:r w:rsidRPr="00B959E2">
        <w:t>kehottaa julkaisemaan hiilirajamekanismia koskevan lainsäädäntöehdotuksen, jonka säännöksissä säilytetään maksutta jaettavat päästöoikeudet viennille sellaisiin EU:n ulkopuolisiin maihin, joissa ei ole vastaavia ilmastositoumuksia, ja laajentamaan hiilirajamekanismin soveltamisalaa kattamaan tuotantoketjun loppupään teräsvaltaiset alat.</w:t>
      </w:r>
    </w:p>
    <w:p w14:paraId="777E6738" w14:textId="77777777" w:rsidR="00067138" w:rsidRPr="00B959E2" w:rsidRDefault="00067138" w:rsidP="00B959E2">
      <w:pPr>
        <w:numPr>
          <w:ilvl w:val="0"/>
          <w:numId w:val="51"/>
        </w:numPr>
        <w:overflowPunct w:val="0"/>
        <w:autoSpaceDE w:val="0"/>
        <w:autoSpaceDN w:val="0"/>
        <w:adjustRightInd w:val="0"/>
        <w:ind w:left="426"/>
      </w:pPr>
      <w:r w:rsidRPr="00B959E2">
        <w:t>kannattaa koontiasetusta I koskevan ehdotuksen nopeaa hyväksymistä pk-yritysten suojelemiseksi tarpeettomalta hiilirajamekanismiin liittyvältä hallinto- ja kustannustaakalta. Tässä yhteydessä on varmistettava, ettei sosiaalisia ja ympäristötavoitteita vaaranneta.</w:t>
      </w:r>
    </w:p>
    <w:p w14:paraId="474AC4E8" w14:textId="77777777" w:rsidR="00067138" w:rsidRPr="00B959E2" w:rsidRDefault="00067138" w:rsidP="00B959E2">
      <w:pPr>
        <w:numPr>
          <w:ilvl w:val="0"/>
          <w:numId w:val="51"/>
        </w:numPr>
        <w:overflowPunct w:val="0"/>
        <w:autoSpaceDE w:val="0"/>
        <w:autoSpaceDN w:val="0"/>
        <w:adjustRightInd w:val="0"/>
        <w:ind w:left="426"/>
      </w:pPr>
      <w:r w:rsidRPr="00B959E2">
        <w:t>kehottaa Euroopan komissiota tunnustamaan metalliromun strategisen merkityksen uusioraaka-aineena ja ehdottamaan seurantajärjestelmää romun viennille. Tähän olisi kuuluttava vientitullien tai tariffikiintiöiden kaltaisia toimenpiteitä, joilla tehostetaan laittoman romun viennin valvontaa ja sisällytetään romuraudan kierrätys jätelainsäädäntöön.</w:t>
      </w:r>
    </w:p>
    <w:p w14:paraId="1A70DD83" w14:textId="77777777" w:rsidR="00067138" w:rsidRPr="00B959E2" w:rsidRDefault="00067138" w:rsidP="00B959E2">
      <w:pPr>
        <w:numPr>
          <w:ilvl w:val="0"/>
          <w:numId w:val="51"/>
        </w:numPr>
        <w:overflowPunct w:val="0"/>
        <w:autoSpaceDE w:val="0"/>
        <w:autoSpaceDN w:val="0"/>
        <w:adjustRightInd w:val="0"/>
        <w:ind w:left="426"/>
      </w:pPr>
      <w:r w:rsidRPr="00B959E2">
        <w:t>suosittaa sähkömarkkinoiden rakenneuudistusta ja vaihtoehtoisten markkinamallien kattavaa vaikutustenarviointia, jotta puhtaan sähkön kustannushyödyt voidaan siirtää sekä kotitalouksille että teollisille kuluttajille.</w:t>
      </w:r>
    </w:p>
    <w:p w14:paraId="76EEAD46" w14:textId="77777777" w:rsidR="00067138" w:rsidRPr="00B959E2" w:rsidRDefault="00067138" w:rsidP="00B959E2">
      <w:pPr>
        <w:numPr>
          <w:ilvl w:val="0"/>
          <w:numId w:val="51"/>
        </w:numPr>
        <w:overflowPunct w:val="0"/>
        <w:autoSpaceDE w:val="0"/>
        <w:autoSpaceDN w:val="0"/>
        <w:adjustRightInd w:val="0"/>
        <w:ind w:left="426"/>
      </w:pPr>
      <w:r w:rsidRPr="00B959E2">
        <w:t>kehottaa ottamaan puhtaan teollisen kehityksen valtiontukikehyksessä käyttöön erityiset jäsenvaltioille annettavat ohjeet sellaisten tilapäisten järjestelmien täytäntöönpanosta, joilla tarjotaan kansainvälistä kauppaa käyville energiaintensiivisille teollisuudenaloille tilapäistä helpotusta hintoihin.</w:t>
      </w:r>
    </w:p>
    <w:p w14:paraId="3D7A4998" w14:textId="77777777" w:rsidR="00067138" w:rsidRPr="00B959E2" w:rsidRDefault="00067138" w:rsidP="00B959E2">
      <w:pPr>
        <w:numPr>
          <w:ilvl w:val="0"/>
          <w:numId w:val="51"/>
        </w:numPr>
        <w:overflowPunct w:val="0"/>
        <w:autoSpaceDE w:val="0"/>
        <w:autoSpaceDN w:val="0"/>
        <w:adjustRightInd w:val="0"/>
        <w:ind w:left="426"/>
      </w:pPr>
      <w:r w:rsidRPr="00B959E2">
        <w:t>korostaa, että on asetettava etusijalle vedyn saatavuus teollisille käyttäjille kohdentamalla alakohtaisia määrärahoja tuleviin vetypankkien huutokauppoihin, tarkistettava uusiutuvaa vetyä koskevaa delegoitua säädöstä kustannustehokkaan kotimaisen tuotannon mahdollistamiseksi ja annettava pikaisesti vähähiilistä vetyä koskeva delegoitu säädös.</w:t>
      </w:r>
    </w:p>
    <w:p w14:paraId="17662D1B" w14:textId="77777777" w:rsidR="00067138" w:rsidRPr="00B959E2" w:rsidRDefault="00067138" w:rsidP="00B959E2">
      <w:pPr>
        <w:numPr>
          <w:ilvl w:val="0"/>
          <w:numId w:val="51"/>
        </w:numPr>
        <w:overflowPunct w:val="0"/>
        <w:autoSpaceDE w:val="0"/>
        <w:autoSpaceDN w:val="0"/>
        <w:adjustRightInd w:val="0"/>
        <w:ind w:left="426"/>
      </w:pPr>
      <w:r w:rsidRPr="00B959E2">
        <w:t xml:space="preserve">katsoo, että on laadittava kunnianhimoiset häiriönsieto- ja kestävyyskriteerit, jotta EU:ssa valmistettujen puhtaiden tuotteiden tuotantoa voidaan vahvistaa osana teollisuuden </w:t>
      </w:r>
      <w:proofErr w:type="spellStart"/>
      <w:r w:rsidRPr="00B959E2">
        <w:t>vähähiilistämistä</w:t>
      </w:r>
      <w:proofErr w:type="spellEnd"/>
      <w:r w:rsidRPr="00B959E2">
        <w:t xml:space="preserve"> vauhdittavaa säädöstä.</w:t>
      </w:r>
    </w:p>
    <w:p w14:paraId="45DD12F7" w14:textId="77777777" w:rsidR="00067138" w:rsidRPr="00B959E2" w:rsidRDefault="00067138" w:rsidP="00B959E2">
      <w:pPr>
        <w:numPr>
          <w:ilvl w:val="0"/>
          <w:numId w:val="51"/>
        </w:numPr>
        <w:overflowPunct w:val="0"/>
        <w:autoSpaceDE w:val="0"/>
        <w:autoSpaceDN w:val="0"/>
        <w:adjustRightInd w:val="0"/>
        <w:ind w:left="426"/>
      </w:pPr>
      <w:r w:rsidRPr="00B959E2">
        <w:lastRenderedPageBreak/>
        <w:t xml:space="preserve">kehottaa komissiota arvioimaan teräs- ja metalliteollisuuden investointi- ja rahoitustarpeita ja harkitsemaan rahoitustuen lisäämistä ja kohdentamista sekä soveltamaan sosiaalista ehdollisuutta. Hiilirajamekanismin rahoitusvaroja sekä EU:n päästökauppajärjestelmän tuloja olisi ohjattava teräs- ja metalliteollisuuden teollisen mittakaavan hankkeiden tukemiseen, myös tulevan teollisuuden </w:t>
      </w:r>
      <w:proofErr w:type="spellStart"/>
      <w:r w:rsidRPr="00B959E2">
        <w:t>vähähiilistämispankin</w:t>
      </w:r>
      <w:proofErr w:type="spellEnd"/>
      <w:r w:rsidRPr="00B959E2">
        <w:t xml:space="preserve"> kautta.</w:t>
      </w:r>
    </w:p>
    <w:p w14:paraId="4D2D635F" w14:textId="77777777" w:rsidR="00067138" w:rsidRPr="00B959E2" w:rsidRDefault="00067138" w:rsidP="00B959E2">
      <w:pPr>
        <w:numPr>
          <w:ilvl w:val="0"/>
          <w:numId w:val="51"/>
        </w:numPr>
        <w:overflowPunct w:val="0"/>
        <w:autoSpaceDE w:val="0"/>
        <w:autoSpaceDN w:val="0"/>
        <w:adjustRightInd w:val="0"/>
        <w:ind w:left="426"/>
      </w:pPr>
      <w:r w:rsidRPr="00B959E2">
        <w:t>ehdottaa, että energiaintensiivisille teollisuudenaloille perustetaan erityinen oikeudenmukaisen siirtymän rahasto, jossa keskitytään täydennys- ja uudelleenkoulutusohjelmiin ja työntekijöiden liikkumistukeen.</w:t>
      </w:r>
    </w:p>
    <w:p w14:paraId="614A24F4" w14:textId="77777777" w:rsidR="00067138" w:rsidRDefault="00067138" w:rsidP="00D95E0E">
      <w:pPr>
        <w:rPr>
          <w:sz w:val="18"/>
          <w:szCs w:val="16"/>
        </w:rPr>
      </w:pPr>
    </w:p>
    <w:tbl>
      <w:tblPr>
        <w:tblW w:w="3516" w:type="pct"/>
        <w:tblLook w:val="04A0" w:firstRow="1" w:lastRow="0" w:firstColumn="1" w:lastColumn="0" w:noHBand="0" w:noVBand="1"/>
      </w:tblPr>
      <w:tblGrid>
        <w:gridCol w:w="1985"/>
        <w:gridCol w:w="4395"/>
      </w:tblGrid>
      <w:tr w:rsidR="00067138" w14:paraId="5F227E3A" w14:textId="77777777" w:rsidTr="00067138">
        <w:tc>
          <w:tcPr>
            <w:tcW w:w="1556" w:type="pct"/>
            <w:hideMark/>
          </w:tcPr>
          <w:p w14:paraId="74787EA0" w14:textId="77777777" w:rsidR="00067138" w:rsidRDefault="00067138" w:rsidP="00D95E0E">
            <w:pPr>
              <w:rPr>
                <w:i/>
              </w:rPr>
            </w:pPr>
            <w:r>
              <w:rPr>
                <w:b/>
                <w:i/>
              </w:rPr>
              <w:t>Yhteydenotot</w:t>
            </w:r>
          </w:p>
        </w:tc>
        <w:tc>
          <w:tcPr>
            <w:tcW w:w="3444" w:type="pct"/>
            <w:hideMark/>
          </w:tcPr>
          <w:p w14:paraId="4D9EC619" w14:textId="31C67312" w:rsidR="00067138" w:rsidRPr="00DB1849" w:rsidRDefault="00067138" w:rsidP="00D95E0E">
            <w:pPr>
              <w:rPr>
                <w:bCs/>
                <w:i/>
              </w:rPr>
            </w:pPr>
            <w:r w:rsidRPr="00DB1849">
              <w:rPr>
                <w:bCs/>
                <w:i/>
              </w:rPr>
              <w:t xml:space="preserve">Adam </w:t>
            </w:r>
            <w:proofErr w:type="spellStart"/>
            <w:r w:rsidR="00B959E2" w:rsidRPr="00DB1849">
              <w:rPr>
                <w:bCs/>
                <w:i/>
              </w:rPr>
              <w:t>Dorywalski</w:t>
            </w:r>
            <w:proofErr w:type="spellEnd"/>
            <w:r w:rsidR="00B959E2" w:rsidRPr="00DB1849">
              <w:rPr>
                <w:bCs/>
                <w:i/>
              </w:rPr>
              <w:t xml:space="preserve"> </w:t>
            </w:r>
          </w:p>
        </w:tc>
      </w:tr>
      <w:tr w:rsidR="00067138" w14:paraId="7131E6B0" w14:textId="77777777" w:rsidTr="00067138">
        <w:tc>
          <w:tcPr>
            <w:tcW w:w="1556" w:type="pct"/>
            <w:hideMark/>
          </w:tcPr>
          <w:p w14:paraId="49516C68" w14:textId="77777777" w:rsidR="00067138" w:rsidRDefault="00067138" w:rsidP="00D95E0E">
            <w:pPr>
              <w:rPr>
                <w:i/>
              </w:rPr>
            </w:pPr>
            <w:r>
              <w:rPr>
                <w:i/>
              </w:rPr>
              <w:t>P.</w:t>
            </w:r>
          </w:p>
        </w:tc>
        <w:tc>
          <w:tcPr>
            <w:tcW w:w="3444" w:type="pct"/>
            <w:hideMark/>
          </w:tcPr>
          <w:p w14:paraId="53B8BCDA" w14:textId="77777777" w:rsidR="00067138" w:rsidRDefault="00067138" w:rsidP="00D95E0E">
            <w:pPr>
              <w:rPr>
                <w:i/>
              </w:rPr>
            </w:pPr>
            <w:r>
              <w:rPr>
                <w:i/>
              </w:rPr>
              <w:t>+3225469397</w:t>
            </w:r>
          </w:p>
        </w:tc>
      </w:tr>
      <w:tr w:rsidR="00067138" w14:paraId="6709C33E" w14:textId="77777777" w:rsidTr="00067138">
        <w:tc>
          <w:tcPr>
            <w:tcW w:w="1556" w:type="pct"/>
            <w:hideMark/>
          </w:tcPr>
          <w:p w14:paraId="226BD291" w14:textId="77777777" w:rsidR="00067138" w:rsidRDefault="00067138" w:rsidP="00D95E0E">
            <w:pPr>
              <w:rPr>
                <w:i/>
              </w:rPr>
            </w:pPr>
            <w:r>
              <w:rPr>
                <w:i/>
              </w:rPr>
              <w:t>Sähköposti</w:t>
            </w:r>
          </w:p>
        </w:tc>
        <w:tc>
          <w:tcPr>
            <w:tcW w:w="3444" w:type="pct"/>
            <w:hideMark/>
          </w:tcPr>
          <w:p w14:paraId="1D79DC6B" w14:textId="77777777" w:rsidR="00067138" w:rsidRDefault="0061775F" w:rsidP="00D95E0E">
            <w:pPr>
              <w:rPr>
                <w:i/>
              </w:rPr>
            </w:pPr>
            <w:hyperlink r:id="rId100" w:history="1">
              <w:r w:rsidR="00067138">
                <w:rPr>
                  <w:rStyle w:val="Hyperlink"/>
                  <w:i/>
                </w:rPr>
                <w:t>Adam.Dorywalski@eesc.europa.eu</w:t>
              </w:r>
            </w:hyperlink>
            <w:r w:rsidR="00067138">
              <w:t xml:space="preserve"> </w:t>
            </w:r>
          </w:p>
        </w:tc>
      </w:tr>
    </w:tbl>
    <w:p w14:paraId="668E4716" w14:textId="48D103EB" w:rsidR="00067138" w:rsidRDefault="00067138" w:rsidP="00D95E0E">
      <w:pPr>
        <w:jc w:val="left"/>
      </w:pPr>
    </w:p>
    <w:p w14:paraId="15901D0C" w14:textId="77777777" w:rsidR="00067138" w:rsidRDefault="00067138" w:rsidP="00D95E0E">
      <w:pPr>
        <w:jc w:val="left"/>
      </w:pPr>
      <w:r>
        <w:br w:type="page"/>
      </w:r>
    </w:p>
    <w:p w14:paraId="2656216E" w14:textId="291854F2" w:rsidR="00067138" w:rsidRPr="00DB1849" w:rsidRDefault="0061775F" w:rsidP="00693C8D">
      <w:pPr>
        <w:pStyle w:val="ListParagraph"/>
        <w:numPr>
          <w:ilvl w:val="0"/>
          <w:numId w:val="10"/>
        </w:numPr>
        <w:ind w:left="567" w:hanging="567"/>
        <w:rPr>
          <w:sz w:val="28"/>
          <w:szCs w:val="28"/>
        </w:rPr>
      </w:pPr>
      <w:hyperlink r:id="rId101" w:history="1">
        <w:r w:rsidR="00067138">
          <w:rPr>
            <w:rStyle w:val="Hyperlink"/>
            <w:b/>
            <w:i/>
            <w:sz w:val="28"/>
          </w:rPr>
          <w:t>Rakenneosat Euroopan puhtaan teknologian tuotantopohjan vahvistamiseksi</w:t>
        </w:r>
      </w:hyperlink>
      <w:r w:rsidR="00067138">
        <w:rPr>
          <w:b/>
          <w:i/>
          <w:sz w:val="28"/>
        </w:rPr>
        <w:t xml:space="preserve"> </w:t>
      </w:r>
    </w:p>
    <w:p w14:paraId="257F90E5" w14:textId="77777777" w:rsidR="00DB1849" w:rsidRPr="00DB1849" w:rsidRDefault="00DB1849" w:rsidP="00693C8D">
      <w:pPr>
        <w:spacing w:line="240" w:lineRule="auto"/>
        <w:jc w:val="left"/>
      </w:pPr>
    </w:p>
    <w:tbl>
      <w:tblPr>
        <w:tblW w:w="0" w:type="auto"/>
        <w:tblLook w:val="04A0" w:firstRow="1" w:lastRow="0" w:firstColumn="1" w:lastColumn="0" w:noHBand="0" w:noVBand="1"/>
      </w:tblPr>
      <w:tblGrid>
        <w:gridCol w:w="1701"/>
        <w:gridCol w:w="7088"/>
      </w:tblGrid>
      <w:tr w:rsidR="00067138" w14:paraId="39B29081" w14:textId="77777777" w:rsidTr="00067138">
        <w:tc>
          <w:tcPr>
            <w:tcW w:w="1701" w:type="dxa"/>
            <w:hideMark/>
          </w:tcPr>
          <w:p w14:paraId="514D3221" w14:textId="77777777" w:rsidR="00067138" w:rsidRDefault="00067138" w:rsidP="00D95E0E">
            <w:pPr>
              <w:tabs>
                <w:tab w:val="center" w:pos="284"/>
              </w:tabs>
              <w:ind w:left="266" w:hanging="266"/>
              <w:rPr>
                <w:b/>
              </w:rPr>
            </w:pPr>
            <w:r>
              <w:rPr>
                <w:b/>
              </w:rPr>
              <w:t>Esittelijä</w:t>
            </w:r>
          </w:p>
        </w:tc>
        <w:tc>
          <w:tcPr>
            <w:tcW w:w="7088" w:type="dxa"/>
            <w:hideMark/>
          </w:tcPr>
          <w:p w14:paraId="19890C89" w14:textId="77777777" w:rsidR="00067138" w:rsidRDefault="00067138" w:rsidP="00D95E0E">
            <w:pPr>
              <w:tabs>
                <w:tab w:val="center" w:pos="284"/>
              </w:tabs>
              <w:ind w:left="266" w:hanging="266"/>
            </w:pPr>
            <w:proofErr w:type="spellStart"/>
            <w:r>
              <w:t>Corina</w:t>
            </w:r>
            <w:proofErr w:type="spellEnd"/>
            <w:r>
              <w:t xml:space="preserve"> MURAFA BENGA (kansalaisyhteiskunnan organisaatiot – RO)</w:t>
            </w:r>
          </w:p>
        </w:tc>
      </w:tr>
      <w:tr w:rsidR="00067138" w14:paraId="70EC3594" w14:textId="77777777" w:rsidTr="00067138">
        <w:tc>
          <w:tcPr>
            <w:tcW w:w="1701" w:type="dxa"/>
            <w:hideMark/>
          </w:tcPr>
          <w:p w14:paraId="125E6933" w14:textId="77777777" w:rsidR="00067138" w:rsidRDefault="00067138" w:rsidP="00D95E0E">
            <w:pPr>
              <w:tabs>
                <w:tab w:val="center" w:pos="284"/>
              </w:tabs>
              <w:ind w:left="266" w:hanging="266"/>
              <w:rPr>
                <w:b/>
              </w:rPr>
            </w:pPr>
            <w:r>
              <w:rPr>
                <w:b/>
              </w:rPr>
              <w:t>Yhteisesittelijä</w:t>
            </w:r>
          </w:p>
        </w:tc>
        <w:tc>
          <w:tcPr>
            <w:tcW w:w="7088" w:type="dxa"/>
            <w:hideMark/>
          </w:tcPr>
          <w:p w14:paraId="4AF6962E" w14:textId="77777777" w:rsidR="00067138" w:rsidRDefault="00067138" w:rsidP="00D95E0E">
            <w:pPr>
              <w:tabs>
                <w:tab w:val="center" w:pos="284"/>
              </w:tabs>
              <w:ind w:left="266" w:hanging="266"/>
            </w:pPr>
            <w:proofErr w:type="spellStart"/>
            <w:r>
              <w:t>Guido</w:t>
            </w:r>
            <w:proofErr w:type="spellEnd"/>
            <w:r>
              <w:t xml:space="preserve"> NELISSEN (kat. 2 – BE)</w:t>
            </w:r>
          </w:p>
        </w:tc>
      </w:tr>
      <w:tr w:rsidR="00067138" w14:paraId="0F839186" w14:textId="77777777" w:rsidTr="00067138">
        <w:tc>
          <w:tcPr>
            <w:tcW w:w="1701" w:type="dxa"/>
            <w:hideMark/>
          </w:tcPr>
          <w:p w14:paraId="6B994F5D" w14:textId="77777777" w:rsidR="00067138" w:rsidRDefault="00067138" w:rsidP="00D95E0E">
            <w:pPr>
              <w:tabs>
                <w:tab w:val="center" w:pos="284"/>
              </w:tabs>
              <w:ind w:left="266" w:hanging="266"/>
              <w:rPr>
                <w:b/>
              </w:rPr>
            </w:pPr>
            <w:r>
              <w:rPr>
                <w:b/>
              </w:rPr>
              <w:t>Viiteasiakirja</w:t>
            </w:r>
          </w:p>
        </w:tc>
        <w:tc>
          <w:tcPr>
            <w:tcW w:w="7088" w:type="dxa"/>
            <w:hideMark/>
          </w:tcPr>
          <w:p w14:paraId="46717CEE" w14:textId="052504B4" w:rsidR="00DB1849" w:rsidRDefault="000A3466" w:rsidP="00D95E0E">
            <w:pPr>
              <w:tabs>
                <w:tab w:val="center" w:pos="284"/>
              </w:tabs>
              <w:ind w:left="266" w:hanging="266"/>
            </w:pPr>
            <w:r>
              <w:t>oma</w:t>
            </w:r>
            <w:r w:rsidR="00DB1849">
              <w:t>-aloitteinen lausunto</w:t>
            </w:r>
          </w:p>
          <w:p w14:paraId="7386A562" w14:textId="3DE64853" w:rsidR="00067138" w:rsidRDefault="00067138" w:rsidP="00D95E0E">
            <w:pPr>
              <w:tabs>
                <w:tab w:val="center" w:pos="284"/>
              </w:tabs>
              <w:ind w:left="266" w:hanging="266"/>
            </w:pPr>
            <w:r>
              <w:t>EESC-2025-00595-00-00-AC</w:t>
            </w:r>
          </w:p>
        </w:tc>
      </w:tr>
    </w:tbl>
    <w:p w14:paraId="2FB47CDF" w14:textId="77777777" w:rsidR="00DB1849" w:rsidRDefault="00DB1849" w:rsidP="00693C8D">
      <w:pPr>
        <w:keepNext/>
        <w:keepLines/>
        <w:tabs>
          <w:tab w:val="center" w:pos="284"/>
        </w:tabs>
        <w:spacing w:line="240" w:lineRule="auto"/>
        <w:rPr>
          <w:b/>
        </w:rPr>
      </w:pPr>
    </w:p>
    <w:p w14:paraId="4C5E29CE" w14:textId="68556945" w:rsidR="00067138" w:rsidRDefault="00067138" w:rsidP="00693C8D">
      <w:pPr>
        <w:keepNext/>
        <w:keepLines/>
        <w:tabs>
          <w:tab w:val="center" w:pos="284"/>
        </w:tabs>
        <w:spacing w:line="240" w:lineRule="auto"/>
        <w:rPr>
          <w:b/>
        </w:rPr>
      </w:pPr>
      <w:r>
        <w:rPr>
          <w:b/>
        </w:rPr>
        <w:t>Keskeiset kohdat</w:t>
      </w:r>
    </w:p>
    <w:p w14:paraId="5376A22B" w14:textId="77777777" w:rsidR="00067138" w:rsidRDefault="00067138" w:rsidP="00693C8D">
      <w:pPr>
        <w:keepNext/>
        <w:keepLines/>
        <w:tabs>
          <w:tab w:val="center" w:pos="284"/>
        </w:tabs>
        <w:spacing w:line="240" w:lineRule="auto"/>
        <w:ind w:left="266" w:hanging="266"/>
        <w:rPr>
          <w:b/>
        </w:rPr>
      </w:pPr>
    </w:p>
    <w:p w14:paraId="09383FC3" w14:textId="77777777" w:rsidR="00067138" w:rsidRDefault="00067138" w:rsidP="00D95E0E">
      <w:pPr>
        <w:keepNext/>
        <w:keepLines/>
        <w:tabs>
          <w:tab w:val="center" w:pos="284"/>
        </w:tabs>
        <w:ind w:left="266" w:hanging="266"/>
        <w:rPr>
          <w:bCs/>
        </w:rPr>
      </w:pPr>
      <w:r>
        <w:t>ETSK</w:t>
      </w:r>
    </w:p>
    <w:p w14:paraId="4DF2E425" w14:textId="77777777" w:rsidR="00067138" w:rsidRPr="00693C8D" w:rsidRDefault="00067138" w:rsidP="00D95E0E">
      <w:pPr>
        <w:pStyle w:val="Heading2"/>
        <w:numPr>
          <w:ilvl w:val="1"/>
          <w:numId w:val="54"/>
        </w:numPr>
        <w:overflowPunct w:val="0"/>
        <w:autoSpaceDE w:val="0"/>
        <w:autoSpaceDN w:val="0"/>
        <w:adjustRightInd w:val="0"/>
        <w:ind w:left="284" w:hanging="284"/>
        <w:rPr>
          <w:spacing w:val="-2"/>
          <w:szCs w:val="20"/>
        </w:rPr>
      </w:pPr>
      <w:bookmarkStart w:id="92" w:name="_Toc210812764"/>
      <w:r w:rsidRPr="00693C8D">
        <w:rPr>
          <w:spacing w:val="-2"/>
        </w:rPr>
        <w:t>korostaa, että vaikka EU:ssa on erilaisia puhtaan teknologian ekosysteemejä ja sillä on vahvaa tutkimus- ja kehitysosaamista (</w:t>
      </w:r>
      <w:proofErr w:type="spellStart"/>
      <w:r w:rsidRPr="00693C8D">
        <w:rPr>
          <w:spacing w:val="-2"/>
        </w:rPr>
        <w:t>t&amp;k</w:t>
      </w:r>
      <w:proofErr w:type="spellEnd"/>
      <w:r w:rsidRPr="00693C8D">
        <w:rPr>
          <w:spacing w:val="-2"/>
        </w:rPr>
        <w:t>), siirtyminen innovoinnista kaupalliseen käyttöönottoon on edelleen ongelmallista erityisesti verrattuna Kiinan ja Yhdysvaltojen kaltaisiin globaaleihin kilpailijoihin.</w:t>
      </w:r>
      <w:bookmarkEnd w:id="92"/>
    </w:p>
    <w:p w14:paraId="7A274424" w14:textId="77777777" w:rsidR="00067138" w:rsidRPr="00693C8D" w:rsidRDefault="00067138" w:rsidP="00D95E0E">
      <w:pPr>
        <w:pStyle w:val="Heading2"/>
        <w:numPr>
          <w:ilvl w:val="1"/>
          <w:numId w:val="54"/>
        </w:numPr>
        <w:overflowPunct w:val="0"/>
        <w:autoSpaceDE w:val="0"/>
        <w:autoSpaceDN w:val="0"/>
        <w:adjustRightInd w:val="0"/>
        <w:ind w:left="284" w:hanging="284"/>
        <w:rPr>
          <w:spacing w:val="-2"/>
        </w:rPr>
      </w:pPr>
      <w:bookmarkStart w:id="93" w:name="_Toc210812765"/>
      <w:r w:rsidRPr="00693C8D">
        <w:rPr>
          <w:spacing w:val="-2"/>
        </w:rPr>
        <w:t>painottaa, että Yhdysvaltojen ja Kiinan politiikat asettavat haasteita Euroopan kyvylle lisätä investointeja ja vahvistaa puhtaan teknologian teollisuuttaan, myös aloilla, joilla se on johtavassa asemassa. Jos Eurooppa ottaa käyttöön oikeanlaisia politiikkatoimia, se voisi kuitenkin muuttaa energiaan ja veteen liittyvät haasteet mahdollisuuksiksi luoda työpaikkoja, uutta osaamista ja liiketoiminnan kasvua.</w:t>
      </w:r>
      <w:bookmarkEnd w:id="93"/>
    </w:p>
    <w:p w14:paraId="4F6E1E13" w14:textId="77777777" w:rsidR="00067138" w:rsidRPr="00693C8D" w:rsidRDefault="00067138" w:rsidP="00D95E0E">
      <w:pPr>
        <w:pStyle w:val="Heading2"/>
        <w:numPr>
          <w:ilvl w:val="1"/>
          <w:numId w:val="54"/>
        </w:numPr>
        <w:overflowPunct w:val="0"/>
        <w:autoSpaceDE w:val="0"/>
        <w:autoSpaceDN w:val="0"/>
        <w:adjustRightInd w:val="0"/>
        <w:ind w:left="284" w:hanging="284"/>
        <w:rPr>
          <w:spacing w:val="-2"/>
        </w:rPr>
      </w:pPr>
      <w:bookmarkStart w:id="94" w:name="_Toc210812766"/>
      <w:r w:rsidRPr="00693C8D">
        <w:rPr>
          <w:spacing w:val="-2"/>
        </w:rPr>
        <w:t>kehottaa komissiota tunnustamaan puhtaan teknologian erilliseksi teollisuudenalaksi ja tukemaan sen kehittämistä laatimalla teknologian etenemissuunnitelmia, vähentämällä innovoinnin riskejä pilottihankkeiden ja kumppanuuksien avulla ja lisäämällä rahoitusta erityisesti Horisontti Eurooppa -puiteohjelman ja kymmenennen tutkimuksen ja innovoinnin puiteohjelman kautta. Kutakin teknologian etenemissuunnitelmaa olisi täydennettävä inhimillistä ja sosiaalista ulottuvuutta koskevalla etenemissuunnitelmalla kaikkien työntekijöiden tukemiseksi osaamissiirtymän yhteydessä.</w:t>
      </w:r>
      <w:bookmarkEnd w:id="94"/>
    </w:p>
    <w:p w14:paraId="4E84A8A0" w14:textId="39F7C539" w:rsidR="00067138" w:rsidRPr="00693C8D" w:rsidRDefault="00067138" w:rsidP="00D95E0E">
      <w:pPr>
        <w:pStyle w:val="Heading2"/>
        <w:numPr>
          <w:ilvl w:val="1"/>
          <w:numId w:val="54"/>
        </w:numPr>
        <w:overflowPunct w:val="0"/>
        <w:autoSpaceDE w:val="0"/>
        <w:autoSpaceDN w:val="0"/>
        <w:adjustRightInd w:val="0"/>
        <w:ind w:left="284" w:hanging="284"/>
        <w:rPr>
          <w:spacing w:val="-2"/>
        </w:rPr>
      </w:pPr>
      <w:bookmarkStart w:id="95" w:name="_Toc210812767"/>
      <w:r w:rsidRPr="00693C8D">
        <w:rPr>
          <w:spacing w:val="-2"/>
        </w:rPr>
        <w:t>kehottaa toteuttamaan EU:n laajuisen arvioinnin puhtaan energian ja vesiteknologian alan työvoimapulasta, ja huolehtimaan samalla laadukkaista työpaikoista ja osallistavista mahdollisuuksista naisille ja muille heikommassa asemassa oleville ryhmille. Komission olisi perustettava osaamis</w:t>
      </w:r>
      <w:r w:rsidR="00693C8D">
        <w:rPr>
          <w:spacing w:val="-2"/>
        </w:rPr>
        <w:softHyphen/>
      </w:r>
      <w:r w:rsidRPr="00693C8D">
        <w:rPr>
          <w:spacing w:val="-2"/>
        </w:rPr>
        <w:t>unionin puitteissa osaamista koskevan tiedon hankinnan eurooppalaisen seurantakeskuksen yhteyteen erillinen puhtaan teknologian osa-alue, jotta voidaan varmistaa kyseisen osaamisen nopea saatavuus.</w:t>
      </w:r>
      <w:bookmarkEnd w:id="95"/>
    </w:p>
    <w:p w14:paraId="5245E747" w14:textId="77777777" w:rsidR="00067138" w:rsidRPr="00693C8D" w:rsidRDefault="00067138" w:rsidP="00D95E0E">
      <w:pPr>
        <w:pStyle w:val="Heading2"/>
        <w:numPr>
          <w:ilvl w:val="1"/>
          <w:numId w:val="54"/>
        </w:numPr>
        <w:overflowPunct w:val="0"/>
        <w:autoSpaceDE w:val="0"/>
        <w:autoSpaceDN w:val="0"/>
        <w:adjustRightInd w:val="0"/>
        <w:ind w:left="284" w:hanging="284"/>
        <w:rPr>
          <w:spacing w:val="-2"/>
        </w:rPr>
      </w:pPr>
      <w:bookmarkStart w:id="96" w:name="_Toc210812768"/>
      <w:r w:rsidRPr="00693C8D">
        <w:rPr>
          <w:spacing w:val="-2"/>
        </w:rPr>
        <w:t>kehottaa EU:ta kehittämään EU:n osaamispassin kaltaisia välineitä, yhdenmukaistettua sertifiointia ja vahvempia yhteyksiä koulutusalan ja elinkeinoelämän välillä, jotta helpotetaan siirtymistä ilmastoneutraalin talouden alan työpaikkoihin.</w:t>
      </w:r>
      <w:bookmarkEnd w:id="96"/>
    </w:p>
    <w:p w14:paraId="5EC670DF" w14:textId="77777777" w:rsidR="00067138" w:rsidRPr="00693C8D" w:rsidRDefault="00067138" w:rsidP="00D95E0E">
      <w:pPr>
        <w:pStyle w:val="Heading2"/>
        <w:numPr>
          <w:ilvl w:val="1"/>
          <w:numId w:val="54"/>
        </w:numPr>
        <w:overflowPunct w:val="0"/>
        <w:autoSpaceDE w:val="0"/>
        <w:autoSpaceDN w:val="0"/>
        <w:adjustRightInd w:val="0"/>
        <w:ind w:left="284" w:hanging="284"/>
        <w:rPr>
          <w:spacing w:val="-2"/>
        </w:rPr>
      </w:pPr>
      <w:bookmarkStart w:id="97" w:name="_Toc210812769"/>
      <w:r w:rsidRPr="00693C8D">
        <w:rPr>
          <w:spacing w:val="-2"/>
        </w:rPr>
        <w:t>painottaa tarvetta vauhdittaa puhtaan teknologian valmistusta EU:ssa Euroopan kilpailukykyrahaston, uudelleensuunnatun innovaatiorahaston ja EIP:n etupainotteisten investointien avulla huolehtien samalla yhteenkuuluvuudesta sekä pienten ja keskisuurten yritysten (pk-yritysten) osallisuudesta.</w:t>
      </w:r>
      <w:bookmarkEnd w:id="97"/>
    </w:p>
    <w:p w14:paraId="7DE5124B" w14:textId="77777777" w:rsidR="00067138" w:rsidRPr="00693C8D" w:rsidRDefault="00067138" w:rsidP="00D95E0E">
      <w:pPr>
        <w:pStyle w:val="Heading2"/>
        <w:numPr>
          <w:ilvl w:val="1"/>
          <w:numId w:val="54"/>
        </w:numPr>
        <w:overflowPunct w:val="0"/>
        <w:autoSpaceDE w:val="0"/>
        <w:autoSpaceDN w:val="0"/>
        <w:adjustRightInd w:val="0"/>
        <w:ind w:left="284" w:hanging="284"/>
        <w:rPr>
          <w:spacing w:val="-2"/>
        </w:rPr>
      </w:pPr>
      <w:bookmarkStart w:id="98" w:name="_Toc210812770"/>
      <w:r w:rsidRPr="00693C8D">
        <w:rPr>
          <w:spacing w:val="-2"/>
        </w:rPr>
        <w:t>kehottaa investoimaan alueellisiin puhtaan teknologian klustereihin, sähköverkkoihin ja pääomamarkkinoiden yhdentymiseen samalla kun nopeutetaan lupamenettelyjä.</w:t>
      </w:r>
      <w:bookmarkEnd w:id="98"/>
    </w:p>
    <w:p w14:paraId="57FBCE0A" w14:textId="77777777" w:rsidR="00067138" w:rsidRPr="00693C8D" w:rsidRDefault="00067138" w:rsidP="00D95E0E">
      <w:pPr>
        <w:pStyle w:val="Heading2"/>
        <w:numPr>
          <w:ilvl w:val="1"/>
          <w:numId w:val="54"/>
        </w:numPr>
        <w:overflowPunct w:val="0"/>
        <w:autoSpaceDE w:val="0"/>
        <w:autoSpaceDN w:val="0"/>
        <w:adjustRightInd w:val="0"/>
        <w:ind w:left="284" w:hanging="284"/>
        <w:rPr>
          <w:spacing w:val="-2"/>
        </w:rPr>
      </w:pPr>
      <w:bookmarkStart w:id="99" w:name="_Toc210812771"/>
      <w:r w:rsidRPr="00693C8D">
        <w:rPr>
          <w:spacing w:val="-2"/>
        </w:rPr>
        <w:t>ehdottaa, että sisällytetään hiilestä irtautuminen ja vesitehokkuus kauppasopimuksiin ja rakennetaan strategisia kumppanuuksia puhtaan teknologian toimitusketjujen vahvistamiseksi.</w:t>
      </w:r>
      <w:bookmarkEnd w:id="99"/>
    </w:p>
    <w:p w14:paraId="42C8536A" w14:textId="77777777" w:rsidR="00067138" w:rsidRDefault="00067138" w:rsidP="00D95E0E"/>
    <w:tbl>
      <w:tblPr>
        <w:tblW w:w="0" w:type="auto"/>
        <w:tblLook w:val="04A0" w:firstRow="1" w:lastRow="0" w:firstColumn="1" w:lastColumn="0" w:noHBand="0" w:noVBand="1"/>
      </w:tblPr>
      <w:tblGrid>
        <w:gridCol w:w="1418"/>
        <w:gridCol w:w="5670"/>
      </w:tblGrid>
      <w:tr w:rsidR="00067138" w14:paraId="416AB963" w14:textId="77777777" w:rsidTr="00067138">
        <w:tc>
          <w:tcPr>
            <w:tcW w:w="1418" w:type="dxa"/>
            <w:hideMark/>
          </w:tcPr>
          <w:p w14:paraId="1A34F4BC" w14:textId="77777777" w:rsidR="00067138" w:rsidRDefault="00067138" w:rsidP="00D95E0E">
            <w:pPr>
              <w:rPr>
                <w:i/>
              </w:rPr>
            </w:pPr>
            <w:r>
              <w:rPr>
                <w:b/>
                <w:i/>
              </w:rPr>
              <w:t>Yhteydenotot</w:t>
            </w:r>
          </w:p>
        </w:tc>
        <w:tc>
          <w:tcPr>
            <w:tcW w:w="5670" w:type="dxa"/>
            <w:hideMark/>
          </w:tcPr>
          <w:p w14:paraId="7C9D80FF" w14:textId="27009DA9" w:rsidR="00067138" w:rsidRDefault="00067138" w:rsidP="00D95E0E">
            <w:pPr>
              <w:rPr>
                <w:i/>
              </w:rPr>
            </w:pPr>
            <w:proofErr w:type="spellStart"/>
            <w:r>
              <w:rPr>
                <w:i/>
              </w:rPr>
              <w:t>Jacopo</w:t>
            </w:r>
            <w:proofErr w:type="spellEnd"/>
            <w:r>
              <w:rPr>
                <w:i/>
              </w:rPr>
              <w:t xml:space="preserve"> </w:t>
            </w:r>
            <w:proofErr w:type="spellStart"/>
            <w:r w:rsidR="00B959E2">
              <w:rPr>
                <w:i/>
              </w:rPr>
              <w:t>Caja</w:t>
            </w:r>
            <w:proofErr w:type="spellEnd"/>
          </w:p>
        </w:tc>
      </w:tr>
      <w:tr w:rsidR="00067138" w14:paraId="21B8D696" w14:textId="77777777" w:rsidTr="00067138">
        <w:tc>
          <w:tcPr>
            <w:tcW w:w="1418" w:type="dxa"/>
            <w:hideMark/>
          </w:tcPr>
          <w:p w14:paraId="3656E375" w14:textId="77777777" w:rsidR="00067138" w:rsidRDefault="00067138" w:rsidP="00D95E0E">
            <w:pPr>
              <w:rPr>
                <w:i/>
              </w:rPr>
            </w:pPr>
            <w:r>
              <w:rPr>
                <w:i/>
              </w:rPr>
              <w:t>P.</w:t>
            </w:r>
          </w:p>
        </w:tc>
        <w:tc>
          <w:tcPr>
            <w:tcW w:w="5670" w:type="dxa"/>
            <w:hideMark/>
          </w:tcPr>
          <w:p w14:paraId="3E60C6D6" w14:textId="77777777" w:rsidR="00067138" w:rsidRDefault="00067138" w:rsidP="00D95E0E">
            <w:pPr>
              <w:rPr>
                <w:i/>
              </w:rPr>
            </w:pPr>
            <w:r>
              <w:rPr>
                <w:i/>
              </w:rPr>
              <w:t>+32 25469580</w:t>
            </w:r>
          </w:p>
        </w:tc>
      </w:tr>
      <w:tr w:rsidR="00067138" w14:paraId="36A85B67" w14:textId="77777777" w:rsidTr="00067138">
        <w:trPr>
          <w:trHeight w:val="80"/>
        </w:trPr>
        <w:tc>
          <w:tcPr>
            <w:tcW w:w="1418" w:type="dxa"/>
            <w:hideMark/>
          </w:tcPr>
          <w:p w14:paraId="4B0CFFF9" w14:textId="77777777" w:rsidR="00067138" w:rsidRDefault="00067138" w:rsidP="00D95E0E">
            <w:pPr>
              <w:rPr>
                <w:i/>
              </w:rPr>
            </w:pPr>
            <w:r>
              <w:rPr>
                <w:i/>
              </w:rPr>
              <w:t>Sähköposti</w:t>
            </w:r>
          </w:p>
        </w:tc>
        <w:tc>
          <w:tcPr>
            <w:tcW w:w="5670" w:type="dxa"/>
            <w:hideMark/>
          </w:tcPr>
          <w:p w14:paraId="4CC4D83C" w14:textId="77777777" w:rsidR="00067138" w:rsidRPr="000A3466" w:rsidRDefault="0061775F" w:rsidP="00D95E0E">
            <w:pPr>
              <w:rPr>
                <w:i/>
                <w:iCs/>
              </w:rPr>
            </w:pPr>
            <w:hyperlink r:id="rId102" w:history="1">
              <w:r w:rsidR="00067138" w:rsidRPr="000A3466">
                <w:rPr>
                  <w:rStyle w:val="Hyperlink"/>
                  <w:i/>
                  <w:iCs/>
                </w:rPr>
                <w:t>JacopoErnesto.Caja@eesc.europa.eu</w:t>
              </w:r>
            </w:hyperlink>
          </w:p>
        </w:tc>
      </w:tr>
    </w:tbl>
    <w:p w14:paraId="6598632C" w14:textId="0612A58B" w:rsidR="00A21620" w:rsidRPr="00DB1849" w:rsidRDefault="0061775F" w:rsidP="00693C8D">
      <w:pPr>
        <w:pStyle w:val="Heading1"/>
        <w:keepNext/>
        <w:keepLines/>
        <w:rPr>
          <w:b/>
        </w:rPr>
      </w:pPr>
      <w:hyperlink r:id="rId103" w:history="1">
        <w:bookmarkStart w:id="100" w:name="_Toc210812772"/>
        <w:r w:rsidR="00DB1849" w:rsidRPr="00DB1849">
          <w:rPr>
            <w:rStyle w:val="Hyperlink"/>
            <w:b/>
            <w:color w:val="auto"/>
            <w:u w:val="none"/>
          </w:rPr>
          <w:t>EUROOPAN VARAUTUMISUNIONISTRATEGIA</w:t>
        </w:r>
        <w:bookmarkEnd w:id="100"/>
      </w:hyperlink>
    </w:p>
    <w:p w14:paraId="2753513E" w14:textId="137AB3BB" w:rsidR="000D394D" w:rsidRDefault="000D394D" w:rsidP="00693C8D">
      <w:pPr>
        <w:keepNext/>
        <w:keepLines/>
        <w:jc w:val="left"/>
      </w:pPr>
    </w:p>
    <w:bookmarkStart w:id="101" w:name="_Hlk210812394"/>
    <w:p w14:paraId="209E4AB9" w14:textId="77777777" w:rsidR="00DB1849" w:rsidRDefault="00DB1849" w:rsidP="00693C8D">
      <w:pPr>
        <w:keepNext/>
        <w:keepLines/>
        <w:numPr>
          <w:ilvl w:val="0"/>
          <w:numId w:val="2"/>
        </w:numPr>
        <w:overflowPunct w:val="0"/>
        <w:autoSpaceDE w:val="0"/>
        <w:autoSpaceDN w:val="0"/>
        <w:adjustRightInd w:val="0"/>
        <w:ind w:left="567" w:hanging="567"/>
        <w:rPr>
          <w:b/>
          <w:bCs/>
          <w:i/>
          <w:iCs/>
          <w:sz w:val="28"/>
          <w:szCs w:val="28"/>
        </w:rPr>
      </w:pPr>
      <w:r>
        <w:fldChar w:fldCharType="begin"/>
      </w:r>
      <w:r>
        <w:instrText xml:space="preserve"> HYPERLINK "https://www.eesc.europa.eu/fi/our-work/opinions-information-reports/opinions/european-preparedness-union-strategy" </w:instrText>
      </w:r>
      <w:r>
        <w:fldChar w:fldCharType="separate"/>
      </w:r>
      <w:r>
        <w:rPr>
          <w:rStyle w:val="Hyperlink"/>
          <w:b/>
          <w:i/>
          <w:sz w:val="28"/>
        </w:rPr>
        <w:t>Euroopan varautumisunionistrategiaa käsittelevä lausunto</w:t>
      </w:r>
      <w:r>
        <w:fldChar w:fldCharType="end"/>
      </w:r>
      <w:bookmarkEnd w:id="101"/>
    </w:p>
    <w:p w14:paraId="73A54E28" w14:textId="77777777" w:rsidR="00DB1849" w:rsidRDefault="00DB1849" w:rsidP="00693C8D">
      <w:pPr>
        <w:keepNext/>
        <w:keepLines/>
        <w:ind w:left="266"/>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7090"/>
      </w:tblGrid>
      <w:tr w:rsidR="00DB1849" w14:paraId="350A2B78" w14:textId="77777777" w:rsidTr="00DB1849">
        <w:tc>
          <w:tcPr>
            <w:tcW w:w="1093" w:type="pct"/>
            <w:hideMark/>
          </w:tcPr>
          <w:p w14:paraId="27B44227" w14:textId="77777777" w:rsidR="00DB1849" w:rsidRDefault="00DB1849" w:rsidP="00693C8D">
            <w:pPr>
              <w:keepNext/>
              <w:keepLines/>
              <w:tabs>
                <w:tab w:val="center" w:pos="284"/>
              </w:tabs>
              <w:ind w:left="266" w:hanging="266"/>
              <w:rPr>
                <w:b/>
              </w:rPr>
            </w:pPr>
            <w:r>
              <w:rPr>
                <w:b/>
              </w:rPr>
              <w:t>Esittelijät</w:t>
            </w:r>
          </w:p>
        </w:tc>
        <w:tc>
          <w:tcPr>
            <w:tcW w:w="3907" w:type="pct"/>
            <w:hideMark/>
          </w:tcPr>
          <w:p w14:paraId="495AA21E" w14:textId="77777777" w:rsidR="00DB1849" w:rsidRDefault="00DB1849" w:rsidP="00693C8D">
            <w:pPr>
              <w:keepNext/>
              <w:keepLines/>
              <w:tabs>
                <w:tab w:val="center" w:pos="284"/>
              </w:tabs>
              <w:ind w:left="266" w:hanging="266"/>
            </w:pPr>
            <w:r>
              <w:t>Krister ANDERSSON (työnantajat – SE)</w:t>
            </w:r>
          </w:p>
        </w:tc>
      </w:tr>
      <w:tr w:rsidR="00DB1849" w14:paraId="44E07DA0" w14:textId="77777777" w:rsidTr="00DB1849">
        <w:tc>
          <w:tcPr>
            <w:tcW w:w="1093" w:type="pct"/>
          </w:tcPr>
          <w:p w14:paraId="62327AE0" w14:textId="77777777" w:rsidR="00DB1849" w:rsidRDefault="00DB1849" w:rsidP="00693C8D">
            <w:pPr>
              <w:keepNext/>
              <w:keepLines/>
              <w:tabs>
                <w:tab w:val="center" w:pos="284"/>
              </w:tabs>
              <w:ind w:left="266" w:hanging="266"/>
              <w:rPr>
                <w:b/>
              </w:rPr>
            </w:pPr>
          </w:p>
        </w:tc>
        <w:tc>
          <w:tcPr>
            <w:tcW w:w="3907" w:type="pct"/>
            <w:hideMark/>
          </w:tcPr>
          <w:p w14:paraId="45A0CCE0" w14:textId="77777777" w:rsidR="00DB1849" w:rsidRDefault="00DB1849" w:rsidP="00693C8D">
            <w:pPr>
              <w:keepNext/>
              <w:keepLines/>
              <w:tabs>
                <w:tab w:val="center" w:pos="284"/>
              </w:tabs>
              <w:ind w:left="266" w:hanging="266"/>
            </w:pPr>
            <w:r>
              <w:t>Giulia BARBUCCI (työntekijät – IT)</w:t>
            </w:r>
          </w:p>
        </w:tc>
      </w:tr>
      <w:tr w:rsidR="00DB1849" w14:paraId="785FBDCB" w14:textId="77777777" w:rsidTr="00DB1849">
        <w:tc>
          <w:tcPr>
            <w:tcW w:w="1093" w:type="pct"/>
          </w:tcPr>
          <w:p w14:paraId="73402B34" w14:textId="77777777" w:rsidR="00DB1849" w:rsidRDefault="00DB1849" w:rsidP="00693C8D">
            <w:pPr>
              <w:keepNext/>
              <w:keepLines/>
              <w:tabs>
                <w:tab w:val="center" w:pos="284"/>
              </w:tabs>
              <w:ind w:left="266" w:hanging="266"/>
              <w:rPr>
                <w:b/>
                <w:lang w:val="en-US"/>
              </w:rPr>
            </w:pPr>
          </w:p>
        </w:tc>
        <w:tc>
          <w:tcPr>
            <w:tcW w:w="3907" w:type="pct"/>
            <w:hideMark/>
          </w:tcPr>
          <w:p w14:paraId="7FC6600D" w14:textId="542BB42D" w:rsidR="00DB1849" w:rsidRDefault="00DB1849" w:rsidP="00693C8D">
            <w:pPr>
              <w:keepNext/>
              <w:keepLines/>
              <w:tabs>
                <w:tab w:val="center" w:pos="284"/>
              </w:tabs>
              <w:ind w:left="266" w:hanging="266"/>
            </w:pPr>
            <w:proofErr w:type="spellStart"/>
            <w:r>
              <w:t>Ariane</w:t>
            </w:r>
            <w:proofErr w:type="spellEnd"/>
            <w:r>
              <w:t xml:space="preserve"> RODERT (kansalaisyhteiskunnan organisaatiot – </w:t>
            </w:r>
            <w:r w:rsidR="00C1486C">
              <w:t>S</w:t>
            </w:r>
            <w:r>
              <w:t>E)</w:t>
            </w:r>
          </w:p>
        </w:tc>
      </w:tr>
      <w:tr w:rsidR="00DB1849" w14:paraId="4E6572CF" w14:textId="77777777" w:rsidTr="00DB1849">
        <w:tc>
          <w:tcPr>
            <w:tcW w:w="1093" w:type="pct"/>
            <w:hideMark/>
          </w:tcPr>
          <w:p w14:paraId="0C010451" w14:textId="77777777" w:rsidR="00DB1849" w:rsidRDefault="00DB1849" w:rsidP="00693C8D">
            <w:pPr>
              <w:keepNext/>
              <w:keepLines/>
              <w:tabs>
                <w:tab w:val="center" w:pos="284"/>
              </w:tabs>
              <w:ind w:left="266" w:hanging="266"/>
              <w:rPr>
                <w:b/>
              </w:rPr>
            </w:pPr>
            <w:r>
              <w:rPr>
                <w:b/>
              </w:rPr>
              <w:t>Viiteasiakirja</w:t>
            </w:r>
          </w:p>
        </w:tc>
        <w:tc>
          <w:tcPr>
            <w:tcW w:w="3907" w:type="pct"/>
            <w:hideMark/>
          </w:tcPr>
          <w:p w14:paraId="126C7239" w14:textId="77777777" w:rsidR="00DB1849" w:rsidRDefault="00DB1849" w:rsidP="00693C8D">
            <w:pPr>
              <w:keepNext/>
              <w:keepLines/>
              <w:tabs>
                <w:tab w:val="center" w:pos="284"/>
              </w:tabs>
              <w:overflowPunct w:val="0"/>
              <w:autoSpaceDE w:val="0"/>
              <w:autoSpaceDN w:val="0"/>
              <w:adjustRightInd w:val="0"/>
              <w:ind w:left="266" w:hanging="266"/>
              <w:textAlignment w:val="baseline"/>
            </w:pPr>
            <w:r>
              <w:t xml:space="preserve">JOIN(2025) 130 </w:t>
            </w:r>
            <w:proofErr w:type="spellStart"/>
            <w:r>
              <w:t>final</w:t>
            </w:r>
            <w:proofErr w:type="spellEnd"/>
          </w:p>
          <w:p w14:paraId="1E0F5CBD" w14:textId="77777777" w:rsidR="00DB1849" w:rsidRDefault="00DB1849" w:rsidP="00693C8D">
            <w:pPr>
              <w:keepNext/>
              <w:keepLines/>
              <w:tabs>
                <w:tab w:val="center" w:pos="284"/>
              </w:tabs>
              <w:ind w:left="266" w:hanging="266"/>
            </w:pPr>
            <w:r>
              <w:t>EESC-2025-01292-00-00-AC</w:t>
            </w:r>
          </w:p>
        </w:tc>
      </w:tr>
    </w:tbl>
    <w:p w14:paraId="24F2593A" w14:textId="77777777" w:rsidR="00DB1849" w:rsidRDefault="00DB1849" w:rsidP="00693C8D">
      <w:pPr>
        <w:keepNext/>
        <w:keepLines/>
        <w:tabs>
          <w:tab w:val="center" w:pos="284"/>
        </w:tabs>
        <w:ind w:left="266" w:hanging="266"/>
        <w:rPr>
          <w:b/>
        </w:rPr>
      </w:pPr>
    </w:p>
    <w:p w14:paraId="0055BA60" w14:textId="77777777" w:rsidR="00DB1849" w:rsidRDefault="00DB1849" w:rsidP="00693C8D">
      <w:pPr>
        <w:keepNext/>
        <w:keepLines/>
        <w:tabs>
          <w:tab w:val="center" w:pos="284"/>
        </w:tabs>
        <w:ind w:left="266" w:hanging="266"/>
        <w:rPr>
          <w:b/>
        </w:rPr>
      </w:pPr>
      <w:r>
        <w:rPr>
          <w:b/>
        </w:rPr>
        <w:t>Keskeiset kohdat</w:t>
      </w:r>
    </w:p>
    <w:p w14:paraId="73DBA01B" w14:textId="77777777" w:rsidR="00DB1849" w:rsidRDefault="00DB1849" w:rsidP="00693C8D">
      <w:pPr>
        <w:keepNext/>
        <w:keepLines/>
        <w:tabs>
          <w:tab w:val="center" w:pos="284"/>
        </w:tabs>
        <w:ind w:left="266" w:hanging="266"/>
        <w:rPr>
          <w:b/>
        </w:rPr>
      </w:pPr>
    </w:p>
    <w:p w14:paraId="4B9A2498" w14:textId="77777777" w:rsidR="00DB1849" w:rsidRDefault="00DB1849" w:rsidP="00693C8D">
      <w:pPr>
        <w:keepNext/>
        <w:keepLines/>
        <w:rPr>
          <w:bCs/>
          <w:iCs/>
        </w:rPr>
      </w:pPr>
      <w:r>
        <w:t>ETSK</w:t>
      </w:r>
    </w:p>
    <w:p w14:paraId="737ABBF3" w14:textId="77777777" w:rsidR="00DB1849" w:rsidRDefault="00DB1849" w:rsidP="00D95E0E">
      <w:pPr>
        <w:numPr>
          <w:ilvl w:val="0"/>
          <w:numId w:val="55"/>
        </w:numPr>
        <w:overflowPunct w:val="0"/>
        <w:autoSpaceDE w:val="0"/>
        <w:autoSpaceDN w:val="0"/>
        <w:adjustRightInd w:val="0"/>
        <w:ind w:left="426"/>
        <w:rPr>
          <w:bCs/>
          <w:iCs/>
        </w:rPr>
      </w:pPr>
      <w:r>
        <w:t>katsoo, että nykyisinä epävarmoja aikoja, joina yhä monimutkaisemmat kriisit kietoutuvat toisiinsa Euroopassa ja sen lähiympäristössä, varautuminen ja yhteiskunnan häiriönsietokyky, mukaan lukien taloudellinen ja sosiaalinen häiriönsietokyky, ovat kriittisempiä kuin koskaan.</w:t>
      </w:r>
    </w:p>
    <w:p w14:paraId="1B57D6BF" w14:textId="77777777" w:rsidR="00DB1849" w:rsidRDefault="00DB1849" w:rsidP="00D95E0E">
      <w:pPr>
        <w:numPr>
          <w:ilvl w:val="0"/>
          <w:numId w:val="55"/>
        </w:numPr>
        <w:overflowPunct w:val="0"/>
        <w:autoSpaceDE w:val="0"/>
        <w:autoSpaceDN w:val="0"/>
        <w:adjustRightInd w:val="0"/>
        <w:ind w:left="426"/>
        <w:rPr>
          <w:bCs/>
          <w:iCs/>
        </w:rPr>
      </w:pPr>
      <w:r>
        <w:t>suhtautuu myönteisesti Euroopan varautumisunionistrategiaan ja korostaa, että varautuminen edellyttää osallistavaa koko yhteiskunnan kattavaa lähestymistapaa, joka perustuu kansallisiin kokemuksiin ja paikallisyhteisöjen rooliin. Varautuminen on pitkän aikavälin sitoumus, joka kattaa useita sukupolvia ja jonka olisi alettava esikoulun ja koulun tasolla ja käsitettävä kaikki yhteiskunnan ryhmät.</w:t>
      </w:r>
    </w:p>
    <w:p w14:paraId="161562AD" w14:textId="77777777" w:rsidR="00DB1849" w:rsidRDefault="00DB1849" w:rsidP="00D95E0E">
      <w:pPr>
        <w:numPr>
          <w:ilvl w:val="0"/>
          <w:numId w:val="55"/>
        </w:numPr>
        <w:overflowPunct w:val="0"/>
        <w:autoSpaceDE w:val="0"/>
        <w:autoSpaceDN w:val="0"/>
        <w:adjustRightInd w:val="0"/>
        <w:ind w:left="426"/>
        <w:rPr>
          <w:bCs/>
          <w:iCs/>
        </w:rPr>
      </w:pPr>
      <w:r>
        <w:t xml:space="preserve">pitää tätä monialaista ja koordinoitua lähestymistapaa ratkaisevan tärkeänä Euroopan unionin paremman varautumisen kannalta ja korostaa, että on tärkeää pitää asiaankuuluvat sidosryhmät mukana koko prosessin ajan. </w:t>
      </w:r>
    </w:p>
    <w:p w14:paraId="736CA3A8" w14:textId="77777777" w:rsidR="00DB1849" w:rsidRDefault="00DB1849" w:rsidP="00D95E0E">
      <w:pPr>
        <w:numPr>
          <w:ilvl w:val="0"/>
          <w:numId w:val="55"/>
        </w:numPr>
        <w:overflowPunct w:val="0"/>
        <w:autoSpaceDE w:val="0"/>
        <w:autoSpaceDN w:val="0"/>
        <w:adjustRightInd w:val="0"/>
        <w:ind w:left="426"/>
        <w:rPr>
          <w:bCs/>
          <w:iCs/>
        </w:rPr>
      </w:pPr>
      <w:r>
        <w:t>korostaa, että järjestäytynyt kansalaisyhteiskunta on varautumisen kannalta keskeinen voimavara. Se on kriisinhallinnassa korvaamaton toimija: haavoittuvassa asemassa olevien ryhmien tavoittamisesta ja humanitaarisen avun antamisesta vapaaehtoisten kouluttamiseen.</w:t>
      </w:r>
    </w:p>
    <w:p w14:paraId="11BE60B8" w14:textId="77777777" w:rsidR="00DB1849" w:rsidRDefault="00DB1849" w:rsidP="00D95E0E">
      <w:pPr>
        <w:numPr>
          <w:ilvl w:val="0"/>
          <w:numId w:val="55"/>
        </w:numPr>
        <w:overflowPunct w:val="0"/>
        <w:autoSpaceDE w:val="0"/>
        <w:autoSpaceDN w:val="0"/>
        <w:adjustRightInd w:val="0"/>
        <w:ind w:left="426"/>
        <w:rPr>
          <w:bCs/>
          <w:iCs/>
        </w:rPr>
      </w:pPr>
      <w:r>
        <w:t>kehottaa soveltamaan tähän strategiaan kokonaisvaltaista lähestymistapaa, myös rahoitusnäkökulmasta, ja selkeyttämään epävarmoja näkökohtia. On olennaisen tärkeää varmistaa vakaa ja pitkäaikainen rahoitus heikentämättä EU:n keskeisiä politiikkoja, kuten maataloutta, koheesiota ja solidaarisuusrahastoa.</w:t>
      </w:r>
    </w:p>
    <w:p w14:paraId="117766EF" w14:textId="77777777" w:rsidR="00DB1849" w:rsidRDefault="00DB1849" w:rsidP="00D95E0E">
      <w:pPr>
        <w:numPr>
          <w:ilvl w:val="0"/>
          <w:numId w:val="55"/>
        </w:numPr>
        <w:overflowPunct w:val="0"/>
        <w:autoSpaceDE w:val="0"/>
        <w:autoSpaceDN w:val="0"/>
        <w:adjustRightInd w:val="0"/>
        <w:ind w:left="426"/>
        <w:rPr>
          <w:bCs/>
          <w:iCs/>
        </w:rPr>
      </w:pPr>
      <w:r>
        <w:t>kannattaa siirtymistä kohti ennakoinnin lisäämistä ja ennakoivampaa toimintaa ja niiden taustalla olevaa ”sisäänrakennetun varautumisen” periaatetta. Komitea korostaa kuitenkin, että strategiassa on saatettava paremmin tasapainoon kansalliset erot ja käsitykset alkaen yhteisistä määritelmistä ja kollektiivisesta uhkien ymmärtämisestä, myös yhteisten kiireellisten turvallisuushaasteiden osalta.</w:t>
      </w:r>
    </w:p>
    <w:p w14:paraId="2820B158" w14:textId="77777777" w:rsidR="00DB1849" w:rsidRDefault="00DB1849" w:rsidP="00D95E0E">
      <w:pPr>
        <w:numPr>
          <w:ilvl w:val="0"/>
          <w:numId w:val="55"/>
        </w:numPr>
        <w:overflowPunct w:val="0"/>
        <w:autoSpaceDE w:val="0"/>
        <w:autoSpaceDN w:val="0"/>
        <w:adjustRightInd w:val="0"/>
        <w:ind w:left="426"/>
        <w:rPr>
          <w:bCs/>
          <w:iCs/>
        </w:rPr>
      </w:pPr>
      <w:r>
        <w:t>korostaa, että nopeat, johdonmukaiset ja kohdennetut EU:n solidaarisuustoimet ovat ratkaisevan tärkeäitä kriiseistä kärsineiden alueiden nopean sosioekonomisen elpymisen kannalta. Komitea pitää siksi tärkeänä noudattaa kriisitoiminnassa yhdennettyä lähestymistapaa ja katsoo, että jälleenrakennusvaiheen olisi oltava olennainen osa näitä toimia, koska hätätilanteet päättyvät tosiasiallisesti vasta, kun ihmiset ja yritykset palaavat normaaliin elämään.</w:t>
      </w:r>
    </w:p>
    <w:p w14:paraId="7F446EEF" w14:textId="77777777" w:rsidR="00DB1849" w:rsidRDefault="00DB1849" w:rsidP="00D95E0E">
      <w:pPr>
        <w:numPr>
          <w:ilvl w:val="0"/>
          <w:numId w:val="55"/>
        </w:numPr>
        <w:overflowPunct w:val="0"/>
        <w:autoSpaceDE w:val="0"/>
        <w:autoSpaceDN w:val="0"/>
        <w:adjustRightInd w:val="0"/>
        <w:ind w:left="426"/>
        <w:rPr>
          <w:bCs/>
          <w:iCs/>
        </w:rPr>
      </w:pPr>
      <w:r>
        <w:t>kannattaa kotitalouksilta edellytettävää 72 tunnin omavaraisuutta, mutta korostaa, että varautumistasot vaihtelevat sosioekonomisten olosuhteiden ja muiden haavoittuvuuksien vuoksi, koska kriisit eivät vaikuta kaikkiin ryhmiin tasapuolisesti. Komitea kehottaa siksi tarjoamaan räätälöityä tukea haavoittuvassa asemassa oleville ryhmille.</w:t>
      </w:r>
    </w:p>
    <w:p w14:paraId="4004FA9A" w14:textId="77777777" w:rsidR="00DB1849" w:rsidRDefault="00DB1849" w:rsidP="00D95E0E">
      <w:pPr>
        <w:numPr>
          <w:ilvl w:val="0"/>
          <w:numId w:val="55"/>
        </w:numPr>
        <w:overflowPunct w:val="0"/>
        <w:autoSpaceDE w:val="0"/>
        <w:autoSpaceDN w:val="0"/>
        <w:adjustRightInd w:val="0"/>
        <w:ind w:left="426"/>
        <w:rPr>
          <w:bCs/>
          <w:iCs/>
        </w:rPr>
      </w:pPr>
      <w:r>
        <w:lastRenderedPageBreak/>
        <w:t>katsoo, että sisämarkkinoiden eheys ja sujuva toiminta ovat avainasemassa ja että EU:n on säilytettävä yhteytensä tehokkaan ja pitkäaikaisen yhteisvastuun varmistamiseksi ja yhteiskunnallisen ja taloudellisen häiriönsietokyvyn parantamiseksi. Yrityksille on siksi annettava selkeä ja ennakoitava lainsäädäntökehys, jotta varmistetaan oikeudenmukainen kilpailu sisämarkkinoilla.</w:t>
      </w:r>
    </w:p>
    <w:p w14:paraId="4205DD85" w14:textId="77777777" w:rsidR="00DB1849" w:rsidRDefault="00DB1849" w:rsidP="00D95E0E">
      <w:pPr>
        <w:numPr>
          <w:ilvl w:val="0"/>
          <w:numId w:val="55"/>
        </w:numPr>
        <w:overflowPunct w:val="0"/>
        <w:autoSpaceDE w:val="0"/>
        <w:autoSpaceDN w:val="0"/>
        <w:adjustRightInd w:val="0"/>
        <w:ind w:left="426"/>
        <w:rPr>
          <w:bCs/>
          <w:iCs/>
        </w:rPr>
      </w:pPr>
      <w:r>
        <w:t>seuraa edelleen eri aloitteiden käynnistämistä, ja se toivoo tulevansa otetuksi täysipainoisesti mukaan myöhempiin uusiin rakenteisiin ja aloitteisiin.</w:t>
      </w:r>
    </w:p>
    <w:p w14:paraId="761016FF" w14:textId="77777777" w:rsidR="00DB1849" w:rsidRDefault="00DB1849" w:rsidP="00D95E0E">
      <w:pPr>
        <w:ind w:left="720"/>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7095"/>
      </w:tblGrid>
      <w:tr w:rsidR="00DB1849" w14:paraId="371D4133" w14:textId="77777777" w:rsidTr="00DB1849">
        <w:tc>
          <w:tcPr>
            <w:tcW w:w="1090" w:type="pct"/>
            <w:hideMark/>
          </w:tcPr>
          <w:p w14:paraId="624F331D" w14:textId="77777777" w:rsidR="00DB1849" w:rsidRDefault="00DB1849" w:rsidP="00D95E0E">
            <w:pPr>
              <w:rPr>
                <w:i/>
              </w:rPr>
            </w:pPr>
            <w:r>
              <w:rPr>
                <w:b/>
                <w:i/>
              </w:rPr>
              <w:t>Yhteydenotot</w:t>
            </w:r>
          </w:p>
        </w:tc>
        <w:tc>
          <w:tcPr>
            <w:tcW w:w="3910" w:type="pct"/>
            <w:hideMark/>
          </w:tcPr>
          <w:p w14:paraId="1368D0C1" w14:textId="667FCC65" w:rsidR="00DB1849" w:rsidRDefault="00DB1849" w:rsidP="00D95E0E">
            <w:pPr>
              <w:rPr>
                <w:i/>
              </w:rPr>
            </w:pPr>
            <w:r>
              <w:rPr>
                <w:i/>
              </w:rPr>
              <w:t xml:space="preserve">Laura </w:t>
            </w:r>
            <w:proofErr w:type="spellStart"/>
            <w:r w:rsidR="00B959E2">
              <w:rPr>
                <w:i/>
              </w:rPr>
              <w:t>Ernsteina</w:t>
            </w:r>
            <w:proofErr w:type="spellEnd"/>
          </w:p>
        </w:tc>
      </w:tr>
      <w:tr w:rsidR="00DB1849" w14:paraId="0B6FC134" w14:textId="77777777" w:rsidTr="00DB1849">
        <w:tc>
          <w:tcPr>
            <w:tcW w:w="1090" w:type="pct"/>
            <w:hideMark/>
          </w:tcPr>
          <w:p w14:paraId="785B0722" w14:textId="0AFD161B" w:rsidR="00DB1849" w:rsidRDefault="000A3466" w:rsidP="00D95E0E">
            <w:pPr>
              <w:rPr>
                <w:i/>
              </w:rPr>
            </w:pPr>
            <w:r>
              <w:rPr>
                <w:i/>
              </w:rPr>
              <w:t>P.</w:t>
            </w:r>
            <w:r w:rsidR="00DB1849">
              <w:rPr>
                <w:i/>
              </w:rPr>
              <w:t>.</w:t>
            </w:r>
          </w:p>
        </w:tc>
        <w:tc>
          <w:tcPr>
            <w:tcW w:w="3910" w:type="pct"/>
            <w:hideMark/>
          </w:tcPr>
          <w:p w14:paraId="572D99BD" w14:textId="77777777" w:rsidR="00DB1849" w:rsidRDefault="00DB1849" w:rsidP="00D95E0E">
            <w:pPr>
              <w:rPr>
                <w:i/>
              </w:rPr>
            </w:pPr>
            <w:r>
              <w:rPr>
                <w:i/>
              </w:rPr>
              <w:t>+32 25469194</w:t>
            </w:r>
          </w:p>
        </w:tc>
      </w:tr>
      <w:tr w:rsidR="00DB1849" w14:paraId="4DD6C24A" w14:textId="77777777" w:rsidTr="00DB1849">
        <w:tc>
          <w:tcPr>
            <w:tcW w:w="1090" w:type="pct"/>
            <w:hideMark/>
          </w:tcPr>
          <w:p w14:paraId="59539DB0" w14:textId="77777777" w:rsidR="00DB1849" w:rsidRDefault="00DB1849" w:rsidP="00D95E0E">
            <w:pPr>
              <w:rPr>
                <w:i/>
              </w:rPr>
            </w:pPr>
            <w:r>
              <w:rPr>
                <w:i/>
              </w:rPr>
              <w:t>Sähköposti</w:t>
            </w:r>
          </w:p>
        </w:tc>
        <w:tc>
          <w:tcPr>
            <w:tcW w:w="3910" w:type="pct"/>
            <w:hideMark/>
          </w:tcPr>
          <w:p w14:paraId="77D552CF" w14:textId="2372E8F5" w:rsidR="00DB1849" w:rsidRDefault="0061775F" w:rsidP="00D95E0E">
            <w:pPr>
              <w:rPr>
                <w:i/>
              </w:rPr>
            </w:pPr>
            <w:hyperlink r:id="rId104" w:history="1">
              <w:r w:rsidR="00C1486C" w:rsidRPr="007E5029">
                <w:rPr>
                  <w:rStyle w:val="Hyperlink"/>
                  <w:i/>
                  <w:lang w:val="en-IE"/>
                </w:rPr>
                <w:t>Laura.Ernsteina@eesc.europa.eu</w:t>
              </w:r>
            </w:hyperlink>
          </w:p>
        </w:tc>
      </w:tr>
    </w:tbl>
    <w:p w14:paraId="19230C6C" w14:textId="77777777" w:rsidR="00A21620" w:rsidRDefault="00A21620" w:rsidP="00D95E0E">
      <w:pPr>
        <w:rPr>
          <w:sz w:val="20"/>
          <w:szCs w:val="20"/>
          <w:lang w:val="en-GB"/>
        </w:rPr>
      </w:pPr>
    </w:p>
    <w:p w14:paraId="70A04FDE" w14:textId="77777777" w:rsidR="00A21620" w:rsidRDefault="00A21620" w:rsidP="00D95E0E">
      <w:pPr>
        <w:jc w:val="center"/>
        <w:rPr>
          <w:szCs w:val="20"/>
          <w:lang w:val="en-GB"/>
        </w:rPr>
      </w:pPr>
      <w:r>
        <w:rPr>
          <w:szCs w:val="20"/>
          <w:lang w:val="nl-BE"/>
        </w:rPr>
        <w:t>_____________</w:t>
      </w:r>
    </w:p>
    <w:p w14:paraId="654DCECB" w14:textId="77777777" w:rsidR="00A21620" w:rsidRDefault="00A21620" w:rsidP="00D95E0E">
      <w:pPr>
        <w:jc w:val="left"/>
      </w:pPr>
    </w:p>
    <w:sectPr w:rsidR="00A21620"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5BB284FE" w:rsidR="00B518C9" w:rsidRPr="00B518C9" w:rsidRDefault="0080664A" w:rsidP="00B518C9">
    <w:pPr>
      <w:pStyle w:val="Footer"/>
    </w:pPr>
    <w:r>
      <w:t>EESC-2025-02635-00-0</w:t>
    </w:r>
    <w:r w:rsidR="00477D90">
      <w:t>2</w:t>
    </w:r>
    <w:r>
      <w:t xml:space="preserve">-TCD-TRA (EN) </w:t>
    </w:r>
    <w:r w:rsidR="00B518C9">
      <w:fldChar w:fldCharType="begin"/>
    </w:r>
    <w:r w:rsidR="00B518C9">
      <w:instrText xml:space="preserve"> PAGE  \* Arabic  \* MERGEFORMAT </w:instrText>
    </w:r>
    <w:r w:rsidR="00B518C9">
      <w:fldChar w:fldCharType="separate"/>
    </w:r>
    <w:r w:rsidR="00BC5FBA">
      <w:rPr>
        <w:noProof/>
      </w:rPr>
      <w:t>3</w:t>
    </w:r>
    <w:r w:rsidR="00B518C9">
      <w:fldChar w:fldCharType="end"/>
    </w:r>
    <w:r w:rsidR="00B518C9">
      <w:t>/</w:t>
    </w:r>
    <w:r w:rsidR="00B518C9">
      <w:fldChar w:fldCharType="begin"/>
    </w:r>
    <w:r w:rsidR="00B518C9">
      <w:instrText xml:space="preserve"> = </w:instrText>
    </w:r>
    <w:r w:rsidR="0061775F">
      <w:fldChar w:fldCharType="begin"/>
    </w:r>
    <w:r w:rsidR="0061775F">
      <w:instrText xml:space="preserve"> NUMPAGES </w:instrText>
    </w:r>
    <w:r w:rsidR="0061775F">
      <w:fldChar w:fldCharType="separate"/>
    </w:r>
    <w:r w:rsidR="0061775F">
      <w:rPr>
        <w:noProof/>
      </w:rPr>
      <w:instrText>52</w:instrText>
    </w:r>
    <w:r w:rsidR="0061775F">
      <w:rPr>
        <w:noProof/>
      </w:rPr>
      <w:fldChar w:fldCharType="end"/>
    </w:r>
    <w:r w:rsidR="00B518C9">
      <w:instrText xml:space="preserve"> -0 </w:instrText>
    </w:r>
    <w:r w:rsidR="00B518C9">
      <w:fldChar w:fldCharType="separate"/>
    </w:r>
    <w:r w:rsidR="0061775F">
      <w:rPr>
        <w:noProof/>
      </w:rPr>
      <w:t>52</w:t>
    </w:r>
    <w:r w:rsidR="00B518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pPr>
        <w:ind w:left="0" w:firstLine="0"/>
      </w:pPr>
    </w:lvl>
  </w:abstractNum>
  <w:abstractNum w:abstractNumId="2" w15:restartNumberingAfterBreak="0">
    <w:nsid w:val="00DC2565"/>
    <w:multiLevelType w:val="hybridMultilevel"/>
    <w:tmpl w:val="BDCE0326"/>
    <w:lvl w:ilvl="0" w:tplc="8E864B0C">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29A07C7"/>
    <w:multiLevelType w:val="hybridMultilevel"/>
    <w:tmpl w:val="30AE0C2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36C63F0"/>
    <w:multiLevelType w:val="hybridMultilevel"/>
    <w:tmpl w:val="5B2ACBF4"/>
    <w:lvl w:ilvl="0" w:tplc="8E864B0C">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start w:val="1"/>
      <w:numFmt w:val="bullet"/>
      <w:lvlText w:val="o"/>
      <w:lvlJc w:val="left"/>
      <w:pPr>
        <w:ind w:left="1364" w:hanging="360"/>
      </w:pPr>
      <w:rPr>
        <w:rFonts w:ascii="Courier New" w:hAnsi="Courier New" w:cs="Courier New" w:hint="default"/>
      </w:rPr>
    </w:lvl>
    <w:lvl w:ilvl="2" w:tplc="10000005">
      <w:start w:val="1"/>
      <w:numFmt w:val="bullet"/>
      <w:lvlText w:val=""/>
      <w:lvlJc w:val="left"/>
      <w:pPr>
        <w:ind w:left="2084" w:hanging="360"/>
      </w:pPr>
      <w:rPr>
        <w:rFonts w:ascii="Wingdings" w:hAnsi="Wingdings" w:hint="default"/>
      </w:rPr>
    </w:lvl>
    <w:lvl w:ilvl="3" w:tplc="10000001">
      <w:start w:val="1"/>
      <w:numFmt w:val="bullet"/>
      <w:lvlText w:val=""/>
      <w:lvlJc w:val="left"/>
      <w:pPr>
        <w:ind w:left="2804" w:hanging="360"/>
      </w:pPr>
      <w:rPr>
        <w:rFonts w:ascii="Symbol" w:hAnsi="Symbol" w:hint="default"/>
      </w:rPr>
    </w:lvl>
    <w:lvl w:ilvl="4" w:tplc="10000003">
      <w:start w:val="1"/>
      <w:numFmt w:val="bullet"/>
      <w:lvlText w:val="o"/>
      <w:lvlJc w:val="left"/>
      <w:pPr>
        <w:ind w:left="3524" w:hanging="360"/>
      </w:pPr>
      <w:rPr>
        <w:rFonts w:ascii="Courier New" w:hAnsi="Courier New" w:cs="Courier New" w:hint="default"/>
      </w:rPr>
    </w:lvl>
    <w:lvl w:ilvl="5" w:tplc="10000005">
      <w:start w:val="1"/>
      <w:numFmt w:val="bullet"/>
      <w:lvlText w:val=""/>
      <w:lvlJc w:val="left"/>
      <w:pPr>
        <w:ind w:left="4244" w:hanging="360"/>
      </w:pPr>
      <w:rPr>
        <w:rFonts w:ascii="Wingdings" w:hAnsi="Wingdings" w:hint="default"/>
      </w:rPr>
    </w:lvl>
    <w:lvl w:ilvl="6" w:tplc="10000001">
      <w:start w:val="1"/>
      <w:numFmt w:val="bullet"/>
      <w:lvlText w:val=""/>
      <w:lvlJc w:val="left"/>
      <w:pPr>
        <w:ind w:left="4964" w:hanging="360"/>
      </w:pPr>
      <w:rPr>
        <w:rFonts w:ascii="Symbol" w:hAnsi="Symbol" w:hint="default"/>
      </w:rPr>
    </w:lvl>
    <w:lvl w:ilvl="7" w:tplc="10000003">
      <w:start w:val="1"/>
      <w:numFmt w:val="bullet"/>
      <w:lvlText w:val="o"/>
      <w:lvlJc w:val="left"/>
      <w:pPr>
        <w:ind w:left="5684" w:hanging="360"/>
      </w:pPr>
      <w:rPr>
        <w:rFonts w:ascii="Courier New" w:hAnsi="Courier New" w:cs="Courier New" w:hint="default"/>
      </w:rPr>
    </w:lvl>
    <w:lvl w:ilvl="8" w:tplc="10000005">
      <w:start w:val="1"/>
      <w:numFmt w:val="bullet"/>
      <w:lvlText w:val=""/>
      <w:lvlJc w:val="left"/>
      <w:pPr>
        <w:ind w:left="6404" w:hanging="360"/>
      </w:pPr>
      <w:rPr>
        <w:rFonts w:ascii="Wingdings" w:hAnsi="Wingdings" w:hint="default"/>
      </w:rPr>
    </w:lvl>
  </w:abstractNum>
  <w:abstractNum w:abstractNumId="6" w15:restartNumberingAfterBreak="0">
    <w:nsid w:val="0A2C7330"/>
    <w:multiLevelType w:val="hybridMultilevel"/>
    <w:tmpl w:val="8F3A2B7A"/>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7" w15:restartNumberingAfterBreak="0">
    <w:nsid w:val="0BD2306B"/>
    <w:multiLevelType w:val="hybridMultilevel"/>
    <w:tmpl w:val="52D88D1A"/>
    <w:lvl w:ilvl="0" w:tplc="8E864B0C">
      <w:start w:val="1"/>
      <w:numFmt w:val="bullet"/>
      <w:lvlText w:val=""/>
      <w:lvlJc w:val="left"/>
      <w:pPr>
        <w:ind w:left="720" w:hanging="360"/>
      </w:pPr>
      <w:rPr>
        <w:rFonts w:ascii="Symbol" w:hAnsi="Symbol" w:hint="default"/>
        <w:color w:val="auto"/>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8" w15:restartNumberingAfterBreak="0">
    <w:nsid w:val="0CA549DD"/>
    <w:multiLevelType w:val="hybridMultilevel"/>
    <w:tmpl w:val="C102DC4E"/>
    <w:lvl w:ilvl="0" w:tplc="8E864B0C">
      <w:start w:val="1"/>
      <w:numFmt w:val="bullet"/>
      <w:lvlText w:val=""/>
      <w:lvlJc w:val="left"/>
      <w:pPr>
        <w:ind w:left="1080" w:hanging="360"/>
      </w:pPr>
      <w:rPr>
        <w:rFonts w:ascii="Symbol" w:hAnsi="Symbol" w:hint="default"/>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0E4B7AB0"/>
    <w:multiLevelType w:val="hybridMultilevel"/>
    <w:tmpl w:val="0E764878"/>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0EDB0C0B"/>
    <w:multiLevelType w:val="hybridMultilevel"/>
    <w:tmpl w:val="7F9621E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0F2F2525"/>
    <w:multiLevelType w:val="hybridMultilevel"/>
    <w:tmpl w:val="5C32436A"/>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2"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116D3336"/>
    <w:multiLevelType w:val="hybridMultilevel"/>
    <w:tmpl w:val="BE94A4A0"/>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202106D"/>
    <w:multiLevelType w:val="hybridMultilevel"/>
    <w:tmpl w:val="C76290BE"/>
    <w:lvl w:ilvl="0" w:tplc="8E864B0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19A92486"/>
    <w:multiLevelType w:val="hybridMultilevel"/>
    <w:tmpl w:val="E83C087A"/>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6"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21090444"/>
    <w:multiLevelType w:val="hybridMultilevel"/>
    <w:tmpl w:val="8F041D96"/>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21211EB1"/>
    <w:multiLevelType w:val="multilevel"/>
    <w:tmpl w:val="4D2AB38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02BE4"/>
    <w:multiLevelType w:val="hybridMultilevel"/>
    <w:tmpl w:val="FC224A34"/>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start w:val="1"/>
      <w:numFmt w:val="bullet"/>
      <w:lvlText w:val=""/>
      <w:lvlJc w:val="left"/>
      <w:pPr>
        <w:ind w:left="2084" w:hanging="360"/>
      </w:pPr>
      <w:rPr>
        <w:rFonts w:ascii="Wingdings" w:hAnsi="Wingdings" w:hint="default"/>
      </w:rPr>
    </w:lvl>
    <w:lvl w:ilvl="3" w:tplc="080C0001">
      <w:start w:val="1"/>
      <w:numFmt w:val="bullet"/>
      <w:lvlText w:val=""/>
      <w:lvlJc w:val="left"/>
      <w:pPr>
        <w:ind w:left="2804" w:hanging="360"/>
      </w:pPr>
      <w:rPr>
        <w:rFonts w:ascii="Symbol" w:hAnsi="Symbol" w:hint="default"/>
      </w:rPr>
    </w:lvl>
    <w:lvl w:ilvl="4" w:tplc="080C0003">
      <w:start w:val="1"/>
      <w:numFmt w:val="bullet"/>
      <w:lvlText w:val="o"/>
      <w:lvlJc w:val="left"/>
      <w:pPr>
        <w:ind w:left="3524" w:hanging="360"/>
      </w:pPr>
      <w:rPr>
        <w:rFonts w:ascii="Courier New" w:hAnsi="Courier New" w:cs="Courier New" w:hint="default"/>
      </w:rPr>
    </w:lvl>
    <w:lvl w:ilvl="5" w:tplc="080C0005">
      <w:start w:val="1"/>
      <w:numFmt w:val="bullet"/>
      <w:lvlText w:val=""/>
      <w:lvlJc w:val="left"/>
      <w:pPr>
        <w:ind w:left="4244" w:hanging="360"/>
      </w:pPr>
      <w:rPr>
        <w:rFonts w:ascii="Wingdings" w:hAnsi="Wingdings" w:hint="default"/>
      </w:rPr>
    </w:lvl>
    <w:lvl w:ilvl="6" w:tplc="080C0001">
      <w:start w:val="1"/>
      <w:numFmt w:val="bullet"/>
      <w:lvlText w:val=""/>
      <w:lvlJc w:val="left"/>
      <w:pPr>
        <w:ind w:left="4964" w:hanging="360"/>
      </w:pPr>
      <w:rPr>
        <w:rFonts w:ascii="Symbol" w:hAnsi="Symbol" w:hint="default"/>
      </w:rPr>
    </w:lvl>
    <w:lvl w:ilvl="7" w:tplc="080C0003">
      <w:start w:val="1"/>
      <w:numFmt w:val="bullet"/>
      <w:lvlText w:val="o"/>
      <w:lvlJc w:val="left"/>
      <w:pPr>
        <w:ind w:left="5684" w:hanging="360"/>
      </w:pPr>
      <w:rPr>
        <w:rFonts w:ascii="Courier New" w:hAnsi="Courier New" w:cs="Courier New" w:hint="default"/>
      </w:rPr>
    </w:lvl>
    <w:lvl w:ilvl="8" w:tplc="080C0005">
      <w:start w:val="1"/>
      <w:numFmt w:val="bullet"/>
      <w:lvlText w:val=""/>
      <w:lvlJc w:val="left"/>
      <w:pPr>
        <w:ind w:left="6404" w:hanging="360"/>
      </w:pPr>
      <w:rPr>
        <w:rFonts w:ascii="Wingdings" w:hAnsi="Wingdings" w:hint="default"/>
      </w:rPr>
    </w:lvl>
  </w:abstractNum>
  <w:abstractNum w:abstractNumId="20"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E019FD"/>
    <w:multiLevelType w:val="hybridMultilevel"/>
    <w:tmpl w:val="5E6A9D22"/>
    <w:lvl w:ilvl="0" w:tplc="8E864B0C">
      <w:start w:val="1"/>
      <w:numFmt w:val="bullet"/>
      <w:lvlText w:val=""/>
      <w:lvlJc w:val="left"/>
      <w:pPr>
        <w:ind w:left="1080" w:hanging="360"/>
      </w:pPr>
      <w:rPr>
        <w:rFonts w:ascii="Symbol" w:hAnsi="Symbol" w:hint="default"/>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2F157F27"/>
    <w:multiLevelType w:val="hybridMultilevel"/>
    <w:tmpl w:val="BCA806B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364E1FB4"/>
    <w:multiLevelType w:val="hybridMultilevel"/>
    <w:tmpl w:val="F82A2928"/>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68B3633"/>
    <w:multiLevelType w:val="hybridMultilevel"/>
    <w:tmpl w:val="0ABC3F0A"/>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38642043"/>
    <w:multiLevelType w:val="hybridMultilevel"/>
    <w:tmpl w:val="A602456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6" w15:restartNumberingAfterBreak="0">
    <w:nsid w:val="39651C18"/>
    <w:multiLevelType w:val="hybridMultilevel"/>
    <w:tmpl w:val="18FE0ECE"/>
    <w:lvl w:ilvl="0" w:tplc="8E864B0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3F660003"/>
    <w:multiLevelType w:val="multilevel"/>
    <w:tmpl w:val="47D0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9" w15:restartNumberingAfterBreak="0">
    <w:nsid w:val="408F77B0"/>
    <w:multiLevelType w:val="hybridMultilevel"/>
    <w:tmpl w:val="E3F4BB22"/>
    <w:lvl w:ilvl="0" w:tplc="8E864B0C">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0" w15:restartNumberingAfterBreak="0">
    <w:nsid w:val="43596B33"/>
    <w:multiLevelType w:val="multilevel"/>
    <w:tmpl w:val="843EBED6"/>
    <w:lvl w:ilvl="0">
      <w:start w:val="1"/>
      <w:numFmt w:val="decimal"/>
      <w:lvlText w:val="%1."/>
      <w:legacy w:legacy="1" w:legacySpace="0" w:legacyIndent="0"/>
      <w:lvlJc w:val="left"/>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1" w15:restartNumberingAfterBreak="0">
    <w:nsid w:val="4744405F"/>
    <w:multiLevelType w:val="hybridMultilevel"/>
    <w:tmpl w:val="5D26D34C"/>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AF739DE"/>
    <w:multiLevelType w:val="hybridMultilevel"/>
    <w:tmpl w:val="6CEC27EE"/>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3"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CA0492E"/>
    <w:multiLevelType w:val="hybridMultilevel"/>
    <w:tmpl w:val="363E4DDA"/>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5" w15:restartNumberingAfterBreak="0">
    <w:nsid w:val="4EF26159"/>
    <w:multiLevelType w:val="hybridMultilevel"/>
    <w:tmpl w:val="BA5E479C"/>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6" w15:restartNumberingAfterBreak="0">
    <w:nsid w:val="503C4C85"/>
    <w:multiLevelType w:val="hybridMultilevel"/>
    <w:tmpl w:val="AD008AD8"/>
    <w:lvl w:ilvl="0" w:tplc="8E864B0C">
      <w:start w:val="1"/>
      <w:numFmt w:val="bullet"/>
      <w:lvlText w:val=""/>
      <w:lvlJc w:val="left"/>
      <w:pPr>
        <w:ind w:left="720" w:hanging="360"/>
      </w:pPr>
      <w:rPr>
        <w:rFonts w:ascii="Symbol" w:hAnsi="Symbol" w:hint="default"/>
        <w:color w:val="auto"/>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37" w15:restartNumberingAfterBreak="0">
    <w:nsid w:val="52D861A2"/>
    <w:multiLevelType w:val="hybridMultilevel"/>
    <w:tmpl w:val="A3B8560A"/>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53C87586"/>
    <w:multiLevelType w:val="hybridMultilevel"/>
    <w:tmpl w:val="F24E2A0A"/>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9" w15:restartNumberingAfterBreak="0">
    <w:nsid w:val="55F72D4D"/>
    <w:multiLevelType w:val="multilevel"/>
    <w:tmpl w:val="498E605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9D3F26"/>
    <w:multiLevelType w:val="hybridMultilevel"/>
    <w:tmpl w:val="BE820056"/>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1" w15:restartNumberingAfterBreak="0">
    <w:nsid w:val="5912448F"/>
    <w:multiLevelType w:val="hybridMultilevel"/>
    <w:tmpl w:val="C378784C"/>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2" w15:restartNumberingAfterBreak="0">
    <w:nsid w:val="5B657F8A"/>
    <w:multiLevelType w:val="hybridMultilevel"/>
    <w:tmpl w:val="382EAB88"/>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5DC7554"/>
    <w:multiLevelType w:val="hybridMultilevel"/>
    <w:tmpl w:val="E2F45D82"/>
    <w:lvl w:ilvl="0" w:tplc="8E864B0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67D52915"/>
    <w:multiLevelType w:val="hybridMultilevel"/>
    <w:tmpl w:val="9F6682C0"/>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5" w15:restartNumberingAfterBreak="0">
    <w:nsid w:val="68334640"/>
    <w:multiLevelType w:val="multilevel"/>
    <w:tmpl w:val="A5E49BF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7" w15:restartNumberingAfterBreak="0">
    <w:nsid w:val="68A24D4A"/>
    <w:multiLevelType w:val="hybridMultilevel"/>
    <w:tmpl w:val="8B22FD3E"/>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6D1059BC"/>
    <w:multiLevelType w:val="hybridMultilevel"/>
    <w:tmpl w:val="6FE6305C"/>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9" w15:restartNumberingAfterBreak="0">
    <w:nsid w:val="751C716B"/>
    <w:multiLevelType w:val="hybridMultilevel"/>
    <w:tmpl w:val="D0E0A5F2"/>
    <w:lvl w:ilvl="0" w:tplc="8E864B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6781EE9"/>
    <w:multiLevelType w:val="hybridMultilevel"/>
    <w:tmpl w:val="34C26F38"/>
    <w:lvl w:ilvl="0" w:tplc="8E864B0C">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1" w15:restartNumberingAfterBreak="0">
    <w:nsid w:val="778C1157"/>
    <w:multiLevelType w:val="hybridMultilevel"/>
    <w:tmpl w:val="ECC6EC34"/>
    <w:lvl w:ilvl="0" w:tplc="8E864B0C">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52" w15:restartNumberingAfterBreak="0">
    <w:nsid w:val="7AF3146A"/>
    <w:multiLevelType w:val="hybridMultilevel"/>
    <w:tmpl w:val="A5AE8E5A"/>
    <w:lvl w:ilvl="0" w:tplc="8E864B0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numFmt w:val="bullet"/>
        <w:lvlText w:val=""/>
        <w:lvlJc w:val="left"/>
        <w:pPr>
          <w:ind w:left="720" w:hanging="360"/>
        </w:pPr>
        <w:rPr>
          <w:rFonts w:ascii="Symbol" w:hAnsi="Symbol" w:hint="default"/>
          <w:color w:val="auto"/>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4">
    <w:abstractNumId w:val="20"/>
  </w:num>
  <w:num w:numId="5">
    <w:abstractNumId w:val="1"/>
    <w:lvlOverride w:ilvl="0">
      <w:lvl w:ilvl="0">
        <w:numFmt w:val="bullet"/>
        <w:lvlText w:val=""/>
        <w:lvlJc w:val="left"/>
        <w:pPr>
          <w:ind w:left="0" w:hanging="360"/>
        </w:pPr>
        <w:rPr>
          <w:rFonts w:ascii="Symbol" w:hAnsi="Symbol" w:hint="default"/>
          <w:color w:val="auto"/>
        </w:rPr>
      </w:lvl>
    </w:lvlOverride>
  </w:num>
  <w:num w:numId="6">
    <w:abstractNumId w:val="16"/>
  </w:num>
  <w:num w:numId="7">
    <w:abstractNumId w:val="28"/>
  </w:num>
  <w:num w:numId="8">
    <w:abstractNumId w:val="46"/>
  </w:num>
  <w:num w:numId="9">
    <w:abstractNumId w:val="33"/>
  </w:num>
  <w:num w:numId="10">
    <w:abstractNumId w:val="12"/>
  </w:num>
  <w:num w:numId="11">
    <w:abstractNumId w:val="27"/>
  </w:num>
  <w:num w:numId="12">
    <w:abstractNumId w:val="45"/>
  </w:num>
  <w:num w:numId="13">
    <w:abstractNumId w:val="21"/>
  </w:num>
  <w:num w:numId="14">
    <w:abstractNumId w:val="48"/>
  </w:num>
  <w:num w:numId="15">
    <w:abstractNumId w:val="4"/>
  </w:num>
  <w:num w:numId="16">
    <w:abstractNumId w:val="29"/>
  </w:num>
  <w:num w:numId="17">
    <w:abstractNumId w:val="49"/>
  </w:num>
  <w:num w:numId="18">
    <w:abstractNumId w:val="44"/>
  </w:num>
  <w:num w:numId="19">
    <w:abstractNumId w:val="32"/>
  </w:num>
  <w:num w:numId="20">
    <w:abstractNumId w:val="3"/>
  </w:num>
  <w:num w:numId="21">
    <w:abstractNumId w:val="11"/>
  </w:num>
  <w:num w:numId="22">
    <w:abstractNumId w:val="2"/>
  </w:num>
  <w:num w:numId="23">
    <w:abstractNumId w:val="25"/>
  </w:num>
  <w:num w:numId="24">
    <w:abstractNumId w:val="22"/>
  </w:num>
  <w:num w:numId="25">
    <w:abstractNumId w:val="50"/>
  </w:num>
  <w:num w:numId="26">
    <w:abstractNumId w:val="41"/>
  </w:num>
  <w:num w:numId="27">
    <w:abstractNumId w:val="39"/>
  </w:num>
  <w:num w:numId="28">
    <w:abstractNumId w:val="24"/>
  </w:num>
  <w:num w:numId="29">
    <w:abstractNumId w:val="14"/>
  </w:num>
  <w:num w:numId="30">
    <w:abstractNumId w:val="43"/>
  </w:num>
  <w:num w:numId="31">
    <w:abstractNumId w:val="42"/>
  </w:num>
  <w:num w:numId="32">
    <w:abstractNumId w:val="26"/>
  </w:num>
  <w:num w:numId="33">
    <w:abstractNumId w:val="15"/>
  </w:num>
  <w:num w:numId="34">
    <w:abstractNumId w:val="6"/>
  </w:num>
  <w:num w:numId="35">
    <w:abstractNumId w:val="51"/>
  </w:num>
  <w:num w:numId="36">
    <w:abstractNumId w:val="17"/>
  </w:num>
  <w:num w:numId="37">
    <w:abstractNumId w:val="10"/>
  </w:num>
  <w:num w:numId="38">
    <w:abstractNumId w:val="40"/>
  </w:num>
  <w:num w:numId="39">
    <w:abstractNumId w:val="1"/>
    <w:lvlOverride w:ilvl="0">
      <w:lvl w:ilvl="0">
        <w:numFmt w:val="bullet"/>
        <w:lvlText w:val=""/>
        <w:legacy w:legacy="1" w:legacySpace="0" w:legacyIndent="283"/>
        <w:lvlJc w:val="left"/>
        <w:pPr>
          <w:ind w:left="567" w:hanging="283"/>
        </w:pPr>
        <w:rPr>
          <w:rFonts w:ascii="Symbol" w:hAnsi="Symbol" w:hint="default"/>
          <w:color w:val="auto"/>
          <w:sz w:val="24"/>
          <w:szCs w:val="24"/>
        </w:rPr>
      </w:lvl>
    </w:lvlOverride>
  </w:num>
  <w:num w:numId="40">
    <w:abstractNumId w:val="5"/>
  </w:num>
  <w:num w:numId="41">
    <w:abstractNumId w:val="38"/>
  </w:num>
  <w:num w:numId="42">
    <w:abstractNumId w:val="35"/>
  </w:num>
  <w:num w:numId="43">
    <w:abstractNumId w:val="23"/>
  </w:num>
  <w:num w:numId="44">
    <w:abstractNumId w:val="8"/>
  </w:num>
  <w:num w:numId="45">
    <w:abstractNumId w:val="7"/>
  </w:num>
  <w:num w:numId="46">
    <w:abstractNumId w:val="13"/>
  </w:num>
  <w:num w:numId="47">
    <w:abstractNumId w:val="31"/>
  </w:num>
  <w:num w:numId="48">
    <w:abstractNumId w:val="36"/>
  </w:num>
  <w:num w:numId="49">
    <w:abstractNumId w:val="52"/>
  </w:num>
  <w:num w:numId="50">
    <w:abstractNumId w:val="47"/>
  </w:num>
  <w:num w:numId="51">
    <w:abstractNumId w:val="37"/>
  </w:num>
  <w:num w:numId="52">
    <w:abstractNumId w:val="9"/>
  </w:num>
  <w:num w:numId="53">
    <w:abstractNumId w:val="18"/>
  </w:num>
  <w:num w:numId="54">
    <w:abstractNumId w:val="30"/>
  </w:num>
  <w:num w:numId="55">
    <w:abstractNumId w:val="19"/>
  </w:num>
  <w:num w:numId="5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activeWritingStyle w:appName="MSWord" w:lang="fi-FI" w:vendorID="64" w:dllVersion="6" w:nlCheck="1" w:checkStyle="0"/>
  <w:activeWritingStyle w:appName="MSWord" w:lang="fi-FI"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04"/>
    <w:rsid w:val="00010A4D"/>
    <w:rsid w:val="00057DCF"/>
    <w:rsid w:val="00063DFF"/>
    <w:rsid w:val="00066CBB"/>
    <w:rsid w:val="00067138"/>
    <w:rsid w:val="000A3466"/>
    <w:rsid w:val="000D394D"/>
    <w:rsid w:val="001927EC"/>
    <w:rsid w:val="001E391D"/>
    <w:rsid w:val="001E79DE"/>
    <w:rsid w:val="00257C62"/>
    <w:rsid w:val="00286597"/>
    <w:rsid w:val="002A5636"/>
    <w:rsid w:val="002B6229"/>
    <w:rsid w:val="002B7981"/>
    <w:rsid w:val="003066BE"/>
    <w:rsid w:val="003227CC"/>
    <w:rsid w:val="003F326D"/>
    <w:rsid w:val="003F5613"/>
    <w:rsid w:val="003F77B6"/>
    <w:rsid w:val="003F79EF"/>
    <w:rsid w:val="0043191A"/>
    <w:rsid w:val="00436824"/>
    <w:rsid w:val="00466543"/>
    <w:rsid w:val="00477D90"/>
    <w:rsid w:val="00492D3D"/>
    <w:rsid w:val="0049636B"/>
    <w:rsid w:val="004A5CD7"/>
    <w:rsid w:val="004D7AC0"/>
    <w:rsid w:val="00500607"/>
    <w:rsid w:val="00522685"/>
    <w:rsid w:val="00532089"/>
    <w:rsid w:val="00550456"/>
    <w:rsid w:val="00586B4B"/>
    <w:rsid w:val="005A0BDA"/>
    <w:rsid w:val="005E7651"/>
    <w:rsid w:val="0061775F"/>
    <w:rsid w:val="0062331E"/>
    <w:rsid w:val="00641262"/>
    <w:rsid w:val="006726EC"/>
    <w:rsid w:val="00693C8D"/>
    <w:rsid w:val="006C481E"/>
    <w:rsid w:val="006D2C8A"/>
    <w:rsid w:val="006D2D64"/>
    <w:rsid w:val="00766B1A"/>
    <w:rsid w:val="007B0590"/>
    <w:rsid w:val="007F5784"/>
    <w:rsid w:val="0080664A"/>
    <w:rsid w:val="00845F24"/>
    <w:rsid w:val="0088219D"/>
    <w:rsid w:val="00906DDB"/>
    <w:rsid w:val="00926267"/>
    <w:rsid w:val="00A20E9D"/>
    <w:rsid w:val="00A21620"/>
    <w:rsid w:val="00A272B2"/>
    <w:rsid w:val="00A50E4B"/>
    <w:rsid w:val="00AD0284"/>
    <w:rsid w:val="00AD4580"/>
    <w:rsid w:val="00AE5068"/>
    <w:rsid w:val="00AF3202"/>
    <w:rsid w:val="00B203DA"/>
    <w:rsid w:val="00B2734D"/>
    <w:rsid w:val="00B518C9"/>
    <w:rsid w:val="00B61A11"/>
    <w:rsid w:val="00B959E2"/>
    <w:rsid w:val="00BC5FBA"/>
    <w:rsid w:val="00BE54B3"/>
    <w:rsid w:val="00C008B4"/>
    <w:rsid w:val="00C1486C"/>
    <w:rsid w:val="00C17ABD"/>
    <w:rsid w:val="00C26C67"/>
    <w:rsid w:val="00C821A5"/>
    <w:rsid w:val="00D43613"/>
    <w:rsid w:val="00D444F3"/>
    <w:rsid w:val="00D62F18"/>
    <w:rsid w:val="00D7076A"/>
    <w:rsid w:val="00D81F5E"/>
    <w:rsid w:val="00D92269"/>
    <w:rsid w:val="00D95E0E"/>
    <w:rsid w:val="00DA6648"/>
    <w:rsid w:val="00DB1849"/>
    <w:rsid w:val="00DC3088"/>
    <w:rsid w:val="00DE176A"/>
    <w:rsid w:val="00E00A6B"/>
    <w:rsid w:val="00E014B4"/>
    <w:rsid w:val="00E3323A"/>
    <w:rsid w:val="00E7182D"/>
    <w:rsid w:val="00E77899"/>
    <w:rsid w:val="00F2226E"/>
    <w:rsid w:val="00F83C17"/>
    <w:rsid w:val="00F93366"/>
    <w:rsid w:val="00F96D7F"/>
    <w:rsid w:val="00FA4385"/>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E014B4"/>
    <w:rPr>
      <w:rFonts w:ascii="Times New Roman" w:eastAsia="Times New Roman" w:hAnsi="Times New Roman" w:cs="Times New Roman"/>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NormalWeb">
    <w:name w:val="Normal (Web)"/>
    <w:basedOn w:val="Normal"/>
    <w:uiPriority w:val="99"/>
    <w:semiHidden/>
    <w:unhideWhenUsed/>
    <w:rsid w:val="00DA6648"/>
    <w:pPr>
      <w:spacing w:before="100" w:beforeAutospacing="1" w:after="100" w:afterAutospacing="1" w:line="240" w:lineRule="auto"/>
      <w:jc w:val="left"/>
    </w:pPr>
    <w:rPr>
      <w:sz w:val="24"/>
      <w:szCs w:val="24"/>
      <w:lang w:eastAsia="fr-BE"/>
    </w:rPr>
  </w:style>
  <w:style w:type="character" w:styleId="Strong">
    <w:name w:val="Strong"/>
    <w:basedOn w:val="DefaultParagraphFont"/>
    <w:uiPriority w:val="22"/>
    <w:qFormat/>
    <w:rsid w:val="00DA6648"/>
    <w:rPr>
      <w:b/>
      <w:bCs/>
    </w:rPr>
  </w:style>
  <w:style w:type="paragraph" w:styleId="TOC2">
    <w:name w:val="toc 2"/>
    <w:basedOn w:val="Normal"/>
    <w:next w:val="Normal"/>
    <w:autoRedefine/>
    <w:uiPriority w:val="39"/>
    <w:unhideWhenUsed/>
    <w:rsid w:val="00A21620"/>
    <w:pPr>
      <w:spacing w:after="100"/>
      <w:ind w:left="220"/>
    </w:pPr>
  </w:style>
  <w:style w:type="character" w:styleId="UnresolvedMention">
    <w:name w:val="Unresolved Mention"/>
    <w:basedOn w:val="DefaultParagraphFont"/>
    <w:uiPriority w:val="99"/>
    <w:semiHidden/>
    <w:unhideWhenUsed/>
    <w:rsid w:val="00DB1849"/>
    <w:rPr>
      <w:color w:val="605E5C"/>
      <w:shd w:val="clear" w:color="auto" w:fill="E1DFDD"/>
    </w:rPr>
  </w:style>
  <w:style w:type="table" w:customStyle="1" w:styleId="TableGrid1">
    <w:name w:val="Table Grid1"/>
    <w:basedOn w:val="TableNormal"/>
    <w:next w:val="TableGrid"/>
    <w:rsid w:val="00D95E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472">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79046999">
      <w:bodyDiv w:val="1"/>
      <w:marLeft w:val="0"/>
      <w:marRight w:val="0"/>
      <w:marTop w:val="0"/>
      <w:marBottom w:val="0"/>
      <w:divBdr>
        <w:top w:val="none" w:sz="0" w:space="0" w:color="auto"/>
        <w:left w:val="none" w:sz="0" w:space="0" w:color="auto"/>
        <w:bottom w:val="none" w:sz="0" w:space="0" w:color="auto"/>
        <w:right w:val="none" w:sz="0" w:space="0" w:color="auto"/>
      </w:divBdr>
    </w:div>
    <w:div w:id="245847759">
      <w:bodyDiv w:val="1"/>
      <w:marLeft w:val="0"/>
      <w:marRight w:val="0"/>
      <w:marTop w:val="0"/>
      <w:marBottom w:val="0"/>
      <w:divBdr>
        <w:top w:val="none" w:sz="0" w:space="0" w:color="auto"/>
        <w:left w:val="none" w:sz="0" w:space="0" w:color="auto"/>
        <w:bottom w:val="none" w:sz="0" w:space="0" w:color="auto"/>
        <w:right w:val="none" w:sz="0" w:space="0" w:color="auto"/>
      </w:divBdr>
    </w:div>
    <w:div w:id="303314580">
      <w:bodyDiv w:val="1"/>
      <w:marLeft w:val="0"/>
      <w:marRight w:val="0"/>
      <w:marTop w:val="0"/>
      <w:marBottom w:val="0"/>
      <w:divBdr>
        <w:top w:val="none" w:sz="0" w:space="0" w:color="auto"/>
        <w:left w:val="none" w:sz="0" w:space="0" w:color="auto"/>
        <w:bottom w:val="none" w:sz="0" w:space="0" w:color="auto"/>
        <w:right w:val="none" w:sz="0" w:space="0" w:color="auto"/>
      </w:divBdr>
    </w:div>
    <w:div w:id="319699193">
      <w:bodyDiv w:val="1"/>
      <w:marLeft w:val="0"/>
      <w:marRight w:val="0"/>
      <w:marTop w:val="0"/>
      <w:marBottom w:val="0"/>
      <w:divBdr>
        <w:top w:val="none" w:sz="0" w:space="0" w:color="auto"/>
        <w:left w:val="none" w:sz="0" w:space="0" w:color="auto"/>
        <w:bottom w:val="none" w:sz="0" w:space="0" w:color="auto"/>
        <w:right w:val="none" w:sz="0" w:space="0" w:color="auto"/>
      </w:divBdr>
    </w:div>
    <w:div w:id="408619169">
      <w:bodyDiv w:val="1"/>
      <w:marLeft w:val="0"/>
      <w:marRight w:val="0"/>
      <w:marTop w:val="0"/>
      <w:marBottom w:val="0"/>
      <w:divBdr>
        <w:top w:val="none" w:sz="0" w:space="0" w:color="auto"/>
        <w:left w:val="none" w:sz="0" w:space="0" w:color="auto"/>
        <w:bottom w:val="none" w:sz="0" w:space="0" w:color="auto"/>
        <w:right w:val="none" w:sz="0" w:space="0" w:color="auto"/>
      </w:divBdr>
    </w:div>
    <w:div w:id="462121313">
      <w:bodyDiv w:val="1"/>
      <w:marLeft w:val="0"/>
      <w:marRight w:val="0"/>
      <w:marTop w:val="0"/>
      <w:marBottom w:val="0"/>
      <w:divBdr>
        <w:top w:val="none" w:sz="0" w:space="0" w:color="auto"/>
        <w:left w:val="none" w:sz="0" w:space="0" w:color="auto"/>
        <w:bottom w:val="none" w:sz="0" w:space="0" w:color="auto"/>
        <w:right w:val="none" w:sz="0" w:space="0" w:color="auto"/>
      </w:divBdr>
    </w:div>
    <w:div w:id="464127075">
      <w:bodyDiv w:val="1"/>
      <w:marLeft w:val="0"/>
      <w:marRight w:val="0"/>
      <w:marTop w:val="0"/>
      <w:marBottom w:val="0"/>
      <w:divBdr>
        <w:top w:val="none" w:sz="0" w:space="0" w:color="auto"/>
        <w:left w:val="none" w:sz="0" w:space="0" w:color="auto"/>
        <w:bottom w:val="none" w:sz="0" w:space="0" w:color="auto"/>
        <w:right w:val="none" w:sz="0" w:space="0" w:color="auto"/>
      </w:divBdr>
    </w:div>
    <w:div w:id="477571909">
      <w:bodyDiv w:val="1"/>
      <w:marLeft w:val="0"/>
      <w:marRight w:val="0"/>
      <w:marTop w:val="0"/>
      <w:marBottom w:val="0"/>
      <w:divBdr>
        <w:top w:val="none" w:sz="0" w:space="0" w:color="auto"/>
        <w:left w:val="none" w:sz="0" w:space="0" w:color="auto"/>
        <w:bottom w:val="none" w:sz="0" w:space="0" w:color="auto"/>
        <w:right w:val="none" w:sz="0" w:space="0" w:color="auto"/>
      </w:divBdr>
    </w:div>
    <w:div w:id="482042470">
      <w:bodyDiv w:val="1"/>
      <w:marLeft w:val="0"/>
      <w:marRight w:val="0"/>
      <w:marTop w:val="0"/>
      <w:marBottom w:val="0"/>
      <w:divBdr>
        <w:top w:val="none" w:sz="0" w:space="0" w:color="auto"/>
        <w:left w:val="none" w:sz="0" w:space="0" w:color="auto"/>
        <w:bottom w:val="none" w:sz="0" w:space="0" w:color="auto"/>
        <w:right w:val="none" w:sz="0" w:space="0" w:color="auto"/>
      </w:divBdr>
    </w:div>
    <w:div w:id="558595752">
      <w:bodyDiv w:val="1"/>
      <w:marLeft w:val="0"/>
      <w:marRight w:val="0"/>
      <w:marTop w:val="0"/>
      <w:marBottom w:val="0"/>
      <w:divBdr>
        <w:top w:val="none" w:sz="0" w:space="0" w:color="auto"/>
        <w:left w:val="none" w:sz="0" w:space="0" w:color="auto"/>
        <w:bottom w:val="none" w:sz="0" w:space="0" w:color="auto"/>
        <w:right w:val="none" w:sz="0" w:space="0" w:color="auto"/>
      </w:divBdr>
    </w:div>
    <w:div w:id="565341415">
      <w:bodyDiv w:val="1"/>
      <w:marLeft w:val="0"/>
      <w:marRight w:val="0"/>
      <w:marTop w:val="0"/>
      <w:marBottom w:val="0"/>
      <w:divBdr>
        <w:top w:val="none" w:sz="0" w:space="0" w:color="auto"/>
        <w:left w:val="none" w:sz="0" w:space="0" w:color="auto"/>
        <w:bottom w:val="none" w:sz="0" w:space="0" w:color="auto"/>
        <w:right w:val="none" w:sz="0" w:space="0" w:color="auto"/>
      </w:divBdr>
    </w:div>
    <w:div w:id="586308425">
      <w:bodyDiv w:val="1"/>
      <w:marLeft w:val="0"/>
      <w:marRight w:val="0"/>
      <w:marTop w:val="0"/>
      <w:marBottom w:val="0"/>
      <w:divBdr>
        <w:top w:val="none" w:sz="0" w:space="0" w:color="auto"/>
        <w:left w:val="none" w:sz="0" w:space="0" w:color="auto"/>
        <w:bottom w:val="none" w:sz="0" w:space="0" w:color="auto"/>
        <w:right w:val="none" w:sz="0" w:space="0" w:color="auto"/>
      </w:divBdr>
    </w:div>
    <w:div w:id="591207592">
      <w:bodyDiv w:val="1"/>
      <w:marLeft w:val="0"/>
      <w:marRight w:val="0"/>
      <w:marTop w:val="0"/>
      <w:marBottom w:val="0"/>
      <w:divBdr>
        <w:top w:val="none" w:sz="0" w:space="0" w:color="auto"/>
        <w:left w:val="none" w:sz="0" w:space="0" w:color="auto"/>
        <w:bottom w:val="none" w:sz="0" w:space="0" w:color="auto"/>
        <w:right w:val="none" w:sz="0" w:space="0" w:color="auto"/>
      </w:divBdr>
    </w:div>
    <w:div w:id="609900951">
      <w:bodyDiv w:val="1"/>
      <w:marLeft w:val="0"/>
      <w:marRight w:val="0"/>
      <w:marTop w:val="0"/>
      <w:marBottom w:val="0"/>
      <w:divBdr>
        <w:top w:val="none" w:sz="0" w:space="0" w:color="auto"/>
        <w:left w:val="none" w:sz="0" w:space="0" w:color="auto"/>
        <w:bottom w:val="none" w:sz="0" w:space="0" w:color="auto"/>
        <w:right w:val="none" w:sz="0" w:space="0" w:color="auto"/>
      </w:divBdr>
    </w:div>
    <w:div w:id="685407391">
      <w:bodyDiv w:val="1"/>
      <w:marLeft w:val="0"/>
      <w:marRight w:val="0"/>
      <w:marTop w:val="0"/>
      <w:marBottom w:val="0"/>
      <w:divBdr>
        <w:top w:val="none" w:sz="0" w:space="0" w:color="auto"/>
        <w:left w:val="none" w:sz="0" w:space="0" w:color="auto"/>
        <w:bottom w:val="none" w:sz="0" w:space="0" w:color="auto"/>
        <w:right w:val="none" w:sz="0" w:space="0" w:color="auto"/>
      </w:divBdr>
    </w:div>
    <w:div w:id="741178805">
      <w:bodyDiv w:val="1"/>
      <w:marLeft w:val="0"/>
      <w:marRight w:val="0"/>
      <w:marTop w:val="0"/>
      <w:marBottom w:val="0"/>
      <w:divBdr>
        <w:top w:val="none" w:sz="0" w:space="0" w:color="auto"/>
        <w:left w:val="none" w:sz="0" w:space="0" w:color="auto"/>
        <w:bottom w:val="none" w:sz="0" w:space="0" w:color="auto"/>
        <w:right w:val="none" w:sz="0" w:space="0" w:color="auto"/>
      </w:divBdr>
    </w:div>
    <w:div w:id="850951906">
      <w:bodyDiv w:val="1"/>
      <w:marLeft w:val="0"/>
      <w:marRight w:val="0"/>
      <w:marTop w:val="0"/>
      <w:marBottom w:val="0"/>
      <w:divBdr>
        <w:top w:val="none" w:sz="0" w:space="0" w:color="auto"/>
        <w:left w:val="none" w:sz="0" w:space="0" w:color="auto"/>
        <w:bottom w:val="none" w:sz="0" w:space="0" w:color="auto"/>
        <w:right w:val="none" w:sz="0" w:space="0" w:color="auto"/>
      </w:divBdr>
    </w:div>
    <w:div w:id="938367348">
      <w:bodyDiv w:val="1"/>
      <w:marLeft w:val="0"/>
      <w:marRight w:val="0"/>
      <w:marTop w:val="0"/>
      <w:marBottom w:val="0"/>
      <w:divBdr>
        <w:top w:val="none" w:sz="0" w:space="0" w:color="auto"/>
        <w:left w:val="none" w:sz="0" w:space="0" w:color="auto"/>
        <w:bottom w:val="none" w:sz="0" w:space="0" w:color="auto"/>
        <w:right w:val="none" w:sz="0" w:space="0" w:color="auto"/>
      </w:divBdr>
    </w:div>
    <w:div w:id="988824067">
      <w:bodyDiv w:val="1"/>
      <w:marLeft w:val="0"/>
      <w:marRight w:val="0"/>
      <w:marTop w:val="0"/>
      <w:marBottom w:val="0"/>
      <w:divBdr>
        <w:top w:val="none" w:sz="0" w:space="0" w:color="auto"/>
        <w:left w:val="none" w:sz="0" w:space="0" w:color="auto"/>
        <w:bottom w:val="none" w:sz="0" w:space="0" w:color="auto"/>
        <w:right w:val="none" w:sz="0" w:space="0" w:color="auto"/>
      </w:divBdr>
    </w:div>
    <w:div w:id="1010063051">
      <w:bodyDiv w:val="1"/>
      <w:marLeft w:val="0"/>
      <w:marRight w:val="0"/>
      <w:marTop w:val="0"/>
      <w:marBottom w:val="0"/>
      <w:divBdr>
        <w:top w:val="none" w:sz="0" w:space="0" w:color="auto"/>
        <w:left w:val="none" w:sz="0" w:space="0" w:color="auto"/>
        <w:bottom w:val="none" w:sz="0" w:space="0" w:color="auto"/>
        <w:right w:val="none" w:sz="0" w:space="0" w:color="auto"/>
      </w:divBdr>
    </w:div>
    <w:div w:id="1052997022">
      <w:bodyDiv w:val="1"/>
      <w:marLeft w:val="0"/>
      <w:marRight w:val="0"/>
      <w:marTop w:val="0"/>
      <w:marBottom w:val="0"/>
      <w:divBdr>
        <w:top w:val="none" w:sz="0" w:space="0" w:color="auto"/>
        <w:left w:val="none" w:sz="0" w:space="0" w:color="auto"/>
        <w:bottom w:val="none" w:sz="0" w:space="0" w:color="auto"/>
        <w:right w:val="none" w:sz="0" w:space="0" w:color="auto"/>
      </w:divBdr>
    </w:div>
    <w:div w:id="1082294160">
      <w:bodyDiv w:val="1"/>
      <w:marLeft w:val="0"/>
      <w:marRight w:val="0"/>
      <w:marTop w:val="0"/>
      <w:marBottom w:val="0"/>
      <w:divBdr>
        <w:top w:val="none" w:sz="0" w:space="0" w:color="auto"/>
        <w:left w:val="none" w:sz="0" w:space="0" w:color="auto"/>
        <w:bottom w:val="none" w:sz="0" w:space="0" w:color="auto"/>
        <w:right w:val="none" w:sz="0" w:space="0" w:color="auto"/>
      </w:divBdr>
    </w:div>
    <w:div w:id="1168986444">
      <w:bodyDiv w:val="1"/>
      <w:marLeft w:val="0"/>
      <w:marRight w:val="0"/>
      <w:marTop w:val="0"/>
      <w:marBottom w:val="0"/>
      <w:divBdr>
        <w:top w:val="none" w:sz="0" w:space="0" w:color="auto"/>
        <w:left w:val="none" w:sz="0" w:space="0" w:color="auto"/>
        <w:bottom w:val="none" w:sz="0" w:space="0" w:color="auto"/>
        <w:right w:val="none" w:sz="0" w:space="0" w:color="auto"/>
      </w:divBdr>
    </w:div>
    <w:div w:id="1176654050">
      <w:bodyDiv w:val="1"/>
      <w:marLeft w:val="0"/>
      <w:marRight w:val="0"/>
      <w:marTop w:val="0"/>
      <w:marBottom w:val="0"/>
      <w:divBdr>
        <w:top w:val="none" w:sz="0" w:space="0" w:color="auto"/>
        <w:left w:val="none" w:sz="0" w:space="0" w:color="auto"/>
        <w:bottom w:val="none" w:sz="0" w:space="0" w:color="auto"/>
        <w:right w:val="none" w:sz="0" w:space="0" w:color="auto"/>
      </w:divBdr>
    </w:div>
    <w:div w:id="1257251827">
      <w:bodyDiv w:val="1"/>
      <w:marLeft w:val="0"/>
      <w:marRight w:val="0"/>
      <w:marTop w:val="0"/>
      <w:marBottom w:val="0"/>
      <w:divBdr>
        <w:top w:val="none" w:sz="0" w:space="0" w:color="auto"/>
        <w:left w:val="none" w:sz="0" w:space="0" w:color="auto"/>
        <w:bottom w:val="none" w:sz="0" w:space="0" w:color="auto"/>
        <w:right w:val="none" w:sz="0" w:space="0" w:color="auto"/>
      </w:divBdr>
    </w:div>
    <w:div w:id="1268585960">
      <w:bodyDiv w:val="1"/>
      <w:marLeft w:val="0"/>
      <w:marRight w:val="0"/>
      <w:marTop w:val="0"/>
      <w:marBottom w:val="0"/>
      <w:divBdr>
        <w:top w:val="none" w:sz="0" w:space="0" w:color="auto"/>
        <w:left w:val="none" w:sz="0" w:space="0" w:color="auto"/>
        <w:bottom w:val="none" w:sz="0" w:space="0" w:color="auto"/>
        <w:right w:val="none" w:sz="0" w:space="0" w:color="auto"/>
      </w:divBdr>
    </w:div>
    <w:div w:id="1316374766">
      <w:bodyDiv w:val="1"/>
      <w:marLeft w:val="0"/>
      <w:marRight w:val="0"/>
      <w:marTop w:val="0"/>
      <w:marBottom w:val="0"/>
      <w:divBdr>
        <w:top w:val="none" w:sz="0" w:space="0" w:color="auto"/>
        <w:left w:val="none" w:sz="0" w:space="0" w:color="auto"/>
        <w:bottom w:val="none" w:sz="0" w:space="0" w:color="auto"/>
        <w:right w:val="none" w:sz="0" w:space="0" w:color="auto"/>
      </w:divBdr>
    </w:div>
    <w:div w:id="1328940714">
      <w:bodyDiv w:val="1"/>
      <w:marLeft w:val="0"/>
      <w:marRight w:val="0"/>
      <w:marTop w:val="0"/>
      <w:marBottom w:val="0"/>
      <w:divBdr>
        <w:top w:val="none" w:sz="0" w:space="0" w:color="auto"/>
        <w:left w:val="none" w:sz="0" w:space="0" w:color="auto"/>
        <w:bottom w:val="none" w:sz="0" w:space="0" w:color="auto"/>
        <w:right w:val="none" w:sz="0" w:space="0" w:color="auto"/>
      </w:divBdr>
    </w:div>
    <w:div w:id="1331788078">
      <w:bodyDiv w:val="1"/>
      <w:marLeft w:val="0"/>
      <w:marRight w:val="0"/>
      <w:marTop w:val="0"/>
      <w:marBottom w:val="0"/>
      <w:divBdr>
        <w:top w:val="none" w:sz="0" w:space="0" w:color="auto"/>
        <w:left w:val="none" w:sz="0" w:space="0" w:color="auto"/>
        <w:bottom w:val="none" w:sz="0" w:space="0" w:color="auto"/>
        <w:right w:val="none" w:sz="0" w:space="0" w:color="auto"/>
      </w:divBdr>
    </w:div>
    <w:div w:id="1333751684">
      <w:bodyDiv w:val="1"/>
      <w:marLeft w:val="0"/>
      <w:marRight w:val="0"/>
      <w:marTop w:val="0"/>
      <w:marBottom w:val="0"/>
      <w:divBdr>
        <w:top w:val="none" w:sz="0" w:space="0" w:color="auto"/>
        <w:left w:val="none" w:sz="0" w:space="0" w:color="auto"/>
        <w:bottom w:val="none" w:sz="0" w:space="0" w:color="auto"/>
        <w:right w:val="none" w:sz="0" w:space="0" w:color="auto"/>
      </w:divBdr>
    </w:div>
    <w:div w:id="1416896717">
      <w:bodyDiv w:val="1"/>
      <w:marLeft w:val="0"/>
      <w:marRight w:val="0"/>
      <w:marTop w:val="0"/>
      <w:marBottom w:val="0"/>
      <w:divBdr>
        <w:top w:val="none" w:sz="0" w:space="0" w:color="auto"/>
        <w:left w:val="none" w:sz="0" w:space="0" w:color="auto"/>
        <w:bottom w:val="none" w:sz="0" w:space="0" w:color="auto"/>
        <w:right w:val="none" w:sz="0" w:space="0" w:color="auto"/>
      </w:divBdr>
    </w:div>
    <w:div w:id="1447701596">
      <w:bodyDiv w:val="1"/>
      <w:marLeft w:val="0"/>
      <w:marRight w:val="0"/>
      <w:marTop w:val="0"/>
      <w:marBottom w:val="0"/>
      <w:divBdr>
        <w:top w:val="none" w:sz="0" w:space="0" w:color="auto"/>
        <w:left w:val="none" w:sz="0" w:space="0" w:color="auto"/>
        <w:bottom w:val="none" w:sz="0" w:space="0" w:color="auto"/>
        <w:right w:val="none" w:sz="0" w:space="0" w:color="auto"/>
      </w:divBdr>
    </w:div>
    <w:div w:id="1488670216">
      <w:bodyDiv w:val="1"/>
      <w:marLeft w:val="0"/>
      <w:marRight w:val="0"/>
      <w:marTop w:val="0"/>
      <w:marBottom w:val="0"/>
      <w:divBdr>
        <w:top w:val="none" w:sz="0" w:space="0" w:color="auto"/>
        <w:left w:val="none" w:sz="0" w:space="0" w:color="auto"/>
        <w:bottom w:val="none" w:sz="0" w:space="0" w:color="auto"/>
        <w:right w:val="none" w:sz="0" w:space="0" w:color="auto"/>
      </w:divBdr>
    </w:div>
    <w:div w:id="1541897896">
      <w:bodyDiv w:val="1"/>
      <w:marLeft w:val="0"/>
      <w:marRight w:val="0"/>
      <w:marTop w:val="0"/>
      <w:marBottom w:val="0"/>
      <w:divBdr>
        <w:top w:val="none" w:sz="0" w:space="0" w:color="auto"/>
        <w:left w:val="none" w:sz="0" w:space="0" w:color="auto"/>
        <w:bottom w:val="none" w:sz="0" w:space="0" w:color="auto"/>
        <w:right w:val="none" w:sz="0" w:space="0" w:color="auto"/>
      </w:divBdr>
    </w:div>
    <w:div w:id="1601134683">
      <w:bodyDiv w:val="1"/>
      <w:marLeft w:val="0"/>
      <w:marRight w:val="0"/>
      <w:marTop w:val="0"/>
      <w:marBottom w:val="0"/>
      <w:divBdr>
        <w:top w:val="none" w:sz="0" w:space="0" w:color="auto"/>
        <w:left w:val="none" w:sz="0" w:space="0" w:color="auto"/>
        <w:bottom w:val="none" w:sz="0" w:space="0" w:color="auto"/>
        <w:right w:val="none" w:sz="0" w:space="0" w:color="auto"/>
      </w:divBdr>
    </w:div>
    <w:div w:id="1610745273">
      <w:bodyDiv w:val="1"/>
      <w:marLeft w:val="0"/>
      <w:marRight w:val="0"/>
      <w:marTop w:val="0"/>
      <w:marBottom w:val="0"/>
      <w:divBdr>
        <w:top w:val="none" w:sz="0" w:space="0" w:color="auto"/>
        <w:left w:val="none" w:sz="0" w:space="0" w:color="auto"/>
        <w:bottom w:val="none" w:sz="0" w:space="0" w:color="auto"/>
        <w:right w:val="none" w:sz="0" w:space="0" w:color="auto"/>
      </w:divBdr>
    </w:div>
    <w:div w:id="1685667561">
      <w:bodyDiv w:val="1"/>
      <w:marLeft w:val="0"/>
      <w:marRight w:val="0"/>
      <w:marTop w:val="0"/>
      <w:marBottom w:val="0"/>
      <w:divBdr>
        <w:top w:val="none" w:sz="0" w:space="0" w:color="auto"/>
        <w:left w:val="none" w:sz="0" w:space="0" w:color="auto"/>
        <w:bottom w:val="none" w:sz="0" w:space="0" w:color="auto"/>
        <w:right w:val="none" w:sz="0" w:space="0" w:color="auto"/>
      </w:divBdr>
    </w:div>
    <w:div w:id="1709261977">
      <w:bodyDiv w:val="1"/>
      <w:marLeft w:val="0"/>
      <w:marRight w:val="0"/>
      <w:marTop w:val="0"/>
      <w:marBottom w:val="0"/>
      <w:divBdr>
        <w:top w:val="none" w:sz="0" w:space="0" w:color="auto"/>
        <w:left w:val="none" w:sz="0" w:space="0" w:color="auto"/>
        <w:bottom w:val="none" w:sz="0" w:space="0" w:color="auto"/>
        <w:right w:val="none" w:sz="0" w:space="0" w:color="auto"/>
      </w:divBdr>
    </w:div>
    <w:div w:id="1755861021">
      <w:bodyDiv w:val="1"/>
      <w:marLeft w:val="0"/>
      <w:marRight w:val="0"/>
      <w:marTop w:val="0"/>
      <w:marBottom w:val="0"/>
      <w:divBdr>
        <w:top w:val="none" w:sz="0" w:space="0" w:color="auto"/>
        <w:left w:val="none" w:sz="0" w:space="0" w:color="auto"/>
        <w:bottom w:val="none" w:sz="0" w:space="0" w:color="auto"/>
        <w:right w:val="none" w:sz="0" w:space="0" w:color="auto"/>
      </w:divBdr>
    </w:div>
    <w:div w:id="1774664402">
      <w:bodyDiv w:val="1"/>
      <w:marLeft w:val="0"/>
      <w:marRight w:val="0"/>
      <w:marTop w:val="0"/>
      <w:marBottom w:val="0"/>
      <w:divBdr>
        <w:top w:val="none" w:sz="0" w:space="0" w:color="auto"/>
        <w:left w:val="none" w:sz="0" w:space="0" w:color="auto"/>
        <w:bottom w:val="none" w:sz="0" w:space="0" w:color="auto"/>
        <w:right w:val="none" w:sz="0" w:space="0" w:color="auto"/>
      </w:divBdr>
    </w:div>
    <w:div w:id="1799227835">
      <w:bodyDiv w:val="1"/>
      <w:marLeft w:val="0"/>
      <w:marRight w:val="0"/>
      <w:marTop w:val="0"/>
      <w:marBottom w:val="0"/>
      <w:divBdr>
        <w:top w:val="none" w:sz="0" w:space="0" w:color="auto"/>
        <w:left w:val="none" w:sz="0" w:space="0" w:color="auto"/>
        <w:bottom w:val="none" w:sz="0" w:space="0" w:color="auto"/>
        <w:right w:val="none" w:sz="0" w:space="0" w:color="auto"/>
      </w:divBdr>
    </w:div>
    <w:div w:id="1855265740">
      <w:bodyDiv w:val="1"/>
      <w:marLeft w:val="0"/>
      <w:marRight w:val="0"/>
      <w:marTop w:val="0"/>
      <w:marBottom w:val="0"/>
      <w:divBdr>
        <w:top w:val="none" w:sz="0" w:space="0" w:color="auto"/>
        <w:left w:val="none" w:sz="0" w:space="0" w:color="auto"/>
        <w:bottom w:val="none" w:sz="0" w:space="0" w:color="auto"/>
        <w:right w:val="none" w:sz="0" w:space="0" w:color="auto"/>
      </w:divBdr>
    </w:div>
    <w:div w:id="1864978127">
      <w:bodyDiv w:val="1"/>
      <w:marLeft w:val="0"/>
      <w:marRight w:val="0"/>
      <w:marTop w:val="0"/>
      <w:marBottom w:val="0"/>
      <w:divBdr>
        <w:top w:val="none" w:sz="0" w:space="0" w:color="auto"/>
        <w:left w:val="none" w:sz="0" w:space="0" w:color="auto"/>
        <w:bottom w:val="none" w:sz="0" w:space="0" w:color="auto"/>
        <w:right w:val="none" w:sz="0" w:space="0" w:color="auto"/>
      </w:divBdr>
    </w:div>
    <w:div w:id="1870293557">
      <w:bodyDiv w:val="1"/>
      <w:marLeft w:val="0"/>
      <w:marRight w:val="0"/>
      <w:marTop w:val="0"/>
      <w:marBottom w:val="0"/>
      <w:divBdr>
        <w:top w:val="none" w:sz="0" w:space="0" w:color="auto"/>
        <w:left w:val="none" w:sz="0" w:space="0" w:color="auto"/>
        <w:bottom w:val="none" w:sz="0" w:space="0" w:color="auto"/>
        <w:right w:val="none" w:sz="0" w:space="0" w:color="auto"/>
      </w:divBdr>
    </w:div>
    <w:div w:id="1878394348">
      <w:bodyDiv w:val="1"/>
      <w:marLeft w:val="0"/>
      <w:marRight w:val="0"/>
      <w:marTop w:val="0"/>
      <w:marBottom w:val="0"/>
      <w:divBdr>
        <w:top w:val="none" w:sz="0" w:space="0" w:color="auto"/>
        <w:left w:val="none" w:sz="0" w:space="0" w:color="auto"/>
        <w:bottom w:val="none" w:sz="0" w:space="0" w:color="auto"/>
        <w:right w:val="none" w:sz="0" w:space="0" w:color="auto"/>
      </w:divBdr>
    </w:div>
    <w:div w:id="1885291893">
      <w:bodyDiv w:val="1"/>
      <w:marLeft w:val="0"/>
      <w:marRight w:val="0"/>
      <w:marTop w:val="0"/>
      <w:marBottom w:val="0"/>
      <w:divBdr>
        <w:top w:val="none" w:sz="0" w:space="0" w:color="auto"/>
        <w:left w:val="none" w:sz="0" w:space="0" w:color="auto"/>
        <w:bottom w:val="none" w:sz="0" w:space="0" w:color="auto"/>
        <w:right w:val="none" w:sz="0" w:space="0" w:color="auto"/>
      </w:divBdr>
    </w:div>
    <w:div w:id="1939215614">
      <w:bodyDiv w:val="1"/>
      <w:marLeft w:val="0"/>
      <w:marRight w:val="0"/>
      <w:marTop w:val="0"/>
      <w:marBottom w:val="0"/>
      <w:divBdr>
        <w:top w:val="none" w:sz="0" w:space="0" w:color="auto"/>
        <w:left w:val="none" w:sz="0" w:space="0" w:color="auto"/>
        <w:bottom w:val="none" w:sz="0" w:space="0" w:color="auto"/>
        <w:right w:val="none" w:sz="0" w:space="0" w:color="auto"/>
      </w:divBdr>
    </w:div>
    <w:div w:id="1973172112">
      <w:bodyDiv w:val="1"/>
      <w:marLeft w:val="0"/>
      <w:marRight w:val="0"/>
      <w:marTop w:val="0"/>
      <w:marBottom w:val="0"/>
      <w:divBdr>
        <w:top w:val="none" w:sz="0" w:space="0" w:color="auto"/>
        <w:left w:val="none" w:sz="0" w:space="0" w:color="auto"/>
        <w:bottom w:val="none" w:sz="0" w:space="0" w:color="auto"/>
        <w:right w:val="none" w:sz="0" w:space="0" w:color="auto"/>
      </w:divBdr>
    </w:div>
    <w:div w:id="2077242186">
      <w:bodyDiv w:val="1"/>
      <w:marLeft w:val="0"/>
      <w:marRight w:val="0"/>
      <w:marTop w:val="0"/>
      <w:marBottom w:val="0"/>
      <w:divBdr>
        <w:top w:val="none" w:sz="0" w:space="0" w:color="auto"/>
        <w:left w:val="none" w:sz="0" w:space="0" w:color="auto"/>
        <w:bottom w:val="none" w:sz="0" w:space="0" w:color="auto"/>
        <w:right w:val="none" w:sz="0" w:space="0" w:color="auto"/>
      </w:divBdr>
    </w:div>
    <w:div w:id="21348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fi/our-work/opinions-information-reports/opinions/additional-considerations-way-forward-european-semester-2025" TargetMode="External"/><Relationship Id="rId21" Type="http://schemas.openxmlformats.org/officeDocument/2006/relationships/hyperlink" Target="mailto:Gerald.Klec@eesc.europa.eu"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fi/our-work/opinions-information-reports/opinions/ai-big-data-and-rare-diseases" TargetMode="External"/><Relationship Id="rId63" Type="http://schemas.openxmlformats.org/officeDocument/2006/relationships/hyperlink" Target="https://www.eesc.europa.eu/fi/our-work/opinions-information-reports/opinions/call-fair-competition-regard-3rd-country-platforms" TargetMode="External"/><Relationship Id="rId68" Type="http://schemas.openxmlformats.org/officeDocument/2006/relationships/hyperlink" Target="mailto:Alice.Tetu@eesc.europa.eu" TargetMode="External"/><Relationship Id="rId84" Type="http://schemas.openxmlformats.org/officeDocument/2006/relationships/hyperlink" Target="mailto:Arturo.Iniguez@eesc.europa.eu" TargetMode="External"/><Relationship Id="rId89" Type="http://schemas.openxmlformats.org/officeDocument/2006/relationships/hyperlink" Target="https://www.eesc.europa.eu/fi/our-work/opinions-information-reports/information-reports/social-media-and-ai-algorithms-ensuring-right-accurate-information-and-visibility-high-quality-content-across-europe" TargetMode="External"/><Relationship Id="rId7" Type="http://schemas.openxmlformats.org/officeDocument/2006/relationships/settings" Target="settings.xml"/><Relationship Id="rId71" Type="http://schemas.openxmlformats.org/officeDocument/2006/relationships/hyperlink" Target="https://www.eesc.europa.eu/fi/our-work/opinions-information-reports/opinions/interdependences-between-ai-applications-and-liberal-professions-services-addressing-urgent-societal-needs" TargetMode="External"/><Relationship Id="rId92" Type="http://schemas.openxmlformats.org/officeDocument/2006/relationships/hyperlink" Target="mailto:Marie-Laurence.Drillon@eesc.europa.eu" TargetMode="External"/><Relationship Id="rId2" Type="http://schemas.openxmlformats.org/officeDocument/2006/relationships/customXml" Target="../customXml/item2.xml"/><Relationship Id="rId16" Type="http://schemas.openxmlformats.org/officeDocument/2006/relationships/hyperlink" Target="mailto:Pierluigi.Brombo@eesc.europa.eu" TargetMode="External"/><Relationship Id="rId29" Type="http://schemas.openxmlformats.org/officeDocument/2006/relationships/hyperlink" Target="mailto:Gerald.Klec@eesc.europa.eu" TargetMode="External"/><Relationship Id="rId11" Type="http://schemas.openxmlformats.org/officeDocument/2006/relationships/image" Target="media/image1.jpeg"/><Relationship Id="rId24" Type="http://schemas.openxmlformats.org/officeDocument/2006/relationships/hyperlink" Target="https://www.eesc.europa.eu/fi/our-work/opinions-information-reports/opinions/review-securitisation-regulation" TargetMode="External"/><Relationship Id="rId32" Type="http://schemas.openxmlformats.org/officeDocument/2006/relationships/hyperlink" Target="https://www.eesc.europa.eu/fi/our-work/opinions-information-reports/opinions/guidelines-employment-policies-member-states-5" TargetMode="External"/><Relationship Id="rId37" Type="http://schemas.openxmlformats.org/officeDocument/2006/relationships/hyperlink" Target="https://www.eesc.europa.eu/fi/our-work/opinions-information-reports/opinions/european-democracy-shiel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fi/our-work/opinions-information-reports/opinions/evaluating-impact-public-policies-medium-and-long-term-through-intergenerational-budgeting" TargetMode="External"/><Relationship Id="rId53" Type="http://schemas.openxmlformats.org/officeDocument/2006/relationships/hyperlink" Target="https://www.eesc.europa.eu/fi/our-work/opinions-information-reports/opinions/revision-directives-roadworthiness-package" TargetMode="External"/><Relationship Id="rId58" Type="http://schemas.openxmlformats.org/officeDocument/2006/relationships/hyperlink" Target="mailto:Maja.Radman@eesc.europa.eu" TargetMode="External"/><Relationship Id="rId66" Type="http://schemas.openxmlformats.org/officeDocument/2006/relationships/hyperlink" Target="mailto:Annalisa.Tessarolo@eesc.europa.eu" TargetMode="External"/><Relationship Id="rId74" Type="http://schemas.openxmlformats.org/officeDocument/2006/relationships/hyperlink" Target="mailto:Annalisa.Tessarolo@eesc.europa.eu" TargetMode="External"/><Relationship Id="rId79" Type="http://schemas.openxmlformats.org/officeDocument/2006/relationships/hyperlink" Target="mailto:Gaizka.MaloElcoro-Iribe@eesc.europa.eu" TargetMode="External"/><Relationship Id="rId87" Type="http://schemas.openxmlformats.org/officeDocument/2006/relationships/hyperlink" Target="https://www.eesc.europa.eu/fi/our-work/opinions-information-reports/opinions/new-pact-mediterranean" TargetMode="External"/><Relationship Id="rId102" Type="http://schemas.openxmlformats.org/officeDocument/2006/relationships/hyperlink" Target="mailto:JacopoErnesto.Caja@eesc.europa.eu" TargetMode="External"/><Relationship Id="rId5" Type="http://schemas.openxmlformats.org/officeDocument/2006/relationships/numbering" Target="numbering.xml"/><Relationship Id="rId61" Type="http://schemas.openxmlformats.org/officeDocument/2006/relationships/hyperlink" Target="https://www.eesc.europa.eu/fi/our-work/opinions-information-reports/opinions/challenge-single-market-european-defence-policy-well-balanced-needs-citizens" TargetMode="External"/><Relationship Id="rId82" Type="http://schemas.openxmlformats.org/officeDocument/2006/relationships/hyperlink" Target="https://www.eesc.europa.eu/fi/our-work/opinions-information-reports/opinions/cap-simplification-package" TargetMode="External"/><Relationship Id="rId90" Type="http://schemas.openxmlformats.org/officeDocument/2006/relationships/hyperlink" Target="mailto:Daniele.Vitali@eesc.europa.eu" TargetMode="External"/><Relationship Id="rId95" Type="http://schemas.openxmlformats.org/officeDocument/2006/relationships/hyperlink" Target="https://www.eesc.europa.eu/fi/our-work/opinions-information-reports/opinions/initiative-water-resilience" TargetMode="External"/><Relationship Id="rId19" Type="http://schemas.openxmlformats.org/officeDocument/2006/relationships/hyperlink" Target="mailto:Omar.Bello@eesc.europa.eu" TargetMode="External"/><Relationship Id="rId14" Type="http://schemas.openxmlformats.org/officeDocument/2006/relationships/footer" Target="footer1.xml"/><Relationship Id="rId22" Type="http://schemas.openxmlformats.org/officeDocument/2006/relationships/hyperlink" Target="https://www.eesc.europa.eu/fi/our-work/opinions-information-reports/opinions/defence-related-investments-eu-budget" TargetMode="External"/><Relationship Id="rId27" Type="http://schemas.openxmlformats.org/officeDocument/2006/relationships/hyperlink" Target="mailto:anna.pantazi@eesc.europa.eu" TargetMode="External"/><Relationship Id="rId30" Type="http://schemas.openxmlformats.org/officeDocument/2006/relationships/hyperlink" Target="https://www.eesc.europa.eu/fi/our-work/opinions-information-reports/opinions/how-can-active-and-inclusive-prevention-approach-contribute-better-health-and-safety-workplace-0-death-goals" TargetMode="External"/><Relationship Id="rId35" Type="http://schemas.openxmlformats.org/officeDocument/2006/relationships/hyperlink" Target="https://www.eesc.europa.eu/fi/our-work/opinions-information-reports/opinions/establishing-common-system-return-third-country-nationals-staying-illegally-union" TargetMode="External"/><Relationship Id="rId43" Type="http://schemas.openxmlformats.org/officeDocument/2006/relationships/hyperlink" Target="https://www.eesc.europa.eu/fi/our-work/opinions-information-reports/opinions/how-apprenticeships-and-dual-learning-schemes-can-bolster-skills-businesses-need-order-face-challenges-green-and-digital" TargetMode="External"/><Relationship Id="rId48" Type="http://schemas.openxmlformats.org/officeDocument/2006/relationships/hyperlink" Target="mailto:Alessia.Cova@eesc.europa.eu" TargetMode="External"/><Relationship Id="rId56" Type="http://schemas.openxmlformats.org/officeDocument/2006/relationships/hyperlink" Target="mailto:GiorgiaAndrea.Bordignon@eesc.europa.eu" TargetMode="External"/><Relationship Id="rId64" Type="http://schemas.openxmlformats.org/officeDocument/2006/relationships/hyperlink" Target="mailto:Radoslava.Stefankova@eesc.europa.eu" TargetMode="External"/><Relationship Id="rId69" Type="http://schemas.openxmlformats.org/officeDocument/2006/relationships/hyperlink" Target="https://www.eesc.europa.eu/fi/our-work/opinions-information-reports/opinions/european-start-ups-and-scale-ups" TargetMode="External"/><Relationship Id="rId77" Type="http://schemas.openxmlformats.org/officeDocument/2006/relationships/hyperlink" Target="https://www.eesc.europa.eu/fi/our-work/opinions-information-reports/opinions/european-climate-law-amendment" TargetMode="External"/><Relationship Id="rId100" Type="http://schemas.openxmlformats.org/officeDocument/2006/relationships/hyperlink" Target="mailto:Adam.Dorywalski@eesc.europa.eu"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esc.europa.eu/fi/our-work/opinions-information-reports/opinions/citizens-energy-package-citizens-engagement-energy-communities-and-prosumerism" TargetMode="External"/><Relationship Id="rId72" Type="http://schemas.openxmlformats.org/officeDocument/2006/relationships/hyperlink" Target="mailto:Yousra.AsbouniElOuahabi@eesc.europa.eu" TargetMode="External"/><Relationship Id="rId80" Type="http://schemas.openxmlformats.org/officeDocument/2006/relationships/hyperlink" Target="https://www.eesc.europa.eu/fi/our-work/opinions-information-reports/opinions/future-organic-and-quality-foods-and-how-we-can-step-consumption" TargetMode="External"/><Relationship Id="rId85" Type="http://schemas.openxmlformats.org/officeDocument/2006/relationships/hyperlink" Target="https://www.eesc.europa.eu/fi/our-work/opinions-information-reports/opinions/healthy-planet-healthy-people-towards-comprehensive-one-health-approach" TargetMode="External"/><Relationship Id="rId93" Type="http://schemas.openxmlformats.org/officeDocument/2006/relationships/hyperlink" Target="https://www.eesc.europa.eu/fi/our-work/opinions-information-reports/opinions/boosting-sustainable-growth-and-quality-jobs-euromed-promoting-entrepreneurship-and-tapping-potential-women-and-young" TargetMode="External"/><Relationship Id="rId98" Type="http://schemas.openxmlformats.org/officeDocument/2006/relationships/hyperlink" Target="mailto:Heli.Niemela-Farrer@eesc.europa.eu" TargetMode="External"/><Relationship Id="rId3" Type="http://schemas.openxmlformats.org/officeDocument/2006/relationships/customXml" Target="../customXml/item3.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hyperlink" Target="mailto:Lilla.Szabo@eesc.europa.eu" TargetMode="External"/><Relationship Id="rId25" Type="http://schemas.openxmlformats.org/officeDocument/2006/relationships/hyperlink" Target="mailto:Sergio.Lorenciomatallana@eesc.europa.eu" TargetMode="External"/><Relationship Id="rId33" Type="http://schemas.openxmlformats.org/officeDocument/2006/relationships/hyperlink" Target="mailto:Antoni.Torrasestruch@eesc.europa.eu" TargetMode="External"/><Relationship Id="rId38" Type="http://schemas.openxmlformats.org/officeDocument/2006/relationships/hyperlink" Target="mailto:JeanMarie.Rogue@eesc.europa.eu" TargetMode="External"/><Relationship Id="rId46" Type="http://schemas.openxmlformats.org/officeDocument/2006/relationships/hyperlink" Target="mailto:Sabrina.Borg@eesc.europa.eu" TargetMode="External"/><Relationship Id="rId59" Type="http://schemas.openxmlformats.org/officeDocument/2006/relationships/hyperlink" Target="https://www.eesc.europa.eu/fi/our-work/opinions-information-reports/opinions/omnibus-small-mid-caps" TargetMode="External"/><Relationship Id="rId67" Type="http://schemas.openxmlformats.org/officeDocument/2006/relationships/hyperlink" Target="https://www.eesc.europa.eu/fi/our-work/opinions-information-reports/opinions/establishing-european-high-performance-computing-joint-undertaking" TargetMode="External"/><Relationship Id="rId103" Type="http://schemas.openxmlformats.org/officeDocument/2006/relationships/hyperlink" Target="https://www.eesc.europa.eu/fi/our-work/opinions-information-reports/opinions/european-preparedness-union-strategy" TargetMode="External"/><Relationship Id="rId20" Type="http://schemas.openxmlformats.org/officeDocument/2006/relationships/hyperlink" Target="https://www.eesc.europa.eu/fi/our-work/opinions-information-reports/opinions/european-public-goods-policy-priority-financing-eus-sustainability-growth-and-facing-global-challenges" TargetMode="External"/><Relationship Id="rId41" Type="http://schemas.openxmlformats.org/officeDocument/2006/relationships/hyperlink" Target="https://www.eesc.europa.eu/fi/our-work/opinions-information-reports/opinions/how-ensure-green-skills-and-promote-green-vocational-institutions" TargetMode="External"/><Relationship Id="rId54" Type="http://schemas.openxmlformats.org/officeDocument/2006/relationships/hyperlink" Target="mailto:Albert.Precup@eesc.europa.eu" TargetMode="External"/><Relationship Id="rId62" Type="http://schemas.openxmlformats.org/officeDocument/2006/relationships/hyperlink" Target="mailto:Annalisa.Tessarolo@eesc.europa.eu" TargetMode="External"/><Relationship Id="rId70" Type="http://schemas.openxmlformats.org/officeDocument/2006/relationships/hyperlink" Target="mailto:Marco.Manfroni@eesc.europa.eu" TargetMode="External"/><Relationship Id="rId75" Type="http://schemas.openxmlformats.org/officeDocument/2006/relationships/hyperlink" Target="https://www.eesc.europa.eu/fi/our-work/opinions-information-reports/opinions/les-determinants-commerciaux-de-la-sante" TargetMode="External"/><Relationship Id="rId83" Type="http://schemas.openxmlformats.org/officeDocument/2006/relationships/hyperlink" Target="mailto:Myrto.Kolyva@eesc.europa.eu" TargetMode="External"/><Relationship Id="rId88" Type="http://schemas.openxmlformats.org/officeDocument/2006/relationships/hyperlink" Target="mailto:Andreas.Berger@eesc.europa.eu" TargetMode="External"/><Relationship Id="rId91" Type="http://schemas.openxmlformats.org/officeDocument/2006/relationships/hyperlink" Target="https://www.eesc.europa.eu/fi/our-work/opinions-information-reports/opinions/blue-diplomacy-and-water-cooperation-solutions-relieve-pressure-climate-induced-migration" TargetMode="External"/><Relationship Id="rId96" Type="http://schemas.openxmlformats.org/officeDocument/2006/relationships/hyperlink" Target="mailto:Heli.Niemela-Farrer@eesc.europa.e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esc.europa.eu/fi/documents/resolution/defending-eus-values-and-strengthening-its-future-new-geopolitical-order" TargetMode="External"/><Relationship Id="rId23" Type="http://schemas.openxmlformats.org/officeDocument/2006/relationships/hyperlink" Target="mailto:Gerald.Klec@eesc.europa.eu" TargetMode="External"/><Relationship Id="rId28" Type="http://schemas.openxmlformats.org/officeDocument/2006/relationships/hyperlink" Target="https://www.eesc.europa.eu/fi/our-work/opinions-information-reports/opinions/new-impetus-european-sustainable-finance-framework" TargetMode="External"/><Relationship Id="rId36" Type="http://schemas.openxmlformats.org/officeDocument/2006/relationships/hyperlink" Target="mailto:Triin.AasmaaGomes@eesc.europa.eu" TargetMode="External"/><Relationship Id="rId49" Type="http://schemas.openxmlformats.org/officeDocument/2006/relationships/hyperlink" Target="https://www.eesc.europa.eu/fi/our-work/opinions-information-reports/opinions/european-affordable-housing-plan-contribution-civil-society" TargetMode="External"/><Relationship Id="rId57" Type="http://schemas.openxmlformats.org/officeDocument/2006/relationships/hyperlink" Target="https://www.eesc.europa.eu/fi/our-work/opinions-information-reports/opinions/extension-eurovignette-directive"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Ana.Dumitrache@eesc.europa.eu" TargetMode="External"/><Relationship Id="rId44" Type="http://schemas.openxmlformats.org/officeDocument/2006/relationships/hyperlink" Target="mailto:Sabrina.Borg@eesc.europa.eu" TargetMode="External"/><Relationship Id="rId52" Type="http://schemas.openxmlformats.org/officeDocument/2006/relationships/hyperlink" Target="mailto:Francesco.Napolitano@eesc.europa.eu" TargetMode="External"/><Relationship Id="rId60" Type="http://schemas.openxmlformats.org/officeDocument/2006/relationships/hyperlink" Target="mailto:Marco.Manfroni@eesc.europa.eu" TargetMode="External"/><Relationship Id="rId65" Type="http://schemas.openxmlformats.org/officeDocument/2006/relationships/hyperlink" Target="https://www.eesc.europa.eu/fi/our-work/opinions-information-reports/opinions/omnibus-defence" TargetMode="External"/><Relationship Id="rId73" Type="http://schemas.openxmlformats.org/officeDocument/2006/relationships/hyperlink" Target="https://www.eesc.europa.eu/fi/our-work/opinions-information-reports/opinions/strengthening-enforcement-single-market-rules-revision-current-tools-and-framework" TargetMode="External"/><Relationship Id="rId78" Type="http://schemas.openxmlformats.org/officeDocument/2006/relationships/hyperlink" Target="mailto:Caroline.Verhelst@eesc.europa.eu" TargetMode="External"/><Relationship Id="rId81" Type="http://schemas.openxmlformats.org/officeDocument/2006/relationships/hyperlink" Target="mailto:Myrto.Kolyva@eesc.europa.eu" TargetMode="External"/><Relationship Id="rId86" Type="http://schemas.openxmlformats.org/officeDocument/2006/relationships/hyperlink" Target="mailto:Gaia.Bottoni@eesc.europa.eu"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fi/our-work/opinions-information-reports/opinions/eu-steel-and-metals-action-plan" TargetMode="External"/><Relationship Id="rId101" Type="http://schemas.openxmlformats.org/officeDocument/2006/relationships/hyperlink" Target="https://www.eesc.europa.eu/fi/our-work/opinions-information-reports/opinions/building-blocks-strengthening-europes-manufacturing-base-cleantech"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https://www.eesc.europa.eu/fi/our-work/opinions-information-reports/opinions/additional-considerations-euro-area-economic-policy-2025" TargetMode="External"/><Relationship Id="rId39" Type="http://schemas.openxmlformats.org/officeDocument/2006/relationships/hyperlink" Target="https://www.eesc.europa.eu/fi/our-work/opinions-information-reports/opinions/reducing-barriers-inclusive-entrepreneurship-promoting-innovation-and-providing-equal-opportunities-all" TargetMode="External"/><Relationship Id="rId34" Type="http://schemas.openxmlformats.org/officeDocument/2006/relationships/hyperlink" Target="mailto:Ana.Dumitrache@eesc.europa.eu" TargetMode="External"/><Relationship Id="rId50" Type="http://schemas.openxmlformats.org/officeDocument/2006/relationships/hyperlink" Target="mailto:Francesco.Napolitano@eesc.europa.eu" TargetMode="External"/><Relationship Id="rId55" Type="http://schemas.openxmlformats.org/officeDocument/2006/relationships/hyperlink" Target="https://www.eesc.europa.eu/fi/our-work/opinions-information-reports/opinions/ending-russian-energy-imports" TargetMode="External"/><Relationship Id="rId76" Type="http://schemas.openxmlformats.org/officeDocument/2006/relationships/hyperlink" Target="mailto:Silvia.Staffa@eesc.europa.eu" TargetMode="External"/><Relationship Id="rId97" Type="http://schemas.openxmlformats.org/officeDocument/2006/relationships/hyperlink" Target="https://www.eesc.europa.eu/fi/our-work/opinions-information-reports/opinions/water-resilience-and-twin-transition-industrial-approaches-addressing-relationship-between-water-digitalisation-and" TargetMode="External"/><Relationship Id="rId104" Type="http://schemas.openxmlformats.org/officeDocument/2006/relationships/hyperlink" Target="file:///\\ces-cdr.eu.int\dfs\shr-translation\FI\Projects\2025\02635\02635-00-00-TCD\Laura.Ernsteina@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A6WAAD5KZT2Q-235352946-6920</_dlc_DocId>
    <_dlc_DocIdUrl xmlns="1a33af13-4045-4f88-9d7b-618e30f79918">
      <Url>http://dm/eesc/2025/_layouts/15/DocIdRedir.aspx?ID=A6WAAD5KZT2Q-235352946-6920</Url>
      <Description>A6WAAD5KZT2Q-235352946-6920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MeetingDate xmlns="1a33af13-4045-4f88-9d7b-618e30f79918">2025-10-21T12:00:00+00:00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Eskelinen Juha</DisplayName>
        <AccountId>1503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88CD9-5EE4-4EB7-B546-EA98810FD5CF}">
  <ds:schemaRefs>
    <ds:schemaRef ds:uri="http://schemas.microsoft.com/sharepoint/events"/>
  </ds:schemaRefs>
</ds:datastoreItem>
</file>

<file path=customXml/itemProps2.xml><?xml version="1.0" encoding="utf-8"?>
<ds:datastoreItem xmlns:ds="http://schemas.openxmlformats.org/officeDocument/2006/customXml" ds:itemID="{BC961E0B-DE13-474C-8257-B3D66A41D41F}"/>
</file>

<file path=customXml/itemProps3.xml><?xml version="1.0" encoding="utf-8"?>
<ds:datastoreItem xmlns:ds="http://schemas.openxmlformats.org/officeDocument/2006/customXml" ds:itemID="{9FCA33E1-3F15-4A91-B7B6-7465861EED29}">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 ds:uri="1a33af13-4045-4f88-9d7b-618e30f79918"/>
    <ds:schemaRef ds:uri="a3e83899-37aa-47c6-ba54-4ea80e9c17cf"/>
  </ds:schemaRefs>
</ds:datastoreItem>
</file>

<file path=customXml/itemProps4.xml><?xml version="1.0" encoding="utf-8"?>
<ds:datastoreItem xmlns:ds="http://schemas.openxmlformats.org/officeDocument/2006/customXml" ds:itemID="{62E3C5D6-F0B5-47DB-BE7C-32FF8C4EF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13301</Words>
  <Characters>107746</Characters>
  <Application>Microsoft Office Word</Application>
  <DocSecurity>0</DocSecurity>
  <Lines>897</Lines>
  <Paragraphs>241</Paragraphs>
  <ScaleCrop>false</ScaleCrop>
  <HeadingPairs>
    <vt:vector size="2" baseType="variant">
      <vt:variant>
        <vt:lpstr>Title</vt:lpstr>
      </vt:variant>
      <vt:variant>
        <vt:i4>1</vt:i4>
      </vt:variant>
    </vt:vector>
  </HeadingPairs>
  <TitlesOfParts>
    <vt:vector size="1" baseType="lpstr">
      <vt:lpstr>Täysistunnossa annetut lausunnot - ETSK:n uusi asiakirjamalli</vt:lpstr>
    </vt:vector>
  </TitlesOfParts>
  <Manager/>
  <Company/>
  <LinksUpToDate>false</LinksUpToDate>
  <CharactersWithSpaces>120806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- 599. täysistunto - syyskuu 2025</dc:title>
  <dc:subject>ADMIN</dc:subject>
  <dc:creator/>
  <cp:keywords>COR-EESC-2022-02583-01-00-ADMIN-TRA-EN</cp:keywords>
  <dc:description>Rapporteur:  - Original language: EN - Date of document: 05/12/2022 - Date of meeting:  - External documents:  - Administrator:  SUCIU Serban</dc:description>
  <cp:lastModifiedBy/>
  <cp:revision>1</cp:revision>
  <dcterms:created xsi:type="dcterms:W3CDTF">2025-10-14T12:10:00Z</dcterms:created>
  <dcterms:modified xsi:type="dcterms:W3CDTF">2025-10-14T12:20:00Z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02/05/2022, 02/05/2022, 28/06/2021</vt:lpwstr>
  </property>
  <property fmtid="{D5CDD505-2E9C-101B-9397-08002B2CF9AE}" pid="4" name="Pref_Time">
    <vt:lpwstr>12:28:29, 12:25:37, 08:41:48</vt:lpwstr>
  </property>
  <property fmtid="{D5CDD505-2E9C-101B-9397-08002B2CF9AE}" pid="5" name="Pref_User">
    <vt:lpwstr>enied, enied, enied</vt:lpwstr>
  </property>
  <property fmtid="{D5CDD505-2E9C-101B-9397-08002B2CF9AE}" pid="6" name="Pref_FileName">
    <vt:lpwstr>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ccc052b2-508f-4b07-b1ea-2db3a3389a12</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2635</vt:i4>
  </property>
  <property fmtid="{D5CDD505-2E9C-101B-9397-08002B2CF9AE}" pid="14" name="DocumentYear">
    <vt:i4>2025</vt:i4>
  </property>
  <property fmtid="{D5CDD505-2E9C-101B-9397-08002B2CF9AE}" pid="15" name="DocumentVersion">
    <vt:i4>2</vt:i4>
  </property>
  <property fmtid="{D5CDD505-2E9C-101B-9397-08002B2CF9AE}" pid="16" name="FicheNumber">
    <vt:i4>295485</vt:i4>
  </property>
  <property fmtid="{D5CDD505-2E9C-101B-9397-08002B2CF9AE}" pid="17" name="DocumentStatus">
    <vt:lpwstr>13;#TRA|150d2a88-1431-44e6-a8ca-0bb753ab8672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AvailableTranslations_0">
    <vt:lpwstr>BG|1a1b3951-7821-4e6a-85f5-5673fc08bd2c;HR|2f555653-ed1a-4fe6-8362-9082d95989e5;EN|f2175f21-25d7-44a3-96da-d6a61b075e1b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67;#SPL-CES|32d8cb1f-c9ec-4365-95c7-8385a18618ac;#15;#Unrestricted|826e22d7-d029-4ec0-a450-0c28ff673572;#13;#TRA|150d2a88-1431-44e6-a8ca-0bb753ab8672;#50;#HR|2f555653-ed1a-4fe6-8362-9082d95989e5;#8;#Final|ea5e6674-7b27-4bac-b091-73adbb394efe;#5;#EN|f2175f21-25d7-44a3-96da-d6a61b075e1b;#47;#BG|1a1b3951-7821-4e6a-85f5-5673fc08bd2c;#19;#TCD|cd9d6eb6-3f4f-424a-b2d1-57c9d450eaaf;#1;#EESC|422833ec-8d7e-4e65-8e4e-8bed07ffb729;#35;#FI|87606a43-d45f-42d6-b8c9-e1a3457db5b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Language">
    <vt:lpwstr>35;#FI|87606a43-d45f-42d6-b8c9-e1a3457db5b7</vt:lpwstr>
  </property>
  <property fmtid="{D5CDD505-2E9C-101B-9397-08002B2CF9AE}" pid="35" name="MeetingNumber">
    <vt:i4>600</vt:i4>
  </property>
  <property fmtid="{D5CDD505-2E9C-101B-9397-08002B2CF9AE}" pid="36" name="DocumentLanguage_0">
    <vt:lpwstr>FI|87606a43-d45f-42d6-b8c9-e1a3457db5b7</vt:lpwstr>
  </property>
  <property fmtid="{D5CDD505-2E9C-101B-9397-08002B2CF9AE}" pid="37" name="MeetingDate">
    <vt:filetime>2025-10-21T12:00:00Z</vt:filetime>
  </property>
  <property fmtid="{D5CDD505-2E9C-101B-9397-08002B2CF9AE}" pid="38" name="_docset_NoMedatataSyncRequired">
    <vt:lpwstr>False</vt:lpwstr>
  </property>
</Properties>
</file>